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6F3" w:rsidRPr="001E5B56" w:rsidRDefault="001E5B56" w:rsidP="006C6CA7">
      <w:pPr>
        <w:tabs>
          <w:tab w:val="left" w:pos="720"/>
          <w:tab w:val="right" w:leader="dot" w:pos="8640"/>
        </w:tabs>
        <w:jc w:val="center"/>
        <w:rPr>
          <w:rFonts w:ascii="Times New Roman" w:hAnsi="Times New Roman"/>
          <w:b/>
          <w:sz w:val="28"/>
          <w:szCs w:val="28"/>
        </w:rPr>
      </w:pPr>
      <w:r w:rsidRPr="001E5B56">
        <w:rPr>
          <w:rFonts w:ascii="Times New Roman" w:hAnsi="Times New Roman"/>
          <w:b/>
          <w:sz w:val="28"/>
          <w:szCs w:val="28"/>
        </w:rPr>
        <w:t>CHAPTER 4</w:t>
      </w:r>
    </w:p>
    <w:p w:rsidR="001066F3" w:rsidRPr="001E5B56" w:rsidRDefault="001066F3" w:rsidP="006C6CA7">
      <w:pPr>
        <w:tabs>
          <w:tab w:val="left" w:pos="720"/>
          <w:tab w:val="right" w:leader="dot" w:pos="8640"/>
        </w:tabs>
        <w:jc w:val="both"/>
        <w:rPr>
          <w:rFonts w:ascii="Times New Roman" w:hAnsi="Times New Roman"/>
          <w:sz w:val="28"/>
          <w:szCs w:val="28"/>
        </w:rPr>
      </w:pPr>
    </w:p>
    <w:p w:rsidR="001066F3" w:rsidRPr="001E5B56" w:rsidRDefault="001066F3" w:rsidP="006C6CA7">
      <w:pPr>
        <w:tabs>
          <w:tab w:val="left" w:pos="720"/>
          <w:tab w:val="right" w:leader="dot" w:pos="8640"/>
        </w:tabs>
        <w:jc w:val="center"/>
        <w:rPr>
          <w:rFonts w:ascii="Times New Roman" w:hAnsi="Times New Roman"/>
          <w:b/>
          <w:sz w:val="28"/>
          <w:szCs w:val="28"/>
        </w:rPr>
      </w:pPr>
      <w:r w:rsidRPr="001E5B56">
        <w:rPr>
          <w:rFonts w:ascii="Times New Roman" w:hAnsi="Times New Roman"/>
          <w:b/>
          <w:sz w:val="28"/>
          <w:szCs w:val="28"/>
        </w:rPr>
        <w:t>ACCOUNTING AND REPORTING</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CC70DD">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The Auditor of State prescribes and requires by rules, that certain public offices prepare and file annual financial reports in accordance with generally accepted accounting principles.  Certain public offices may also be required by statute, rule, or agreement to prepare and file performance or other special purpose reports.</w:t>
      </w:r>
      <w:r w:rsidR="00B1645C" w:rsidRPr="001E5B56">
        <w:rPr>
          <w:rStyle w:val="FootnoteReference"/>
          <w:rFonts w:ascii="Times New Roman" w:hAnsi="Times New Roman"/>
          <w:sz w:val="22"/>
          <w:szCs w:val="22"/>
        </w:rPr>
        <w:footnoteReference w:id="1"/>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E07385">
      <w:pPr>
        <w:tabs>
          <w:tab w:val="right" w:pos="8640"/>
        </w:tabs>
        <w:jc w:val="both"/>
        <w:rPr>
          <w:rFonts w:ascii="Times New Roman" w:hAnsi="Times New Roman"/>
          <w:b/>
          <w:sz w:val="22"/>
          <w:szCs w:val="22"/>
        </w:rPr>
      </w:pPr>
      <w:r w:rsidRPr="001E5B56">
        <w:rPr>
          <w:rFonts w:ascii="Times New Roman" w:hAnsi="Times New Roman"/>
          <w:b/>
          <w:sz w:val="22"/>
          <w:szCs w:val="22"/>
        </w:rPr>
        <w:t>Compliance Requirements</w:t>
      </w:r>
      <w:r w:rsidR="00E07385" w:rsidRPr="001E5B56">
        <w:rPr>
          <w:rFonts w:ascii="Times New Roman" w:hAnsi="Times New Roman"/>
          <w:b/>
          <w:sz w:val="22"/>
          <w:szCs w:val="22"/>
        </w:rPr>
        <w:tab/>
      </w:r>
      <w:r w:rsidRPr="001E5B56">
        <w:rPr>
          <w:rFonts w:ascii="Times New Roman" w:hAnsi="Times New Roman"/>
          <w:b/>
          <w:sz w:val="22"/>
          <w:szCs w:val="22"/>
        </w:rPr>
        <w:t>Page</w:t>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Chapter 4 - Accounting and Reporting</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Section A: Reporting</w:t>
      </w:r>
    </w:p>
    <w:p w:rsidR="00391FB3" w:rsidRPr="009E6A44" w:rsidRDefault="001066F3" w:rsidP="00581B04">
      <w:pPr>
        <w:shd w:val="clear" w:color="auto" w:fill="FFFFFF" w:themeFill="background1"/>
        <w:tabs>
          <w:tab w:val="left" w:pos="720"/>
          <w:tab w:val="right" w:leader="dot" w:pos="8640"/>
        </w:tabs>
        <w:ind w:left="720" w:hanging="720"/>
        <w:jc w:val="both"/>
        <w:rPr>
          <w:rFonts w:ascii="Times New Roman" w:hAnsi="Times New Roman"/>
          <w:sz w:val="22"/>
          <w:szCs w:val="22"/>
          <w:highlight w:val="lightGray"/>
          <w:u w:val="wave"/>
        </w:rPr>
      </w:pPr>
      <w:r w:rsidRPr="009E6A44">
        <w:rPr>
          <w:rFonts w:ascii="Times New Roman" w:hAnsi="Times New Roman"/>
          <w:sz w:val="22"/>
          <w:szCs w:val="22"/>
          <w:highlight w:val="lightGray"/>
          <w:u w:val="wave"/>
        </w:rPr>
        <w:t>4-1</w:t>
      </w:r>
      <w:r w:rsidRPr="009E6A44">
        <w:rPr>
          <w:rFonts w:ascii="Times New Roman" w:hAnsi="Times New Roman"/>
          <w:sz w:val="22"/>
          <w:szCs w:val="22"/>
          <w:highlight w:val="lightGray"/>
          <w:u w:val="wave"/>
        </w:rPr>
        <w:tab/>
        <w:t>OAC 117-2-03 (B)</w:t>
      </w:r>
      <w:r w:rsidR="006E50D8" w:rsidRPr="009E6A44">
        <w:rPr>
          <w:rFonts w:ascii="Times New Roman" w:hAnsi="Times New Roman"/>
          <w:sz w:val="22"/>
          <w:szCs w:val="22"/>
          <w:highlight w:val="lightGray"/>
          <w:u w:val="wave"/>
        </w:rPr>
        <w:t>, ORC 117.38 and 1724.05</w:t>
      </w:r>
      <w:r w:rsidRPr="009E6A44">
        <w:rPr>
          <w:rFonts w:ascii="Times New Roman" w:hAnsi="Times New Roman"/>
          <w:sz w:val="22"/>
          <w:szCs w:val="22"/>
          <w:highlight w:val="lightGray"/>
          <w:u w:val="wave"/>
        </w:rPr>
        <w:t xml:space="preserve">: </w:t>
      </w:r>
      <w:r w:rsidR="00956843" w:rsidRPr="009E6A44">
        <w:rPr>
          <w:rFonts w:ascii="Times New Roman" w:hAnsi="Times New Roman"/>
          <w:sz w:val="22"/>
          <w:szCs w:val="22"/>
          <w:highlight w:val="lightGray"/>
          <w:u w:val="wave"/>
        </w:rPr>
        <w:t xml:space="preserve">Annual </w:t>
      </w:r>
      <w:r w:rsidRPr="009E6A44">
        <w:rPr>
          <w:rFonts w:ascii="Times New Roman" w:hAnsi="Times New Roman"/>
          <w:sz w:val="22"/>
          <w:szCs w:val="22"/>
          <w:highlight w:val="lightGray"/>
          <w:u w:val="wave"/>
        </w:rPr>
        <w:t xml:space="preserve">Financial </w:t>
      </w:r>
    </w:p>
    <w:p w:rsidR="001066F3" w:rsidRPr="001E5B56" w:rsidRDefault="00391FB3" w:rsidP="00581B04">
      <w:pPr>
        <w:shd w:val="clear" w:color="auto" w:fill="FFFFFF" w:themeFill="background1"/>
        <w:tabs>
          <w:tab w:val="left" w:pos="720"/>
          <w:tab w:val="right" w:leader="dot" w:pos="8640"/>
        </w:tabs>
        <w:ind w:left="720" w:hanging="720"/>
        <w:jc w:val="both"/>
        <w:rPr>
          <w:rFonts w:ascii="Times New Roman" w:hAnsi="Times New Roman"/>
          <w:sz w:val="22"/>
          <w:szCs w:val="22"/>
        </w:rPr>
      </w:pPr>
      <w:r w:rsidRPr="009E6A44">
        <w:rPr>
          <w:rFonts w:ascii="Times New Roman" w:hAnsi="Times New Roman"/>
          <w:sz w:val="22"/>
          <w:szCs w:val="22"/>
          <w:highlight w:val="lightGray"/>
          <w:u w:val="wave"/>
        </w:rPr>
        <w:tab/>
      </w:r>
      <w:r w:rsidR="001066F3" w:rsidRPr="009E6A44">
        <w:rPr>
          <w:rFonts w:ascii="Times New Roman" w:hAnsi="Times New Roman"/>
          <w:sz w:val="22"/>
          <w:szCs w:val="22"/>
          <w:highlight w:val="lightGray"/>
          <w:u w:val="wave"/>
        </w:rPr>
        <w:t xml:space="preserve">Reporting </w:t>
      </w:r>
      <w:r w:rsidR="001066F3" w:rsidRPr="009E6A44">
        <w:rPr>
          <w:rFonts w:ascii="Times New Roman" w:hAnsi="Times New Roman"/>
          <w:sz w:val="22"/>
          <w:szCs w:val="22"/>
          <w:highlight w:val="lightGray"/>
          <w:u w:val="wave"/>
        </w:rPr>
        <w:tab/>
      </w:r>
      <w:r w:rsidR="001066F3" w:rsidRPr="009E6A44">
        <w:rPr>
          <w:rFonts w:ascii="Times New Roman" w:hAnsi="Times New Roman"/>
          <w:sz w:val="22"/>
          <w:szCs w:val="22"/>
          <w:highlight w:val="lightGray"/>
        </w:rPr>
        <w:t>2</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4-2</w:t>
      </w:r>
      <w:r w:rsidRPr="001E5B56">
        <w:rPr>
          <w:rFonts w:ascii="Times New Roman" w:hAnsi="Times New Roman"/>
          <w:sz w:val="22"/>
          <w:szCs w:val="22"/>
        </w:rPr>
        <w:tab/>
      </w:r>
      <w:r w:rsidRPr="007065A6">
        <w:rPr>
          <w:rFonts w:ascii="Times New Roman" w:hAnsi="Times New Roman"/>
          <w:sz w:val="22"/>
          <w:szCs w:val="22"/>
        </w:rPr>
        <w:t>ORC Section 1724.05: CICs</w:t>
      </w:r>
      <w:r w:rsidRPr="001E5B56">
        <w:rPr>
          <w:rFonts w:ascii="Times New Roman" w:hAnsi="Times New Roman"/>
          <w:sz w:val="22"/>
          <w:szCs w:val="22"/>
        </w:rPr>
        <w:t xml:space="preserve"> and Section 1</w:t>
      </w:r>
      <w:r w:rsidR="006A63B4">
        <w:rPr>
          <w:rFonts w:ascii="Times New Roman" w:hAnsi="Times New Roman"/>
          <w:sz w:val="22"/>
          <w:szCs w:val="22"/>
        </w:rPr>
        <w:t xml:space="preserve">726.11: </w:t>
      </w:r>
      <w:proofErr w:type="spellStart"/>
      <w:r w:rsidR="006A63B4">
        <w:rPr>
          <w:rFonts w:ascii="Times New Roman" w:hAnsi="Times New Roman"/>
          <w:sz w:val="22"/>
          <w:szCs w:val="22"/>
        </w:rPr>
        <w:t>DCs</w:t>
      </w:r>
      <w:proofErr w:type="spellEnd"/>
      <w:r w:rsidR="006A63B4">
        <w:rPr>
          <w:rFonts w:ascii="Times New Roman" w:hAnsi="Times New Roman"/>
          <w:sz w:val="22"/>
          <w:szCs w:val="22"/>
        </w:rPr>
        <w:t xml:space="preserve"> - Annual Reporting</w:t>
      </w:r>
      <w:r w:rsidR="006A63B4">
        <w:rPr>
          <w:rFonts w:ascii="Times New Roman" w:hAnsi="Times New Roman"/>
          <w:sz w:val="22"/>
          <w:szCs w:val="22"/>
        </w:rPr>
        <w:tab/>
        <w:t>6</w:t>
      </w: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sz w:val="22"/>
          <w:szCs w:val="22"/>
        </w:rPr>
      </w:pPr>
    </w:p>
    <w:p w:rsidR="001066F3" w:rsidRPr="001E5B56" w:rsidRDefault="001066F3" w:rsidP="00581B04">
      <w:pPr>
        <w:shd w:val="clear" w:color="auto" w:fill="FFFFFF" w:themeFill="background1"/>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 xml:space="preserve">Section B: </w:t>
      </w:r>
      <w:smartTag w:uri="urn:schemas-microsoft-com:office:smarttags" w:element="place">
        <w:smartTag w:uri="urn:schemas-microsoft-com:office:smarttags" w:element="PlaceName">
          <w:r w:rsidRPr="001E5B56">
            <w:rPr>
              <w:rFonts w:ascii="Times New Roman" w:hAnsi="Times New Roman"/>
              <w:b/>
              <w:sz w:val="22"/>
              <w:szCs w:val="22"/>
            </w:rPr>
            <w:t>Community</w:t>
          </w:r>
        </w:smartTag>
        <w:r w:rsidRPr="001E5B56">
          <w:rPr>
            <w:rFonts w:ascii="Times New Roman" w:hAnsi="Times New Roman"/>
            <w:b/>
            <w:sz w:val="22"/>
            <w:szCs w:val="22"/>
          </w:rPr>
          <w:t xml:space="preserve"> </w:t>
        </w:r>
        <w:smartTag w:uri="urn:schemas-microsoft-com:office:smarttags" w:element="PlaceType">
          <w:r w:rsidRPr="001E5B56">
            <w:rPr>
              <w:rFonts w:ascii="Times New Roman" w:hAnsi="Times New Roman"/>
              <w:b/>
              <w:sz w:val="22"/>
              <w:szCs w:val="22"/>
            </w:rPr>
            <w:t>School</w:t>
          </w:r>
        </w:smartTag>
      </w:smartTag>
      <w:r w:rsidRPr="001E5B56">
        <w:rPr>
          <w:rFonts w:ascii="Times New Roman" w:hAnsi="Times New Roman"/>
          <w:b/>
          <w:sz w:val="22"/>
          <w:szCs w:val="22"/>
        </w:rPr>
        <w:t xml:space="preserve"> Additional Reporting</w:t>
      </w:r>
    </w:p>
    <w:p w:rsidR="001066F3" w:rsidRPr="001E5B56" w:rsidRDefault="001066F3" w:rsidP="00A364F8">
      <w:pPr>
        <w:tabs>
          <w:tab w:val="left" w:pos="720"/>
          <w:tab w:val="right" w:leader="dot" w:pos="8640"/>
        </w:tabs>
        <w:jc w:val="both"/>
        <w:rPr>
          <w:rFonts w:ascii="Times New Roman" w:hAnsi="Times New Roman"/>
          <w:sz w:val="22"/>
          <w:szCs w:val="22"/>
        </w:rPr>
      </w:pPr>
      <w:r w:rsidRPr="00A364F8">
        <w:rPr>
          <w:rFonts w:ascii="Times New Roman" w:hAnsi="Times New Roman"/>
          <w:sz w:val="22"/>
          <w:szCs w:val="22"/>
        </w:rPr>
        <w:t>4-3</w:t>
      </w:r>
      <w:r w:rsidRPr="00A364F8">
        <w:rPr>
          <w:rFonts w:ascii="Times New Roman" w:hAnsi="Times New Roman"/>
          <w:sz w:val="22"/>
          <w:szCs w:val="22"/>
        </w:rPr>
        <w:tab/>
        <w:t xml:space="preserve">ORC 3314.024 Footnote disclosure of </w:t>
      </w:r>
      <w:proofErr w:type="gramStart"/>
      <w:r w:rsidRPr="00A364F8">
        <w:rPr>
          <w:rFonts w:ascii="Times New Roman" w:hAnsi="Times New Roman"/>
          <w:sz w:val="22"/>
          <w:szCs w:val="22"/>
        </w:rPr>
        <w:t>m</w:t>
      </w:r>
      <w:r w:rsidR="00391FB3" w:rsidRPr="00A364F8">
        <w:rPr>
          <w:rFonts w:ascii="Times New Roman" w:hAnsi="Times New Roman"/>
          <w:sz w:val="22"/>
          <w:szCs w:val="22"/>
        </w:rPr>
        <w:t>anagement company</w:t>
      </w:r>
      <w:proofErr w:type="gramEnd"/>
      <w:r w:rsidR="00391FB3" w:rsidRPr="00A364F8">
        <w:rPr>
          <w:rFonts w:ascii="Times New Roman" w:hAnsi="Times New Roman"/>
          <w:sz w:val="22"/>
          <w:szCs w:val="22"/>
        </w:rPr>
        <w:t xml:space="preserve"> expenses</w:t>
      </w:r>
      <w:r w:rsidR="006A63B4">
        <w:rPr>
          <w:rFonts w:ascii="Times New Roman" w:hAnsi="Times New Roman"/>
          <w:sz w:val="22"/>
          <w:szCs w:val="22"/>
        </w:rPr>
        <w:tab/>
        <w:t>8</w:t>
      </w:r>
    </w:p>
    <w:p w:rsidR="001066F3" w:rsidRPr="001E5B56" w:rsidRDefault="001066F3" w:rsidP="00A364F8">
      <w:pPr>
        <w:tabs>
          <w:tab w:val="left" w:pos="720"/>
          <w:tab w:val="right" w:leader="dot" w:pos="8640"/>
        </w:tabs>
        <w:jc w:val="both"/>
        <w:rPr>
          <w:rFonts w:ascii="Times New Roman" w:hAnsi="Times New Roman"/>
          <w:sz w:val="22"/>
          <w:szCs w:val="22"/>
        </w:rPr>
      </w:pPr>
    </w:p>
    <w:p w:rsidR="001066F3" w:rsidRPr="003A6727" w:rsidRDefault="001066F3" w:rsidP="00A364F8">
      <w:pPr>
        <w:tabs>
          <w:tab w:val="left" w:pos="720"/>
          <w:tab w:val="right" w:leader="dot" w:pos="8640"/>
        </w:tabs>
        <w:jc w:val="both"/>
        <w:rPr>
          <w:rFonts w:ascii="Times New Roman" w:hAnsi="Times New Roman"/>
          <w:strike/>
          <w:sz w:val="22"/>
          <w:szCs w:val="22"/>
        </w:rPr>
      </w:pPr>
      <w:r w:rsidRPr="001E5B56">
        <w:rPr>
          <w:rFonts w:ascii="Times New Roman" w:hAnsi="Times New Roman"/>
          <w:b/>
          <w:sz w:val="22"/>
          <w:szCs w:val="22"/>
        </w:rPr>
        <w:t xml:space="preserve">Section C: Counties’ Electronic </w:t>
      </w:r>
      <w:r w:rsidR="003A6727" w:rsidRPr="00581B04">
        <w:rPr>
          <w:rFonts w:ascii="Times New Roman" w:hAnsi="Times New Roman"/>
          <w:b/>
          <w:sz w:val="22"/>
          <w:szCs w:val="22"/>
        </w:rPr>
        <w:t>(</w:t>
      </w:r>
      <w:r w:rsidR="003A6727" w:rsidRPr="007065A6">
        <w:rPr>
          <w:rFonts w:ascii="Times New Roman" w:hAnsi="Times New Roman"/>
          <w:b/>
          <w:sz w:val="22"/>
          <w:szCs w:val="22"/>
        </w:rPr>
        <w:t>i.e., Internet) Transactions</w:t>
      </w:r>
      <w:r w:rsidR="003A6727">
        <w:rPr>
          <w:rFonts w:ascii="Times New Roman" w:hAnsi="Times New Roman"/>
          <w:b/>
          <w:sz w:val="22"/>
          <w:szCs w:val="22"/>
        </w:rPr>
        <w:t xml:space="preserve"> </w:t>
      </w:r>
    </w:p>
    <w:p w:rsidR="00391FB3" w:rsidRDefault="001066F3" w:rsidP="00A364F8">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4-4</w:t>
      </w:r>
      <w:r w:rsidRPr="001E5B56">
        <w:rPr>
          <w:rFonts w:ascii="Times New Roman" w:hAnsi="Times New Roman"/>
          <w:sz w:val="22"/>
          <w:szCs w:val="22"/>
        </w:rPr>
        <w:tab/>
        <w:t xml:space="preserve">ORC 117.111(A) Security controls over counties’ electronic </w:t>
      </w:r>
    </w:p>
    <w:p w:rsidR="001066F3" w:rsidRPr="001E5B56" w:rsidRDefault="00391FB3" w:rsidP="00A364F8">
      <w:pPr>
        <w:tabs>
          <w:tab w:val="left" w:pos="720"/>
          <w:tab w:val="right" w:leader="dot" w:pos="8640"/>
        </w:tabs>
        <w:jc w:val="both"/>
        <w:rPr>
          <w:rFonts w:ascii="Times New Roman" w:hAnsi="Times New Roman"/>
          <w:sz w:val="22"/>
          <w:szCs w:val="22"/>
        </w:rPr>
      </w:pPr>
      <w:r>
        <w:rPr>
          <w:rFonts w:ascii="Times New Roman" w:hAnsi="Times New Roman"/>
          <w:sz w:val="22"/>
          <w:szCs w:val="22"/>
        </w:rPr>
        <w:tab/>
      </w:r>
      <w:r w:rsidR="00595946" w:rsidRPr="007065A6">
        <w:rPr>
          <w:rFonts w:ascii="Times New Roman" w:hAnsi="Times New Roman"/>
          <w:sz w:val="22"/>
          <w:szCs w:val="22"/>
        </w:rPr>
        <w:t>(</w:t>
      </w:r>
      <w:proofErr w:type="gramStart"/>
      <w:r w:rsidR="00595946" w:rsidRPr="007577B9">
        <w:rPr>
          <w:rFonts w:ascii="Times New Roman" w:hAnsi="Times New Roman"/>
          <w:sz w:val="22"/>
          <w:szCs w:val="22"/>
        </w:rPr>
        <w:t>i.e</w:t>
      </w:r>
      <w:proofErr w:type="gramEnd"/>
      <w:r w:rsidR="00595946" w:rsidRPr="007065A6">
        <w:rPr>
          <w:rFonts w:ascii="Times New Roman" w:hAnsi="Times New Roman"/>
          <w:sz w:val="22"/>
          <w:szCs w:val="22"/>
        </w:rPr>
        <w:t>. internet) transactions</w:t>
      </w:r>
      <w:r w:rsidR="006A63B4">
        <w:rPr>
          <w:rFonts w:ascii="Times New Roman" w:hAnsi="Times New Roman"/>
          <w:sz w:val="22"/>
          <w:szCs w:val="22"/>
        </w:rPr>
        <w:tab/>
        <w:t>15</w:t>
      </w:r>
      <w:r w:rsidR="001066F3" w:rsidRPr="001E5B56">
        <w:rPr>
          <w:rFonts w:ascii="Times New Roman" w:hAnsi="Times New Roman"/>
          <w:sz w:val="22"/>
          <w:szCs w:val="22"/>
        </w:rPr>
        <w:t xml:space="preserve"> </w:t>
      </w:r>
    </w:p>
    <w:p w:rsidR="001066F3" w:rsidRPr="001E5B56" w:rsidRDefault="001066F3" w:rsidP="00A364F8">
      <w:pPr>
        <w:tabs>
          <w:tab w:val="left" w:pos="720"/>
          <w:tab w:val="right" w:leader="dot" w:pos="8640"/>
        </w:tabs>
        <w:jc w:val="both"/>
        <w:rPr>
          <w:rFonts w:ascii="Times New Roman" w:hAnsi="Times New Roman"/>
          <w:sz w:val="22"/>
          <w:szCs w:val="22"/>
        </w:rPr>
      </w:pPr>
    </w:p>
    <w:p w:rsidR="001066F3" w:rsidRPr="001E5B56" w:rsidRDefault="001066F3" w:rsidP="00A364F8">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Section D: Accounting requirements applicable to all public offices</w:t>
      </w:r>
    </w:p>
    <w:p w:rsidR="001066F3" w:rsidRPr="00004383" w:rsidRDefault="001066F3" w:rsidP="00A364F8">
      <w:pPr>
        <w:tabs>
          <w:tab w:val="left" w:pos="720"/>
          <w:tab w:val="right" w:leader="dot" w:pos="8640"/>
        </w:tabs>
        <w:jc w:val="both"/>
        <w:rPr>
          <w:rFonts w:ascii="Times New Roman" w:hAnsi="Times New Roman"/>
          <w:sz w:val="22"/>
          <w:szCs w:val="22"/>
          <w:u w:val="wave"/>
        </w:rPr>
      </w:pPr>
      <w:r w:rsidRPr="009E6A44">
        <w:rPr>
          <w:rFonts w:ascii="Times New Roman" w:hAnsi="Times New Roman"/>
          <w:sz w:val="22"/>
          <w:szCs w:val="22"/>
          <w:highlight w:val="lightGray"/>
          <w:u w:val="wave"/>
        </w:rPr>
        <w:t>4-5</w:t>
      </w:r>
      <w:r w:rsidRPr="009E6A44">
        <w:rPr>
          <w:rFonts w:ascii="Times New Roman" w:hAnsi="Times New Roman"/>
          <w:sz w:val="22"/>
          <w:szCs w:val="22"/>
          <w:highlight w:val="lightGray"/>
          <w:u w:val="wave"/>
        </w:rPr>
        <w:tab/>
        <w:t>OAC 117-2-0</w:t>
      </w:r>
      <w:r w:rsidR="006F0756" w:rsidRPr="009E6A44">
        <w:rPr>
          <w:rFonts w:ascii="Times New Roman" w:hAnsi="Times New Roman"/>
          <w:sz w:val="22"/>
          <w:szCs w:val="22"/>
          <w:highlight w:val="lightGray"/>
          <w:u w:val="wave"/>
        </w:rPr>
        <w:t>2</w:t>
      </w:r>
      <w:r w:rsidR="00E84BC8" w:rsidRPr="009E6A44">
        <w:rPr>
          <w:rFonts w:ascii="Times New Roman" w:hAnsi="Times New Roman"/>
          <w:sz w:val="22"/>
          <w:szCs w:val="22"/>
          <w:highlight w:val="lightGray"/>
          <w:u w:val="wave"/>
        </w:rPr>
        <w:t>(D) &amp; (E)</w:t>
      </w:r>
      <w:r w:rsidR="006A63B4" w:rsidRPr="009E6A44">
        <w:rPr>
          <w:rFonts w:ascii="Times New Roman" w:hAnsi="Times New Roman"/>
          <w:sz w:val="22"/>
          <w:szCs w:val="22"/>
          <w:highlight w:val="lightGray"/>
          <w:u w:val="wave"/>
        </w:rPr>
        <w:t xml:space="preserve"> Required accounting records</w:t>
      </w:r>
      <w:r w:rsidR="006A63B4" w:rsidRPr="009E6A44">
        <w:rPr>
          <w:rFonts w:ascii="Times New Roman" w:hAnsi="Times New Roman"/>
          <w:sz w:val="22"/>
          <w:szCs w:val="22"/>
          <w:highlight w:val="lightGray"/>
          <w:u w:val="wave"/>
        </w:rPr>
        <w:tab/>
        <w:t>18</w:t>
      </w:r>
      <w:r w:rsidRPr="00004383">
        <w:rPr>
          <w:rFonts w:ascii="Times New Roman" w:hAnsi="Times New Roman"/>
          <w:sz w:val="22"/>
          <w:szCs w:val="22"/>
          <w:u w:val="wave"/>
        </w:rPr>
        <w:t xml:space="preserve">  </w:t>
      </w:r>
    </w:p>
    <w:p w:rsidR="001066F3" w:rsidRPr="001E5B56" w:rsidRDefault="001066F3" w:rsidP="00A364F8">
      <w:pPr>
        <w:tabs>
          <w:tab w:val="left" w:pos="720"/>
          <w:tab w:val="right" w:leader="dot" w:pos="8640"/>
        </w:tabs>
        <w:jc w:val="both"/>
        <w:rPr>
          <w:rFonts w:ascii="Times New Roman" w:hAnsi="Times New Roman"/>
          <w:sz w:val="22"/>
          <w:szCs w:val="22"/>
        </w:rPr>
      </w:pPr>
    </w:p>
    <w:p w:rsidR="00B13E27" w:rsidRDefault="00F032D3" w:rsidP="00B13E27">
      <w:pPr>
        <w:tabs>
          <w:tab w:val="left" w:pos="720"/>
          <w:tab w:val="right" w:leader="dot" w:pos="8640"/>
        </w:tabs>
        <w:jc w:val="center"/>
        <w:rPr>
          <w:rFonts w:ascii="Times New Roman" w:hAnsi="Times New Roman"/>
          <w:b/>
          <w:sz w:val="22"/>
          <w:szCs w:val="22"/>
        </w:rPr>
      </w:pPr>
      <w:r w:rsidRPr="001E5B56">
        <w:rPr>
          <w:rFonts w:ascii="Times New Roman" w:hAnsi="Times New Roman"/>
          <w:sz w:val="22"/>
          <w:szCs w:val="22"/>
        </w:rPr>
        <w:br w:type="page"/>
      </w:r>
    </w:p>
    <w:p w:rsidR="00B13E27" w:rsidRPr="00DD0727" w:rsidRDefault="00B13E27" w:rsidP="00B13E27">
      <w:pPr>
        <w:shd w:val="clear" w:color="auto" w:fill="C0C0C0"/>
        <w:tabs>
          <w:tab w:val="left" w:pos="720"/>
          <w:tab w:val="right" w:leader="dot" w:pos="8640"/>
        </w:tabs>
        <w:jc w:val="center"/>
        <w:rPr>
          <w:rFonts w:ascii="Times New Roman" w:hAnsi="Times New Roman"/>
          <w:b/>
          <w:sz w:val="28"/>
          <w:szCs w:val="28"/>
        </w:rPr>
      </w:pPr>
      <w:r>
        <w:rPr>
          <w:rFonts w:ascii="Times New Roman" w:hAnsi="Times New Roman"/>
          <w:b/>
          <w:sz w:val="28"/>
          <w:szCs w:val="28"/>
        </w:rPr>
        <w:lastRenderedPageBreak/>
        <w:t>Section A</w:t>
      </w:r>
      <w:r w:rsidRPr="00DD0727">
        <w:rPr>
          <w:rFonts w:ascii="Times New Roman" w:hAnsi="Times New Roman"/>
          <w:b/>
          <w:sz w:val="28"/>
          <w:szCs w:val="28"/>
        </w:rPr>
        <w:t xml:space="preserve">:  </w:t>
      </w:r>
      <w:r>
        <w:rPr>
          <w:rFonts w:ascii="Times New Roman" w:hAnsi="Times New Roman"/>
          <w:b/>
          <w:sz w:val="28"/>
          <w:szCs w:val="28"/>
        </w:rPr>
        <w:t>Reporting</w:t>
      </w:r>
    </w:p>
    <w:p w:rsidR="00B13E27" w:rsidRDefault="00B13E27" w:rsidP="006C6CA7">
      <w:pPr>
        <w:tabs>
          <w:tab w:val="left" w:pos="720"/>
          <w:tab w:val="right" w:leader="dot" w:pos="8640"/>
        </w:tabs>
        <w:jc w:val="both"/>
        <w:rPr>
          <w:rFonts w:ascii="Times New Roman" w:hAnsi="Times New Roman"/>
          <w:sz w:val="22"/>
          <w:szCs w:val="22"/>
        </w:rPr>
      </w:pPr>
    </w:p>
    <w:p w:rsidR="001066F3" w:rsidRPr="004E6A94"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4-1 </w:t>
      </w:r>
      <w:r w:rsidRPr="00AA3AAE">
        <w:rPr>
          <w:rFonts w:ascii="Times New Roman" w:hAnsi="Times New Roman"/>
          <w:b/>
          <w:sz w:val="22"/>
          <w:szCs w:val="22"/>
        </w:rPr>
        <w:t>Compliance Requirements:</w:t>
      </w:r>
      <w:r w:rsidRPr="00AA3AAE">
        <w:rPr>
          <w:rFonts w:ascii="Times New Roman" w:hAnsi="Times New Roman"/>
          <w:sz w:val="22"/>
          <w:szCs w:val="22"/>
        </w:rPr>
        <w:t xml:space="preserve">  Ohio</w:t>
      </w:r>
      <w:r w:rsidR="00DE5AC0" w:rsidRPr="00AA3AAE">
        <w:rPr>
          <w:rFonts w:ascii="Times New Roman" w:hAnsi="Times New Roman"/>
          <w:sz w:val="22"/>
          <w:szCs w:val="22"/>
        </w:rPr>
        <w:t xml:space="preserve"> Admin. Code 117-2-03</w:t>
      </w:r>
      <w:r w:rsidRPr="00AA3AAE">
        <w:rPr>
          <w:rFonts w:ascii="Times New Roman" w:hAnsi="Times New Roman"/>
          <w:sz w:val="22"/>
          <w:szCs w:val="22"/>
        </w:rPr>
        <w:t>(B)</w:t>
      </w:r>
      <w:r w:rsidR="00DE5AC0" w:rsidRPr="00AA3AAE">
        <w:rPr>
          <w:rFonts w:ascii="Times New Roman" w:hAnsi="Times New Roman"/>
          <w:sz w:val="22"/>
          <w:szCs w:val="22"/>
        </w:rPr>
        <w:t xml:space="preserve"> </w:t>
      </w:r>
      <w:r w:rsidR="00DE5AC0" w:rsidRPr="004E6A94">
        <w:rPr>
          <w:rFonts w:ascii="Times New Roman" w:hAnsi="Times New Roman"/>
          <w:sz w:val="22"/>
          <w:szCs w:val="22"/>
        </w:rPr>
        <w:t>and Ohio Rev. Code</w:t>
      </w:r>
      <w:r w:rsidR="00FA2BE0" w:rsidRPr="004E6A94">
        <w:rPr>
          <w:rFonts w:ascii="Times New Roman" w:hAnsi="Times New Roman"/>
          <w:sz w:val="22"/>
          <w:szCs w:val="22"/>
        </w:rPr>
        <w:t xml:space="preserve"> §117.38 and </w:t>
      </w:r>
      <w:r w:rsidR="00956843" w:rsidRPr="004E6A94">
        <w:rPr>
          <w:rFonts w:ascii="Times New Roman" w:hAnsi="Times New Roman"/>
          <w:sz w:val="22"/>
          <w:szCs w:val="22"/>
        </w:rPr>
        <w:t>§</w:t>
      </w:r>
      <w:r w:rsidR="00FA2BE0" w:rsidRPr="004E6A94">
        <w:rPr>
          <w:rFonts w:ascii="Times New Roman" w:hAnsi="Times New Roman"/>
          <w:sz w:val="22"/>
          <w:szCs w:val="22"/>
        </w:rPr>
        <w:t>1724.05:</w:t>
      </w:r>
      <w:r w:rsidR="00DE5AC0" w:rsidRPr="004E6A94">
        <w:rPr>
          <w:rFonts w:ascii="Times New Roman" w:hAnsi="Times New Roman"/>
          <w:sz w:val="22"/>
          <w:szCs w:val="22"/>
        </w:rPr>
        <w:t xml:space="preserve"> </w:t>
      </w:r>
      <w:r w:rsidR="003464AB" w:rsidRPr="004E6A94">
        <w:rPr>
          <w:rFonts w:ascii="Times New Roman" w:hAnsi="Times New Roman"/>
          <w:sz w:val="22"/>
          <w:szCs w:val="22"/>
        </w:rPr>
        <w:t>A</w:t>
      </w:r>
      <w:r w:rsidR="00FA2BE0" w:rsidRPr="004E6A94">
        <w:rPr>
          <w:rFonts w:ascii="Times New Roman" w:hAnsi="Times New Roman"/>
          <w:sz w:val="22"/>
          <w:szCs w:val="22"/>
        </w:rPr>
        <w:t xml:space="preserve">nnual </w:t>
      </w:r>
      <w:r w:rsidRPr="004E6A94">
        <w:rPr>
          <w:rFonts w:ascii="Times New Roman" w:hAnsi="Times New Roman"/>
          <w:sz w:val="22"/>
          <w:szCs w:val="22"/>
        </w:rPr>
        <w:t xml:space="preserve">financial reporting. </w:t>
      </w:r>
    </w:p>
    <w:p w:rsidR="001066F3" w:rsidRPr="004E6A94" w:rsidRDefault="001066F3" w:rsidP="006C6CA7">
      <w:pPr>
        <w:tabs>
          <w:tab w:val="left" w:pos="720"/>
          <w:tab w:val="right" w:leader="dot" w:pos="8640"/>
        </w:tabs>
        <w:jc w:val="both"/>
        <w:rPr>
          <w:rFonts w:ascii="Times New Roman" w:hAnsi="Times New Roman"/>
          <w:sz w:val="22"/>
          <w:szCs w:val="22"/>
        </w:rPr>
      </w:pPr>
    </w:p>
    <w:p w:rsidR="003464AB" w:rsidRPr="00AA3AAE"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Summary of </w:t>
      </w:r>
      <w:r w:rsidRPr="00AA3AAE">
        <w:rPr>
          <w:rFonts w:ascii="Times New Roman" w:hAnsi="Times New Roman"/>
          <w:b/>
          <w:sz w:val="22"/>
          <w:szCs w:val="22"/>
        </w:rPr>
        <w:t>Requirement</w:t>
      </w:r>
      <w:r w:rsidR="00BB5CA7" w:rsidRPr="00AA3AAE">
        <w:rPr>
          <w:rFonts w:ascii="Times New Roman" w:hAnsi="Times New Roman"/>
          <w:b/>
          <w:sz w:val="22"/>
          <w:szCs w:val="22"/>
        </w:rPr>
        <w:t>s</w:t>
      </w:r>
      <w:r w:rsidRPr="00AA3AAE">
        <w:rPr>
          <w:rFonts w:ascii="Times New Roman" w:hAnsi="Times New Roman"/>
          <w:sz w:val="22"/>
          <w:szCs w:val="22"/>
        </w:rPr>
        <w:t xml:space="preserve">: </w:t>
      </w:r>
      <w:r w:rsidR="00DE5AC0" w:rsidRPr="00AA3AAE">
        <w:rPr>
          <w:rFonts w:ascii="Times New Roman" w:hAnsi="Times New Roman"/>
          <w:sz w:val="22"/>
          <w:szCs w:val="22"/>
        </w:rPr>
        <w:t xml:space="preserve"> </w:t>
      </w:r>
    </w:p>
    <w:p w:rsidR="003464AB" w:rsidRPr="00AA3AAE" w:rsidRDefault="003464AB" w:rsidP="006C6CA7">
      <w:pPr>
        <w:tabs>
          <w:tab w:val="left" w:pos="720"/>
          <w:tab w:val="right" w:leader="dot" w:pos="8640"/>
        </w:tabs>
        <w:jc w:val="both"/>
        <w:rPr>
          <w:rFonts w:ascii="Times New Roman" w:hAnsi="Times New Roman"/>
          <w:sz w:val="22"/>
          <w:szCs w:val="22"/>
        </w:rPr>
      </w:pPr>
    </w:p>
    <w:p w:rsidR="003464AB" w:rsidRPr="004E6A94" w:rsidRDefault="003464AB" w:rsidP="006C6CA7">
      <w:pPr>
        <w:tabs>
          <w:tab w:val="left" w:pos="720"/>
          <w:tab w:val="right" w:leader="dot" w:pos="8640"/>
        </w:tabs>
        <w:jc w:val="both"/>
        <w:rPr>
          <w:rFonts w:ascii="Times New Roman" w:hAnsi="Times New Roman"/>
          <w:sz w:val="22"/>
          <w:szCs w:val="22"/>
        </w:rPr>
      </w:pPr>
      <w:r w:rsidRPr="004E6A94">
        <w:rPr>
          <w:rFonts w:ascii="Times New Roman" w:hAnsi="Times New Roman"/>
          <w:b/>
          <w:i/>
          <w:sz w:val="22"/>
          <w:szCs w:val="22"/>
        </w:rPr>
        <w:t xml:space="preserve">GAAP </w:t>
      </w:r>
      <w:r w:rsidR="003B5331" w:rsidRPr="004E6A94">
        <w:rPr>
          <w:rFonts w:ascii="Times New Roman" w:hAnsi="Times New Roman"/>
          <w:b/>
          <w:i/>
          <w:sz w:val="22"/>
          <w:szCs w:val="22"/>
        </w:rPr>
        <w:t>Basis Entities</w:t>
      </w:r>
    </w:p>
    <w:p w:rsidR="00004383" w:rsidRDefault="00DE5AC0" w:rsidP="006C6CA7">
      <w:pPr>
        <w:tabs>
          <w:tab w:val="left" w:pos="720"/>
          <w:tab w:val="right" w:leader="dot" w:pos="8640"/>
        </w:tabs>
        <w:jc w:val="both"/>
        <w:rPr>
          <w:rFonts w:ascii="Times New Roman" w:hAnsi="Times New Roman"/>
          <w:sz w:val="22"/>
          <w:szCs w:val="22"/>
        </w:rPr>
      </w:pPr>
      <w:proofErr w:type="gramStart"/>
      <w:r w:rsidRPr="004E6A94">
        <w:rPr>
          <w:rFonts w:ascii="Times New Roman" w:hAnsi="Times New Roman"/>
          <w:sz w:val="22"/>
          <w:szCs w:val="22"/>
        </w:rPr>
        <w:t>Ohio Admin.</w:t>
      </w:r>
      <w:proofErr w:type="gramEnd"/>
      <w:r w:rsidRPr="004E6A94">
        <w:rPr>
          <w:rFonts w:ascii="Times New Roman" w:hAnsi="Times New Roman"/>
          <w:sz w:val="22"/>
          <w:szCs w:val="22"/>
        </w:rPr>
        <w:t xml:space="preserve"> Code 117-2-03(B) requires </w:t>
      </w:r>
      <w:r w:rsidR="001066F3" w:rsidRPr="004E6A94">
        <w:rPr>
          <w:rFonts w:ascii="Times New Roman" w:hAnsi="Times New Roman"/>
          <w:sz w:val="22"/>
          <w:szCs w:val="22"/>
        </w:rPr>
        <w:t xml:space="preserve">counties, cities, school districts, educational service centers, and community schools </w:t>
      </w:r>
      <w:r w:rsidRPr="004E6A94">
        <w:rPr>
          <w:rFonts w:ascii="Times New Roman" w:hAnsi="Times New Roman"/>
          <w:sz w:val="22"/>
          <w:szCs w:val="22"/>
        </w:rPr>
        <w:t xml:space="preserve">to </w:t>
      </w:r>
      <w:r w:rsidR="001066F3" w:rsidRPr="004E6A94">
        <w:rPr>
          <w:rFonts w:ascii="Times New Roman" w:hAnsi="Times New Roman"/>
          <w:sz w:val="22"/>
          <w:szCs w:val="22"/>
        </w:rPr>
        <w:t xml:space="preserve">report </w:t>
      </w:r>
      <w:r w:rsidRPr="004E6A94">
        <w:rPr>
          <w:rFonts w:ascii="Times New Roman" w:hAnsi="Times New Roman"/>
          <w:sz w:val="22"/>
          <w:szCs w:val="22"/>
        </w:rPr>
        <w:t xml:space="preserve">annually </w:t>
      </w:r>
      <w:r w:rsidR="001066F3" w:rsidRPr="004E6A94">
        <w:rPr>
          <w:rFonts w:ascii="Times New Roman" w:hAnsi="Times New Roman"/>
          <w:sz w:val="22"/>
          <w:szCs w:val="22"/>
        </w:rPr>
        <w:t>(but not necessarily account) on a GAAP basis.</w:t>
      </w:r>
      <w:r w:rsidRPr="004E6A94">
        <w:rPr>
          <w:rFonts w:ascii="Times New Roman" w:hAnsi="Times New Roman"/>
          <w:sz w:val="22"/>
          <w:szCs w:val="22"/>
        </w:rPr>
        <w:t xml:space="preserve">  </w:t>
      </w:r>
    </w:p>
    <w:p w:rsidR="00004383" w:rsidRDefault="00004383" w:rsidP="006C6CA7">
      <w:pPr>
        <w:tabs>
          <w:tab w:val="left" w:pos="720"/>
          <w:tab w:val="right" w:leader="dot" w:pos="8640"/>
        </w:tabs>
        <w:jc w:val="both"/>
        <w:rPr>
          <w:rFonts w:ascii="Times New Roman" w:hAnsi="Times New Roman"/>
          <w:sz w:val="22"/>
          <w:szCs w:val="22"/>
        </w:rPr>
      </w:pPr>
    </w:p>
    <w:p w:rsidR="00DF1380" w:rsidRPr="004E6A94" w:rsidRDefault="00DE5AC0" w:rsidP="006C6CA7">
      <w:pPr>
        <w:tabs>
          <w:tab w:val="left" w:pos="720"/>
          <w:tab w:val="right" w:leader="dot" w:pos="8640"/>
        </w:tabs>
        <w:jc w:val="both"/>
        <w:rPr>
          <w:rFonts w:ascii="Times New Roman" w:hAnsi="Times New Roman"/>
          <w:sz w:val="22"/>
          <w:szCs w:val="22"/>
        </w:rPr>
      </w:pPr>
      <w:r w:rsidRPr="004E6A94">
        <w:rPr>
          <w:rFonts w:ascii="Times New Roman" w:hAnsi="Times New Roman"/>
          <w:sz w:val="22"/>
          <w:szCs w:val="22"/>
        </w:rPr>
        <w:t xml:space="preserve">Ohio Rev. Code 1724.05 </w:t>
      </w:r>
      <w:r w:rsidR="00BB5CA7" w:rsidRPr="004E6A94">
        <w:rPr>
          <w:rFonts w:ascii="Times New Roman" w:hAnsi="Times New Roman"/>
          <w:sz w:val="22"/>
          <w:szCs w:val="22"/>
        </w:rPr>
        <w:t xml:space="preserve">requires </w:t>
      </w:r>
      <w:r w:rsidRPr="004E6A94">
        <w:rPr>
          <w:rFonts w:ascii="Times New Roman" w:hAnsi="Times New Roman"/>
          <w:sz w:val="22"/>
          <w:szCs w:val="22"/>
        </w:rPr>
        <w:t>Community Improvement Corporations established under Ohio Rev. Code Chapter 1724</w:t>
      </w:r>
      <w:r w:rsidR="003464AB" w:rsidRPr="004E6A94">
        <w:rPr>
          <w:rFonts w:ascii="Times New Roman" w:hAnsi="Times New Roman"/>
          <w:sz w:val="22"/>
          <w:szCs w:val="22"/>
        </w:rPr>
        <w:t xml:space="preserve"> to report annually (but not necessarily account) on a GAAP basis.</w:t>
      </w:r>
      <w:r w:rsidR="00BB5CA7" w:rsidRPr="004E6A94">
        <w:rPr>
          <w:rFonts w:ascii="Times New Roman" w:hAnsi="Times New Roman"/>
          <w:sz w:val="22"/>
          <w:szCs w:val="22"/>
        </w:rPr>
        <w:t xml:space="preserve"> </w:t>
      </w:r>
    </w:p>
    <w:p w:rsidR="003464AB" w:rsidRPr="00AA3AAE" w:rsidRDefault="003464AB" w:rsidP="00FA2BE0">
      <w:pPr>
        <w:widowControl w:val="0"/>
        <w:tabs>
          <w:tab w:val="left" w:pos="720"/>
          <w:tab w:val="right" w:leader="dot" w:pos="8640"/>
        </w:tabs>
        <w:jc w:val="both"/>
        <w:rPr>
          <w:rFonts w:ascii="Times New Roman" w:hAnsi="Times New Roman"/>
          <w:b/>
          <w:i/>
          <w:sz w:val="22"/>
          <w:szCs w:val="22"/>
        </w:rPr>
      </w:pPr>
    </w:p>
    <w:p w:rsidR="003464AB" w:rsidRPr="004E6A94" w:rsidRDefault="003464AB" w:rsidP="00AA3AAE">
      <w:pPr>
        <w:tabs>
          <w:tab w:val="left" w:pos="720"/>
          <w:tab w:val="right" w:leader="dot" w:pos="8640"/>
        </w:tabs>
        <w:jc w:val="both"/>
        <w:rPr>
          <w:rFonts w:ascii="Times New Roman" w:hAnsi="Times New Roman"/>
          <w:sz w:val="22"/>
          <w:szCs w:val="22"/>
        </w:rPr>
      </w:pPr>
      <w:r w:rsidRPr="004E6A94">
        <w:rPr>
          <w:rFonts w:ascii="Times New Roman" w:hAnsi="Times New Roman"/>
          <w:sz w:val="22"/>
          <w:szCs w:val="22"/>
        </w:rPr>
        <w:t>Per Ohio Rev. Code §117.38, GAAP-basis entities must file annual reports within 150 days of their fiscal year end (except ORC 1724.05 requires community improvement corporations to file within 120 days of their fiscal year end).</w:t>
      </w:r>
      <w:r w:rsidRPr="004E6A94">
        <w:rPr>
          <w:rStyle w:val="FootnoteReference"/>
          <w:rFonts w:ascii="Times New Roman" w:hAnsi="Times New Roman"/>
          <w:sz w:val="22"/>
          <w:szCs w:val="22"/>
        </w:rPr>
        <w:footnoteReference w:id="2"/>
      </w:r>
      <w:r w:rsidRPr="004E6A94">
        <w:rPr>
          <w:rStyle w:val="FootnoteReference"/>
        </w:rPr>
        <w:t xml:space="preserve"> </w:t>
      </w:r>
    </w:p>
    <w:p w:rsidR="003464AB" w:rsidRDefault="003464AB" w:rsidP="00FA2BE0">
      <w:pPr>
        <w:widowControl w:val="0"/>
        <w:jc w:val="both"/>
        <w:rPr>
          <w:rFonts w:ascii="Times New Roman" w:hAnsi="Times New Roman"/>
          <w:sz w:val="22"/>
          <w:szCs w:val="22"/>
        </w:rPr>
      </w:pPr>
    </w:p>
    <w:p w:rsidR="00FA2BE0" w:rsidRPr="004E6A94" w:rsidRDefault="00FA2BE0" w:rsidP="00FA2BE0">
      <w:pPr>
        <w:widowControl w:val="0"/>
        <w:jc w:val="both"/>
        <w:rPr>
          <w:rFonts w:ascii="Times New Roman" w:hAnsi="Times New Roman"/>
          <w:sz w:val="22"/>
          <w:szCs w:val="22"/>
        </w:rPr>
      </w:pPr>
      <w:r w:rsidRPr="004E6A94">
        <w:rPr>
          <w:rFonts w:ascii="Times New Roman" w:hAnsi="Times New Roman"/>
          <w:sz w:val="22"/>
          <w:szCs w:val="22"/>
        </w:rPr>
        <w:t xml:space="preserve">Per AOS Bulletins 2006-02 and 2008-01, annual reports filed with AOS must be </w:t>
      </w:r>
      <w:r w:rsidRPr="004E6A94">
        <w:rPr>
          <w:rFonts w:ascii="Times New Roman" w:hAnsi="Times New Roman"/>
          <w:b/>
          <w:i/>
          <w:sz w:val="22"/>
          <w:szCs w:val="22"/>
        </w:rPr>
        <w:t>complete</w:t>
      </w:r>
      <w:r w:rsidRPr="004E6A94">
        <w:rPr>
          <w:rFonts w:ascii="Times New Roman" w:hAnsi="Times New Roman"/>
          <w:sz w:val="22"/>
          <w:szCs w:val="22"/>
        </w:rPr>
        <w:t xml:space="preserve"> to avoid the application of a penalty of $25 per day ($750 maximum) permissible under Ohio Rev. Code §117.38. </w:t>
      </w:r>
      <w:r w:rsidR="005043DF" w:rsidRPr="004E6A94">
        <w:rPr>
          <w:rFonts w:ascii="Times New Roman" w:hAnsi="Times New Roman"/>
          <w:sz w:val="22"/>
          <w:szCs w:val="22"/>
        </w:rPr>
        <w:t xml:space="preserve"> </w:t>
      </w:r>
      <w:r w:rsidRPr="004E6A94">
        <w:rPr>
          <w:rFonts w:ascii="Times New Roman" w:hAnsi="Times New Roman"/>
          <w:sz w:val="22"/>
          <w:szCs w:val="22"/>
        </w:rPr>
        <w:t xml:space="preserve">To be </w:t>
      </w:r>
      <w:r w:rsidRPr="004E6A94">
        <w:rPr>
          <w:rFonts w:ascii="Times New Roman" w:hAnsi="Times New Roman"/>
          <w:b/>
          <w:i/>
          <w:sz w:val="22"/>
          <w:szCs w:val="22"/>
        </w:rPr>
        <w:t>complete</w:t>
      </w:r>
      <w:r w:rsidRPr="004E6A94">
        <w:rPr>
          <w:rFonts w:ascii="Times New Roman" w:hAnsi="Times New Roman"/>
          <w:sz w:val="22"/>
          <w:szCs w:val="22"/>
        </w:rPr>
        <w:t xml:space="preserve">,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filing. </w:t>
      </w:r>
      <w:r w:rsidRPr="004E6A94">
        <w:rPr>
          <w:rStyle w:val="FootnoteReference"/>
          <w:rFonts w:ascii="Times New Roman" w:hAnsi="Times New Roman"/>
          <w:sz w:val="22"/>
          <w:szCs w:val="22"/>
        </w:rPr>
        <w:footnoteReference w:id="3"/>
      </w:r>
    </w:p>
    <w:p w:rsidR="00FA2BE0" w:rsidRPr="00A364F8" w:rsidRDefault="00FA2BE0" w:rsidP="00FA2BE0">
      <w:pPr>
        <w:widowControl w:val="0"/>
        <w:jc w:val="both"/>
        <w:rPr>
          <w:rFonts w:ascii="Times New Roman" w:hAnsi="Times New Roman"/>
          <w:sz w:val="22"/>
          <w:szCs w:val="22"/>
        </w:rPr>
      </w:pPr>
    </w:p>
    <w:p w:rsidR="00FA2BE0" w:rsidRPr="004E6A94" w:rsidRDefault="00041519" w:rsidP="00FA2BE0">
      <w:pPr>
        <w:widowControl w:val="0"/>
        <w:jc w:val="both"/>
        <w:rPr>
          <w:rFonts w:ascii="Times New Roman" w:hAnsi="Times New Roman"/>
          <w:b/>
          <w:i/>
          <w:sz w:val="22"/>
          <w:szCs w:val="22"/>
        </w:rPr>
      </w:pPr>
      <w:r>
        <w:rPr>
          <w:rFonts w:ascii="Times New Roman" w:hAnsi="Times New Roman"/>
          <w:b/>
          <w:i/>
          <w:sz w:val="22"/>
          <w:szCs w:val="22"/>
        </w:rPr>
        <w:br w:type="page"/>
      </w:r>
      <w:r w:rsidR="00FA2BE0" w:rsidRPr="004E6A94">
        <w:rPr>
          <w:rFonts w:ascii="Times New Roman" w:hAnsi="Times New Roman"/>
          <w:b/>
          <w:i/>
          <w:sz w:val="22"/>
          <w:szCs w:val="22"/>
        </w:rPr>
        <w:lastRenderedPageBreak/>
        <w:t>Cash Basis</w:t>
      </w:r>
      <w:r w:rsidR="003B5331" w:rsidRPr="004E6A94">
        <w:rPr>
          <w:rFonts w:ascii="Times New Roman" w:hAnsi="Times New Roman"/>
          <w:b/>
          <w:i/>
          <w:sz w:val="22"/>
          <w:szCs w:val="22"/>
        </w:rPr>
        <w:t xml:space="preserve"> Entities</w:t>
      </w:r>
    </w:p>
    <w:p w:rsidR="00FA2BE0" w:rsidRPr="00AA3AAE" w:rsidRDefault="003464AB" w:rsidP="00FA2BE0">
      <w:pPr>
        <w:widowControl w:val="0"/>
        <w:jc w:val="both"/>
        <w:rPr>
          <w:rFonts w:ascii="Times New Roman" w:hAnsi="Times New Roman"/>
          <w:sz w:val="22"/>
          <w:szCs w:val="22"/>
        </w:rPr>
      </w:pPr>
      <w:r w:rsidRPr="004E6A94">
        <w:rPr>
          <w:rFonts w:ascii="Times New Roman" w:hAnsi="Times New Roman"/>
          <w:sz w:val="22"/>
          <w:szCs w:val="22"/>
        </w:rPr>
        <w:t>Per Ohio Rev. Code §117.38,</w:t>
      </w:r>
      <w:r w:rsidRPr="00AA3AAE">
        <w:rPr>
          <w:rFonts w:ascii="Times New Roman" w:hAnsi="Times New Roman"/>
          <w:sz w:val="22"/>
          <w:szCs w:val="22"/>
        </w:rPr>
        <w:t xml:space="preserve"> c</w:t>
      </w:r>
      <w:r w:rsidR="00FA2BE0" w:rsidRPr="00AA3AAE">
        <w:rPr>
          <w:rFonts w:ascii="Times New Roman" w:hAnsi="Times New Roman"/>
          <w:sz w:val="22"/>
          <w:szCs w:val="22"/>
        </w:rPr>
        <w:t>ash-basis entities must file annual reports with the Auditor of State wi</w:t>
      </w:r>
      <w:r w:rsidR="0007646A">
        <w:rPr>
          <w:rFonts w:ascii="Times New Roman" w:hAnsi="Times New Roman"/>
          <w:sz w:val="22"/>
          <w:szCs w:val="22"/>
        </w:rPr>
        <w:t>thin 60 days of the fiscal year-</w:t>
      </w:r>
      <w:r w:rsidR="00FA2BE0" w:rsidRPr="00AA3AAE">
        <w:rPr>
          <w:rFonts w:ascii="Times New Roman" w:hAnsi="Times New Roman"/>
          <w:sz w:val="22"/>
          <w:szCs w:val="22"/>
        </w:rPr>
        <w:t>end.  The Auditor of State may prescribe by rule or guidelines the forms for these reports. However, if the Auditor of State has not prescribed a reporting form, the public office</w:t>
      </w:r>
      <w:r w:rsidR="00FA2BE0" w:rsidRPr="00AA3AAE">
        <w:rPr>
          <w:rStyle w:val="FootnoteReference"/>
          <w:rFonts w:ascii="Times New Roman" w:hAnsi="Times New Roman"/>
          <w:sz w:val="22"/>
          <w:szCs w:val="22"/>
        </w:rPr>
        <w:footnoteReference w:id="4"/>
      </w:r>
      <w:r w:rsidR="00FA2BE0" w:rsidRPr="00AA3AAE">
        <w:rPr>
          <w:rFonts w:ascii="Times New Roman" w:hAnsi="Times New Roman"/>
          <w:sz w:val="22"/>
          <w:szCs w:val="22"/>
        </w:rPr>
        <w:t xml:space="preserve"> shall submit its report on the form used by the public office.  Any public office not filing the report by the required date shall pay a penalty of </w:t>
      </w:r>
      <w:r w:rsidR="0007646A">
        <w:rPr>
          <w:rFonts w:ascii="Times New Roman" w:hAnsi="Times New Roman"/>
          <w:sz w:val="22"/>
          <w:szCs w:val="22"/>
        </w:rPr>
        <w:t>$25</w:t>
      </w:r>
      <w:r w:rsidR="00FA2BE0" w:rsidRPr="00AA3AAE">
        <w:rPr>
          <w:rFonts w:ascii="Times New Roman" w:hAnsi="Times New Roman"/>
          <w:sz w:val="22"/>
          <w:szCs w:val="22"/>
        </w:rPr>
        <w:t xml:space="preserve"> for each day the report remains unfiled, not to exceed </w:t>
      </w:r>
      <w:r w:rsidR="0007646A">
        <w:rPr>
          <w:rFonts w:ascii="Times New Roman" w:hAnsi="Times New Roman"/>
          <w:sz w:val="22"/>
          <w:szCs w:val="22"/>
        </w:rPr>
        <w:t>$750</w:t>
      </w:r>
      <w:r w:rsidR="00FA2BE0" w:rsidRPr="00AA3AAE">
        <w:rPr>
          <w:rFonts w:ascii="Times New Roman" w:hAnsi="Times New Roman"/>
          <w:sz w:val="22"/>
          <w:szCs w:val="22"/>
        </w:rPr>
        <w:t>.  The AOS may waive these penalties, upon the filing of the past due financial report.</w:t>
      </w:r>
    </w:p>
    <w:p w:rsidR="00FA2BE0" w:rsidRPr="00AA3AAE" w:rsidRDefault="00FA2BE0" w:rsidP="00FA2BE0">
      <w:pPr>
        <w:widowControl w:val="0"/>
        <w:jc w:val="both"/>
        <w:rPr>
          <w:rFonts w:ascii="Times New Roman" w:hAnsi="Times New Roman"/>
          <w:sz w:val="22"/>
          <w:szCs w:val="22"/>
        </w:rPr>
      </w:pPr>
    </w:p>
    <w:p w:rsidR="00FA2BE0" w:rsidRPr="00AA3AAE" w:rsidRDefault="00FA2BE0" w:rsidP="00FA2BE0">
      <w:pPr>
        <w:widowControl w:val="0"/>
        <w:jc w:val="both"/>
        <w:rPr>
          <w:rFonts w:ascii="Times New Roman" w:hAnsi="Times New Roman"/>
          <w:sz w:val="22"/>
          <w:szCs w:val="22"/>
        </w:rPr>
      </w:pPr>
      <w:r w:rsidRPr="00AA3AAE">
        <w:rPr>
          <w:rFonts w:ascii="Times New Roman" w:hAnsi="Times New Roman"/>
          <w:sz w:val="22"/>
          <w:szCs w:val="22"/>
        </w:rPr>
        <w:t xml:space="preserve">The report shall contain the amount of: (A) receipts, and amounts due from each source; (B) expenditures for each purpose; (C) income of any public service industry that the entity owns or operates, as well as the costs of ownership or operation; and (D) </w:t>
      </w:r>
      <w:r w:rsidRPr="00AA3AAE">
        <w:rPr>
          <w:rFonts w:ascii="Times New Roman" w:hAnsi="Times New Roman"/>
          <w:b/>
          <w:sz w:val="22"/>
          <w:szCs w:val="22"/>
          <w:u w:val="single"/>
        </w:rPr>
        <w:t>public debt</w:t>
      </w:r>
      <w:r w:rsidRPr="00AA3AAE">
        <w:rPr>
          <w:rFonts w:ascii="Times New Roman" w:hAnsi="Times New Roman"/>
          <w:sz w:val="22"/>
          <w:szCs w:val="22"/>
        </w:rPr>
        <w:t xml:space="preserve"> of each taxing district, the purpose of the debt, and how the debt will be repaid. </w:t>
      </w:r>
    </w:p>
    <w:p w:rsidR="00FA2BE0" w:rsidRPr="00AA3AAE" w:rsidRDefault="00FA2BE0" w:rsidP="00FA2BE0">
      <w:pPr>
        <w:widowControl w:val="0"/>
        <w:jc w:val="both"/>
        <w:rPr>
          <w:rFonts w:ascii="Times New Roman" w:hAnsi="Times New Roman"/>
          <w:sz w:val="22"/>
          <w:szCs w:val="22"/>
        </w:rPr>
      </w:pPr>
    </w:p>
    <w:p w:rsidR="00041519" w:rsidRPr="004E6A94" w:rsidRDefault="00041519" w:rsidP="00FA2BE0">
      <w:pPr>
        <w:widowControl w:val="0"/>
        <w:jc w:val="both"/>
        <w:rPr>
          <w:rFonts w:ascii="Times New Roman" w:hAnsi="Times New Roman"/>
          <w:b/>
          <w:i/>
          <w:sz w:val="22"/>
          <w:szCs w:val="22"/>
        </w:rPr>
      </w:pPr>
      <w:r w:rsidRPr="004E6A94">
        <w:rPr>
          <w:rFonts w:ascii="Times New Roman" w:hAnsi="Times New Roman"/>
          <w:b/>
          <w:i/>
          <w:sz w:val="22"/>
          <w:szCs w:val="22"/>
        </w:rPr>
        <w:t xml:space="preserve">Cash and GAAP </w:t>
      </w:r>
      <w:r w:rsidR="003B5331" w:rsidRPr="004E6A94">
        <w:rPr>
          <w:rFonts w:ascii="Times New Roman" w:hAnsi="Times New Roman"/>
          <w:b/>
          <w:i/>
          <w:sz w:val="22"/>
          <w:szCs w:val="22"/>
        </w:rPr>
        <w:t xml:space="preserve">Basis Entity </w:t>
      </w:r>
      <w:r w:rsidRPr="004E6A94">
        <w:rPr>
          <w:rFonts w:ascii="Times New Roman" w:hAnsi="Times New Roman"/>
          <w:b/>
          <w:i/>
          <w:sz w:val="22"/>
          <w:szCs w:val="22"/>
        </w:rPr>
        <w:t>Requirement</w:t>
      </w:r>
    </w:p>
    <w:p w:rsidR="00FA2BE0" w:rsidRPr="00ED3FC4" w:rsidRDefault="00041519" w:rsidP="00FA2BE0">
      <w:pPr>
        <w:widowControl w:val="0"/>
        <w:jc w:val="both"/>
        <w:rPr>
          <w:rFonts w:ascii="Times New Roman" w:hAnsi="Times New Roman"/>
          <w:b/>
          <w:sz w:val="22"/>
          <w:szCs w:val="22"/>
        </w:rPr>
      </w:pPr>
      <w:r w:rsidRPr="004E6A94">
        <w:rPr>
          <w:rFonts w:ascii="Times New Roman" w:hAnsi="Times New Roman"/>
          <w:sz w:val="22"/>
          <w:szCs w:val="22"/>
        </w:rPr>
        <w:t>P</w:t>
      </w:r>
      <w:r w:rsidR="00FA2BE0" w:rsidRPr="004E6A94">
        <w:rPr>
          <w:rFonts w:ascii="Times New Roman" w:hAnsi="Times New Roman"/>
          <w:sz w:val="22"/>
          <w:szCs w:val="22"/>
        </w:rPr>
        <w:t>ublic office</w:t>
      </w:r>
      <w:r w:rsidRPr="004E6A94">
        <w:rPr>
          <w:rFonts w:ascii="Times New Roman" w:hAnsi="Times New Roman"/>
          <w:sz w:val="22"/>
          <w:szCs w:val="22"/>
        </w:rPr>
        <w:t>s</w:t>
      </w:r>
      <w:r w:rsidR="00FA2BE0" w:rsidRPr="00AA3AAE">
        <w:rPr>
          <w:rFonts w:ascii="Times New Roman" w:hAnsi="Times New Roman"/>
          <w:sz w:val="22"/>
          <w:szCs w:val="22"/>
        </w:rPr>
        <w:t xml:space="preserve"> must publish notice</w:t>
      </w:r>
      <w:r w:rsidR="00FA2BE0" w:rsidRPr="00E24CA9">
        <w:rPr>
          <w:rFonts w:ascii="Times New Roman" w:hAnsi="Times New Roman"/>
          <w:sz w:val="22"/>
          <w:szCs w:val="22"/>
        </w:rPr>
        <w:t xml:space="preserve"> in a local newspaper stating the financial report is available for public inspection at the office of the chief fiscal officer.</w:t>
      </w:r>
      <w:r w:rsidR="00FA2BE0">
        <w:rPr>
          <w:rStyle w:val="FootnoteReference"/>
          <w:rFonts w:ascii="Times New Roman" w:hAnsi="Times New Roman"/>
          <w:sz w:val="22"/>
          <w:szCs w:val="22"/>
        </w:rPr>
        <w:footnoteReference w:id="5"/>
      </w:r>
      <w:r w:rsidR="00FA2BE0" w:rsidRPr="00E24CA9">
        <w:rPr>
          <w:rFonts w:ascii="Times New Roman" w:hAnsi="Times New Roman"/>
          <w:sz w:val="22"/>
          <w:szCs w:val="22"/>
        </w:rPr>
        <w:t xml:space="preserve"> </w:t>
      </w:r>
    </w:p>
    <w:p w:rsidR="00FA2BE0" w:rsidRDefault="00FA2BE0" w:rsidP="00FA2BE0">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tblPr>
      <w:tblGrid>
        <w:gridCol w:w="8856"/>
      </w:tblGrid>
      <w:tr w:rsidR="00AD1F5F" w:rsidRPr="009F24E3" w:rsidTr="00AA3AAE">
        <w:tc>
          <w:tcPr>
            <w:tcW w:w="8856" w:type="dxa"/>
            <w:shd w:val="clear" w:color="auto" w:fill="D9D9D9"/>
          </w:tcPr>
          <w:p w:rsidR="00440F9F" w:rsidRPr="004E6A94" w:rsidRDefault="00AD1F5F" w:rsidP="009F24E3">
            <w:pPr>
              <w:widowControl w:val="0"/>
              <w:jc w:val="both"/>
              <w:rPr>
                <w:rFonts w:ascii="Times New Roman" w:hAnsi="Times New Roman"/>
                <w:sz w:val="22"/>
                <w:szCs w:val="22"/>
              </w:rPr>
            </w:pPr>
            <w:r w:rsidRPr="004E6A94">
              <w:rPr>
                <w:rFonts w:ascii="Times New Roman" w:hAnsi="Times New Roman"/>
                <w:b/>
                <w:i/>
                <w:color w:val="1F497D"/>
                <w:sz w:val="22"/>
                <w:szCs w:val="22"/>
              </w:rPr>
              <w:t>Note:</w:t>
            </w:r>
            <w:r w:rsidRPr="004E6A94">
              <w:rPr>
                <w:rFonts w:ascii="Times New Roman" w:hAnsi="Times New Roman"/>
                <w:sz w:val="22"/>
                <w:szCs w:val="22"/>
              </w:rPr>
              <w:t xml:space="preserve">  We normally would not deem a </w:t>
            </w:r>
            <w:r w:rsidR="00440F9F" w:rsidRPr="004E6A94">
              <w:rPr>
                <w:rFonts w:ascii="Times New Roman" w:hAnsi="Times New Roman"/>
                <w:sz w:val="22"/>
                <w:szCs w:val="22"/>
              </w:rPr>
              <w:t xml:space="preserve">“somewhat” </w:t>
            </w:r>
            <w:r w:rsidRPr="004E6A94">
              <w:rPr>
                <w:rFonts w:ascii="Times New Roman" w:hAnsi="Times New Roman"/>
                <w:sz w:val="22"/>
                <w:szCs w:val="22"/>
              </w:rPr>
              <w:t xml:space="preserve">late filing to constitute </w:t>
            </w:r>
            <w:r w:rsidR="003B5331" w:rsidRPr="004E6A94">
              <w:rPr>
                <w:rFonts w:ascii="Times New Roman" w:hAnsi="Times New Roman"/>
                <w:sz w:val="22"/>
                <w:szCs w:val="22"/>
              </w:rPr>
              <w:t xml:space="preserve">“direct and material” noncompliance on the </w:t>
            </w:r>
            <w:r w:rsidRPr="004E6A94">
              <w:rPr>
                <w:rFonts w:ascii="Times New Roman" w:hAnsi="Times New Roman"/>
                <w:sz w:val="22"/>
                <w:szCs w:val="22"/>
              </w:rPr>
              <w:t xml:space="preserve">determination of financial statement amounts (i.e. the auditor would normally not report a late filing </w:t>
            </w:r>
            <w:r w:rsidR="003B5331" w:rsidRPr="004E6A94">
              <w:rPr>
                <w:rFonts w:ascii="Times New Roman" w:hAnsi="Times New Roman"/>
                <w:sz w:val="22"/>
                <w:szCs w:val="22"/>
              </w:rPr>
              <w:t xml:space="preserve">citation </w:t>
            </w:r>
            <w:r w:rsidRPr="004E6A94">
              <w:rPr>
                <w:rFonts w:ascii="Times New Roman" w:hAnsi="Times New Roman"/>
                <w:sz w:val="22"/>
                <w:szCs w:val="22"/>
              </w:rPr>
              <w:t xml:space="preserve">in the </w:t>
            </w:r>
            <w:proofErr w:type="spellStart"/>
            <w:r w:rsidRPr="004E6A94">
              <w:rPr>
                <w:rFonts w:ascii="Times New Roman" w:hAnsi="Times New Roman"/>
                <w:sz w:val="22"/>
                <w:szCs w:val="22"/>
              </w:rPr>
              <w:t>GAGAS</w:t>
            </w:r>
            <w:proofErr w:type="spellEnd"/>
            <w:r w:rsidRPr="004E6A94">
              <w:rPr>
                <w:rFonts w:ascii="Times New Roman" w:hAnsi="Times New Roman"/>
                <w:sz w:val="22"/>
                <w:szCs w:val="22"/>
              </w:rPr>
              <w:t xml:space="preserve"> compliance report.)  </w:t>
            </w:r>
          </w:p>
          <w:p w:rsidR="00440F9F" w:rsidRPr="004E6A94" w:rsidRDefault="00440F9F" w:rsidP="009F24E3">
            <w:pPr>
              <w:widowControl w:val="0"/>
              <w:jc w:val="both"/>
              <w:rPr>
                <w:rFonts w:ascii="Times New Roman" w:hAnsi="Times New Roman"/>
                <w:sz w:val="22"/>
                <w:szCs w:val="22"/>
              </w:rPr>
            </w:pPr>
          </w:p>
          <w:p w:rsidR="00440F9F" w:rsidRPr="004E6A94" w:rsidRDefault="00440F9F" w:rsidP="009F24E3">
            <w:pPr>
              <w:widowControl w:val="0"/>
              <w:jc w:val="both"/>
              <w:rPr>
                <w:rFonts w:ascii="Times New Roman" w:hAnsi="Times New Roman"/>
                <w:sz w:val="22"/>
                <w:szCs w:val="22"/>
              </w:rPr>
            </w:pPr>
            <w:r w:rsidRPr="004E6A94">
              <w:rPr>
                <w:rFonts w:ascii="Times New Roman" w:hAnsi="Times New Roman"/>
                <w:sz w:val="22"/>
                <w:szCs w:val="22"/>
              </w:rPr>
              <w:t xml:space="preserve">Conversely, a significantly late filing may be material </w:t>
            </w:r>
            <w:r w:rsidR="007359DB" w:rsidRPr="004E6A94">
              <w:rPr>
                <w:rFonts w:ascii="Times New Roman" w:hAnsi="Times New Roman"/>
                <w:sz w:val="22"/>
                <w:szCs w:val="22"/>
              </w:rPr>
              <w:t xml:space="preserve">(i.e. reportable) </w:t>
            </w:r>
            <w:proofErr w:type="spellStart"/>
            <w:r w:rsidR="007359DB" w:rsidRPr="004E6A94">
              <w:rPr>
                <w:rFonts w:ascii="Times New Roman" w:hAnsi="Times New Roman"/>
                <w:sz w:val="22"/>
                <w:szCs w:val="22"/>
              </w:rPr>
              <w:t>GAGAS</w:t>
            </w:r>
            <w:proofErr w:type="spellEnd"/>
            <w:r w:rsidR="007359DB" w:rsidRPr="004E6A94">
              <w:rPr>
                <w:rFonts w:ascii="Times New Roman" w:hAnsi="Times New Roman"/>
                <w:sz w:val="22"/>
                <w:szCs w:val="22"/>
              </w:rPr>
              <w:t xml:space="preserve"> </w:t>
            </w:r>
            <w:r w:rsidRPr="004E6A94">
              <w:rPr>
                <w:rFonts w:ascii="Times New Roman" w:hAnsi="Times New Roman"/>
                <w:sz w:val="22"/>
                <w:szCs w:val="22"/>
              </w:rPr>
              <w:t xml:space="preserve">noncompliance, especially if related to an inability to prepare a complete filing. </w:t>
            </w:r>
          </w:p>
          <w:p w:rsidR="00440F9F" w:rsidRPr="004E6A94" w:rsidRDefault="00440F9F" w:rsidP="009F24E3">
            <w:pPr>
              <w:widowControl w:val="0"/>
              <w:jc w:val="both"/>
              <w:rPr>
                <w:rFonts w:ascii="Times New Roman" w:hAnsi="Times New Roman"/>
                <w:sz w:val="22"/>
                <w:szCs w:val="22"/>
              </w:rPr>
            </w:pPr>
          </w:p>
          <w:p w:rsidR="00440F9F" w:rsidRPr="004E6A94" w:rsidRDefault="00440F9F" w:rsidP="009F24E3">
            <w:pPr>
              <w:widowControl w:val="0"/>
              <w:jc w:val="both"/>
              <w:rPr>
                <w:rFonts w:ascii="Times New Roman" w:hAnsi="Times New Roman"/>
                <w:sz w:val="22"/>
                <w:szCs w:val="22"/>
              </w:rPr>
            </w:pPr>
            <w:r w:rsidRPr="004E6A94">
              <w:rPr>
                <w:rFonts w:ascii="Times New Roman" w:hAnsi="Times New Roman"/>
                <w:sz w:val="22"/>
                <w:szCs w:val="22"/>
              </w:rPr>
              <w:t xml:space="preserve">Material noncompliance would </w:t>
            </w:r>
            <w:r w:rsidR="007359DB" w:rsidRPr="004E6A94">
              <w:rPr>
                <w:rFonts w:ascii="Times New Roman" w:hAnsi="Times New Roman"/>
                <w:sz w:val="22"/>
                <w:szCs w:val="22"/>
              </w:rPr>
              <w:t xml:space="preserve">also </w:t>
            </w:r>
            <w:r w:rsidRPr="004E6A94">
              <w:rPr>
                <w:rFonts w:ascii="Times New Roman" w:hAnsi="Times New Roman"/>
                <w:sz w:val="22"/>
                <w:szCs w:val="22"/>
              </w:rPr>
              <w:t>normally exist if:</w:t>
            </w:r>
          </w:p>
          <w:p w:rsidR="00AD1F5F" w:rsidRPr="004E6A94" w:rsidRDefault="00440F9F" w:rsidP="009F24E3">
            <w:pPr>
              <w:widowControl w:val="0"/>
              <w:numPr>
                <w:ilvl w:val="0"/>
                <w:numId w:val="16"/>
              </w:numPr>
              <w:jc w:val="both"/>
              <w:rPr>
                <w:rFonts w:ascii="Times New Roman" w:hAnsi="Times New Roman"/>
                <w:sz w:val="22"/>
                <w:szCs w:val="22"/>
              </w:rPr>
            </w:pPr>
            <w:r w:rsidRPr="004E6A94">
              <w:rPr>
                <w:rFonts w:ascii="Times New Roman" w:hAnsi="Times New Roman"/>
                <w:sz w:val="22"/>
                <w:szCs w:val="22"/>
              </w:rPr>
              <w:t>An entity subject to GAAP did not follow GAAP in its annual report.</w:t>
            </w:r>
          </w:p>
          <w:p w:rsidR="00004383" w:rsidRDefault="00004383" w:rsidP="009F24E3">
            <w:pPr>
              <w:widowControl w:val="0"/>
              <w:numPr>
                <w:ilvl w:val="0"/>
                <w:numId w:val="16"/>
              </w:numPr>
              <w:jc w:val="both"/>
              <w:rPr>
                <w:rFonts w:ascii="Times New Roman" w:hAnsi="Times New Roman"/>
                <w:sz w:val="22"/>
                <w:szCs w:val="22"/>
              </w:rPr>
            </w:pPr>
            <w:r>
              <w:rPr>
                <w:rFonts w:ascii="Times New Roman" w:hAnsi="Times New Roman"/>
                <w:sz w:val="22"/>
                <w:szCs w:val="22"/>
              </w:rPr>
              <w:t xml:space="preserve">A GAAP </w:t>
            </w:r>
            <w:r w:rsidRPr="004E6A94">
              <w:rPr>
                <w:rFonts w:ascii="Times New Roman" w:hAnsi="Times New Roman"/>
                <w:sz w:val="22"/>
                <w:szCs w:val="22"/>
              </w:rPr>
              <w:t xml:space="preserve">filing was significantly incomplete (see discussion of complete </w:t>
            </w:r>
            <w:r>
              <w:rPr>
                <w:rFonts w:ascii="Times New Roman" w:hAnsi="Times New Roman"/>
                <w:sz w:val="22"/>
                <w:szCs w:val="22"/>
              </w:rPr>
              <w:t xml:space="preserve">in the </w:t>
            </w:r>
            <w:r w:rsidRPr="000E20EC">
              <w:rPr>
                <w:rFonts w:ascii="Times New Roman" w:hAnsi="Times New Roman"/>
                <w:i/>
                <w:sz w:val="22"/>
                <w:szCs w:val="22"/>
              </w:rPr>
              <w:t>GAAP Basis Entities</w:t>
            </w:r>
            <w:r>
              <w:rPr>
                <w:rFonts w:ascii="Times New Roman" w:hAnsi="Times New Roman"/>
                <w:sz w:val="22"/>
                <w:szCs w:val="22"/>
              </w:rPr>
              <w:t xml:space="preserve"> section </w:t>
            </w:r>
            <w:r w:rsidRPr="004E6A94">
              <w:rPr>
                <w:rFonts w:ascii="Times New Roman" w:hAnsi="Times New Roman"/>
                <w:sz w:val="22"/>
                <w:szCs w:val="22"/>
              </w:rPr>
              <w:t>above).</w:t>
            </w:r>
          </w:p>
          <w:p w:rsidR="00440F9F" w:rsidRPr="00AA3AAE" w:rsidRDefault="00440F9F" w:rsidP="009F24E3">
            <w:pPr>
              <w:widowControl w:val="0"/>
              <w:numPr>
                <w:ilvl w:val="0"/>
                <w:numId w:val="16"/>
              </w:numPr>
              <w:jc w:val="both"/>
              <w:rPr>
                <w:rFonts w:ascii="Times New Roman" w:hAnsi="Times New Roman"/>
                <w:sz w:val="22"/>
                <w:szCs w:val="22"/>
              </w:rPr>
            </w:pPr>
            <w:r w:rsidRPr="004E6A94">
              <w:rPr>
                <w:rFonts w:ascii="Times New Roman" w:hAnsi="Times New Roman"/>
                <w:sz w:val="22"/>
                <w:szCs w:val="22"/>
              </w:rPr>
              <w:t>The filing was significantly misstated.</w:t>
            </w:r>
          </w:p>
        </w:tc>
      </w:tr>
    </w:tbl>
    <w:p w:rsidR="00474FD0" w:rsidRPr="001E5B56" w:rsidRDefault="00474FD0" w:rsidP="00474FD0">
      <w:pPr>
        <w:autoSpaceDE w:val="0"/>
        <w:autoSpaceDN w:val="0"/>
        <w:adjustRightInd w:val="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1E5B56" w:rsidRPr="00444C7D" w:rsidTr="00444C7D">
        <w:tc>
          <w:tcPr>
            <w:tcW w:w="4428" w:type="dxa"/>
          </w:tcPr>
          <w:p w:rsidR="001E5B56" w:rsidRPr="00444C7D" w:rsidRDefault="001E5B56" w:rsidP="00D97C4D">
            <w:pPr>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1E5B56" w:rsidRPr="00444C7D" w:rsidRDefault="001E5B56" w:rsidP="00D97C4D">
            <w:pPr>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1E5B56" w:rsidRPr="00444C7D" w:rsidRDefault="001E5B56" w:rsidP="00D97C4D">
            <w:pPr>
              <w:rPr>
                <w:rFonts w:ascii="Times New Roman" w:hAnsi="Times New Roman"/>
                <w:b/>
                <w:sz w:val="22"/>
                <w:szCs w:val="22"/>
              </w:rPr>
            </w:pPr>
            <w:r w:rsidRPr="00444C7D">
              <w:rPr>
                <w:rFonts w:ascii="Times New Roman" w:hAnsi="Times New Roman"/>
                <w:b/>
                <w:sz w:val="22"/>
                <w:szCs w:val="22"/>
              </w:rPr>
              <w:t>W/P</w:t>
            </w:r>
          </w:p>
          <w:p w:rsidR="001E5B56" w:rsidRPr="00444C7D" w:rsidRDefault="001E5B56" w:rsidP="00D97C4D">
            <w:pPr>
              <w:rPr>
                <w:rFonts w:ascii="Times New Roman" w:hAnsi="Times New Roman"/>
                <w:b/>
                <w:sz w:val="22"/>
                <w:szCs w:val="22"/>
              </w:rPr>
            </w:pPr>
            <w:r w:rsidRPr="00444C7D">
              <w:rPr>
                <w:rFonts w:ascii="Times New Roman" w:hAnsi="Times New Roman"/>
                <w:b/>
                <w:sz w:val="22"/>
                <w:szCs w:val="22"/>
              </w:rPr>
              <w:t>Ref.</w:t>
            </w:r>
          </w:p>
        </w:tc>
      </w:tr>
      <w:tr w:rsidR="001E5B56" w:rsidRPr="00444C7D" w:rsidTr="00444C7D">
        <w:tc>
          <w:tcPr>
            <w:tcW w:w="4428" w:type="dxa"/>
          </w:tcPr>
          <w:p w:rsidR="001E5B56" w:rsidRPr="00444C7D" w:rsidRDefault="001E5B56" w:rsidP="00D97C4D">
            <w:pPr>
              <w:rPr>
                <w:rFonts w:ascii="Times New Roman" w:hAnsi="Times New Roman"/>
                <w:sz w:val="22"/>
                <w:szCs w:val="22"/>
              </w:rPr>
            </w:pP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Policies and Procedures Manuals</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Knowledge and Training of personnel</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Presence of an Effective Accounting System</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lastRenderedPageBreak/>
              <w:t>Legislative and Management Monitoring</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Management’s identification of changes in laws and regulations</w:t>
            </w:r>
          </w:p>
          <w:p w:rsidR="001E5B56" w:rsidRPr="00444C7D" w:rsidRDefault="001E5B56" w:rsidP="00444C7D">
            <w:pPr>
              <w:widowControl w:val="0"/>
              <w:numPr>
                <w:ilvl w:val="0"/>
                <w:numId w:val="1"/>
              </w:numPr>
              <w:shd w:val="clear" w:color="auto" w:fill="FFFFFF"/>
              <w:autoSpaceDE w:val="0"/>
              <w:autoSpaceDN w:val="0"/>
              <w:adjustRightInd w:val="0"/>
              <w:spacing w:after="120"/>
              <w:rPr>
                <w:rFonts w:ascii="Times New Roman" w:hAnsi="Times New Roman"/>
                <w:sz w:val="22"/>
                <w:szCs w:val="22"/>
              </w:rPr>
            </w:pPr>
            <w:r w:rsidRPr="00444C7D">
              <w:rPr>
                <w:rFonts w:ascii="Times New Roman" w:hAnsi="Times New Roman"/>
                <w:sz w:val="22"/>
                <w:szCs w:val="22"/>
              </w:rPr>
              <w:t>Management’s communication of changes in laws and regulations to employees</w:t>
            </w:r>
          </w:p>
        </w:tc>
        <w:tc>
          <w:tcPr>
            <w:tcW w:w="3780" w:type="dxa"/>
          </w:tcPr>
          <w:p w:rsidR="001E5B56" w:rsidRPr="00444C7D" w:rsidRDefault="001E5B56" w:rsidP="00D97C4D">
            <w:pPr>
              <w:rPr>
                <w:rFonts w:ascii="Times New Roman" w:hAnsi="Times New Roman"/>
                <w:sz w:val="22"/>
                <w:szCs w:val="22"/>
              </w:rPr>
            </w:pPr>
          </w:p>
        </w:tc>
        <w:tc>
          <w:tcPr>
            <w:tcW w:w="648" w:type="dxa"/>
          </w:tcPr>
          <w:p w:rsidR="001E5B56" w:rsidRPr="00444C7D" w:rsidRDefault="001E5B56" w:rsidP="00D97C4D">
            <w:pPr>
              <w:rPr>
                <w:rFonts w:ascii="Times New Roman" w:hAnsi="Times New Roman"/>
                <w:sz w:val="22"/>
                <w:szCs w:val="22"/>
              </w:rPr>
            </w:pPr>
          </w:p>
        </w:tc>
      </w:tr>
    </w:tbl>
    <w:p w:rsidR="001E5B56" w:rsidRPr="001E5B56" w:rsidRDefault="001E5B56" w:rsidP="001E5B56">
      <w:pPr>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1E5B56">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004383" w:rsidRPr="009C1D1B" w:rsidRDefault="00004383" w:rsidP="00004383">
      <w:pPr>
        <w:tabs>
          <w:tab w:val="left" w:pos="720"/>
          <w:tab w:val="right" w:leader="dot" w:pos="8640"/>
        </w:tabs>
        <w:jc w:val="both"/>
        <w:rPr>
          <w:rFonts w:ascii="Times New Roman" w:hAnsi="Times New Roman"/>
          <w:sz w:val="22"/>
          <w:szCs w:val="22"/>
          <w:u w:val="wave"/>
        </w:rPr>
      </w:pPr>
      <w:r w:rsidRPr="00AA3AAE">
        <w:rPr>
          <w:rFonts w:ascii="Times New Roman" w:hAnsi="Times New Roman"/>
          <w:sz w:val="22"/>
          <w:szCs w:val="22"/>
        </w:rPr>
        <w:t xml:space="preserve">Inquire if the government files its financial reports with the Auditor of State on a GAAP basis. </w:t>
      </w:r>
      <w:r>
        <w:rPr>
          <w:rFonts w:ascii="Times New Roman" w:hAnsi="Times New Roman"/>
          <w:sz w:val="22"/>
          <w:szCs w:val="22"/>
        </w:rPr>
        <w:t xml:space="preserve">Confirm whether the report was filed timely.  </w:t>
      </w:r>
      <w:r w:rsidRPr="009C1D1B">
        <w:rPr>
          <w:rFonts w:ascii="Times New Roman" w:hAnsi="Times New Roman"/>
          <w:strike/>
          <w:sz w:val="22"/>
          <w:szCs w:val="22"/>
        </w:rPr>
        <w:t xml:space="preserve">Inspect a copy of the filed report. </w:t>
      </w:r>
      <w:r w:rsidRPr="009C1D1B">
        <w:rPr>
          <w:rFonts w:ascii="Times New Roman" w:hAnsi="Times New Roman"/>
          <w:sz w:val="22"/>
          <w:szCs w:val="22"/>
          <w:u w:val="wave"/>
        </w:rPr>
        <w:t xml:space="preserve"> </w:t>
      </w:r>
    </w:p>
    <w:p w:rsidR="00004383" w:rsidRPr="009C1D1B" w:rsidRDefault="00004383" w:rsidP="00004383">
      <w:pPr>
        <w:tabs>
          <w:tab w:val="left" w:pos="720"/>
          <w:tab w:val="right" w:leader="dot" w:pos="8640"/>
        </w:tabs>
        <w:jc w:val="both"/>
        <w:rPr>
          <w:rFonts w:ascii="Times New Roman" w:hAnsi="Times New Roman"/>
          <w:sz w:val="22"/>
          <w:szCs w:val="22"/>
          <w:u w:val="wave"/>
        </w:rPr>
      </w:pPr>
    </w:p>
    <w:p w:rsidR="00004383" w:rsidRPr="009C1D1B" w:rsidRDefault="00004383" w:rsidP="00004383">
      <w:pPr>
        <w:tabs>
          <w:tab w:val="left" w:pos="720"/>
          <w:tab w:val="right" w:leader="dot" w:pos="8640"/>
        </w:tabs>
        <w:jc w:val="both"/>
        <w:rPr>
          <w:rFonts w:ascii="Times New Roman" w:hAnsi="Times New Roman"/>
          <w:sz w:val="22"/>
          <w:szCs w:val="22"/>
          <w:u w:val="wave"/>
        </w:rPr>
      </w:pPr>
      <w:r w:rsidRPr="009C1D1B">
        <w:rPr>
          <w:rFonts w:ascii="Times New Roman" w:hAnsi="Times New Roman"/>
          <w:sz w:val="22"/>
          <w:szCs w:val="22"/>
          <w:u w:val="wave"/>
        </w:rPr>
        <w:t xml:space="preserve">Auditors should inspect a copy of the report retained and available in the fiscal office to determine whether a GAAP filing was substantially complete.  </w:t>
      </w:r>
    </w:p>
    <w:p w:rsidR="00004383" w:rsidRPr="009C1D1B" w:rsidRDefault="00004383" w:rsidP="00004383">
      <w:pPr>
        <w:pStyle w:val="ListParagraph"/>
        <w:numPr>
          <w:ilvl w:val="0"/>
          <w:numId w:val="18"/>
        </w:numPr>
        <w:tabs>
          <w:tab w:val="left" w:pos="720"/>
          <w:tab w:val="right" w:leader="dot" w:pos="8640"/>
        </w:tabs>
        <w:jc w:val="both"/>
        <w:rPr>
          <w:rFonts w:ascii="Times New Roman" w:hAnsi="Times New Roman"/>
          <w:sz w:val="22"/>
          <w:szCs w:val="22"/>
          <w:u w:val="wave"/>
        </w:rPr>
      </w:pPr>
      <w:r w:rsidRPr="009C1D1B">
        <w:rPr>
          <w:rFonts w:ascii="Times New Roman" w:hAnsi="Times New Roman"/>
          <w:sz w:val="22"/>
          <w:szCs w:val="22"/>
          <w:u w:val="wave"/>
        </w:rPr>
        <w:t>There is no need to request the actual report filed from LGS.</w:t>
      </w:r>
    </w:p>
    <w:p w:rsidR="00004383" w:rsidRPr="009C1D1B" w:rsidRDefault="00004383" w:rsidP="00004383">
      <w:pPr>
        <w:tabs>
          <w:tab w:val="left" w:pos="720"/>
          <w:tab w:val="right" w:leader="dot" w:pos="8640"/>
        </w:tabs>
        <w:jc w:val="both"/>
        <w:rPr>
          <w:rFonts w:ascii="Times New Roman" w:hAnsi="Times New Roman"/>
          <w:sz w:val="22"/>
          <w:szCs w:val="22"/>
        </w:rPr>
      </w:pPr>
    </w:p>
    <w:p w:rsidR="00004383" w:rsidRDefault="00004383" w:rsidP="00004383">
      <w:pPr>
        <w:widowControl w:val="0"/>
        <w:jc w:val="both"/>
        <w:rPr>
          <w:rFonts w:ascii="Times New Roman" w:hAnsi="Times New Roman"/>
          <w:sz w:val="22"/>
          <w:szCs w:val="22"/>
        </w:rPr>
      </w:pPr>
      <w:r w:rsidRPr="009C1D1B">
        <w:rPr>
          <w:rFonts w:ascii="Times New Roman" w:hAnsi="Times New Roman"/>
          <w:sz w:val="22"/>
          <w:szCs w:val="22"/>
        </w:rPr>
        <w:t xml:space="preserve">Trace selected totals from the annual report to the underlying accounting system.  </w:t>
      </w:r>
      <w:r w:rsidRPr="009C1D1B">
        <w:rPr>
          <w:rFonts w:ascii="Times New Roman" w:hAnsi="Times New Roman"/>
          <w:i/>
          <w:sz w:val="22"/>
          <w:szCs w:val="22"/>
        </w:rPr>
        <w:t>(If we use the annual report as a trial balance, AOS auditors will satisfy this requirement by completing the mandatory Trial Balance steps from the financial audit program.)</w:t>
      </w:r>
      <w:r w:rsidRPr="009C1D1B">
        <w:rPr>
          <w:rFonts w:ascii="Times New Roman" w:hAnsi="Times New Roman"/>
          <w:sz w:val="22"/>
          <w:szCs w:val="22"/>
        </w:rPr>
        <w:t xml:space="preserve">  If the report is significantly deficient, we should cite Ohio Rev. Code §117.38 or §1724.05 for filing an incomplete or misleading report, as described in the box above.</w:t>
      </w:r>
    </w:p>
    <w:p w:rsidR="00004383" w:rsidRDefault="00004383" w:rsidP="00004383">
      <w:pPr>
        <w:tabs>
          <w:tab w:val="left" w:pos="720"/>
          <w:tab w:val="right" w:leader="dot" w:pos="8640"/>
        </w:tabs>
        <w:ind w:left="720"/>
        <w:jc w:val="both"/>
        <w:rPr>
          <w:rFonts w:ascii="Times New Roman" w:hAnsi="Times New Roman"/>
          <w:sz w:val="22"/>
          <w:szCs w:val="22"/>
        </w:rPr>
      </w:pPr>
    </w:p>
    <w:p w:rsidR="00004383" w:rsidRDefault="00004383" w:rsidP="00004383">
      <w:pPr>
        <w:tabs>
          <w:tab w:val="left" w:pos="720"/>
          <w:tab w:val="right" w:leader="dot" w:pos="8640"/>
        </w:tabs>
        <w:jc w:val="both"/>
        <w:rPr>
          <w:rFonts w:ascii="Times New Roman" w:hAnsi="Times New Roman"/>
          <w:sz w:val="22"/>
          <w:szCs w:val="22"/>
        </w:rPr>
      </w:pPr>
      <w:r w:rsidRPr="004E6A94">
        <w:rPr>
          <w:rFonts w:ascii="Times New Roman" w:hAnsi="Times New Roman"/>
          <w:sz w:val="22"/>
          <w:szCs w:val="22"/>
        </w:rPr>
        <w:t xml:space="preserve">Determine whether the </w:t>
      </w:r>
      <w:proofErr w:type="spellStart"/>
      <w:r w:rsidRPr="004E6A94">
        <w:rPr>
          <w:rFonts w:ascii="Times New Roman" w:hAnsi="Times New Roman"/>
          <w:sz w:val="22"/>
          <w:szCs w:val="22"/>
        </w:rPr>
        <w:t>filed</w:t>
      </w:r>
      <w:proofErr w:type="spellEnd"/>
      <w:r w:rsidRPr="004E6A94">
        <w:rPr>
          <w:rFonts w:ascii="Times New Roman" w:hAnsi="Times New Roman"/>
          <w:sz w:val="22"/>
          <w:szCs w:val="22"/>
        </w:rPr>
        <w:t xml:space="preserve"> report includes the statements, disclosures and required supplementary information (if applicable) required by GAAP (i.e. determine if the filing was substantially </w:t>
      </w:r>
      <w:r w:rsidRPr="004E6A94">
        <w:rPr>
          <w:rFonts w:ascii="Times New Roman" w:hAnsi="Times New Roman"/>
          <w:b/>
          <w:i/>
          <w:sz w:val="22"/>
          <w:szCs w:val="22"/>
        </w:rPr>
        <w:t xml:space="preserve">complete </w:t>
      </w:r>
      <w:r w:rsidRPr="004E6A94">
        <w:rPr>
          <w:rFonts w:ascii="Times New Roman" w:hAnsi="Times New Roman"/>
          <w:sz w:val="22"/>
          <w:szCs w:val="22"/>
        </w:rPr>
        <w:t>as described above.</w:t>
      </w:r>
    </w:p>
    <w:p w:rsidR="00004383" w:rsidRDefault="00004383" w:rsidP="00004383">
      <w:pPr>
        <w:tabs>
          <w:tab w:val="left" w:pos="720"/>
          <w:tab w:val="right" w:leader="dot" w:pos="8640"/>
        </w:tabs>
        <w:ind w:left="720"/>
        <w:jc w:val="both"/>
        <w:rPr>
          <w:rFonts w:ascii="Times New Roman" w:hAnsi="Times New Roman"/>
          <w:sz w:val="22"/>
          <w:szCs w:val="22"/>
        </w:rPr>
      </w:pPr>
    </w:p>
    <w:p w:rsidR="00004383" w:rsidRDefault="00004383" w:rsidP="00004383">
      <w:pPr>
        <w:shd w:val="clear" w:color="auto" w:fill="C0C0C0"/>
        <w:tabs>
          <w:tab w:val="left" w:pos="540"/>
          <w:tab w:val="right" w:leader="dot" w:pos="8640"/>
        </w:tabs>
        <w:jc w:val="both"/>
        <w:rPr>
          <w:rFonts w:ascii="Times New Roman" w:hAnsi="Times New Roman"/>
          <w:sz w:val="22"/>
          <w:szCs w:val="22"/>
        </w:rPr>
      </w:pPr>
      <w:r w:rsidRPr="004E6A94">
        <w:rPr>
          <w:rFonts w:ascii="Times New Roman" w:hAnsi="Times New Roman"/>
          <w:sz w:val="22"/>
          <w:szCs w:val="22"/>
        </w:rPr>
        <w:t>When opining on non-GAAP presentati</w:t>
      </w:r>
      <w:r>
        <w:rPr>
          <w:rFonts w:ascii="Times New Roman" w:hAnsi="Times New Roman"/>
          <w:sz w:val="22"/>
          <w:szCs w:val="22"/>
        </w:rPr>
        <w:t xml:space="preserve">ons for governments required </w:t>
      </w:r>
      <w:proofErr w:type="gramStart"/>
      <w:r>
        <w:rPr>
          <w:rFonts w:ascii="Times New Roman" w:hAnsi="Times New Roman"/>
          <w:sz w:val="22"/>
          <w:szCs w:val="22"/>
        </w:rPr>
        <w:t xml:space="preserve">to </w:t>
      </w:r>
      <w:r w:rsidRPr="004E6A94">
        <w:rPr>
          <w:rFonts w:ascii="Times New Roman" w:hAnsi="Times New Roman"/>
          <w:sz w:val="22"/>
          <w:szCs w:val="22"/>
        </w:rPr>
        <w:t>follow</w:t>
      </w:r>
      <w:proofErr w:type="gramEnd"/>
      <w:r w:rsidRPr="004E6A94">
        <w:rPr>
          <w:rFonts w:ascii="Times New Roman" w:hAnsi="Times New Roman"/>
          <w:sz w:val="22"/>
          <w:szCs w:val="22"/>
        </w:rPr>
        <w:t xml:space="preserve"> GAAP, auditors should follow this guidance from AOS Bulletin 2005-002:</w:t>
      </w:r>
    </w:p>
    <w:p w:rsidR="00004383" w:rsidRDefault="00004383" w:rsidP="00004383">
      <w:pPr>
        <w:shd w:val="clear" w:color="auto" w:fill="C0C0C0"/>
        <w:tabs>
          <w:tab w:val="left" w:pos="720"/>
          <w:tab w:val="right" w:leader="dot" w:pos="8640"/>
        </w:tabs>
        <w:ind w:left="720"/>
        <w:jc w:val="both"/>
        <w:rPr>
          <w:rFonts w:ascii="Times New Roman" w:hAnsi="Times New Roman"/>
          <w:sz w:val="22"/>
          <w:szCs w:val="22"/>
        </w:rPr>
      </w:pPr>
    </w:p>
    <w:p w:rsidR="00004383" w:rsidRDefault="00004383" w:rsidP="00004383">
      <w:pPr>
        <w:numPr>
          <w:ilvl w:val="0"/>
          <w:numId w:val="10"/>
        </w:numPr>
        <w:shd w:val="clear" w:color="auto" w:fill="C0C0C0"/>
        <w:tabs>
          <w:tab w:val="clear" w:pos="720"/>
          <w:tab w:val="num" w:pos="360"/>
          <w:tab w:val="num" w:pos="1440"/>
          <w:tab w:val="right" w:leader="dot" w:pos="8640"/>
        </w:tabs>
        <w:ind w:left="1440"/>
        <w:jc w:val="both"/>
        <w:rPr>
          <w:rFonts w:ascii="Times New Roman" w:hAnsi="Times New Roman"/>
          <w:sz w:val="22"/>
          <w:szCs w:val="22"/>
        </w:rPr>
      </w:pPr>
      <w:r w:rsidRPr="004E6A94">
        <w:rPr>
          <w:rFonts w:ascii="Times New Roman" w:hAnsi="Times New Roman"/>
          <w:sz w:val="22"/>
          <w:szCs w:val="22"/>
        </w:rPr>
        <w:t xml:space="preserve">If a GAAP-mandated government presents “34 look-alike statements,” include an emphasis of matter paragraph in the financial statement opinion, and report the noncompliance in the </w:t>
      </w:r>
      <w:proofErr w:type="spellStart"/>
      <w:r w:rsidRPr="004E6A94">
        <w:rPr>
          <w:rFonts w:ascii="Times New Roman" w:hAnsi="Times New Roman"/>
          <w:sz w:val="22"/>
          <w:szCs w:val="22"/>
        </w:rPr>
        <w:t>GAGAS</w:t>
      </w:r>
      <w:proofErr w:type="spellEnd"/>
      <w:r w:rsidRPr="004E6A94">
        <w:rPr>
          <w:rFonts w:ascii="Times New Roman" w:hAnsi="Times New Roman"/>
          <w:sz w:val="22"/>
          <w:szCs w:val="22"/>
        </w:rPr>
        <w:t xml:space="preserve"> report.  </w:t>
      </w:r>
    </w:p>
    <w:p w:rsidR="00004383" w:rsidRDefault="00004383" w:rsidP="00004383">
      <w:pPr>
        <w:numPr>
          <w:ilvl w:val="0"/>
          <w:numId w:val="10"/>
        </w:numPr>
        <w:shd w:val="clear" w:color="auto" w:fill="C0C0C0"/>
        <w:tabs>
          <w:tab w:val="clear" w:pos="720"/>
          <w:tab w:val="num" w:pos="360"/>
          <w:tab w:val="num" w:pos="1440"/>
          <w:tab w:val="right" w:leader="dot" w:pos="8640"/>
        </w:tabs>
        <w:ind w:left="1440"/>
        <w:jc w:val="both"/>
        <w:rPr>
          <w:rFonts w:ascii="Times New Roman" w:hAnsi="Times New Roman"/>
          <w:sz w:val="22"/>
          <w:szCs w:val="22"/>
        </w:rPr>
      </w:pPr>
      <w:r w:rsidRPr="004E6A94">
        <w:rPr>
          <w:rFonts w:ascii="Times New Roman" w:hAnsi="Times New Roman"/>
          <w:sz w:val="22"/>
          <w:szCs w:val="22"/>
        </w:rPr>
        <w:t xml:space="preserve">If a GAAP-mandated government does not follow GAAP </w:t>
      </w:r>
      <w:r w:rsidRPr="004E6A94">
        <w:rPr>
          <w:rFonts w:ascii="Times New Roman" w:hAnsi="Times New Roman"/>
          <w:b/>
          <w:i/>
          <w:sz w:val="22"/>
          <w:szCs w:val="22"/>
        </w:rPr>
        <w:t>or</w:t>
      </w:r>
      <w:r w:rsidRPr="004E6A94">
        <w:rPr>
          <w:rFonts w:ascii="Times New Roman" w:hAnsi="Times New Roman"/>
          <w:sz w:val="22"/>
          <w:szCs w:val="22"/>
        </w:rPr>
        <w:t xml:space="preserve"> present “34 look-alike statements,” issue an adverse opinion on the financial statements, as well as a </w:t>
      </w:r>
      <w:proofErr w:type="spellStart"/>
      <w:r w:rsidRPr="004E6A94">
        <w:rPr>
          <w:rFonts w:ascii="Times New Roman" w:hAnsi="Times New Roman"/>
          <w:sz w:val="22"/>
          <w:szCs w:val="22"/>
        </w:rPr>
        <w:t>GAGAS</w:t>
      </w:r>
      <w:proofErr w:type="spellEnd"/>
      <w:r w:rsidRPr="004E6A94">
        <w:rPr>
          <w:rFonts w:ascii="Times New Roman" w:hAnsi="Times New Roman"/>
          <w:sz w:val="22"/>
          <w:szCs w:val="22"/>
        </w:rPr>
        <w:t xml:space="preserve"> noncompliance finding.  (These governments do not qualify for the “dual opinion.”)</w:t>
      </w:r>
    </w:p>
    <w:p w:rsidR="001066F3" w:rsidRDefault="001066F3" w:rsidP="006C6CA7">
      <w:pPr>
        <w:tabs>
          <w:tab w:val="left" w:pos="720"/>
          <w:tab w:val="right" w:leader="dot" w:pos="8640"/>
        </w:tabs>
        <w:jc w:val="both"/>
        <w:rPr>
          <w:rFonts w:ascii="Times New Roman" w:hAnsi="Times New Roman"/>
          <w:sz w:val="22"/>
          <w:szCs w:val="22"/>
        </w:rPr>
      </w:pPr>
    </w:p>
    <w:p w:rsidR="00746D0D" w:rsidRPr="00AB082A" w:rsidRDefault="00746D0D" w:rsidP="00746D0D">
      <w:pPr>
        <w:widowControl w:val="0"/>
        <w:jc w:val="both"/>
        <w:rPr>
          <w:rFonts w:ascii="Times New Roman" w:hAnsi="Times New Roman"/>
          <w:b/>
          <w:color w:val="FF0000"/>
          <w:sz w:val="22"/>
          <w:szCs w:val="22"/>
        </w:rPr>
      </w:pPr>
      <w:r w:rsidRPr="00AB082A">
        <w:rPr>
          <w:rFonts w:ascii="Times New Roman" w:hAnsi="Times New Roman"/>
          <w:b/>
          <w:color w:val="FF0000"/>
          <w:sz w:val="22"/>
          <w:szCs w:val="22"/>
        </w:rPr>
        <w:t xml:space="preserve">You can limit the following step to every other audit, </w:t>
      </w:r>
      <w:r w:rsidRPr="00AB082A">
        <w:rPr>
          <w:rFonts w:ascii="Times New Roman" w:hAnsi="Times New Roman"/>
          <w:b/>
          <w:color w:val="FF0000"/>
          <w:sz w:val="22"/>
          <w:szCs w:val="22"/>
          <w:u w:val="single"/>
        </w:rPr>
        <w:t>unless</w:t>
      </w:r>
      <w:r w:rsidRPr="00AB082A">
        <w:rPr>
          <w:rFonts w:ascii="Times New Roman" w:hAnsi="Times New Roman"/>
          <w:b/>
          <w:color w:val="FF0000"/>
          <w:sz w:val="22"/>
          <w:szCs w:val="22"/>
        </w:rPr>
        <w:t xml:space="preserve"> the prior audit found noncompliance or unless you have other reasons to suspect this may be a compliance issue.  The working papers should document whether we tested this in the prior audit.</w:t>
      </w:r>
    </w:p>
    <w:p w:rsidR="00746D0D" w:rsidRPr="00AB082A" w:rsidRDefault="00746D0D" w:rsidP="00746D0D">
      <w:pPr>
        <w:widowControl w:val="0"/>
        <w:jc w:val="both"/>
        <w:rPr>
          <w:rFonts w:ascii="Times New Roman" w:hAnsi="Times New Roman"/>
          <w:sz w:val="22"/>
          <w:szCs w:val="22"/>
        </w:rPr>
      </w:pPr>
    </w:p>
    <w:p w:rsidR="00746D0D" w:rsidRPr="004E6A94" w:rsidRDefault="00746D0D" w:rsidP="00746D0D">
      <w:pPr>
        <w:widowControl w:val="0"/>
        <w:jc w:val="both"/>
        <w:rPr>
          <w:rFonts w:ascii="Times New Roman" w:hAnsi="Times New Roman"/>
          <w:sz w:val="22"/>
          <w:szCs w:val="22"/>
        </w:rPr>
      </w:pPr>
      <w:r w:rsidRPr="004E6A94">
        <w:rPr>
          <w:rFonts w:ascii="Times New Roman" w:hAnsi="Times New Roman"/>
          <w:sz w:val="22"/>
          <w:szCs w:val="22"/>
        </w:rPr>
        <w:t xml:space="preserve">Examine the proof of publication for the annual notice.  </w:t>
      </w:r>
    </w:p>
    <w:p w:rsidR="00746D0D" w:rsidRDefault="00746D0D" w:rsidP="006C6CA7">
      <w:pPr>
        <w:tabs>
          <w:tab w:val="left" w:pos="720"/>
          <w:tab w:val="right" w:leader="dot" w:pos="8640"/>
        </w:tabs>
        <w:jc w:val="both"/>
        <w:rPr>
          <w:rFonts w:ascii="Times New Roman" w:hAnsi="Times New Roman"/>
          <w:sz w:val="22"/>
          <w:szCs w:val="22"/>
        </w:rPr>
      </w:pPr>
    </w:p>
    <w:p w:rsidR="00C60FA6" w:rsidRPr="001E5B56" w:rsidRDefault="00C60FA6" w:rsidP="006C6CA7">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20"/>
      </w:tblGrid>
      <w:tr w:rsidR="00735D25" w:rsidRPr="001E5B56">
        <w:trPr>
          <w:trHeight w:val="540"/>
        </w:trPr>
        <w:tc>
          <w:tcPr>
            <w:tcW w:w="8820" w:type="dxa"/>
          </w:tcPr>
          <w:p w:rsidR="00735D25" w:rsidRPr="001E5B56" w:rsidRDefault="00735D25"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735D25" w:rsidRPr="001E5B56" w:rsidRDefault="00735D25" w:rsidP="006C6CA7">
            <w:pPr>
              <w:tabs>
                <w:tab w:val="left" w:pos="720"/>
                <w:tab w:val="right" w:leader="dot" w:pos="8640"/>
              </w:tabs>
              <w:jc w:val="both"/>
              <w:rPr>
                <w:rFonts w:ascii="Times New Roman" w:hAnsi="Times New Roman"/>
                <w:sz w:val="22"/>
                <w:szCs w:val="22"/>
              </w:rPr>
            </w:pPr>
          </w:p>
          <w:p w:rsidR="00735D25" w:rsidRPr="001E5B56" w:rsidRDefault="00735D25" w:rsidP="006C6CA7">
            <w:pPr>
              <w:tabs>
                <w:tab w:val="left" w:pos="720"/>
                <w:tab w:val="right" w:leader="dot" w:pos="8640"/>
              </w:tabs>
              <w:jc w:val="both"/>
              <w:rPr>
                <w:rFonts w:ascii="Times New Roman" w:hAnsi="Times New Roman"/>
                <w:sz w:val="22"/>
                <w:szCs w:val="22"/>
              </w:rPr>
            </w:pPr>
          </w:p>
          <w:p w:rsidR="00735D25" w:rsidRPr="001E5B56" w:rsidRDefault="00735D25" w:rsidP="006C6CA7">
            <w:pPr>
              <w:tabs>
                <w:tab w:val="left" w:pos="720"/>
                <w:tab w:val="right" w:leader="dot" w:pos="8640"/>
              </w:tabs>
              <w:jc w:val="both"/>
              <w:rPr>
                <w:rFonts w:ascii="Times New Roman" w:hAnsi="Times New Roman"/>
                <w:sz w:val="22"/>
                <w:szCs w:val="22"/>
              </w:rPr>
            </w:pPr>
          </w:p>
          <w:p w:rsidR="00735D25" w:rsidRPr="001E5B56" w:rsidRDefault="00735D25" w:rsidP="006C6CA7">
            <w:pPr>
              <w:tabs>
                <w:tab w:val="left" w:pos="720"/>
                <w:tab w:val="right" w:leader="dot" w:pos="8640"/>
              </w:tabs>
              <w:jc w:val="both"/>
              <w:rPr>
                <w:rFonts w:ascii="Times New Roman" w:hAnsi="Times New Roman"/>
                <w:sz w:val="22"/>
                <w:szCs w:val="22"/>
              </w:rPr>
            </w:pPr>
          </w:p>
        </w:tc>
      </w:tr>
    </w:tbl>
    <w:p w:rsidR="00DF1F59" w:rsidRDefault="00DF1F59" w:rsidP="006C6CA7">
      <w:pPr>
        <w:tabs>
          <w:tab w:val="left" w:pos="720"/>
          <w:tab w:val="right" w:leader="dot" w:pos="8640"/>
        </w:tabs>
        <w:jc w:val="both"/>
        <w:rPr>
          <w:rFonts w:ascii="Times New Roman" w:hAnsi="Times New Roman"/>
          <w:b/>
          <w:sz w:val="22"/>
          <w:szCs w:val="22"/>
        </w:rPr>
      </w:pPr>
    </w:p>
    <w:p w:rsidR="001066F3" w:rsidRPr="001E5B56" w:rsidRDefault="00DF1F59"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br w:type="page"/>
      </w:r>
      <w:r w:rsidR="001066F3" w:rsidRPr="001E5B56">
        <w:rPr>
          <w:rFonts w:ascii="Times New Roman" w:hAnsi="Times New Roman"/>
          <w:b/>
          <w:sz w:val="22"/>
          <w:szCs w:val="22"/>
        </w:rPr>
        <w:lastRenderedPageBreak/>
        <w:t>4-2 Compliance Requirements</w:t>
      </w:r>
      <w:r w:rsidR="001066F3" w:rsidRPr="001E5B56">
        <w:rPr>
          <w:rFonts w:ascii="Times New Roman" w:hAnsi="Times New Roman"/>
          <w:sz w:val="22"/>
          <w:szCs w:val="22"/>
        </w:rPr>
        <w:t>: GAAP and annual financial reporting for community improvement corporations (CICs)</w:t>
      </w:r>
      <w:r w:rsidR="00455CFE" w:rsidRPr="001E5B56">
        <w:rPr>
          <w:rStyle w:val="FootnoteReference"/>
          <w:rFonts w:ascii="Times New Roman" w:hAnsi="Times New Roman"/>
          <w:sz w:val="22"/>
          <w:szCs w:val="22"/>
        </w:rPr>
        <w:footnoteReference w:id="6"/>
      </w:r>
      <w:r w:rsidR="001066F3" w:rsidRPr="001E5B56">
        <w:rPr>
          <w:rFonts w:ascii="Times New Roman" w:hAnsi="Times New Roman"/>
          <w:sz w:val="22"/>
          <w:szCs w:val="22"/>
        </w:rPr>
        <w:t xml:space="preserve">  and development corporations (</w:t>
      </w:r>
      <w:proofErr w:type="spellStart"/>
      <w:r w:rsidR="001066F3" w:rsidRPr="001E5B56">
        <w:rPr>
          <w:rFonts w:ascii="Times New Roman" w:hAnsi="Times New Roman"/>
          <w:sz w:val="22"/>
          <w:szCs w:val="22"/>
        </w:rPr>
        <w:t>DCs</w:t>
      </w:r>
      <w:proofErr w:type="spellEnd"/>
      <w:r w:rsidR="001066F3" w:rsidRPr="001E5B56">
        <w:rPr>
          <w:rFonts w:ascii="Times New Roman" w:hAnsi="Times New Roman"/>
          <w:sz w:val="22"/>
          <w:szCs w:val="22"/>
        </w:rPr>
        <w:t>).</w:t>
      </w:r>
      <w:r w:rsidR="00FF5960" w:rsidRPr="001E5B56">
        <w:rPr>
          <w:rStyle w:val="FootnoteReference"/>
          <w:rFonts w:ascii="Times New Roman" w:hAnsi="Times New Roman"/>
          <w:sz w:val="22"/>
          <w:szCs w:val="22"/>
        </w:rPr>
        <w:footnoteReference w:id="7"/>
      </w:r>
      <w:r w:rsidR="001066F3"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Summary of Requirements</w:t>
      </w:r>
      <w:r w:rsidRPr="001E5B56">
        <w:rPr>
          <w:rFonts w:ascii="Times New Roman" w:hAnsi="Times New Roman"/>
          <w:sz w:val="22"/>
          <w:szCs w:val="22"/>
        </w:rPr>
        <w:t xml:space="preserve">:  </w:t>
      </w:r>
      <w:r w:rsidRPr="00265206">
        <w:rPr>
          <w:rFonts w:ascii="Times New Roman" w:hAnsi="Times New Roman"/>
          <w:b/>
          <w:sz w:val="22"/>
          <w:szCs w:val="22"/>
        </w:rPr>
        <w:t xml:space="preserve">Annual </w:t>
      </w:r>
      <w:r w:rsidR="00C3189F" w:rsidRPr="00265206">
        <w:rPr>
          <w:rFonts w:ascii="Times New Roman" w:hAnsi="Times New Roman"/>
          <w:b/>
          <w:sz w:val="22"/>
          <w:szCs w:val="22"/>
        </w:rPr>
        <w:t>Reporting</w:t>
      </w:r>
      <w:r w:rsidR="00C3189F" w:rsidRPr="001E5B56">
        <w:rPr>
          <w:rFonts w:ascii="Times New Roman" w:hAnsi="Times New Roman"/>
          <w:sz w:val="22"/>
          <w:szCs w:val="22"/>
        </w:rPr>
        <w:t xml:space="preserve"> (</w:t>
      </w:r>
      <w:r w:rsidRPr="001E5B56">
        <w:rPr>
          <w:rFonts w:ascii="Times New Roman" w:hAnsi="Times New Roman"/>
          <w:sz w:val="22"/>
          <w:szCs w:val="22"/>
        </w:rPr>
        <w:t xml:space="preserve">Ohio Rev. Code §1724.05– CICs and §1726.11– </w:t>
      </w:r>
      <w:proofErr w:type="spellStart"/>
      <w:r w:rsidRPr="001E5B56">
        <w:rPr>
          <w:rFonts w:ascii="Times New Roman" w:hAnsi="Times New Roman"/>
          <w:sz w:val="22"/>
          <w:szCs w:val="22"/>
        </w:rPr>
        <w:t>DCs</w:t>
      </w:r>
      <w:proofErr w:type="spellEnd"/>
      <w:r w:rsidRPr="001E5B56">
        <w:rPr>
          <w:rFonts w:ascii="Times New Roman" w:hAnsi="Times New Roman"/>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1"/>
        </w:numPr>
        <w:tabs>
          <w:tab w:val="right" w:leader="dot" w:pos="8640"/>
        </w:tabs>
        <w:jc w:val="both"/>
        <w:rPr>
          <w:rFonts w:ascii="Times New Roman" w:hAnsi="Times New Roman"/>
          <w:sz w:val="22"/>
          <w:szCs w:val="22"/>
        </w:rPr>
      </w:pPr>
      <w:r w:rsidRPr="001E5B56">
        <w:rPr>
          <w:rFonts w:ascii="Times New Roman" w:hAnsi="Times New Roman"/>
          <w:sz w:val="22"/>
          <w:szCs w:val="22"/>
        </w:rPr>
        <w:t>Corporations must submit (unaudited) annual GAAP financial reports to the Auditor of State.  The corporation must file the annual report within 120 days of fiscal year end.</w:t>
      </w:r>
      <w:r w:rsidR="005B1CA1">
        <w:rPr>
          <w:rStyle w:val="FootnoteReference"/>
          <w:rFonts w:ascii="Times New Roman" w:hAnsi="Times New Roman"/>
          <w:sz w:val="22"/>
          <w:szCs w:val="22"/>
        </w:rPr>
        <w:footnoteReference w:id="8"/>
      </w:r>
      <w:r w:rsidRPr="001E5B56">
        <w:rPr>
          <w:rFonts w:ascii="Times New Roman" w:hAnsi="Times New Roman"/>
          <w:sz w:val="22"/>
          <w:szCs w:val="22"/>
        </w:rPr>
        <w:t xml:space="preserve">  The Ohio Rev. Code does not prescribe a fiscal year end for these corporations.</w:t>
      </w:r>
      <w:r w:rsidRPr="001E5B56">
        <w:rPr>
          <w:rFonts w:ascii="Times New Roman" w:hAnsi="Times New Roman"/>
          <w:sz w:val="22"/>
          <w:szCs w:val="22"/>
        </w:rPr>
        <w:cr/>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Failure to Report/Present Auditable Records</w:t>
      </w:r>
      <w:r w:rsidRPr="001E5B56">
        <w:rPr>
          <w:rFonts w:ascii="Times New Roman" w:hAnsi="Times New Roman"/>
          <w:sz w:val="22"/>
          <w:szCs w:val="22"/>
        </w:rPr>
        <w:t xml:space="preserve"> (Ohio Rev. Code §1724.06- CICs and §1726.12- </w:t>
      </w:r>
      <w:proofErr w:type="spellStart"/>
      <w:r w:rsidRPr="001E5B56">
        <w:rPr>
          <w:rFonts w:ascii="Times New Roman" w:hAnsi="Times New Roman"/>
          <w:sz w:val="22"/>
          <w:szCs w:val="22"/>
        </w:rPr>
        <w:t>DCs</w:t>
      </w:r>
      <w:proofErr w:type="spellEnd"/>
      <w:r w:rsidRPr="001E5B56">
        <w:rPr>
          <w:rFonts w:ascii="Times New Roman" w:hAnsi="Times New Roman"/>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2"/>
        </w:numPr>
        <w:tabs>
          <w:tab w:val="right" w:leader="dot" w:pos="8640"/>
        </w:tabs>
        <w:jc w:val="both"/>
        <w:rPr>
          <w:rFonts w:ascii="Times New Roman" w:hAnsi="Times New Roman"/>
          <w:sz w:val="22"/>
          <w:szCs w:val="22"/>
        </w:rPr>
      </w:pPr>
      <w:r w:rsidRPr="001E5B56">
        <w:rPr>
          <w:rFonts w:ascii="Times New Roman" w:hAnsi="Times New Roman"/>
          <w:sz w:val="22"/>
          <w:szCs w:val="22"/>
        </w:rPr>
        <w:t>Additionally, the Auditor of State must certify corporations to the Secretary of State in the following two circumstances: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023D86">
      <w:pPr>
        <w:numPr>
          <w:ilvl w:val="0"/>
          <w:numId w:val="2"/>
        </w:numPr>
        <w:tabs>
          <w:tab w:val="left" w:pos="720"/>
          <w:tab w:val="right" w:leader="dot" w:pos="8640"/>
        </w:tabs>
        <w:ind w:hanging="180"/>
        <w:jc w:val="both"/>
        <w:rPr>
          <w:rFonts w:ascii="Times New Roman" w:hAnsi="Times New Roman"/>
          <w:sz w:val="22"/>
          <w:szCs w:val="22"/>
        </w:rPr>
      </w:pPr>
      <w:r w:rsidRPr="001E5B56">
        <w:rPr>
          <w:rFonts w:ascii="Times New Roman" w:hAnsi="Times New Roman"/>
          <w:sz w:val="22"/>
          <w:szCs w:val="22"/>
        </w:rPr>
        <w:t xml:space="preserve">If a Corporation files its annual report more than 90 days delinquent (i.e., does not file its annual GAAP financial statement report within </w:t>
      </w:r>
      <w:r w:rsidR="00A13229">
        <w:rPr>
          <w:rFonts w:ascii="Times New Roman" w:hAnsi="Times New Roman"/>
          <w:sz w:val="22"/>
          <w:szCs w:val="22"/>
        </w:rPr>
        <w:t>1</w:t>
      </w:r>
      <w:r w:rsidRPr="001E5B56">
        <w:rPr>
          <w:rFonts w:ascii="Times New Roman" w:hAnsi="Times New Roman"/>
          <w:sz w:val="22"/>
          <w:szCs w:val="22"/>
        </w:rPr>
        <w:t xml:space="preserve">20 days of its fiscal year end).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023D86">
      <w:pPr>
        <w:numPr>
          <w:ilvl w:val="0"/>
          <w:numId w:val="2"/>
        </w:numPr>
        <w:tabs>
          <w:tab w:val="left" w:pos="720"/>
          <w:tab w:val="right" w:leader="dot" w:pos="8640"/>
        </w:tabs>
        <w:ind w:hanging="180"/>
        <w:jc w:val="both"/>
        <w:rPr>
          <w:rFonts w:ascii="Times New Roman" w:hAnsi="Times New Roman"/>
          <w:sz w:val="22"/>
          <w:szCs w:val="22"/>
        </w:rPr>
      </w:pPr>
      <w:r w:rsidRPr="001E5B56">
        <w:rPr>
          <w:rFonts w:ascii="Times New Roman" w:hAnsi="Times New Roman"/>
          <w:sz w:val="22"/>
          <w:szCs w:val="22"/>
        </w:rPr>
        <w:t>If a Corporation does not present auditable records within 90 days of a determination by the Auditor of State that a corporation is unauditable.</w:t>
      </w:r>
    </w:p>
    <w:p w:rsidR="001066F3" w:rsidRPr="001E5B56" w:rsidRDefault="001066F3" w:rsidP="006C6CA7">
      <w:pPr>
        <w:tabs>
          <w:tab w:val="left" w:pos="720"/>
          <w:tab w:val="right" w:leader="dot" w:pos="8640"/>
        </w:tabs>
        <w:jc w:val="both"/>
        <w:rPr>
          <w:rFonts w:ascii="Times New Roman" w:hAnsi="Times New Roman"/>
          <w:sz w:val="22"/>
          <w:szCs w:val="22"/>
        </w:rPr>
      </w:pPr>
    </w:p>
    <w:p w:rsidR="00F0300A" w:rsidRDefault="001066F3" w:rsidP="009F24E3">
      <w:pPr>
        <w:numPr>
          <w:ilvl w:val="0"/>
          <w:numId w:val="13"/>
        </w:numPr>
        <w:tabs>
          <w:tab w:val="right" w:leader="dot" w:pos="8640"/>
        </w:tabs>
        <w:jc w:val="both"/>
        <w:rPr>
          <w:rFonts w:ascii="Times New Roman" w:hAnsi="Times New Roman"/>
          <w:sz w:val="22"/>
          <w:szCs w:val="22"/>
        </w:rPr>
      </w:pPr>
      <w:r w:rsidRPr="001E5B56">
        <w:rPr>
          <w:rFonts w:ascii="Times New Roman" w:hAnsi="Times New Roman"/>
          <w:sz w:val="22"/>
          <w:szCs w:val="22"/>
        </w:rPr>
        <w:t>Upon certification, the Secretary of State is to cancel the Corporation’s articles of incorporation until the deficiency is remedied.</w:t>
      </w:r>
    </w:p>
    <w:p w:rsidR="00F0300A" w:rsidRPr="001E5B56" w:rsidRDefault="00F0300A" w:rsidP="00F0300A">
      <w:pPr>
        <w:tabs>
          <w:tab w:val="right" w:leader="dot" w:pos="8640"/>
        </w:tabs>
        <w:jc w:val="both"/>
        <w:rPr>
          <w:rFonts w:ascii="Times New Roman" w:hAnsi="Times New Roman"/>
          <w:sz w:val="22"/>
          <w:szCs w:val="22"/>
        </w:rPr>
      </w:pPr>
    </w:p>
    <w:p w:rsidR="001066F3" w:rsidRPr="001E5B56" w:rsidRDefault="00F0300A" w:rsidP="009F24E3">
      <w:pPr>
        <w:numPr>
          <w:ilvl w:val="0"/>
          <w:numId w:val="13"/>
        </w:numPr>
        <w:tabs>
          <w:tab w:val="right" w:leader="dot" w:pos="8640"/>
        </w:tabs>
        <w:jc w:val="both"/>
        <w:rPr>
          <w:rFonts w:ascii="Times New Roman" w:hAnsi="Times New Roman"/>
          <w:sz w:val="22"/>
          <w:szCs w:val="22"/>
        </w:rPr>
      </w:pPr>
      <w:r>
        <w:rPr>
          <w:rFonts w:ascii="Times New Roman" w:hAnsi="Times New Roman"/>
          <w:sz w:val="22"/>
          <w:szCs w:val="22"/>
        </w:rPr>
        <w:t>For</w:t>
      </w:r>
      <w:r w:rsidR="001066F3" w:rsidRPr="001E5B56">
        <w:rPr>
          <w:rFonts w:ascii="Times New Roman" w:hAnsi="Times New Roman"/>
          <w:sz w:val="22"/>
          <w:szCs w:val="22"/>
        </w:rPr>
        <w:t xml:space="preserve"> more information, see AOS Bulletin 2001-003.</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1066F3" w:rsidP="006C6CA7">
      <w:pPr>
        <w:tabs>
          <w:tab w:val="left" w:pos="720"/>
          <w:tab w:val="right" w:leader="dot" w:pos="8640"/>
        </w:tabs>
        <w:jc w:val="both"/>
        <w:rPr>
          <w:rFonts w:ascii="Times New Roman" w:hAnsi="Times New Roman"/>
          <w:sz w:val="22"/>
          <w:szCs w:val="22"/>
        </w:rPr>
      </w:pPr>
      <w:r w:rsidRPr="0020117B">
        <w:rPr>
          <w:rFonts w:ascii="Times New Roman" w:hAnsi="Times New Roman"/>
          <w:b/>
          <w:i/>
          <w:sz w:val="22"/>
          <w:szCs w:val="22"/>
        </w:rPr>
        <w:t>NOTE:</w:t>
      </w:r>
      <w:r w:rsidRPr="001E5B56">
        <w:rPr>
          <w:rFonts w:ascii="Times New Roman" w:hAnsi="Times New Roman"/>
          <w:sz w:val="22"/>
          <w:szCs w:val="22"/>
        </w:rPr>
        <w:t xml:space="preserve">  Revisions to audit requirements in</w:t>
      </w:r>
      <w:r w:rsidR="00CC70DD">
        <w:rPr>
          <w:rFonts w:ascii="Times New Roman" w:hAnsi="Times New Roman"/>
          <w:sz w:val="22"/>
          <w:szCs w:val="22"/>
        </w:rPr>
        <w:t xml:space="preserve"> Ohio Rev. Code</w:t>
      </w:r>
      <w:r w:rsidRPr="001E5B56">
        <w:rPr>
          <w:rFonts w:ascii="Times New Roman" w:hAnsi="Times New Roman"/>
          <w:sz w:val="22"/>
          <w:szCs w:val="22"/>
        </w:rPr>
        <w:t xml:space="preserve"> 9.234 per the 2005 budget bill (HB 66) do </w:t>
      </w:r>
      <w:r w:rsidRPr="00265206">
        <w:rPr>
          <w:rFonts w:ascii="Times New Roman" w:hAnsi="Times New Roman"/>
          <w:b/>
          <w:color w:val="FF0000"/>
          <w:sz w:val="22"/>
          <w:szCs w:val="22"/>
        </w:rPr>
        <w:t>not</w:t>
      </w:r>
      <w:r w:rsidRPr="001E5B56">
        <w:rPr>
          <w:rFonts w:ascii="Times New Roman" w:hAnsi="Times New Roman"/>
          <w:sz w:val="22"/>
          <w:szCs w:val="22"/>
        </w:rPr>
        <w:t xml:space="preserve"> alter the AOS’ statutory requirement to audit CICs or </w:t>
      </w:r>
      <w:proofErr w:type="spellStart"/>
      <w:r w:rsidRPr="001E5B56">
        <w:rPr>
          <w:rFonts w:ascii="Times New Roman" w:hAnsi="Times New Roman"/>
          <w:sz w:val="22"/>
          <w:szCs w:val="22"/>
        </w:rPr>
        <w:t>DCs</w:t>
      </w:r>
      <w:proofErr w:type="spellEnd"/>
      <w:r w:rsidRPr="001E5B56">
        <w:rPr>
          <w:rFonts w:ascii="Times New Roman" w:hAnsi="Times New Roman"/>
          <w:sz w:val="22"/>
          <w:szCs w:val="22"/>
        </w:rPr>
        <w:t>.</w:t>
      </w:r>
    </w:p>
    <w:p w:rsidR="00265206" w:rsidRPr="001E5B56" w:rsidRDefault="00265206" w:rsidP="006C6CA7">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455CFE" w:rsidRPr="00444C7D" w:rsidTr="00444C7D">
        <w:tc>
          <w:tcPr>
            <w:tcW w:w="4428" w:type="dxa"/>
          </w:tcPr>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455CFE" w:rsidRPr="00444C7D" w:rsidRDefault="00455CFE"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455CFE" w:rsidRPr="00444C7D" w:rsidTr="00444C7D">
        <w:tc>
          <w:tcPr>
            <w:tcW w:w="4428" w:type="dxa"/>
          </w:tcPr>
          <w:p w:rsidR="00455CFE" w:rsidRPr="00444C7D" w:rsidRDefault="00455CFE" w:rsidP="00444C7D">
            <w:pPr>
              <w:tabs>
                <w:tab w:val="left" w:pos="720"/>
                <w:tab w:val="right" w:leader="dot" w:pos="8640"/>
              </w:tabs>
              <w:rPr>
                <w:rFonts w:ascii="Times New Roman" w:hAnsi="Times New Roman"/>
                <w:sz w:val="22"/>
                <w:szCs w:val="22"/>
              </w:rPr>
            </w:pP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Policies and Procedures Manuals</w:t>
            </w: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Knowledge and Training of personnel</w:t>
            </w: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Presence of an Effective Accounting System</w:t>
            </w:r>
          </w:p>
          <w:p w:rsidR="00455CFE" w:rsidRPr="00444C7D" w:rsidRDefault="00455CFE"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Legislative and Management Monitoring</w:t>
            </w:r>
          </w:p>
          <w:p w:rsidR="00455CFE" w:rsidRPr="00444C7D" w:rsidRDefault="00455CFE" w:rsidP="00444C7D">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455CFE" w:rsidRPr="00444C7D" w:rsidRDefault="00455CFE" w:rsidP="00444C7D">
            <w:pPr>
              <w:tabs>
                <w:tab w:val="left" w:pos="720"/>
                <w:tab w:val="right" w:leader="dot" w:pos="8640"/>
              </w:tabs>
              <w:ind w:left="-3974" w:firstLine="540"/>
              <w:rPr>
                <w:rFonts w:ascii="Times New Roman" w:hAnsi="Times New Roman"/>
                <w:sz w:val="22"/>
                <w:szCs w:val="22"/>
              </w:rPr>
            </w:pPr>
          </w:p>
        </w:tc>
        <w:tc>
          <w:tcPr>
            <w:tcW w:w="648" w:type="dxa"/>
          </w:tcPr>
          <w:p w:rsidR="00455CFE" w:rsidRPr="00444C7D" w:rsidRDefault="00455CFE" w:rsidP="00444C7D">
            <w:pPr>
              <w:tabs>
                <w:tab w:val="left" w:pos="720"/>
                <w:tab w:val="right" w:leader="dot" w:pos="8640"/>
              </w:tabs>
              <w:rPr>
                <w:rFonts w:ascii="Times New Roman" w:hAnsi="Times New Roman"/>
                <w:sz w:val="22"/>
                <w:szCs w:val="22"/>
              </w:rPr>
            </w:pPr>
          </w:p>
        </w:tc>
      </w:tr>
    </w:tbl>
    <w:p w:rsidR="001272BC" w:rsidRPr="001E5B56" w:rsidRDefault="001272BC" w:rsidP="006C6CA7">
      <w:pPr>
        <w:tabs>
          <w:tab w:val="left" w:pos="720"/>
          <w:tab w:val="right" w:leader="dot" w:pos="8640"/>
        </w:tabs>
        <w:jc w:val="both"/>
        <w:rPr>
          <w:rFonts w:ascii="Times New Roman" w:hAnsi="Times New Roman"/>
          <w:b/>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265206">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Read the corporation’s annual report.  Determine if it complies with GAAP in material respects.  Determine if the corporation filed its report with the AOS within 120 days of fiscal year end.</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If a corporation does not file its annual GAAP financial statement report within 210 days of fiscal year end, or does not present auditable records within 90 days of the Auditor of State’s determination of </w:t>
      </w:r>
      <w:proofErr w:type="spellStart"/>
      <w:r w:rsidRPr="001E5B56">
        <w:rPr>
          <w:rFonts w:ascii="Times New Roman" w:hAnsi="Times New Roman"/>
          <w:sz w:val="22"/>
          <w:szCs w:val="22"/>
        </w:rPr>
        <w:t>unauditability</w:t>
      </w:r>
      <w:proofErr w:type="spellEnd"/>
      <w:r w:rsidRPr="001E5B56">
        <w:rPr>
          <w:rFonts w:ascii="Times New Roman" w:hAnsi="Times New Roman"/>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4"/>
        </w:numPr>
        <w:tabs>
          <w:tab w:val="left" w:pos="360"/>
          <w:tab w:val="right" w:leader="dot" w:pos="8640"/>
        </w:tabs>
        <w:jc w:val="both"/>
        <w:rPr>
          <w:rFonts w:ascii="Times New Roman" w:hAnsi="Times New Roman"/>
          <w:sz w:val="22"/>
          <w:szCs w:val="22"/>
        </w:rPr>
      </w:pPr>
      <w:r w:rsidRPr="001E5B56">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14"/>
        </w:numPr>
        <w:tabs>
          <w:tab w:val="left" w:pos="360"/>
          <w:tab w:val="right" w:leader="dot" w:pos="8640"/>
        </w:tabs>
        <w:jc w:val="both"/>
        <w:rPr>
          <w:rFonts w:ascii="Times New Roman" w:hAnsi="Times New Roman"/>
          <w:sz w:val="22"/>
          <w:szCs w:val="22"/>
        </w:rPr>
      </w:pPr>
      <w:r w:rsidRPr="001E5B56">
        <w:rPr>
          <w:rFonts w:ascii="Times New Roman" w:hAnsi="Times New Roman"/>
          <w:sz w:val="22"/>
          <w:szCs w:val="22"/>
        </w:rPr>
        <w:t>IPA firms should contact the Regional Chief Auditor regarding these matters</w:t>
      </w:r>
    </w:p>
    <w:p w:rsidR="00910896" w:rsidRPr="001E5B56" w:rsidRDefault="00910896" w:rsidP="006C6CA7">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820"/>
      </w:tblGrid>
      <w:tr w:rsidR="00910896" w:rsidRPr="001E5B56">
        <w:trPr>
          <w:trHeight w:val="1620"/>
        </w:trPr>
        <w:tc>
          <w:tcPr>
            <w:tcW w:w="8820" w:type="dxa"/>
          </w:tcPr>
          <w:p w:rsidR="00910896" w:rsidRPr="001E5B56" w:rsidRDefault="00910896"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910896" w:rsidRPr="001E5B56" w:rsidRDefault="00910896" w:rsidP="006C6CA7">
            <w:pPr>
              <w:tabs>
                <w:tab w:val="left" w:pos="720"/>
                <w:tab w:val="right" w:leader="dot" w:pos="8640"/>
              </w:tabs>
              <w:jc w:val="both"/>
              <w:rPr>
                <w:rFonts w:ascii="Times New Roman" w:hAnsi="Times New Roman"/>
                <w:b/>
                <w:sz w:val="22"/>
                <w:szCs w:val="22"/>
              </w:rPr>
            </w:pPr>
          </w:p>
          <w:p w:rsidR="00910896" w:rsidRPr="001E5B56" w:rsidRDefault="00910896" w:rsidP="006C6CA7">
            <w:pPr>
              <w:tabs>
                <w:tab w:val="left" w:pos="720"/>
                <w:tab w:val="right" w:leader="dot" w:pos="8640"/>
              </w:tabs>
              <w:jc w:val="both"/>
              <w:rPr>
                <w:rFonts w:ascii="Times New Roman" w:hAnsi="Times New Roman"/>
                <w:b/>
                <w:sz w:val="22"/>
                <w:szCs w:val="22"/>
              </w:rPr>
            </w:pPr>
          </w:p>
          <w:p w:rsidR="00910896" w:rsidRPr="001E5B56" w:rsidRDefault="00910896" w:rsidP="006C6CA7">
            <w:pPr>
              <w:tabs>
                <w:tab w:val="left" w:pos="720"/>
                <w:tab w:val="right" w:leader="dot" w:pos="8640"/>
              </w:tabs>
              <w:jc w:val="both"/>
              <w:rPr>
                <w:rFonts w:ascii="Times New Roman" w:hAnsi="Times New Roman"/>
                <w:b/>
                <w:sz w:val="22"/>
                <w:szCs w:val="22"/>
              </w:rPr>
            </w:pPr>
          </w:p>
          <w:p w:rsidR="00910896" w:rsidRPr="001E5B56" w:rsidRDefault="00910896" w:rsidP="006C6CA7">
            <w:pPr>
              <w:tabs>
                <w:tab w:val="left" w:pos="720"/>
                <w:tab w:val="right" w:leader="dot" w:pos="8640"/>
              </w:tabs>
              <w:jc w:val="both"/>
              <w:rPr>
                <w:rFonts w:ascii="Times New Roman" w:hAnsi="Times New Roman"/>
                <w:sz w:val="22"/>
                <w:szCs w:val="22"/>
              </w:rPr>
            </w:pPr>
          </w:p>
        </w:tc>
      </w:tr>
    </w:tbl>
    <w:p w:rsidR="00B13E27" w:rsidRDefault="002A5DBC" w:rsidP="00B13E27">
      <w:pPr>
        <w:tabs>
          <w:tab w:val="left" w:pos="720"/>
          <w:tab w:val="right" w:leader="dot" w:pos="8640"/>
        </w:tabs>
        <w:jc w:val="center"/>
        <w:rPr>
          <w:rFonts w:ascii="Times New Roman" w:hAnsi="Times New Roman"/>
          <w:b/>
          <w:sz w:val="22"/>
          <w:szCs w:val="22"/>
        </w:rPr>
      </w:pPr>
      <w:r w:rsidRPr="001E5B56">
        <w:rPr>
          <w:rFonts w:ascii="Times New Roman" w:hAnsi="Times New Roman"/>
          <w:sz w:val="22"/>
          <w:szCs w:val="22"/>
        </w:rPr>
        <w:br w:type="page"/>
      </w:r>
    </w:p>
    <w:p w:rsidR="00B13E27" w:rsidRPr="00DD0727" w:rsidRDefault="00B13E27" w:rsidP="00B13E27">
      <w:pPr>
        <w:shd w:val="clear" w:color="auto" w:fill="C0C0C0"/>
        <w:tabs>
          <w:tab w:val="left" w:pos="720"/>
          <w:tab w:val="right" w:leader="dot" w:pos="8640"/>
        </w:tabs>
        <w:jc w:val="center"/>
        <w:rPr>
          <w:rFonts w:ascii="Times New Roman" w:hAnsi="Times New Roman"/>
          <w:b/>
          <w:sz w:val="28"/>
          <w:szCs w:val="28"/>
        </w:rPr>
      </w:pPr>
      <w:r>
        <w:rPr>
          <w:rFonts w:ascii="Times New Roman" w:hAnsi="Times New Roman"/>
          <w:b/>
          <w:sz w:val="28"/>
          <w:szCs w:val="28"/>
        </w:rPr>
        <w:t>Section B</w:t>
      </w:r>
      <w:r w:rsidRPr="00DD0727">
        <w:rPr>
          <w:rFonts w:ascii="Times New Roman" w:hAnsi="Times New Roman"/>
          <w:b/>
          <w:sz w:val="28"/>
          <w:szCs w:val="28"/>
        </w:rPr>
        <w:t xml:space="preserve">:  </w:t>
      </w:r>
      <w:r>
        <w:rPr>
          <w:rFonts w:ascii="Times New Roman" w:hAnsi="Times New Roman"/>
          <w:b/>
          <w:sz w:val="28"/>
          <w:szCs w:val="28"/>
        </w:rPr>
        <w:t>Community School Additional Reporting</w:t>
      </w:r>
    </w:p>
    <w:p w:rsidR="00B13E27" w:rsidRDefault="00B13E27"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4-3 Compliance Requirements:  Per </w:t>
      </w:r>
      <w:r w:rsidR="00CC70DD">
        <w:rPr>
          <w:rFonts w:ascii="Times New Roman" w:hAnsi="Times New Roman"/>
          <w:b/>
          <w:sz w:val="22"/>
          <w:szCs w:val="22"/>
        </w:rPr>
        <w:t xml:space="preserve"> Ohio Rev. Code §</w:t>
      </w:r>
      <w:r w:rsidRPr="001E5B56">
        <w:rPr>
          <w:rFonts w:ascii="Times New Roman" w:hAnsi="Times New Roman"/>
          <w:b/>
          <w:sz w:val="22"/>
          <w:szCs w:val="22"/>
        </w:rPr>
        <w:t xml:space="preserve"> 3314.024:</w:t>
      </w:r>
      <w:r w:rsidRPr="001E5B56">
        <w:rPr>
          <w:rFonts w:ascii="Times New Roman" w:hAnsi="Times New Roman"/>
          <w:sz w:val="22"/>
          <w:szCs w:val="22"/>
        </w:rPr>
        <w:t xml:space="preserve">  A management company providing services to a community school and charging more than twenty percent of the school’s annual gross revenues shall provide a detailed accounting, including the nature and costs of the services it provides to the community school. This information shall be included in the footnotes of the financial statements of the school and be subject to audit during the school’s regular financial audit.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Summary of Requirement</w:t>
      </w:r>
      <w:r w:rsidRPr="001E5B56">
        <w:rPr>
          <w:rFonts w:ascii="Times New Roman" w:hAnsi="Times New Roman"/>
          <w:sz w:val="22"/>
          <w:szCs w:val="22"/>
        </w:rPr>
        <w:t>:  This footnote should list management company expenses during the year by object codes (e.g., salaries, supplies, etc.).</w:t>
      </w:r>
      <w:r w:rsidRPr="007914E9">
        <w:rPr>
          <w:rFonts w:ascii="Times New Roman" w:hAnsi="Times New Roman"/>
          <w:sz w:val="22"/>
          <w:szCs w:val="22"/>
        </w:rPr>
        <w:t xml:space="preserve"> </w:t>
      </w:r>
      <w:r w:rsidRPr="001E5B56">
        <w:rPr>
          <w:rFonts w:ascii="Times New Roman" w:hAnsi="Times New Roman"/>
          <w:sz w:val="22"/>
          <w:szCs w:val="22"/>
        </w:rPr>
        <w:t xml:space="preserve"> </w:t>
      </w:r>
      <w:r w:rsidR="007914E9" w:rsidRPr="00A364F8">
        <w:rPr>
          <w:rFonts w:ascii="Times New Roman" w:hAnsi="Times New Roman"/>
          <w:sz w:val="22"/>
          <w:szCs w:val="22"/>
        </w:rPr>
        <w:t>Ohio Rev. Code §3314.03(A</w:t>
      </w:r>
      <w:proofErr w:type="gramStart"/>
      <w:r w:rsidR="007914E9" w:rsidRPr="00A364F8">
        <w:rPr>
          <w:rFonts w:ascii="Times New Roman" w:hAnsi="Times New Roman"/>
          <w:sz w:val="22"/>
          <w:szCs w:val="22"/>
        </w:rPr>
        <w:t>)(</w:t>
      </w:r>
      <w:proofErr w:type="gramEnd"/>
      <w:r w:rsidR="007914E9" w:rsidRPr="00A364F8">
        <w:rPr>
          <w:rFonts w:ascii="Times New Roman" w:hAnsi="Times New Roman"/>
          <w:sz w:val="22"/>
          <w:szCs w:val="22"/>
        </w:rPr>
        <w:t xml:space="preserve">8) discusses the requirements of community schools to have financial audits by the Auditor of State.  The contract between the sponsor and the governing authority shall require financial records of the school to be maintained in the same manner as are financial records of school districts, pursuant to rules of the </w:t>
      </w:r>
      <w:r w:rsidR="002533D9" w:rsidRPr="00A364F8">
        <w:rPr>
          <w:rFonts w:ascii="Times New Roman" w:hAnsi="Times New Roman"/>
          <w:sz w:val="22"/>
          <w:szCs w:val="22"/>
        </w:rPr>
        <w:t>A</w:t>
      </w:r>
      <w:r w:rsidR="007914E9" w:rsidRPr="00A364F8">
        <w:rPr>
          <w:rFonts w:ascii="Times New Roman" w:hAnsi="Times New Roman"/>
          <w:sz w:val="22"/>
          <w:szCs w:val="22"/>
        </w:rPr>
        <w:t xml:space="preserve">uditor of </w:t>
      </w:r>
      <w:r w:rsidR="002533D9" w:rsidRPr="00A364F8">
        <w:rPr>
          <w:rFonts w:ascii="Times New Roman" w:hAnsi="Times New Roman"/>
          <w:sz w:val="22"/>
          <w:szCs w:val="22"/>
        </w:rPr>
        <w:t>S</w:t>
      </w:r>
      <w:r w:rsidR="007914E9" w:rsidRPr="00A364F8">
        <w:rPr>
          <w:rFonts w:ascii="Times New Roman" w:hAnsi="Times New Roman"/>
          <w:sz w:val="22"/>
          <w:szCs w:val="22"/>
        </w:rPr>
        <w:t>tate, and the audits shall be conducted in accordance with section 117.10 of the Revised Code.</w:t>
      </w:r>
      <w:r w:rsidR="00C54F70" w:rsidRPr="00A364F8">
        <w:rPr>
          <w:rStyle w:val="FootnoteReference"/>
          <w:rFonts w:ascii="Times New Roman" w:hAnsi="Times New Roman"/>
          <w:sz w:val="22"/>
          <w:szCs w:val="22"/>
        </w:rPr>
        <w:footnoteReference w:id="9"/>
      </w:r>
      <w:r w:rsidR="007914E9" w:rsidRPr="00A364F8">
        <w:rPr>
          <w:rFonts w:ascii="Times New Roman" w:hAnsi="Times New Roman"/>
          <w:sz w:val="22"/>
          <w:szCs w:val="22"/>
        </w:rPr>
        <w:t xml:space="preserve">  This includes classifying costs by function and object codes.  </w:t>
      </w:r>
      <w:r w:rsidRPr="00265206">
        <w:rPr>
          <w:rFonts w:ascii="Times New Roman" w:hAnsi="Times New Roman"/>
          <w:b/>
          <w:i/>
          <w:color w:val="FF0000"/>
          <w:sz w:val="22"/>
          <w:szCs w:val="22"/>
        </w:rPr>
        <w:t>Also</w:t>
      </w:r>
      <w:r w:rsidRPr="001E5B56">
        <w:rPr>
          <w:rFonts w:ascii="Times New Roman" w:hAnsi="Times New Roman"/>
          <w:sz w:val="22"/>
          <w:szCs w:val="22"/>
        </w:rPr>
        <w:t>, this footnote should differentiate between the direct costs and any overhead costs a management company allocates to a community school.</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Since AOS deems this information material, failing to provide an adequate level of audit assurance (as described above) will require </w:t>
      </w:r>
      <w:r w:rsidR="00204C6F">
        <w:rPr>
          <w:rFonts w:ascii="Times New Roman" w:hAnsi="Times New Roman"/>
          <w:sz w:val="22"/>
          <w:szCs w:val="22"/>
        </w:rPr>
        <w:t xml:space="preserve">the </w:t>
      </w:r>
      <w:r w:rsidRPr="001E5B56">
        <w:rPr>
          <w:rFonts w:ascii="Times New Roman" w:hAnsi="Times New Roman"/>
          <w:sz w:val="22"/>
          <w:szCs w:val="22"/>
        </w:rPr>
        <w:t xml:space="preserve">AOS to </w:t>
      </w:r>
      <w:r w:rsidR="000253A0">
        <w:rPr>
          <w:rFonts w:ascii="Times New Roman" w:hAnsi="Times New Roman"/>
          <w:sz w:val="22"/>
          <w:szCs w:val="22"/>
        </w:rPr>
        <w:t xml:space="preserve">add </w:t>
      </w:r>
      <w:r w:rsidR="000253A0" w:rsidRPr="00450D22">
        <w:rPr>
          <w:rFonts w:ascii="Times New Roman" w:hAnsi="Times New Roman"/>
          <w:sz w:val="22"/>
          <w:szCs w:val="22"/>
        </w:rPr>
        <w:t xml:space="preserve">an </w:t>
      </w:r>
      <w:r w:rsidR="000253A0" w:rsidRPr="004E6A94">
        <w:rPr>
          <w:rFonts w:ascii="Times New Roman" w:hAnsi="Times New Roman"/>
          <w:sz w:val="22"/>
          <w:szCs w:val="22"/>
        </w:rPr>
        <w:t>emphasis of a matter paragraph</w:t>
      </w:r>
      <w:r w:rsidR="00853793" w:rsidRPr="004E6A94">
        <w:rPr>
          <w:rStyle w:val="FootnoteReference"/>
          <w:rFonts w:ascii="Times New Roman" w:hAnsi="Times New Roman"/>
          <w:sz w:val="22"/>
          <w:szCs w:val="22"/>
        </w:rPr>
        <w:footnoteReference w:id="10"/>
      </w:r>
      <w:r w:rsidR="00853793" w:rsidRPr="004E6A94">
        <w:rPr>
          <w:rFonts w:ascii="Times New Roman" w:hAnsi="Times New Roman"/>
          <w:sz w:val="22"/>
          <w:szCs w:val="22"/>
        </w:rPr>
        <w:t xml:space="preserve"> to </w:t>
      </w:r>
      <w:r w:rsidR="003C7022" w:rsidRPr="004E6A94">
        <w:rPr>
          <w:rFonts w:ascii="Times New Roman" w:hAnsi="Times New Roman"/>
          <w:sz w:val="22"/>
          <w:szCs w:val="22"/>
        </w:rPr>
        <w:t>the</w:t>
      </w:r>
      <w:r w:rsidR="00853793" w:rsidRPr="004E6A94">
        <w:rPr>
          <w:rFonts w:ascii="Times New Roman" w:hAnsi="Times New Roman"/>
          <w:sz w:val="22"/>
          <w:szCs w:val="22"/>
        </w:rPr>
        <w:t xml:space="preserve"> opinion</w:t>
      </w:r>
      <w:r w:rsidR="000253A0" w:rsidRPr="004E6A94">
        <w:rPr>
          <w:rFonts w:ascii="Times New Roman" w:hAnsi="Times New Roman"/>
          <w:sz w:val="22"/>
          <w:szCs w:val="22"/>
        </w:rPr>
        <w:t xml:space="preserve"> </w:t>
      </w:r>
      <w:r w:rsidRPr="00450D22">
        <w:rPr>
          <w:rFonts w:ascii="Times New Roman" w:hAnsi="Times New Roman"/>
          <w:sz w:val="22"/>
          <w:szCs w:val="22"/>
        </w:rPr>
        <w:t>for omitting a required disclosure, or will require a scope qualification for an inability to audit the footnote. Finally, AOS will report this as material noncompliance with Ohio Rev. Code § 3314.024.</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See Auditor of State Bulletin 2004-009 for more information.</w:t>
      </w:r>
    </w:p>
    <w:p w:rsidR="00265206" w:rsidRPr="001E5B56" w:rsidRDefault="00265206" w:rsidP="006C6CA7">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236D8B" w:rsidRPr="00444C7D" w:rsidTr="00444C7D">
        <w:tc>
          <w:tcPr>
            <w:tcW w:w="4428" w:type="dxa"/>
          </w:tcPr>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236D8B" w:rsidRPr="00444C7D" w:rsidRDefault="00236D8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236D8B" w:rsidRPr="00444C7D" w:rsidTr="00444C7D">
        <w:tc>
          <w:tcPr>
            <w:tcW w:w="4428" w:type="dxa"/>
          </w:tcPr>
          <w:p w:rsidR="00236D8B" w:rsidRPr="00444C7D" w:rsidRDefault="00236D8B" w:rsidP="00444C7D">
            <w:pPr>
              <w:tabs>
                <w:tab w:val="left" w:pos="720"/>
                <w:tab w:val="right" w:leader="dot" w:pos="8640"/>
              </w:tabs>
              <w:rPr>
                <w:rFonts w:ascii="Times New Roman" w:hAnsi="Times New Roman"/>
                <w:sz w:val="22"/>
                <w:szCs w:val="22"/>
              </w:rPr>
            </w:pP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Policies and Procedures Manuals</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Knowledge and Training of personnel</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Presence of an Effective Accounting System</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Legislative and Management Monitoring</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Management’s identification of changes in laws and regulations</w:t>
            </w:r>
          </w:p>
          <w:p w:rsidR="00236D8B" w:rsidRPr="00444C7D" w:rsidRDefault="00236D8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Management’s communication of changes in laws and regulations to employees</w:t>
            </w:r>
          </w:p>
        </w:tc>
        <w:tc>
          <w:tcPr>
            <w:tcW w:w="3780" w:type="dxa"/>
          </w:tcPr>
          <w:p w:rsidR="00236D8B" w:rsidRPr="00444C7D" w:rsidRDefault="00236D8B" w:rsidP="00444C7D">
            <w:pPr>
              <w:tabs>
                <w:tab w:val="left" w:pos="720"/>
                <w:tab w:val="right" w:leader="dot" w:pos="8640"/>
              </w:tabs>
              <w:ind w:left="-3974" w:firstLine="540"/>
              <w:rPr>
                <w:rFonts w:ascii="Times New Roman" w:hAnsi="Times New Roman"/>
                <w:sz w:val="22"/>
                <w:szCs w:val="22"/>
              </w:rPr>
            </w:pPr>
          </w:p>
        </w:tc>
        <w:tc>
          <w:tcPr>
            <w:tcW w:w="648" w:type="dxa"/>
          </w:tcPr>
          <w:p w:rsidR="00236D8B" w:rsidRPr="00444C7D" w:rsidRDefault="00236D8B" w:rsidP="00444C7D">
            <w:pPr>
              <w:tabs>
                <w:tab w:val="left" w:pos="720"/>
                <w:tab w:val="right" w:leader="dot" w:pos="8640"/>
              </w:tabs>
              <w:rPr>
                <w:rFonts w:ascii="Times New Roman" w:hAnsi="Times New Roman"/>
                <w:sz w:val="22"/>
                <w:szCs w:val="22"/>
              </w:rPr>
            </w:pPr>
          </w:p>
        </w:tc>
      </w:tr>
    </w:tbl>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265206">
      <w:pPr>
        <w:tabs>
          <w:tab w:val="left" w:pos="720"/>
          <w:tab w:val="left" w:pos="6295"/>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265206">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The management company may elect to have AOS (or contracting </w:t>
      </w:r>
      <w:proofErr w:type="spellStart"/>
      <w:r w:rsidRPr="001E5B56">
        <w:rPr>
          <w:rFonts w:ascii="Times New Roman" w:hAnsi="Times New Roman"/>
          <w:sz w:val="22"/>
          <w:szCs w:val="22"/>
        </w:rPr>
        <w:t>IPA’s</w:t>
      </w:r>
      <w:proofErr w:type="spellEnd"/>
      <w:r w:rsidRPr="001E5B56">
        <w:rPr>
          <w:rFonts w:ascii="Times New Roman" w:hAnsi="Times New Roman"/>
          <w:sz w:val="22"/>
          <w:szCs w:val="22"/>
        </w:rPr>
        <w:t>) audit this information at the management company. AOS will examine the books, records, and other supporting documentation prepared and maintained by the management company.</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Alternatively, AOS will accept a management company's independently audited financial statements as meeting the requirements of Ohio Rev. Code § 3314.024, provided the audit meets the audit and disclosure requirements set forth in the following paragraph.  (</w:t>
      </w:r>
      <w:proofErr w:type="spellStart"/>
      <w:r w:rsidRPr="001E5B56">
        <w:rPr>
          <w:rFonts w:ascii="Times New Roman" w:hAnsi="Times New Roman"/>
          <w:sz w:val="22"/>
          <w:szCs w:val="22"/>
        </w:rPr>
        <w:t>IPA’s</w:t>
      </w:r>
      <w:proofErr w:type="spellEnd"/>
      <w:r w:rsidRPr="001E5B56">
        <w:rPr>
          <w:rFonts w:ascii="Times New Roman" w:hAnsi="Times New Roman"/>
          <w:sz w:val="22"/>
          <w:szCs w:val="22"/>
        </w:rPr>
        <w:t xml:space="preserve"> may e</w:t>
      </w:r>
      <w:r w:rsidR="004631F9">
        <w:rPr>
          <w:rFonts w:ascii="Times New Roman" w:hAnsi="Times New Roman"/>
          <w:sz w:val="22"/>
          <w:szCs w:val="22"/>
        </w:rPr>
        <w:t>lect to follow this guidance.):</w:t>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9C1D1B" w:rsidRDefault="001066F3" w:rsidP="004631F9">
      <w:pPr>
        <w:tabs>
          <w:tab w:val="left" w:pos="720"/>
          <w:tab w:val="right" w:leader="dot" w:pos="8640"/>
        </w:tabs>
        <w:ind w:left="720"/>
        <w:jc w:val="both"/>
        <w:rPr>
          <w:rFonts w:ascii="Times New Roman" w:hAnsi="Times New Roman"/>
          <w:sz w:val="22"/>
          <w:szCs w:val="22"/>
        </w:rPr>
      </w:pPr>
      <w:r w:rsidRPr="001E5B56">
        <w:rPr>
          <w:rFonts w:ascii="Times New Roman" w:hAnsi="Times New Roman"/>
          <w:sz w:val="22"/>
          <w:szCs w:val="22"/>
        </w:rPr>
        <w:t>Where a management company manages more than one community school or has other “lines of business” in addition to managing a community school, AOS will require a statement showing direct and allocated indirect (e.g., overhead) expenses for each school. The companies should present this statement in a combining or consolidating format (i.e., present a column for each school). Additionally, the American Institute</w:t>
      </w:r>
      <w:r w:rsidR="00C56CB7">
        <w:rPr>
          <w:rFonts w:ascii="Times New Roman" w:hAnsi="Times New Roman"/>
          <w:sz w:val="22"/>
          <w:szCs w:val="22"/>
        </w:rPr>
        <w:t xml:space="preserve"> of Certified Public Accountant</w:t>
      </w:r>
      <w:r w:rsidRPr="001E5B56">
        <w:rPr>
          <w:rFonts w:ascii="Times New Roman" w:hAnsi="Times New Roman"/>
          <w:sz w:val="22"/>
          <w:szCs w:val="22"/>
        </w:rPr>
        <w:t>s</w:t>
      </w:r>
      <w:r w:rsidR="00C56CB7">
        <w:rPr>
          <w:rFonts w:ascii="Times New Roman" w:hAnsi="Times New Roman"/>
          <w:sz w:val="22"/>
          <w:szCs w:val="22"/>
        </w:rPr>
        <w:t>’</w:t>
      </w:r>
      <w:r w:rsidRPr="001E5B56">
        <w:rPr>
          <w:rFonts w:ascii="Times New Roman" w:hAnsi="Times New Roman"/>
          <w:sz w:val="22"/>
          <w:szCs w:val="22"/>
        </w:rPr>
        <w:t xml:space="preserve"> (</w:t>
      </w:r>
      <w:proofErr w:type="spellStart"/>
      <w:r w:rsidRPr="001E5B56">
        <w:rPr>
          <w:rFonts w:ascii="Times New Roman" w:hAnsi="Times New Roman"/>
          <w:sz w:val="22"/>
          <w:szCs w:val="22"/>
        </w:rPr>
        <w:t>AICPA</w:t>
      </w:r>
      <w:proofErr w:type="spellEnd"/>
      <w:r w:rsidRPr="001E5B56">
        <w:rPr>
          <w:rFonts w:ascii="Times New Roman" w:hAnsi="Times New Roman"/>
          <w:sz w:val="22"/>
          <w:szCs w:val="22"/>
        </w:rPr>
        <w:t xml:space="preserve">) audit and accounting guide, </w:t>
      </w:r>
      <w:r w:rsidRPr="001E5B56">
        <w:rPr>
          <w:rFonts w:ascii="Times New Roman" w:hAnsi="Times New Roman"/>
          <w:i/>
          <w:sz w:val="22"/>
          <w:szCs w:val="22"/>
        </w:rPr>
        <w:t>Not-for-Profit Organizations</w:t>
      </w:r>
      <w:r w:rsidRPr="001E5B56">
        <w:rPr>
          <w:rFonts w:ascii="Times New Roman" w:hAnsi="Times New Roman"/>
          <w:sz w:val="22"/>
          <w:szCs w:val="22"/>
        </w:rPr>
        <w:t xml:space="preserve">, </w:t>
      </w:r>
      <w:r w:rsidRPr="009C1D1B">
        <w:rPr>
          <w:rFonts w:ascii="Times New Roman" w:hAnsi="Times New Roman"/>
          <w:sz w:val="22"/>
          <w:szCs w:val="22"/>
        </w:rPr>
        <w:t>sections 14.</w:t>
      </w:r>
      <w:r w:rsidRPr="009C1D1B">
        <w:rPr>
          <w:rFonts w:ascii="Times New Roman" w:hAnsi="Times New Roman"/>
          <w:strike/>
          <w:sz w:val="22"/>
          <w:szCs w:val="22"/>
        </w:rPr>
        <w:t>09</w:t>
      </w:r>
      <w:r w:rsidR="008C4760" w:rsidRPr="009C1D1B">
        <w:rPr>
          <w:rFonts w:ascii="Times New Roman" w:hAnsi="Times New Roman"/>
          <w:sz w:val="22"/>
          <w:szCs w:val="22"/>
          <w:u w:val="wave"/>
        </w:rPr>
        <w:t>11</w:t>
      </w:r>
      <w:r w:rsidRPr="009C1D1B">
        <w:rPr>
          <w:rFonts w:ascii="Times New Roman" w:hAnsi="Times New Roman"/>
          <w:sz w:val="22"/>
          <w:szCs w:val="22"/>
        </w:rPr>
        <w:t xml:space="preserve"> and 14.</w:t>
      </w:r>
      <w:r w:rsidRPr="009C1D1B">
        <w:rPr>
          <w:rFonts w:ascii="Times New Roman" w:hAnsi="Times New Roman"/>
          <w:strike/>
          <w:sz w:val="22"/>
          <w:szCs w:val="22"/>
        </w:rPr>
        <w:t>10</w:t>
      </w:r>
      <w:r w:rsidR="008C4760" w:rsidRPr="009C1D1B">
        <w:rPr>
          <w:rFonts w:ascii="Times New Roman" w:hAnsi="Times New Roman"/>
          <w:sz w:val="22"/>
          <w:szCs w:val="22"/>
          <w:u w:val="wave"/>
        </w:rPr>
        <w:t>12</w:t>
      </w:r>
      <w:r w:rsidRPr="009C1D1B">
        <w:rPr>
          <w:rFonts w:ascii="Times New Roman" w:hAnsi="Times New Roman"/>
          <w:sz w:val="22"/>
          <w:szCs w:val="22"/>
        </w:rPr>
        <w:t xml:space="preserve"> permits organizations to present this as supplemental information. Notes to the supplemental information should briefly describe the method used to allocate overhead costs. Since overhead allocations require subjective judgment, their amounts and allocation method should be considered disclosures of higher inherent risk.  (An example disclosure is in Appendix A to Bulletin 2004-009.).</w:t>
      </w:r>
    </w:p>
    <w:p w:rsidR="001066F3" w:rsidRPr="009C1D1B" w:rsidRDefault="001066F3" w:rsidP="006C6CA7">
      <w:pPr>
        <w:tabs>
          <w:tab w:val="left" w:pos="720"/>
          <w:tab w:val="right" w:leader="dot" w:pos="8640"/>
        </w:tabs>
        <w:jc w:val="both"/>
        <w:rPr>
          <w:rFonts w:ascii="Times New Roman" w:hAnsi="Times New Roman"/>
          <w:sz w:val="22"/>
          <w:szCs w:val="22"/>
        </w:rPr>
      </w:pPr>
    </w:p>
    <w:p w:rsidR="001066F3" w:rsidRPr="009C1D1B" w:rsidRDefault="001066F3" w:rsidP="006C6CA7">
      <w:pPr>
        <w:tabs>
          <w:tab w:val="left" w:pos="720"/>
          <w:tab w:val="right" w:leader="dot" w:pos="8640"/>
        </w:tabs>
        <w:jc w:val="both"/>
        <w:rPr>
          <w:rFonts w:ascii="Times New Roman" w:hAnsi="Times New Roman"/>
          <w:sz w:val="22"/>
          <w:szCs w:val="22"/>
        </w:rPr>
      </w:pPr>
      <w:r w:rsidRPr="009C1D1B">
        <w:rPr>
          <w:rFonts w:ascii="Times New Roman" w:hAnsi="Times New Roman"/>
          <w:sz w:val="22"/>
          <w:szCs w:val="22"/>
        </w:rPr>
        <w:t>Where a management company’s sole business is providing services to one community school, the company’s audited statements should suffice, if the statements classify expenses in substantial conformance with USAS object codes.  (</w:t>
      </w:r>
      <w:proofErr w:type="spellStart"/>
      <w:r w:rsidRPr="009C1D1B">
        <w:rPr>
          <w:rFonts w:ascii="Times New Roman" w:hAnsi="Times New Roman"/>
          <w:sz w:val="22"/>
          <w:szCs w:val="22"/>
        </w:rPr>
        <w:t>IPA’s</w:t>
      </w:r>
      <w:proofErr w:type="spellEnd"/>
      <w:r w:rsidRPr="009C1D1B">
        <w:rPr>
          <w:rFonts w:ascii="Times New Roman" w:hAnsi="Times New Roman"/>
          <w:sz w:val="22"/>
          <w:szCs w:val="22"/>
        </w:rPr>
        <w:t xml:space="preserve"> may elect to follow this guidance.</w:t>
      </w:r>
      <w:r w:rsidR="00681BA7" w:rsidRPr="009C1D1B">
        <w:rPr>
          <w:rFonts w:ascii="Times New Roman" w:hAnsi="Times New Roman"/>
          <w:sz w:val="22"/>
          <w:szCs w:val="22"/>
        </w:rPr>
        <w:t>)</w:t>
      </w:r>
    </w:p>
    <w:p w:rsidR="001066F3" w:rsidRPr="009C1D1B" w:rsidRDefault="001066F3" w:rsidP="006C6CA7">
      <w:pPr>
        <w:tabs>
          <w:tab w:val="left" w:pos="720"/>
          <w:tab w:val="right" w:leader="dot" w:pos="8640"/>
        </w:tabs>
        <w:jc w:val="both"/>
        <w:rPr>
          <w:rFonts w:ascii="Times New Roman" w:hAnsi="Times New Roman"/>
          <w:sz w:val="22"/>
          <w:szCs w:val="22"/>
        </w:rPr>
      </w:pPr>
    </w:p>
    <w:p w:rsidR="001066F3" w:rsidRPr="009C1D1B" w:rsidRDefault="001066F3" w:rsidP="006C6CA7">
      <w:pPr>
        <w:tabs>
          <w:tab w:val="left" w:pos="720"/>
          <w:tab w:val="right" w:leader="dot" w:pos="8640"/>
        </w:tabs>
        <w:jc w:val="both"/>
        <w:rPr>
          <w:rFonts w:ascii="Times New Roman" w:hAnsi="Times New Roman"/>
          <w:sz w:val="22"/>
          <w:szCs w:val="22"/>
        </w:rPr>
      </w:pPr>
      <w:r w:rsidRPr="009C1D1B">
        <w:rPr>
          <w:rFonts w:ascii="Times New Roman" w:hAnsi="Times New Roman"/>
          <w:sz w:val="22"/>
          <w:szCs w:val="22"/>
        </w:rPr>
        <w:t xml:space="preserve">The </w:t>
      </w:r>
      <w:r w:rsidR="00CE3348" w:rsidRPr="009C1D1B">
        <w:rPr>
          <w:rFonts w:ascii="Times New Roman" w:hAnsi="Times New Roman"/>
          <w:sz w:val="22"/>
          <w:szCs w:val="22"/>
        </w:rPr>
        <w:t xml:space="preserve">management company’s </w:t>
      </w:r>
      <w:r w:rsidRPr="009C1D1B">
        <w:rPr>
          <w:rFonts w:ascii="Times New Roman" w:hAnsi="Times New Roman"/>
          <w:sz w:val="22"/>
          <w:szCs w:val="22"/>
        </w:rPr>
        <w:t xml:space="preserve">audit opinion must extend to the combining or consolidating columns. Auditors of community schools must set their materiality threshold to include assurance the supplemental information for each school is not materially misstated. 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  </w:t>
      </w:r>
    </w:p>
    <w:p w:rsidR="001066F3" w:rsidRPr="009C1D1B" w:rsidRDefault="001066F3" w:rsidP="006C6CA7">
      <w:pPr>
        <w:tabs>
          <w:tab w:val="left" w:pos="720"/>
          <w:tab w:val="right" w:leader="dot" w:pos="8640"/>
        </w:tabs>
        <w:jc w:val="both"/>
        <w:rPr>
          <w:rFonts w:ascii="Times New Roman" w:hAnsi="Times New Roman"/>
          <w:b/>
          <w:sz w:val="22"/>
          <w:szCs w:val="22"/>
        </w:rPr>
      </w:pPr>
    </w:p>
    <w:p w:rsidR="001066F3" w:rsidRPr="009C1D1B" w:rsidRDefault="001066F3" w:rsidP="006C6CA7">
      <w:pPr>
        <w:tabs>
          <w:tab w:val="left" w:pos="720"/>
          <w:tab w:val="right" w:leader="dot" w:pos="8640"/>
        </w:tabs>
        <w:jc w:val="both"/>
        <w:rPr>
          <w:rFonts w:ascii="Times New Roman" w:hAnsi="Times New Roman"/>
          <w:b/>
          <w:sz w:val="22"/>
          <w:szCs w:val="22"/>
        </w:rPr>
      </w:pPr>
      <w:r w:rsidRPr="009C1D1B">
        <w:rPr>
          <w:rFonts w:ascii="Times New Roman" w:hAnsi="Times New Roman"/>
          <w:b/>
          <w:sz w:val="22"/>
          <w:szCs w:val="22"/>
        </w:rPr>
        <w:t>Agreed Upon Procedures Guidelines</w:t>
      </w:r>
    </w:p>
    <w:p w:rsidR="001066F3" w:rsidRPr="009C1D1B" w:rsidRDefault="001066F3" w:rsidP="006C6CA7">
      <w:pPr>
        <w:tabs>
          <w:tab w:val="left" w:pos="720"/>
          <w:tab w:val="right" w:leader="dot" w:pos="8640"/>
        </w:tabs>
        <w:jc w:val="both"/>
        <w:rPr>
          <w:rFonts w:ascii="Times New Roman" w:hAnsi="Times New Roman"/>
          <w:strike/>
          <w:sz w:val="22"/>
          <w:szCs w:val="22"/>
        </w:rPr>
      </w:pPr>
      <w:r w:rsidRPr="009C1D1B">
        <w:rPr>
          <w:rFonts w:ascii="Times New Roman" w:hAnsi="Times New Roman"/>
          <w:strike/>
          <w:sz w:val="22"/>
          <w:szCs w:val="22"/>
        </w:rPr>
        <w:t>A management company may decide to issue financial statements for which its independent auditors have only opined on the fair presentation of individual community school expenses by object code in relation to the company’s basic statements taken as a whole. As this Bulletin describes, this does not provide AOS with enough assurance to provide an unqualified opinion on a community school’s disclosure of management company expenses. However, we can accept this presentation if the auditor provides us an agreed-upon procedures report following these guidelines.</w:t>
      </w:r>
    </w:p>
    <w:p w:rsidR="001066F3" w:rsidRPr="009C1D1B" w:rsidRDefault="001066F3" w:rsidP="006C6CA7">
      <w:pPr>
        <w:tabs>
          <w:tab w:val="left" w:pos="720"/>
          <w:tab w:val="right" w:leader="dot" w:pos="8640"/>
        </w:tabs>
        <w:jc w:val="both"/>
        <w:rPr>
          <w:rFonts w:ascii="Times New Roman" w:hAnsi="Times New Roman"/>
          <w:strike/>
          <w:sz w:val="22"/>
          <w:szCs w:val="22"/>
        </w:rPr>
      </w:pPr>
    </w:p>
    <w:p w:rsidR="001066F3" w:rsidRPr="009C1D1B" w:rsidRDefault="001066F3" w:rsidP="009F24E3">
      <w:pPr>
        <w:numPr>
          <w:ilvl w:val="0"/>
          <w:numId w:val="3"/>
        </w:numPr>
        <w:tabs>
          <w:tab w:val="clear" w:pos="720"/>
          <w:tab w:val="left" w:pos="360"/>
          <w:tab w:val="right" w:leader="dot" w:pos="8640"/>
        </w:tabs>
        <w:ind w:left="360"/>
        <w:jc w:val="both"/>
        <w:rPr>
          <w:rFonts w:ascii="Times New Roman" w:hAnsi="Times New Roman"/>
          <w:strike/>
          <w:sz w:val="22"/>
          <w:szCs w:val="22"/>
        </w:rPr>
      </w:pPr>
      <w:r w:rsidRPr="009C1D1B">
        <w:rPr>
          <w:rFonts w:ascii="Times New Roman" w:hAnsi="Times New Roman"/>
          <w:strike/>
          <w:sz w:val="22"/>
          <w:szCs w:val="22"/>
        </w:rPr>
        <w:t xml:space="preserve">The engagement should follow Chapter 2, Agreed-Upon Procedures Engagements, from the </w:t>
      </w:r>
      <w:r w:rsidR="008E2EDF" w:rsidRPr="009C1D1B">
        <w:rPr>
          <w:rFonts w:ascii="Times New Roman" w:hAnsi="Times New Roman"/>
          <w:strike/>
          <w:sz w:val="22"/>
          <w:szCs w:val="22"/>
        </w:rPr>
        <w:t xml:space="preserve">   </w:t>
      </w:r>
      <w:proofErr w:type="spellStart"/>
      <w:r w:rsidRPr="009C1D1B">
        <w:rPr>
          <w:rFonts w:ascii="Times New Roman" w:hAnsi="Times New Roman"/>
          <w:strike/>
          <w:sz w:val="22"/>
          <w:szCs w:val="22"/>
        </w:rPr>
        <w:t>AICPA’s</w:t>
      </w:r>
      <w:proofErr w:type="spellEnd"/>
      <w:r w:rsidRPr="009C1D1B">
        <w:rPr>
          <w:rFonts w:ascii="Times New Roman" w:hAnsi="Times New Roman"/>
          <w:strike/>
          <w:sz w:val="22"/>
          <w:szCs w:val="22"/>
        </w:rPr>
        <w:t xml:space="preserve"> </w:t>
      </w:r>
      <w:r w:rsidRPr="009C1D1B">
        <w:rPr>
          <w:rFonts w:ascii="Times New Roman" w:hAnsi="Times New Roman"/>
          <w:i/>
          <w:strike/>
          <w:sz w:val="22"/>
          <w:szCs w:val="22"/>
        </w:rPr>
        <w:t>Statement on Standards for Attestation Engagements No. 10</w:t>
      </w:r>
      <w:r w:rsidRPr="009C1D1B">
        <w:rPr>
          <w:rFonts w:ascii="Times New Roman" w:hAnsi="Times New Roman"/>
          <w:strike/>
          <w:sz w:val="22"/>
          <w:szCs w:val="22"/>
        </w:rPr>
        <w:t xml:space="preserve"> (</w:t>
      </w:r>
      <w:proofErr w:type="spellStart"/>
      <w:r w:rsidRPr="009C1D1B">
        <w:rPr>
          <w:rFonts w:ascii="Times New Roman" w:hAnsi="Times New Roman"/>
          <w:strike/>
          <w:sz w:val="22"/>
          <w:szCs w:val="22"/>
        </w:rPr>
        <w:t>SSAE</w:t>
      </w:r>
      <w:proofErr w:type="spellEnd"/>
      <w:r w:rsidRPr="009C1D1B">
        <w:rPr>
          <w:rFonts w:ascii="Times New Roman" w:hAnsi="Times New Roman"/>
          <w:strike/>
          <w:sz w:val="22"/>
          <w:szCs w:val="22"/>
        </w:rPr>
        <w:t xml:space="preserve"> 10).</w:t>
      </w:r>
    </w:p>
    <w:p w:rsidR="001066F3" w:rsidRPr="009C1D1B" w:rsidRDefault="001066F3" w:rsidP="006C6CA7">
      <w:pPr>
        <w:tabs>
          <w:tab w:val="left" w:pos="720"/>
          <w:tab w:val="right" w:leader="dot" w:pos="8640"/>
        </w:tabs>
        <w:jc w:val="both"/>
        <w:rPr>
          <w:rFonts w:ascii="Times New Roman" w:hAnsi="Times New Roman"/>
          <w:strike/>
          <w:sz w:val="22"/>
          <w:szCs w:val="22"/>
        </w:rPr>
      </w:pPr>
    </w:p>
    <w:p w:rsidR="001066F3" w:rsidRPr="009C1D1B" w:rsidRDefault="001066F3" w:rsidP="009F24E3">
      <w:pPr>
        <w:numPr>
          <w:ilvl w:val="0"/>
          <w:numId w:val="3"/>
        </w:numPr>
        <w:tabs>
          <w:tab w:val="clear" w:pos="720"/>
          <w:tab w:val="left" w:pos="360"/>
          <w:tab w:val="right" w:leader="dot" w:pos="8640"/>
        </w:tabs>
        <w:ind w:hanging="720"/>
        <w:jc w:val="both"/>
        <w:rPr>
          <w:rFonts w:ascii="Times New Roman" w:hAnsi="Times New Roman"/>
          <w:strike/>
          <w:sz w:val="22"/>
          <w:szCs w:val="22"/>
        </w:rPr>
      </w:pPr>
      <w:r w:rsidRPr="009C1D1B">
        <w:rPr>
          <w:rFonts w:ascii="Times New Roman" w:hAnsi="Times New Roman"/>
          <w:strike/>
          <w:sz w:val="22"/>
          <w:szCs w:val="22"/>
        </w:rPr>
        <w:t xml:space="preserve">Per </w:t>
      </w:r>
      <w:r w:rsidR="00BB61FF" w:rsidRPr="009C1D1B">
        <w:rPr>
          <w:rFonts w:ascii="Times New Roman" w:hAnsi="Times New Roman"/>
          <w:strike/>
          <w:sz w:val="22"/>
          <w:szCs w:val="22"/>
        </w:rPr>
        <w:t>AT 201.11</w:t>
      </w:r>
      <w:r w:rsidRPr="009C1D1B">
        <w:rPr>
          <w:rFonts w:ascii="Times New Roman" w:hAnsi="Times New Roman"/>
          <w:strike/>
          <w:sz w:val="22"/>
          <w:szCs w:val="22"/>
        </w:rPr>
        <w:t>, AOS will be a specified party permitted to rely on the report.</w:t>
      </w:r>
    </w:p>
    <w:p w:rsidR="001066F3" w:rsidRPr="009C1D1B" w:rsidRDefault="001066F3" w:rsidP="006C6CA7">
      <w:pPr>
        <w:tabs>
          <w:tab w:val="left" w:pos="720"/>
          <w:tab w:val="right" w:leader="dot" w:pos="8640"/>
        </w:tabs>
        <w:jc w:val="both"/>
        <w:rPr>
          <w:rFonts w:ascii="Times New Roman" w:hAnsi="Times New Roman"/>
          <w:strike/>
          <w:sz w:val="22"/>
          <w:szCs w:val="22"/>
        </w:rPr>
      </w:pPr>
    </w:p>
    <w:p w:rsidR="001066F3" w:rsidRPr="009C1D1B" w:rsidRDefault="001066F3" w:rsidP="009F24E3">
      <w:pPr>
        <w:numPr>
          <w:ilvl w:val="0"/>
          <w:numId w:val="3"/>
        </w:numPr>
        <w:tabs>
          <w:tab w:val="clear" w:pos="720"/>
          <w:tab w:val="left" w:pos="360"/>
          <w:tab w:val="right" w:leader="dot" w:pos="8640"/>
        </w:tabs>
        <w:ind w:hanging="720"/>
        <w:jc w:val="both"/>
        <w:rPr>
          <w:rFonts w:ascii="Times New Roman" w:hAnsi="Times New Roman"/>
          <w:strike/>
          <w:sz w:val="22"/>
          <w:szCs w:val="22"/>
        </w:rPr>
      </w:pPr>
      <w:r w:rsidRPr="009C1D1B">
        <w:rPr>
          <w:rFonts w:ascii="Times New Roman" w:hAnsi="Times New Roman"/>
          <w:strike/>
          <w:sz w:val="22"/>
          <w:szCs w:val="22"/>
        </w:rPr>
        <w:t>As a specified party, AOS requires the following procedures:</w:t>
      </w:r>
    </w:p>
    <w:p w:rsidR="001066F3" w:rsidRPr="009C1D1B" w:rsidRDefault="001066F3" w:rsidP="006C6CA7">
      <w:pPr>
        <w:tabs>
          <w:tab w:val="left" w:pos="720"/>
          <w:tab w:val="right" w:leader="dot" w:pos="8640"/>
        </w:tabs>
        <w:jc w:val="both"/>
        <w:rPr>
          <w:rFonts w:ascii="Times New Roman" w:hAnsi="Times New Roman"/>
          <w:strike/>
          <w:sz w:val="22"/>
          <w:szCs w:val="22"/>
        </w:rPr>
      </w:pPr>
    </w:p>
    <w:p w:rsidR="001066F3" w:rsidRPr="009C1D1B" w:rsidRDefault="001066F3" w:rsidP="009F24E3">
      <w:pPr>
        <w:numPr>
          <w:ilvl w:val="1"/>
          <w:numId w:val="3"/>
        </w:numPr>
        <w:tabs>
          <w:tab w:val="clear" w:pos="1440"/>
          <w:tab w:val="left" w:pos="720"/>
          <w:tab w:val="right" w:leader="dot" w:pos="8640"/>
        </w:tabs>
        <w:ind w:left="720"/>
        <w:jc w:val="both"/>
        <w:rPr>
          <w:rFonts w:ascii="Times New Roman" w:hAnsi="Times New Roman"/>
          <w:strike/>
          <w:sz w:val="22"/>
          <w:szCs w:val="22"/>
        </w:rPr>
      </w:pPr>
      <w:r w:rsidRPr="009C1D1B">
        <w:rPr>
          <w:rFonts w:ascii="Times New Roman" w:hAnsi="Times New Roman"/>
          <w:strike/>
          <w:sz w:val="22"/>
          <w:szCs w:val="22"/>
        </w:rPr>
        <w:t>Haphazardly or randomly select 100</w:t>
      </w:r>
      <w:r w:rsidR="00D56AA5" w:rsidRPr="009C1D1B">
        <w:rPr>
          <w:rStyle w:val="FootnoteReference"/>
          <w:rFonts w:ascii="Times New Roman" w:hAnsi="Times New Roman"/>
          <w:strike/>
          <w:sz w:val="22"/>
          <w:szCs w:val="22"/>
        </w:rPr>
        <w:footnoteReference w:id="11"/>
      </w:r>
      <w:r w:rsidRPr="009C1D1B">
        <w:rPr>
          <w:rFonts w:ascii="Times New Roman" w:hAnsi="Times New Roman"/>
          <w:strike/>
          <w:sz w:val="22"/>
          <w:szCs w:val="22"/>
        </w:rPr>
        <w:t xml:space="preserve"> direct </w:t>
      </w:r>
      <w:proofErr w:type="spellStart"/>
      <w:r w:rsidRPr="009C1D1B">
        <w:rPr>
          <w:rFonts w:ascii="Times New Roman" w:hAnsi="Times New Roman"/>
          <w:strike/>
          <w:sz w:val="22"/>
          <w:szCs w:val="22"/>
        </w:rPr>
        <w:t>nonpayroll</w:t>
      </w:r>
      <w:proofErr w:type="spellEnd"/>
      <w:r w:rsidRPr="009C1D1B">
        <w:rPr>
          <w:rFonts w:ascii="Times New Roman" w:hAnsi="Times New Roman"/>
          <w:strike/>
          <w:sz w:val="22"/>
          <w:szCs w:val="22"/>
        </w:rPr>
        <w:t xml:space="preserve"> expense transactions (checks, </w:t>
      </w:r>
      <w:proofErr w:type="spellStart"/>
      <w:r w:rsidRPr="009C1D1B">
        <w:rPr>
          <w:rFonts w:ascii="Times New Roman" w:hAnsi="Times New Roman"/>
          <w:strike/>
          <w:sz w:val="22"/>
          <w:szCs w:val="22"/>
        </w:rPr>
        <w:t>EFTs</w:t>
      </w:r>
      <w:proofErr w:type="spellEnd"/>
      <w:r w:rsidRPr="009C1D1B">
        <w:rPr>
          <w:rFonts w:ascii="Times New Roman" w:hAnsi="Times New Roman"/>
          <w:strike/>
          <w:sz w:val="22"/>
          <w:szCs w:val="22"/>
        </w:rPr>
        <w:t>, etc.) the management company charged to its community schools.</w:t>
      </w:r>
    </w:p>
    <w:p w:rsidR="001066F3" w:rsidRPr="009C1D1B" w:rsidRDefault="001066F3" w:rsidP="00265206">
      <w:pPr>
        <w:tabs>
          <w:tab w:val="left" w:pos="720"/>
          <w:tab w:val="right" w:leader="dot" w:pos="8640"/>
        </w:tabs>
        <w:ind w:left="720" w:hanging="360"/>
        <w:jc w:val="both"/>
        <w:rPr>
          <w:rFonts w:ascii="Times New Roman" w:hAnsi="Times New Roman"/>
          <w:strike/>
          <w:sz w:val="22"/>
          <w:szCs w:val="22"/>
        </w:rPr>
      </w:pPr>
    </w:p>
    <w:p w:rsidR="001066F3" w:rsidRPr="009C1D1B" w:rsidRDefault="001066F3" w:rsidP="009F24E3">
      <w:pPr>
        <w:numPr>
          <w:ilvl w:val="1"/>
          <w:numId w:val="3"/>
        </w:numPr>
        <w:tabs>
          <w:tab w:val="clear" w:pos="1440"/>
          <w:tab w:val="left" w:pos="720"/>
          <w:tab w:val="right" w:leader="dot" w:pos="8640"/>
        </w:tabs>
        <w:ind w:left="720"/>
        <w:jc w:val="both"/>
        <w:rPr>
          <w:rFonts w:ascii="Times New Roman" w:hAnsi="Times New Roman"/>
          <w:strike/>
          <w:sz w:val="22"/>
          <w:szCs w:val="22"/>
        </w:rPr>
      </w:pPr>
      <w:r w:rsidRPr="009C1D1B">
        <w:rPr>
          <w:rFonts w:ascii="Times New Roman" w:hAnsi="Times New Roman"/>
          <w:strike/>
          <w:sz w:val="22"/>
          <w:szCs w:val="22"/>
        </w:rPr>
        <w:t xml:space="preserve">Compare the amount charged to the school to supporting documentation, including a canceled check (or </w:t>
      </w:r>
      <w:proofErr w:type="spellStart"/>
      <w:r w:rsidRPr="009C1D1B">
        <w:rPr>
          <w:rFonts w:ascii="Times New Roman" w:hAnsi="Times New Roman"/>
          <w:strike/>
          <w:sz w:val="22"/>
          <w:szCs w:val="22"/>
        </w:rPr>
        <w:t>EFT</w:t>
      </w:r>
      <w:proofErr w:type="spellEnd"/>
      <w:r w:rsidRPr="009C1D1B">
        <w:rPr>
          <w:rFonts w:ascii="Times New Roman" w:hAnsi="Times New Roman"/>
          <w:strike/>
          <w:sz w:val="22"/>
          <w:szCs w:val="22"/>
        </w:rPr>
        <w:t xml:space="preserve"> documentation, etc.) and vendor invoice, supporting that the cost:</w:t>
      </w:r>
    </w:p>
    <w:p w:rsidR="003836EF" w:rsidRPr="009C1D1B" w:rsidRDefault="003836EF" w:rsidP="003836EF">
      <w:pPr>
        <w:tabs>
          <w:tab w:val="right" w:leader="dot" w:pos="8640"/>
        </w:tabs>
        <w:jc w:val="both"/>
        <w:rPr>
          <w:rFonts w:ascii="Times New Roman" w:hAnsi="Times New Roman"/>
          <w:strike/>
          <w:sz w:val="22"/>
          <w:szCs w:val="22"/>
        </w:rPr>
      </w:pPr>
    </w:p>
    <w:p w:rsidR="003836EF" w:rsidRPr="009C1D1B" w:rsidRDefault="003836EF" w:rsidP="009F24E3">
      <w:pPr>
        <w:numPr>
          <w:ilvl w:val="0"/>
          <w:numId w:val="7"/>
        </w:numPr>
        <w:tabs>
          <w:tab w:val="clear" w:pos="1815"/>
          <w:tab w:val="left" w:pos="1095"/>
          <w:tab w:val="num" w:pos="1440"/>
        </w:tabs>
        <w:ind w:hanging="555"/>
        <w:jc w:val="both"/>
        <w:rPr>
          <w:rFonts w:ascii="Times New Roman" w:hAnsi="Times New Roman"/>
          <w:strike/>
          <w:sz w:val="22"/>
          <w:szCs w:val="22"/>
        </w:rPr>
      </w:pPr>
      <w:r w:rsidRPr="009C1D1B">
        <w:rPr>
          <w:rFonts w:ascii="Times New Roman" w:hAnsi="Times New Roman"/>
          <w:strike/>
          <w:sz w:val="22"/>
          <w:szCs w:val="22"/>
        </w:rPr>
        <w:t xml:space="preserve">Is a direct expense benefiting the </w:t>
      </w:r>
      <w:proofErr w:type="gramStart"/>
      <w:r w:rsidRPr="009C1D1B">
        <w:rPr>
          <w:rFonts w:ascii="Times New Roman" w:hAnsi="Times New Roman"/>
          <w:strike/>
          <w:sz w:val="22"/>
          <w:szCs w:val="22"/>
        </w:rPr>
        <w:t>school.</w:t>
      </w:r>
      <w:proofErr w:type="gramEnd"/>
    </w:p>
    <w:p w:rsidR="003836EF" w:rsidRPr="009C1D1B" w:rsidRDefault="003836EF" w:rsidP="003836EF">
      <w:pPr>
        <w:tabs>
          <w:tab w:val="left" w:pos="1095"/>
        </w:tabs>
        <w:ind w:left="1260"/>
        <w:jc w:val="both"/>
        <w:rPr>
          <w:rFonts w:ascii="Times New Roman" w:hAnsi="Times New Roman"/>
          <w:strike/>
          <w:sz w:val="22"/>
          <w:szCs w:val="22"/>
        </w:rPr>
      </w:pPr>
    </w:p>
    <w:p w:rsidR="003836EF" w:rsidRPr="009C1D1B" w:rsidRDefault="003836EF" w:rsidP="009F24E3">
      <w:pPr>
        <w:numPr>
          <w:ilvl w:val="0"/>
          <w:numId w:val="7"/>
        </w:numPr>
        <w:tabs>
          <w:tab w:val="clear" w:pos="1815"/>
          <w:tab w:val="left" w:pos="1095"/>
          <w:tab w:val="num" w:pos="1440"/>
        </w:tabs>
        <w:ind w:hanging="555"/>
        <w:jc w:val="both"/>
        <w:rPr>
          <w:rFonts w:ascii="Times New Roman" w:hAnsi="Times New Roman"/>
          <w:strike/>
          <w:sz w:val="22"/>
          <w:szCs w:val="22"/>
        </w:rPr>
      </w:pPr>
      <w:r w:rsidRPr="009C1D1B">
        <w:rPr>
          <w:rFonts w:ascii="Times New Roman" w:hAnsi="Times New Roman"/>
          <w:strike/>
          <w:sz w:val="22"/>
          <w:szCs w:val="22"/>
        </w:rPr>
        <w:t>Is recorded for the proper amount for the proper period in the accounting system.</w:t>
      </w:r>
    </w:p>
    <w:p w:rsidR="003836EF" w:rsidRPr="009C1D1B" w:rsidRDefault="003836EF" w:rsidP="003836EF">
      <w:pPr>
        <w:tabs>
          <w:tab w:val="left" w:pos="1095"/>
        </w:tabs>
        <w:jc w:val="both"/>
        <w:rPr>
          <w:rFonts w:ascii="Times New Roman" w:hAnsi="Times New Roman"/>
          <w:strike/>
          <w:sz w:val="22"/>
          <w:szCs w:val="22"/>
        </w:rPr>
      </w:pPr>
    </w:p>
    <w:p w:rsidR="003836EF" w:rsidRPr="009C1D1B" w:rsidRDefault="003836EF" w:rsidP="009F24E3">
      <w:pPr>
        <w:numPr>
          <w:ilvl w:val="0"/>
          <w:numId w:val="7"/>
        </w:numPr>
        <w:tabs>
          <w:tab w:val="clear" w:pos="1815"/>
          <w:tab w:val="left" w:pos="1095"/>
          <w:tab w:val="num" w:pos="1440"/>
        </w:tabs>
        <w:ind w:hanging="555"/>
        <w:jc w:val="both"/>
        <w:rPr>
          <w:rFonts w:ascii="Times New Roman" w:hAnsi="Times New Roman"/>
          <w:strike/>
          <w:sz w:val="22"/>
          <w:szCs w:val="22"/>
        </w:rPr>
      </w:pPr>
      <w:r w:rsidRPr="009C1D1B">
        <w:rPr>
          <w:rFonts w:ascii="Times New Roman" w:hAnsi="Times New Roman"/>
          <w:strike/>
          <w:sz w:val="22"/>
          <w:szCs w:val="22"/>
        </w:rPr>
        <w:t>Is charged to a proper object code.</w:t>
      </w:r>
    </w:p>
    <w:p w:rsidR="003836EF" w:rsidRPr="009C1D1B" w:rsidRDefault="003836EF" w:rsidP="003836EF">
      <w:pPr>
        <w:tabs>
          <w:tab w:val="left" w:pos="1095"/>
        </w:tabs>
        <w:jc w:val="both"/>
        <w:rPr>
          <w:rFonts w:ascii="Times New Roman" w:hAnsi="Times New Roman"/>
          <w:strike/>
          <w:sz w:val="22"/>
          <w:szCs w:val="22"/>
        </w:rPr>
      </w:pPr>
    </w:p>
    <w:p w:rsidR="003836EF" w:rsidRPr="009C1D1B" w:rsidRDefault="00726E34" w:rsidP="009F24E3">
      <w:pPr>
        <w:numPr>
          <w:ilvl w:val="1"/>
          <w:numId w:val="7"/>
        </w:numPr>
        <w:tabs>
          <w:tab w:val="clear" w:pos="2535"/>
          <w:tab w:val="left" w:pos="720"/>
          <w:tab w:val="num" w:pos="900"/>
        </w:tabs>
        <w:ind w:left="720"/>
        <w:jc w:val="both"/>
        <w:rPr>
          <w:rFonts w:ascii="Times New Roman" w:hAnsi="Times New Roman"/>
          <w:strike/>
          <w:sz w:val="22"/>
          <w:szCs w:val="22"/>
        </w:rPr>
      </w:pPr>
      <w:r w:rsidRPr="009C1D1B">
        <w:rPr>
          <w:rFonts w:ascii="Times New Roman" w:hAnsi="Times New Roman"/>
          <w:strike/>
          <w:sz w:val="22"/>
          <w:szCs w:val="22"/>
        </w:rPr>
        <w:t>Haphazardly or randomly select 100 direct payroll expense transactions, including salaries and benefits the management company charged to its community schools.</w:t>
      </w:r>
    </w:p>
    <w:p w:rsidR="00726E34" w:rsidRPr="009C1D1B" w:rsidRDefault="00726E34" w:rsidP="00726E34">
      <w:pPr>
        <w:tabs>
          <w:tab w:val="left" w:pos="720"/>
        </w:tabs>
        <w:jc w:val="both"/>
        <w:rPr>
          <w:rFonts w:ascii="Times New Roman" w:hAnsi="Times New Roman"/>
          <w:strike/>
          <w:sz w:val="22"/>
          <w:szCs w:val="22"/>
        </w:rPr>
      </w:pPr>
    </w:p>
    <w:p w:rsidR="00726E34" w:rsidRPr="009C1D1B" w:rsidRDefault="00726E34" w:rsidP="009F24E3">
      <w:pPr>
        <w:numPr>
          <w:ilvl w:val="1"/>
          <w:numId w:val="7"/>
        </w:numPr>
        <w:tabs>
          <w:tab w:val="clear" w:pos="2535"/>
          <w:tab w:val="num" w:pos="720"/>
        </w:tabs>
        <w:ind w:left="720"/>
        <w:jc w:val="both"/>
        <w:rPr>
          <w:rFonts w:ascii="Times New Roman" w:hAnsi="Times New Roman"/>
          <w:strike/>
          <w:sz w:val="22"/>
          <w:szCs w:val="22"/>
        </w:rPr>
      </w:pPr>
      <w:r w:rsidRPr="009C1D1B">
        <w:rPr>
          <w:rFonts w:ascii="Times New Roman" w:hAnsi="Times New Roman"/>
          <w:strike/>
          <w:sz w:val="22"/>
          <w:szCs w:val="22"/>
        </w:rPr>
        <w:t>Compare the amount charged to the school to supporting documentation, including a canceled check and to personnel files supporting that the cost:</w:t>
      </w:r>
    </w:p>
    <w:p w:rsidR="00726E34" w:rsidRPr="009C1D1B" w:rsidRDefault="00726E34" w:rsidP="00726E34">
      <w:pPr>
        <w:tabs>
          <w:tab w:val="left" w:pos="720"/>
        </w:tabs>
        <w:jc w:val="both"/>
        <w:rPr>
          <w:rFonts w:ascii="Times New Roman" w:hAnsi="Times New Roman"/>
          <w:strike/>
          <w:sz w:val="22"/>
          <w:szCs w:val="22"/>
        </w:rPr>
      </w:pPr>
    </w:p>
    <w:p w:rsidR="00726E34" w:rsidRPr="009C1D1B" w:rsidRDefault="00726E34" w:rsidP="009F24E3">
      <w:pPr>
        <w:numPr>
          <w:ilvl w:val="2"/>
          <w:numId w:val="7"/>
        </w:numPr>
        <w:tabs>
          <w:tab w:val="clear" w:pos="3435"/>
          <w:tab w:val="left" w:pos="720"/>
          <w:tab w:val="num" w:pos="1440"/>
        </w:tabs>
        <w:ind w:hanging="2175"/>
        <w:jc w:val="both"/>
        <w:rPr>
          <w:rFonts w:ascii="Times New Roman" w:hAnsi="Times New Roman"/>
          <w:strike/>
          <w:sz w:val="22"/>
          <w:szCs w:val="22"/>
        </w:rPr>
      </w:pPr>
      <w:r w:rsidRPr="009C1D1B">
        <w:rPr>
          <w:rFonts w:ascii="Times New Roman" w:hAnsi="Times New Roman"/>
          <w:strike/>
          <w:sz w:val="22"/>
          <w:szCs w:val="22"/>
        </w:rPr>
        <w:t>Is a direct expense paid to an employee for services provided solely to the school</w:t>
      </w:r>
    </w:p>
    <w:p w:rsidR="00726E34" w:rsidRPr="009C1D1B" w:rsidRDefault="00726E34" w:rsidP="00726E34">
      <w:pPr>
        <w:tabs>
          <w:tab w:val="left" w:pos="720"/>
        </w:tabs>
        <w:jc w:val="both"/>
        <w:rPr>
          <w:rFonts w:ascii="Times New Roman" w:hAnsi="Times New Roman"/>
          <w:strike/>
          <w:sz w:val="22"/>
          <w:szCs w:val="22"/>
        </w:rPr>
      </w:pPr>
    </w:p>
    <w:p w:rsidR="00726E34" w:rsidRPr="009C1D1B" w:rsidRDefault="00726E34" w:rsidP="009F24E3">
      <w:pPr>
        <w:numPr>
          <w:ilvl w:val="2"/>
          <w:numId w:val="7"/>
        </w:numPr>
        <w:tabs>
          <w:tab w:val="clear" w:pos="3435"/>
          <w:tab w:val="left" w:pos="720"/>
          <w:tab w:val="num" w:pos="1440"/>
        </w:tabs>
        <w:ind w:left="1440" w:hanging="180"/>
        <w:jc w:val="both"/>
        <w:rPr>
          <w:rFonts w:ascii="Times New Roman" w:hAnsi="Times New Roman"/>
          <w:strike/>
          <w:sz w:val="22"/>
          <w:szCs w:val="22"/>
        </w:rPr>
      </w:pPr>
      <w:r w:rsidRPr="009C1D1B">
        <w:rPr>
          <w:rFonts w:ascii="Times New Roman" w:hAnsi="Times New Roman"/>
          <w:strike/>
          <w:sz w:val="22"/>
          <w:szCs w:val="22"/>
        </w:rPr>
        <w:t>Is the cost recorded for the proper amount for the proper period in the accounting system</w:t>
      </w:r>
    </w:p>
    <w:p w:rsidR="00CD2D55" w:rsidRPr="009C1D1B" w:rsidRDefault="00CD2D55" w:rsidP="00CD2D55">
      <w:pPr>
        <w:tabs>
          <w:tab w:val="left" w:pos="720"/>
        </w:tabs>
        <w:jc w:val="both"/>
        <w:rPr>
          <w:rFonts w:ascii="Times New Roman" w:hAnsi="Times New Roman"/>
          <w:strike/>
          <w:sz w:val="22"/>
          <w:szCs w:val="22"/>
        </w:rPr>
      </w:pPr>
    </w:p>
    <w:p w:rsidR="00CD2D55" w:rsidRPr="009C1D1B" w:rsidRDefault="00CD2D55" w:rsidP="009F24E3">
      <w:pPr>
        <w:numPr>
          <w:ilvl w:val="2"/>
          <w:numId w:val="7"/>
        </w:numPr>
        <w:tabs>
          <w:tab w:val="clear" w:pos="3435"/>
          <w:tab w:val="left" w:pos="720"/>
          <w:tab w:val="num" w:pos="1440"/>
        </w:tabs>
        <w:ind w:hanging="2175"/>
        <w:jc w:val="both"/>
        <w:rPr>
          <w:rFonts w:ascii="Times New Roman" w:hAnsi="Times New Roman"/>
          <w:strike/>
          <w:sz w:val="22"/>
          <w:szCs w:val="22"/>
        </w:rPr>
      </w:pPr>
      <w:r w:rsidRPr="009C1D1B">
        <w:rPr>
          <w:rFonts w:ascii="Times New Roman" w:hAnsi="Times New Roman"/>
          <w:strike/>
          <w:sz w:val="22"/>
          <w:szCs w:val="22"/>
        </w:rPr>
        <w:t>Is the cost charged to a proper object code</w:t>
      </w:r>
    </w:p>
    <w:p w:rsidR="00CD2D55" w:rsidRPr="009C1D1B" w:rsidRDefault="00CD2D55" w:rsidP="00721CB7">
      <w:pPr>
        <w:tabs>
          <w:tab w:val="left" w:pos="720"/>
        </w:tabs>
        <w:jc w:val="both"/>
        <w:rPr>
          <w:rFonts w:ascii="Times New Roman" w:hAnsi="Times New Roman"/>
          <w:strike/>
          <w:sz w:val="22"/>
          <w:szCs w:val="22"/>
        </w:rPr>
      </w:pPr>
    </w:p>
    <w:p w:rsidR="00CD2D55" w:rsidRPr="009C1D1B" w:rsidRDefault="00CD2D55" w:rsidP="009F24E3">
      <w:pPr>
        <w:numPr>
          <w:ilvl w:val="3"/>
          <w:numId w:val="7"/>
        </w:numPr>
        <w:tabs>
          <w:tab w:val="clear" w:pos="3975"/>
          <w:tab w:val="num" w:pos="720"/>
        </w:tabs>
        <w:ind w:left="720"/>
        <w:jc w:val="both"/>
        <w:rPr>
          <w:rFonts w:ascii="Times New Roman" w:hAnsi="Times New Roman"/>
          <w:strike/>
          <w:sz w:val="22"/>
          <w:szCs w:val="22"/>
        </w:rPr>
      </w:pPr>
      <w:r w:rsidRPr="009C1D1B">
        <w:rPr>
          <w:rFonts w:ascii="Times New Roman" w:hAnsi="Times New Roman"/>
          <w:strike/>
          <w:sz w:val="22"/>
          <w:szCs w:val="22"/>
        </w:rPr>
        <w:t>Haphazardly or randomly select 100 expense transactions assigned to any indirect cost pool.</w:t>
      </w:r>
    </w:p>
    <w:p w:rsidR="00CD2D55" w:rsidRPr="009C1D1B" w:rsidRDefault="00CD2D55" w:rsidP="00CD2D55">
      <w:pPr>
        <w:jc w:val="both"/>
        <w:rPr>
          <w:rFonts w:ascii="Times New Roman" w:hAnsi="Times New Roman"/>
          <w:strike/>
          <w:sz w:val="22"/>
          <w:szCs w:val="22"/>
        </w:rPr>
      </w:pPr>
    </w:p>
    <w:p w:rsidR="00CD2D55" w:rsidRPr="009C1D1B" w:rsidRDefault="00CD2D55" w:rsidP="009F24E3">
      <w:pPr>
        <w:numPr>
          <w:ilvl w:val="4"/>
          <w:numId w:val="7"/>
        </w:numPr>
        <w:tabs>
          <w:tab w:val="clear" w:pos="4695"/>
          <w:tab w:val="left" w:pos="720"/>
          <w:tab w:val="num" w:pos="1440"/>
        </w:tabs>
        <w:ind w:left="1440" w:hanging="180"/>
        <w:jc w:val="both"/>
        <w:rPr>
          <w:rFonts w:ascii="Times New Roman" w:hAnsi="Times New Roman"/>
          <w:strike/>
          <w:sz w:val="22"/>
          <w:szCs w:val="22"/>
        </w:rPr>
      </w:pPr>
      <w:r w:rsidRPr="009C1D1B">
        <w:rPr>
          <w:rFonts w:ascii="Times New Roman" w:hAnsi="Times New Roman"/>
          <w:strike/>
          <w:sz w:val="22"/>
          <w:szCs w:val="22"/>
        </w:rPr>
        <w:t>Compare the transaction to source documentation, such as vendor invoice, personnel file, etc. supporting the cost indirectly benefits the schools or other activities to which it is allocated.</w:t>
      </w:r>
    </w:p>
    <w:p w:rsidR="00FF14E8" w:rsidRPr="009C1D1B" w:rsidRDefault="00FF14E8" w:rsidP="00FF14E8">
      <w:pPr>
        <w:jc w:val="both"/>
        <w:rPr>
          <w:rFonts w:ascii="Times New Roman" w:hAnsi="Times New Roman"/>
          <w:strike/>
          <w:sz w:val="22"/>
          <w:szCs w:val="22"/>
        </w:rPr>
      </w:pPr>
    </w:p>
    <w:p w:rsidR="00FF14E8" w:rsidRPr="009C1D1B" w:rsidRDefault="00FF14E8" w:rsidP="009F24E3">
      <w:pPr>
        <w:numPr>
          <w:ilvl w:val="4"/>
          <w:numId w:val="7"/>
        </w:numPr>
        <w:tabs>
          <w:tab w:val="clear" w:pos="4695"/>
          <w:tab w:val="left" w:pos="720"/>
          <w:tab w:val="num" w:pos="1440"/>
        </w:tabs>
        <w:ind w:left="1440" w:hanging="180"/>
        <w:jc w:val="both"/>
        <w:rPr>
          <w:rFonts w:ascii="Times New Roman" w:hAnsi="Times New Roman"/>
          <w:strike/>
          <w:sz w:val="22"/>
          <w:szCs w:val="22"/>
        </w:rPr>
      </w:pPr>
      <w:r w:rsidRPr="009C1D1B">
        <w:rPr>
          <w:rFonts w:ascii="Times New Roman" w:hAnsi="Times New Roman"/>
          <w:strike/>
          <w:sz w:val="22"/>
          <w:szCs w:val="22"/>
        </w:rPr>
        <w:t>Determine the transaction is recorded for the proper amount for the proper period in the accounting system.</w:t>
      </w:r>
    </w:p>
    <w:p w:rsidR="00FF14E8" w:rsidRPr="009C1D1B" w:rsidRDefault="00FF14E8" w:rsidP="00FF14E8">
      <w:pPr>
        <w:tabs>
          <w:tab w:val="left" w:pos="720"/>
        </w:tabs>
        <w:jc w:val="both"/>
        <w:rPr>
          <w:rFonts w:ascii="Times New Roman" w:hAnsi="Times New Roman"/>
          <w:strike/>
          <w:sz w:val="22"/>
          <w:szCs w:val="22"/>
        </w:rPr>
      </w:pPr>
    </w:p>
    <w:p w:rsidR="00FF14E8" w:rsidRPr="009C1D1B" w:rsidRDefault="00FF14E8" w:rsidP="009F24E3">
      <w:pPr>
        <w:numPr>
          <w:ilvl w:val="4"/>
          <w:numId w:val="7"/>
        </w:numPr>
        <w:tabs>
          <w:tab w:val="clear" w:pos="4695"/>
          <w:tab w:val="left" w:pos="720"/>
          <w:tab w:val="num" w:pos="1440"/>
        </w:tabs>
        <w:ind w:left="1440" w:hanging="180"/>
        <w:jc w:val="both"/>
        <w:rPr>
          <w:rFonts w:ascii="Times New Roman" w:hAnsi="Times New Roman"/>
          <w:strike/>
          <w:sz w:val="22"/>
          <w:szCs w:val="22"/>
        </w:rPr>
      </w:pPr>
      <w:r w:rsidRPr="009C1D1B">
        <w:rPr>
          <w:rFonts w:ascii="Times New Roman" w:hAnsi="Times New Roman"/>
          <w:strike/>
          <w:sz w:val="22"/>
          <w:szCs w:val="22"/>
        </w:rPr>
        <w:t xml:space="preserve">Obtain an understanding of the method the management company uses to pool and assign indirect costs to individual schools.  </w:t>
      </w:r>
      <w:proofErr w:type="spellStart"/>
      <w:r w:rsidRPr="009C1D1B">
        <w:rPr>
          <w:rFonts w:ascii="Times New Roman" w:hAnsi="Times New Roman"/>
          <w:strike/>
          <w:sz w:val="22"/>
          <w:szCs w:val="22"/>
        </w:rPr>
        <w:t>Recompute</w:t>
      </w:r>
      <w:proofErr w:type="spellEnd"/>
      <w:r w:rsidRPr="009C1D1B">
        <w:rPr>
          <w:rFonts w:ascii="Times New Roman" w:hAnsi="Times New Roman"/>
          <w:strike/>
          <w:sz w:val="22"/>
          <w:szCs w:val="22"/>
        </w:rPr>
        <w:t xml:space="preserve"> selected allocations for conformity with the method.</w:t>
      </w:r>
    </w:p>
    <w:p w:rsidR="00FF14E8" w:rsidRPr="009C1D1B" w:rsidRDefault="00FF14E8" w:rsidP="00FF14E8">
      <w:pPr>
        <w:tabs>
          <w:tab w:val="left" w:pos="720"/>
        </w:tabs>
        <w:jc w:val="both"/>
        <w:rPr>
          <w:rFonts w:ascii="Times New Roman" w:hAnsi="Times New Roman"/>
          <w:strike/>
          <w:sz w:val="22"/>
          <w:szCs w:val="22"/>
        </w:rPr>
      </w:pPr>
    </w:p>
    <w:p w:rsidR="00FF14E8" w:rsidRPr="009C1D1B" w:rsidRDefault="00FF14E8" w:rsidP="009F24E3">
      <w:pPr>
        <w:numPr>
          <w:ilvl w:val="4"/>
          <w:numId w:val="7"/>
        </w:numPr>
        <w:tabs>
          <w:tab w:val="clear" w:pos="4695"/>
          <w:tab w:val="left" w:pos="720"/>
          <w:tab w:val="num" w:pos="1440"/>
        </w:tabs>
        <w:ind w:left="1440" w:hanging="180"/>
        <w:jc w:val="both"/>
        <w:rPr>
          <w:rFonts w:ascii="Times New Roman" w:hAnsi="Times New Roman"/>
          <w:strike/>
          <w:sz w:val="22"/>
          <w:szCs w:val="22"/>
        </w:rPr>
      </w:pPr>
      <w:r w:rsidRPr="009C1D1B">
        <w:rPr>
          <w:rFonts w:ascii="Times New Roman" w:hAnsi="Times New Roman"/>
          <w:strike/>
          <w:sz w:val="22"/>
          <w:szCs w:val="22"/>
        </w:rPr>
        <w:t>Compare the results from steps e</w:t>
      </w:r>
      <w:proofErr w:type="gramStart"/>
      <w:r w:rsidRPr="009C1D1B">
        <w:rPr>
          <w:rFonts w:ascii="Times New Roman" w:hAnsi="Times New Roman"/>
          <w:strike/>
          <w:sz w:val="22"/>
          <w:szCs w:val="22"/>
        </w:rPr>
        <w:t>.(</w:t>
      </w:r>
      <w:proofErr w:type="spellStart"/>
      <w:proofErr w:type="gramEnd"/>
      <w:r w:rsidRPr="009C1D1B">
        <w:rPr>
          <w:rFonts w:ascii="Times New Roman" w:hAnsi="Times New Roman"/>
          <w:strike/>
          <w:sz w:val="22"/>
          <w:szCs w:val="22"/>
        </w:rPr>
        <w:t>i</w:t>
      </w:r>
      <w:proofErr w:type="spellEnd"/>
      <w:r w:rsidRPr="009C1D1B">
        <w:rPr>
          <w:rFonts w:ascii="Times New Roman" w:hAnsi="Times New Roman"/>
          <w:strike/>
          <w:sz w:val="22"/>
          <w:szCs w:val="22"/>
        </w:rPr>
        <w:t>) through e.(iii) with the overhead allocation disclosure in the footnote.  Report any material departures from the footnote description in terms of the actual method used and any projected dollar effects of the de</w:t>
      </w:r>
      <w:r w:rsidR="00980F38" w:rsidRPr="009C1D1B">
        <w:rPr>
          <w:rFonts w:ascii="Times New Roman" w:hAnsi="Times New Roman"/>
          <w:strike/>
          <w:sz w:val="22"/>
          <w:szCs w:val="22"/>
        </w:rPr>
        <w:t>parture.</w:t>
      </w:r>
    </w:p>
    <w:p w:rsidR="001066F3" w:rsidRPr="009C1D1B" w:rsidRDefault="001066F3" w:rsidP="006C6CA7">
      <w:pPr>
        <w:tabs>
          <w:tab w:val="left" w:pos="720"/>
          <w:tab w:val="right" w:leader="dot" w:pos="8640"/>
        </w:tabs>
        <w:jc w:val="both"/>
        <w:rPr>
          <w:rFonts w:ascii="Times New Roman" w:hAnsi="Times New Roman"/>
          <w:strike/>
          <w:sz w:val="22"/>
          <w:szCs w:val="22"/>
        </w:rPr>
      </w:pPr>
    </w:p>
    <w:p w:rsidR="001066F3" w:rsidRPr="009C1D1B" w:rsidRDefault="001066F3" w:rsidP="009F24E3">
      <w:pPr>
        <w:numPr>
          <w:ilvl w:val="0"/>
          <w:numId w:val="3"/>
        </w:numPr>
        <w:tabs>
          <w:tab w:val="clear" w:pos="720"/>
          <w:tab w:val="num" w:pos="360"/>
          <w:tab w:val="right" w:leader="dot" w:pos="8640"/>
        </w:tabs>
        <w:ind w:left="360"/>
        <w:jc w:val="both"/>
        <w:rPr>
          <w:rFonts w:ascii="Times New Roman" w:hAnsi="Times New Roman"/>
          <w:strike/>
          <w:sz w:val="22"/>
          <w:szCs w:val="22"/>
        </w:rPr>
      </w:pPr>
      <w:r w:rsidRPr="009C1D1B">
        <w:rPr>
          <w:rFonts w:ascii="Times New Roman" w:hAnsi="Times New Roman"/>
          <w:strike/>
          <w:sz w:val="22"/>
          <w:szCs w:val="22"/>
        </w:rPr>
        <w:t xml:space="preserve">As stated in </w:t>
      </w:r>
      <w:r w:rsidR="00BB61FF" w:rsidRPr="009C1D1B">
        <w:rPr>
          <w:rFonts w:ascii="Times New Roman" w:hAnsi="Times New Roman"/>
          <w:strike/>
          <w:sz w:val="22"/>
          <w:szCs w:val="22"/>
        </w:rPr>
        <w:t>AT 201.25</w:t>
      </w:r>
      <w:r w:rsidRPr="009C1D1B">
        <w:rPr>
          <w:rFonts w:ascii="Times New Roman" w:hAnsi="Times New Roman"/>
          <w:strike/>
          <w:sz w:val="22"/>
          <w:szCs w:val="22"/>
        </w:rPr>
        <w:t>, auditors should report all instances of noncompliance, such as costs charged to a school where documentation does not support it directly benefited the school, or for which insufficient documentation exists.</w:t>
      </w:r>
    </w:p>
    <w:p w:rsidR="001066F3" w:rsidRPr="009C1D1B" w:rsidRDefault="001066F3" w:rsidP="006C6CA7">
      <w:pPr>
        <w:tabs>
          <w:tab w:val="left" w:pos="720"/>
          <w:tab w:val="right" w:leader="dot" w:pos="8640"/>
        </w:tabs>
        <w:jc w:val="both"/>
        <w:rPr>
          <w:rFonts w:ascii="Times New Roman" w:hAnsi="Times New Roman"/>
          <w:strike/>
          <w:sz w:val="22"/>
          <w:szCs w:val="22"/>
        </w:rPr>
      </w:pPr>
    </w:p>
    <w:p w:rsidR="001066F3" w:rsidRPr="009C1D1B" w:rsidRDefault="001066F3" w:rsidP="009F24E3">
      <w:pPr>
        <w:numPr>
          <w:ilvl w:val="0"/>
          <w:numId w:val="3"/>
        </w:numPr>
        <w:tabs>
          <w:tab w:val="clear" w:pos="720"/>
          <w:tab w:val="num" w:pos="360"/>
          <w:tab w:val="right" w:leader="dot" w:pos="8640"/>
        </w:tabs>
        <w:ind w:left="360"/>
        <w:jc w:val="both"/>
        <w:rPr>
          <w:rFonts w:ascii="Times New Roman" w:hAnsi="Times New Roman"/>
          <w:strike/>
          <w:sz w:val="22"/>
          <w:szCs w:val="22"/>
        </w:rPr>
      </w:pPr>
      <w:r w:rsidRPr="009C1D1B">
        <w:rPr>
          <w:rFonts w:ascii="Times New Roman" w:hAnsi="Times New Roman"/>
          <w:strike/>
          <w:sz w:val="22"/>
          <w:szCs w:val="22"/>
        </w:rPr>
        <w:t>The community school’s auditor must judge whether any deficiencies in the agreed-upon procedures report requires the opinion to be qualified regarding the footnote.</w:t>
      </w:r>
    </w:p>
    <w:p w:rsidR="00004383" w:rsidRPr="009C1D1B" w:rsidRDefault="00004383" w:rsidP="00004383">
      <w:pPr>
        <w:autoSpaceDE w:val="0"/>
        <w:autoSpaceDN w:val="0"/>
        <w:adjustRightInd w:val="0"/>
        <w:jc w:val="center"/>
        <w:rPr>
          <w:rFonts w:ascii="Times New Roman" w:hAnsi="Times New Roman"/>
          <w:b/>
          <w:bCs/>
          <w:sz w:val="22"/>
          <w:szCs w:val="22"/>
        </w:rPr>
      </w:pPr>
    </w:p>
    <w:p w:rsidR="00004383" w:rsidRPr="009C1D1B" w:rsidRDefault="00004383" w:rsidP="00004383">
      <w:pPr>
        <w:autoSpaceDE w:val="0"/>
        <w:autoSpaceDN w:val="0"/>
        <w:adjustRightInd w:val="0"/>
        <w:jc w:val="center"/>
        <w:rPr>
          <w:rFonts w:ascii="Times New Roman" w:hAnsi="Times New Roman"/>
          <w:b/>
          <w:bCs/>
          <w:sz w:val="22"/>
          <w:szCs w:val="22"/>
          <w:u w:val="wave"/>
        </w:rPr>
      </w:pPr>
      <w:r w:rsidRPr="009C1D1B">
        <w:rPr>
          <w:rFonts w:ascii="Times New Roman" w:hAnsi="Times New Roman"/>
          <w:b/>
          <w:bCs/>
          <w:sz w:val="22"/>
          <w:szCs w:val="22"/>
          <w:u w:val="wave"/>
        </w:rPr>
        <w:t>Bulletin 2004-009 Agreed Upon Procedures Guidelines, Revised 2010</w:t>
      </w:r>
    </w:p>
    <w:p w:rsidR="00004383" w:rsidRPr="009C1D1B" w:rsidRDefault="00004383" w:rsidP="00004383">
      <w:pPr>
        <w:autoSpaceDE w:val="0"/>
        <w:autoSpaceDN w:val="0"/>
        <w:adjustRightInd w:val="0"/>
        <w:jc w:val="center"/>
        <w:rPr>
          <w:rFonts w:ascii="Times New Roman" w:hAnsi="Times New Roman"/>
          <w:b/>
          <w:bCs/>
          <w:sz w:val="22"/>
          <w:szCs w:val="22"/>
          <w:u w:val="wave"/>
        </w:rPr>
      </w:pPr>
    </w:p>
    <w:p w:rsidR="00004383" w:rsidRPr="009C1D1B" w:rsidRDefault="00004383" w:rsidP="00004383">
      <w:p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AOS Bulletin 2004-009 included this sentence in the </w:t>
      </w:r>
      <w:r w:rsidRPr="009C1D1B">
        <w:rPr>
          <w:rFonts w:ascii="Times New Roman" w:hAnsi="Times New Roman"/>
          <w:b/>
          <w:i/>
          <w:sz w:val="22"/>
          <w:szCs w:val="22"/>
          <w:u w:val="wave"/>
        </w:rPr>
        <w:t>Auditing the Footnote</w:t>
      </w:r>
      <w:r w:rsidRPr="009C1D1B">
        <w:rPr>
          <w:rFonts w:ascii="Times New Roman" w:hAnsi="Times New Roman"/>
          <w:sz w:val="22"/>
          <w:szCs w:val="22"/>
          <w:u w:val="wave"/>
        </w:rPr>
        <w:t xml:space="preserve"> section:</w:t>
      </w:r>
    </w:p>
    <w:p w:rsidR="00004383" w:rsidRPr="009C1D1B" w:rsidRDefault="00004383" w:rsidP="00004383">
      <w:pPr>
        <w:autoSpaceDE w:val="0"/>
        <w:autoSpaceDN w:val="0"/>
        <w:adjustRightInd w:val="0"/>
        <w:rPr>
          <w:rFonts w:ascii="Times New Roman" w:hAnsi="Times New Roman"/>
          <w:sz w:val="22"/>
          <w:szCs w:val="22"/>
          <w:u w:val="wave"/>
        </w:rPr>
      </w:pPr>
    </w:p>
    <w:p w:rsidR="00004383" w:rsidRPr="009C1D1B" w:rsidRDefault="00004383" w:rsidP="00004383">
      <w:pPr>
        <w:autoSpaceDE w:val="0"/>
        <w:autoSpaceDN w:val="0"/>
        <w:adjustRightInd w:val="0"/>
        <w:ind w:left="360"/>
        <w:rPr>
          <w:rFonts w:ascii="Times New Roman" w:hAnsi="Times New Roman"/>
          <w:sz w:val="22"/>
          <w:szCs w:val="22"/>
          <w:u w:val="wave"/>
        </w:rPr>
      </w:pPr>
      <w:r w:rsidRPr="009C1D1B">
        <w:rPr>
          <w:rFonts w:ascii="Times New Roman" w:hAnsi="Times New Roman"/>
          <w:sz w:val="22"/>
          <w:szCs w:val="22"/>
          <w:u w:val="wave"/>
        </w:rPr>
        <w:t>“Opinions that report only on the individual school statement’s fair presentation in relation to the management company’s basic financial statements do not provide sufficient audit assurance, unless accompanied with an agreed-upon procedures report related to the supplemental information.”</w:t>
      </w:r>
    </w:p>
    <w:p w:rsidR="00004383" w:rsidRPr="009C1D1B" w:rsidRDefault="00004383" w:rsidP="00004383">
      <w:pPr>
        <w:autoSpaceDE w:val="0"/>
        <w:autoSpaceDN w:val="0"/>
        <w:adjustRightInd w:val="0"/>
        <w:rPr>
          <w:rFonts w:ascii="Times New Roman" w:hAnsi="Times New Roman"/>
          <w:sz w:val="22"/>
          <w:szCs w:val="22"/>
          <w:u w:val="wave"/>
        </w:rPr>
      </w:pPr>
    </w:p>
    <w:p w:rsidR="00004383" w:rsidRPr="009C1D1B" w:rsidRDefault="00004383" w:rsidP="00004383">
      <w:p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Based on our experience since issuing this Bulletin, we are revising this sentence as follows:</w:t>
      </w:r>
    </w:p>
    <w:p w:rsidR="00004383" w:rsidRPr="009C1D1B" w:rsidRDefault="00004383" w:rsidP="00004383">
      <w:pPr>
        <w:autoSpaceDE w:val="0"/>
        <w:autoSpaceDN w:val="0"/>
        <w:adjustRightInd w:val="0"/>
        <w:rPr>
          <w:rFonts w:ascii="Times New Roman" w:hAnsi="Times New Roman"/>
          <w:sz w:val="22"/>
          <w:szCs w:val="22"/>
          <w:u w:val="wave"/>
        </w:rPr>
      </w:pPr>
    </w:p>
    <w:p w:rsidR="00004383" w:rsidRPr="009C1D1B" w:rsidRDefault="00004383" w:rsidP="00004383">
      <w:p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“If a management company’s audited financial statements do not present combining or consolidating columns for each of its schools, or if the auditor does not provide opinion-level assurance on the combining or consolidating columns presenting each school, the Auditor of State will accept an agreed-upon procedures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report per </w:t>
      </w:r>
      <w:proofErr w:type="spellStart"/>
      <w:r w:rsidRPr="009C1D1B">
        <w:rPr>
          <w:rFonts w:ascii="Times New Roman" w:hAnsi="Times New Roman"/>
          <w:sz w:val="22"/>
          <w:szCs w:val="22"/>
          <w:u w:val="wave"/>
        </w:rPr>
        <w:t>AICPA</w:t>
      </w:r>
      <w:proofErr w:type="spellEnd"/>
      <w:r w:rsidRPr="009C1D1B">
        <w:rPr>
          <w:rFonts w:ascii="Times New Roman" w:hAnsi="Times New Roman"/>
          <w:sz w:val="22"/>
          <w:szCs w:val="22"/>
          <w:u w:val="wave"/>
        </w:rPr>
        <w:t xml:space="preserve"> Attestation Standards Section 201.  See Appendix B for procedures to which the AOS would agree.”</w:t>
      </w:r>
    </w:p>
    <w:p w:rsidR="00004383" w:rsidRPr="009C1D1B" w:rsidRDefault="00004383" w:rsidP="00004383">
      <w:pPr>
        <w:autoSpaceDE w:val="0"/>
        <w:autoSpaceDN w:val="0"/>
        <w:adjustRightInd w:val="0"/>
        <w:rPr>
          <w:rFonts w:ascii="Times New Roman" w:hAnsi="Times New Roman"/>
          <w:sz w:val="22"/>
          <w:szCs w:val="22"/>
          <w:u w:val="wave"/>
        </w:rPr>
      </w:pPr>
    </w:p>
    <w:p w:rsidR="00004383" w:rsidRPr="009C1D1B" w:rsidRDefault="00004383" w:rsidP="00004383">
      <w:p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following is </w:t>
      </w:r>
      <w:r w:rsidRPr="009C1D1B">
        <w:rPr>
          <w:rFonts w:ascii="Times New Roman" w:hAnsi="Times New Roman"/>
          <w:b/>
          <w:sz w:val="22"/>
          <w:szCs w:val="22"/>
          <w:u w:val="wave"/>
        </w:rPr>
        <w:t>Appendix B, as revised</w:t>
      </w:r>
      <w:r w:rsidRPr="009C1D1B">
        <w:rPr>
          <w:rFonts w:ascii="Times New Roman" w:hAnsi="Times New Roman"/>
          <w:sz w:val="22"/>
          <w:szCs w:val="22"/>
          <w:u w:val="wave"/>
        </w:rPr>
        <w:t xml:space="preserve">: </w:t>
      </w:r>
    </w:p>
    <w:p w:rsidR="00004383" w:rsidRPr="009C1D1B" w:rsidRDefault="00004383" w:rsidP="00004383">
      <w:pPr>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engagement should follow </w:t>
      </w:r>
      <w:proofErr w:type="spellStart"/>
      <w:r w:rsidRPr="009C1D1B">
        <w:rPr>
          <w:rFonts w:ascii="Times New Roman" w:hAnsi="Times New Roman"/>
          <w:sz w:val="22"/>
          <w:szCs w:val="22"/>
          <w:u w:val="wave"/>
        </w:rPr>
        <w:t>AICPA</w:t>
      </w:r>
      <w:proofErr w:type="spellEnd"/>
      <w:r w:rsidRPr="009C1D1B">
        <w:rPr>
          <w:rFonts w:ascii="Times New Roman" w:hAnsi="Times New Roman"/>
          <w:sz w:val="22"/>
          <w:szCs w:val="22"/>
          <w:u w:val="wave"/>
        </w:rPr>
        <w:t xml:space="preserve"> Attestation Standards, Section AT 201.</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Per AT 201.11, the AOS will be a specified party permitted to rely on the report.</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Per AT 201.07, “T</w:t>
      </w:r>
      <w:r w:rsidRPr="009C1D1B">
        <w:rPr>
          <w:rFonts w:ascii="Times New Roman" w:hAnsi="Times New Roman"/>
          <w:color w:val="000000"/>
          <w:sz w:val="22"/>
          <w:szCs w:val="22"/>
          <w:u w:val="wave"/>
        </w:rPr>
        <w:t xml:space="preserve">o satisfy the requirements that the practitioner and the specified parties agree upon the procedures performed or to be performed and that the specified parties take responsibility for the sufficiency of the agreed-upon procedures for their purposes, ordinarily the practitioner should communicate directly with and obtain affirmative acknowledgment from each of the specified parties.”  AT 201.07 also states “The practitioner should not report on an engagement when specified parties do not agree upon the procedures performed or to be performed and do not take responsibility for the sufficiency of the procedures for their purposes.”  </w:t>
      </w:r>
    </w:p>
    <w:p w:rsidR="00004383" w:rsidRPr="009C1D1B" w:rsidRDefault="00004383" w:rsidP="00004383">
      <w:pPr>
        <w:autoSpaceDE w:val="0"/>
        <w:autoSpaceDN w:val="0"/>
        <w:adjustRightInd w:val="0"/>
        <w:rPr>
          <w:rFonts w:ascii="Times New Roman" w:hAnsi="Times New Roman"/>
          <w:sz w:val="22"/>
          <w:szCs w:val="22"/>
          <w:u w:val="wave"/>
        </w:rPr>
      </w:pPr>
    </w:p>
    <w:tbl>
      <w:tblPr>
        <w:tblStyle w:val="TableGrid"/>
        <w:tblW w:w="0" w:type="auto"/>
        <w:tblInd w:w="648" w:type="dxa"/>
        <w:shd w:val="clear" w:color="auto" w:fill="DAEEF3" w:themeFill="accent5" w:themeFillTint="33"/>
        <w:tblLook w:val="04A0"/>
      </w:tblPr>
      <w:tblGrid>
        <w:gridCol w:w="8208"/>
      </w:tblGrid>
      <w:tr w:rsidR="00004383" w:rsidRPr="00004383" w:rsidTr="00626001">
        <w:tc>
          <w:tcPr>
            <w:tcW w:w="8928" w:type="dxa"/>
            <w:shd w:val="clear" w:color="auto" w:fill="DAEEF3" w:themeFill="accent5" w:themeFillTint="33"/>
          </w:tcPr>
          <w:p w:rsidR="00004383" w:rsidRPr="009C1D1B" w:rsidRDefault="00004383" w:rsidP="00626001">
            <w:pPr>
              <w:autoSpaceDE w:val="0"/>
              <w:autoSpaceDN w:val="0"/>
              <w:adjustRightInd w:val="0"/>
              <w:rPr>
                <w:rFonts w:ascii="Times New Roman" w:hAnsi="Times New Roman"/>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Therefore, you should e-mail a letter of arrangement and the draft (i.e. example) procedures to the schools and to AOS Accounting &amp; Auditing Support Chief Auditor (Fred Kruse, </w:t>
            </w:r>
            <w:hyperlink r:id="rId8" w:history="1">
              <w:r w:rsidRPr="009C1D1B">
                <w:rPr>
                  <w:rStyle w:val="Hyperlink"/>
                  <w:rFonts w:ascii="Times New Roman" w:hAnsi="Times New Roman"/>
                  <w:b/>
                  <w:sz w:val="22"/>
                  <w:szCs w:val="22"/>
                  <w:u w:val="wave"/>
                </w:rPr>
                <w:t>frkruse@auditor.state.oh.us</w:t>
              </w:r>
            </w:hyperlink>
            <w:r w:rsidRPr="009C1D1B">
              <w:rPr>
                <w:rFonts w:ascii="Times New Roman" w:hAnsi="Times New Roman"/>
                <w:b/>
                <w:sz w:val="22"/>
                <w:szCs w:val="22"/>
                <w:u w:val="wave"/>
              </w:rPr>
              <w:t xml:space="preserve">).   Mr. Kruse will electronically sign the letter of arrangement attesting to the sufficiency of the procedures on behalf of the AOS, prior to the practitioner (“auditor”) commencing the procedures.  </w:t>
            </w:r>
          </w:p>
          <w:p w:rsidR="00004383" w:rsidRPr="009C1D1B" w:rsidRDefault="00004383" w:rsidP="00626001">
            <w:pPr>
              <w:autoSpaceDE w:val="0"/>
              <w:autoSpaceDN w:val="0"/>
              <w:adjustRightInd w:val="0"/>
              <w:rPr>
                <w:rFonts w:ascii="Times New Roman" w:hAnsi="Times New Roman"/>
                <w:b/>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The letter of arrangement should list the schools to which the agreed-upon procedures will apply.  </w:t>
            </w:r>
          </w:p>
          <w:p w:rsidR="00004383" w:rsidRPr="009C1D1B" w:rsidRDefault="00004383" w:rsidP="00626001">
            <w:pPr>
              <w:autoSpaceDE w:val="0"/>
              <w:autoSpaceDN w:val="0"/>
              <w:adjustRightInd w:val="0"/>
              <w:rPr>
                <w:rFonts w:ascii="Times New Roman" w:hAnsi="Times New Roman"/>
                <w:b/>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Example required procedures are 11 through 14 below.</w:t>
            </w:r>
          </w:p>
          <w:p w:rsidR="00004383" w:rsidRPr="009C1D1B" w:rsidRDefault="00004383" w:rsidP="00626001">
            <w:pPr>
              <w:autoSpaceDE w:val="0"/>
              <w:autoSpaceDN w:val="0"/>
              <w:adjustRightInd w:val="0"/>
              <w:rPr>
                <w:rFonts w:ascii="Times New Roman" w:hAnsi="Times New Roman"/>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Each </w:t>
            </w:r>
            <w:proofErr w:type="spellStart"/>
            <w:r w:rsidRPr="009C1D1B">
              <w:rPr>
                <w:rFonts w:ascii="Times New Roman" w:hAnsi="Times New Roman"/>
                <w:b/>
                <w:sz w:val="22"/>
                <w:szCs w:val="22"/>
                <w:u w:val="wave"/>
              </w:rPr>
              <w:t>AUP</w:t>
            </w:r>
            <w:proofErr w:type="spellEnd"/>
            <w:r w:rsidRPr="009C1D1B">
              <w:rPr>
                <w:rFonts w:ascii="Times New Roman" w:hAnsi="Times New Roman"/>
                <w:b/>
                <w:sz w:val="22"/>
                <w:szCs w:val="22"/>
                <w:u w:val="wave"/>
              </w:rPr>
              <w:t xml:space="preserve"> report should specify the schools to which the procedures apply.</w:t>
            </w:r>
          </w:p>
          <w:p w:rsidR="00004383" w:rsidRPr="009C1D1B" w:rsidRDefault="00004383" w:rsidP="00626001">
            <w:pPr>
              <w:autoSpaceDE w:val="0"/>
              <w:autoSpaceDN w:val="0"/>
              <w:adjustRightInd w:val="0"/>
              <w:rPr>
                <w:rFonts w:ascii="Times New Roman" w:hAnsi="Times New Roman"/>
                <w:sz w:val="22"/>
                <w:szCs w:val="22"/>
                <w:u w:val="wave"/>
              </w:rPr>
            </w:pPr>
          </w:p>
        </w:tc>
      </w:tr>
    </w:tbl>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As a specified party, AOS requires the following, applicable to each Ohio school the company manages: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accountant may issue one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report covering all the company’s Ohio schools.</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report must explain that the accountant performed 11. </w:t>
      </w:r>
      <w:proofErr w:type="gramStart"/>
      <w:r w:rsidRPr="009C1D1B">
        <w:rPr>
          <w:rFonts w:ascii="Times New Roman" w:hAnsi="Times New Roman"/>
          <w:sz w:val="22"/>
          <w:szCs w:val="22"/>
          <w:u w:val="wave"/>
        </w:rPr>
        <w:t>below</w:t>
      </w:r>
      <w:proofErr w:type="gramEnd"/>
      <w:r w:rsidRPr="009C1D1B">
        <w:rPr>
          <w:rFonts w:ascii="Times New Roman" w:hAnsi="Times New Roman"/>
          <w:sz w:val="22"/>
          <w:szCs w:val="22"/>
          <w:u w:val="wave"/>
        </w:rPr>
        <w:t xml:space="preserve"> to test the compilation  of the footnotes separately for each school.</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Regarding the individual expenditure tests below (steps 12. through 14.), the accountant may select one sample from the population of all costs charged to the company’s Ohio schools for each year ending June 30.</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Ohio community schools’ fiscal </w:t>
      </w:r>
      <w:proofErr w:type="spellStart"/>
      <w:r w:rsidRPr="009C1D1B">
        <w:rPr>
          <w:rFonts w:ascii="Times New Roman" w:hAnsi="Times New Roman"/>
          <w:sz w:val="22"/>
          <w:szCs w:val="22"/>
          <w:u w:val="wave"/>
        </w:rPr>
        <w:t>years</w:t>
      </w:r>
      <w:proofErr w:type="spellEnd"/>
      <w:r w:rsidRPr="009C1D1B">
        <w:rPr>
          <w:rFonts w:ascii="Times New Roman" w:hAnsi="Times New Roman"/>
          <w:sz w:val="22"/>
          <w:szCs w:val="22"/>
          <w:u w:val="wave"/>
        </w:rPr>
        <w:t xml:space="preserve"> end each June 30.  If the management company is on a different fiscal year, the management company must compile the footnote for each Ohio school’s June 30 fiscal year.    </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For example, if the management company’s fiscal year ended December 31, 2009, each Ohio school’s June 30, 2009 footnote would report expenses the management company incurred on a school’s behalf for the first six months of calendar 2009 plus the last six months of calendar 2008.   </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accountant performing the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should describe the Ohio schools to which the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relate and should attach each of the community schools’ footnotes to the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report.</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As stated in AT 201.25, auditors should report all exceptions, such as costs charged to a school where documentation does not support it directly benefited the school, or for which insufficient documentation exists.</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AOS will judge whether any noncompliance reported in the agreed-upon procedures report requires an explanatory paragraph in our opinion (i.e. report) regarding the footnote.  </w:t>
      </w:r>
    </w:p>
    <w:p w:rsidR="00004383" w:rsidRPr="009C1D1B" w:rsidRDefault="00004383" w:rsidP="00004383">
      <w:pPr>
        <w:pStyle w:val="ListParagraph"/>
        <w:rPr>
          <w:rFonts w:ascii="Times New Roman" w:hAnsi="Times New Roman"/>
          <w:sz w:val="22"/>
          <w:szCs w:val="22"/>
          <w:u w:val="wave"/>
        </w:rPr>
      </w:pPr>
    </w:p>
    <w:p w:rsidR="00004383" w:rsidRPr="009C1D1B" w:rsidRDefault="00004383" w:rsidP="00004383">
      <w:pPr>
        <w:pStyle w:val="ListParagraph"/>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(We believe a material error in the note would result in an explanatory paragraph rather than a qualification, because legislation requires the footnote.  Our opinion paragraph can only describe material errors related to GAAP.)</w:t>
      </w:r>
    </w:p>
    <w:p w:rsidR="00004383" w:rsidRPr="009C1D1B" w:rsidRDefault="00004383" w:rsidP="00004383">
      <w:pPr>
        <w:pStyle w:val="ListParagraph"/>
        <w:autoSpaceDE w:val="0"/>
        <w:autoSpaceDN w:val="0"/>
        <w:adjustRightInd w:val="0"/>
        <w:ind w:left="144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Because the procedures relate to each school’s footnote, the accountant performing the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should apply the procedures to footnotes compiled from the management company’s accounting system, separately summarizing the expenses for each Ohio community school.  This requires that the management company’s accounting system include accounts summarizing direct expenses the company incurs for each school.  It is permissible to charge / assign indirect costs to these schools, </w:t>
      </w:r>
      <w:r w:rsidRPr="009C1D1B">
        <w:rPr>
          <w:rFonts w:ascii="Times New Roman" w:hAnsi="Times New Roman"/>
          <w:i/>
          <w:sz w:val="22"/>
          <w:szCs w:val="22"/>
          <w:u w:val="wave"/>
        </w:rPr>
        <w:t>if the notes disclose the method for charging those costs, and if the note separately identifies indirect costs</w:t>
      </w:r>
      <w:r w:rsidRPr="009C1D1B">
        <w:rPr>
          <w:rFonts w:ascii="Times New Roman" w:hAnsi="Times New Roman"/>
          <w:sz w:val="22"/>
          <w:szCs w:val="22"/>
          <w:u w:val="wave"/>
        </w:rPr>
        <w:t xml:space="preserve">.  </w:t>
      </w:r>
    </w:p>
    <w:p w:rsidR="00004383" w:rsidRPr="009C1D1B" w:rsidRDefault="00004383" w:rsidP="00004383">
      <w:pPr>
        <w:pStyle w:val="ListParagraph"/>
        <w:autoSpaceDE w:val="0"/>
        <w:autoSpaceDN w:val="0"/>
        <w:adjustRightInd w:val="0"/>
        <w:rPr>
          <w:rFonts w:ascii="Times New Roman" w:hAnsi="Times New Roman"/>
          <w:sz w:val="22"/>
          <w:szCs w:val="22"/>
          <w:u w:val="wave"/>
        </w:rPr>
      </w:pPr>
    </w:p>
    <w:tbl>
      <w:tblPr>
        <w:tblStyle w:val="TableGrid"/>
        <w:tblW w:w="0" w:type="auto"/>
        <w:tblInd w:w="720" w:type="dxa"/>
        <w:shd w:val="clear" w:color="auto" w:fill="DAEEF3" w:themeFill="accent5" w:themeFillTint="33"/>
        <w:tblLook w:val="04A0"/>
      </w:tblPr>
      <w:tblGrid>
        <w:gridCol w:w="8136"/>
      </w:tblGrid>
      <w:tr w:rsidR="00004383" w:rsidRPr="00004383" w:rsidTr="00626001">
        <w:tc>
          <w:tcPr>
            <w:tcW w:w="9576" w:type="dxa"/>
            <w:shd w:val="clear" w:color="auto" w:fill="DAEEF3" w:themeFill="accent5" w:themeFillTint="33"/>
          </w:tcPr>
          <w:p w:rsidR="00004383" w:rsidRPr="009C1D1B" w:rsidRDefault="00004383" w:rsidP="00626001">
            <w:pPr>
              <w:autoSpaceDE w:val="0"/>
              <w:autoSpaceDN w:val="0"/>
              <w:adjustRightInd w:val="0"/>
              <w:rPr>
                <w:rFonts w:ascii="Times New Roman" w:hAnsi="Times New Roman"/>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If the management company’s accounting system does not include separate accounts for direct expenses for each school, it is unlikely the management company can meet the requirements of RC. 3314.024. In this case, the management company or the firm completing the </w:t>
            </w:r>
            <w:proofErr w:type="spellStart"/>
            <w:r w:rsidRPr="009C1D1B">
              <w:rPr>
                <w:rFonts w:ascii="Times New Roman" w:hAnsi="Times New Roman"/>
                <w:b/>
                <w:sz w:val="22"/>
                <w:szCs w:val="22"/>
                <w:u w:val="wave"/>
              </w:rPr>
              <w:t>AUP</w:t>
            </w:r>
            <w:proofErr w:type="spellEnd"/>
            <w:r w:rsidRPr="009C1D1B">
              <w:rPr>
                <w:rFonts w:ascii="Times New Roman" w:hAnsi="Times New Roman"/>
                <w:b/>
                <w:sz w:val="22"/>
                <w:szCs w:val="22"/>
                <w:u w:val="wave"/>
              </w:rPr>
              <w:t xml:space="preserve"> should consult with the Auditor of State. </w:t>
            </w:r>
          </w:p>
          <w:p w:rsidR="00004383" w:rsidRPr="009C1D1B" w:rsidRDefault="00004383" w:rsidP="00626001">
            <w:pPr>
              <w:pStyle w:val="ListParagraph"/>
              <w:autoSpaceDE w:val="0"/>
              <w:autoSpaceDN w:val="0"/>
              <w:adjustRightInd w:val="0"/>
              <w:ind w:left="0"/>
              <w:rPr>
                <w:rFonts w:ascii="Times New Roman" w:hAnsi="Times New Roman"/>
                <w:sz w:val="22"/>
                <w:szCs w:val="22"/>
                <w:u w:val="wave"/>
              </w:rPr>
            </w:pPr>
          </w:p>
        </w:tc>
      </w:tr>
    </w:tbl>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Federal OMB Circular A-133 §___ .310(b) also requires each school expending more than $500,000 of federal awards in its fiscal year to prepare a federal awards expenditure schedule.  </w:t>
      </w:r>
    </w:p>
    <w:p w:rsidR="00004383" w:rsidRPr="009C1D1B" w:rsidRDefault="00004383" w:rsidP="00004383">
      <w:pPr>
        <w:pStyle w:val="ListParagraph"/>
        <w:autoSpaceDE w:val="0"/>
        <w:autoSpaceDN w:val="0"/>
        <w:adjustRightInd w:val="0"/>
        <w:rPr>
          <w:rFonts w:ascii="Times New Roman" w:hAnsi="Times New Roman"/>
          <w:sz w:val="22"/>
          <w:szCs w:val="22"/>
          <w:u w:val="wave"/>
        </w:rPr>
      </w:pPr>
    </w:p>
    <w:tbl>
      <w:tblPr>
        <w:tblStyle w:val="TableGrid"/>
        <w:tblW w:w="0" w:type="auto"/>
        <w:tblInd w:w="720" w:type="dxa"/>
        <w:shd w:val="clear" w:color="auto" w:fill="DAEEF3" w:themeFill="accent5" w:themeFillTint="33"/>
        <w:tblLook w:val="04A0"/>
      </w:tblPr>
      <w:tblGrid>
        <w:gridCol w:w="8136"/>
      </w:tblGrid>
      <w:tr w:rsidR="00004383" w:rsidRPr="009C1D1B" w:rsidTr="00626001">
        <w:tc>
          <w:tcPr>
            <w:tcW w:w="9576" w:type="dxa"/>
            <w:shd w:val="clear" w:color="auto" w:fill="DAEEF3" w:themeFill="accent5" w:themeFillTint="33"/>
          </w:tcPr>
          <w:p w:rsidR="00004383" w:rsidRPr="009C1D1B" w:rsidRDefault="00004383" w:rsidP="00626001">
            <w:pPr>
              <w:pStyle w:val="ListParagraph"/>
              <w:autoSpaceDE w:val="0"/>
              <w:autoSpaceDN w:val="0"/>
              <w:adjustRightInd w:val="0"/>
              <w:rPr>
                <w:rFonts w:ascii="Times New Roman" w:hAnsi="Times New Roman"/>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If the management company accounts for an Ohio school’s federal awards, we believe it is reasonable to expect the management company to compile this schedule for each school, and for the </w:t>
            </w:r>
            <w:proofErr w:type="spellStart"/>
            <w:r w:rsidRPr="009C1D1B">
              <w:rPr>
                <w:rFonts w:ascii="Times New Roman" w:hAnsi="Times New Roman"/>
                <w:b/>
                <w:sz w:val="22"/>
                <w:szCs w:val="22"/>
                <w:u w:val="wave"/>
              </w:rPr>
              <w:t>AUP</w:t>
            </w:r>
            <w:proofErr w:type="spellEnd"/>
            <w:r w:rsidRPr="009C1D1B">
              <w:rPr>
                <w:rFonts w:ascii="Times New Roman" w:hAnsi="Times New Roman"/>
                <w:b/>
                <w:sz w:val="22"/>
                <w:szCs w:val="22"/>
                <w:u w:val="wave"/>
              </w:rPr>
              <w:t xml:space="preserve"> to include a procedure testing this compilation.  (Also note that the Ohio Department of Education requires schools to present receipts for each program / </w:t>
            </w:r>
            <w:proofErr w:type="spellStart"/>
            <w:r w:rsidRPr="009C1D1B">
              <w:rPr>
                <w:rFonts w:ascii="Times New Roman" w:hAnsi="Times New Roman"/>
                <w:b/>
                <w:sz w:val="22"/>
                <w:szCs w:val="22"/>
                <w:u w:val="wave"/>
              </w:rPr>
              <w:t>CFDA</w:t>
            </w:r>
            <w:proofErr w:type="spellEnd"/>
            <w:r w:rsidRPr="009C1D1B">
              <w:rPr>
                <w:rFonts w:ascii="Times New Roman" w:hAnsi="Times New Roman"/>
                <w:b/>
                <w:sz w:val="22"/>
                <w:szCs w:val="22"/>
                <w:u w:val="wave"/>
              </w:rPr>
              <w:t xml:space="preserve"> number.) </w:t>
            </w:r>
          </w:p>
          <w:p w:rsidR="00004383" w:rsidRPr="009C1D1B" w:rsidRDefault="00004383" w:rsidP="00626001">
            <w:pPr>
              <w:pStyle w:val="ListParagraph"/>
              <w:autoSpaceDE w:val="0"/>
              <w:autoSpaceDN w:val="0"/>
              <w:adjustRightInd w:val="0"/>
              <w:ind w:left="0"/>
              <w:rPr>
                <w:rFonts w:ascii="Times New Roman" w:hAnsi="Times New Roman"/>
                <w:b/>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Note that this requires that the management company’s accounting system be capable of segregating receipts, disbursements and cash balances for each federal award program of each school.  </w:t>
            </w:r>
          </w:p>
          <w:p w:rsidR="00004383" w:rsidRPr="009C1D1B" w:rsidRDefault="00004383" w:rsidP="00626001">
            <w:pPr>
              <w:autoSpaceDE w:val="0"/>
              <w:autoSpaceDN w:val="0"/>
              <w:adjustRightInd w:val="0"/>
              <w:rPr>
                <w:rFonts w:ascii="Times New Roman" w:hAnsi="Times New Roman"/>
                <w:b/>
                <w:sz w:val="22"/>
                <w:szCs w:val="22"/>
                <w:u w:val="wave"/>
              </w:rPr>
            </w:pPr>
          </w:p>
          <w:p w:rsidR="00004383" w:rsidRPr="009C1D1B" w:rsidRDefault="00004383" w:rsidP="00626001">
            <w:pPr>
              <w:autoSpaceDE w:val="0"/>
              <w:autoSpaceDN w:val="0"/>
              <w:adjustRightInd w:val="0"/>
              <w:rPr>
                <w:rFonts w:ascii="Times New Roman" w:hAnsi="Times New Roman"/>
                <w:b/>
                <w:sz w:val="22"/>
                <w:szCs w:val="22"/>
                <w:u w:val="wave"/>
              </w:rPr>
            </w:pPr>
            <w:r w:rsidRPr="009C1D1B">
              <w:rPr>
                <w:rFonts w:ascii="Times New Roman" w:hAnsi="Times New Roman"/>
                <w:b/>
                <w:sz w:val="22"/>
                <w:szCs w:val="22"/>
                <w:u w:val="wave"/>
              </w:rPr>
              <w:t xml:space="preserve">Step 11.b below applies if a school expended more than $500,000 of federal awards during its fiscal year.  </w:t>
            </w:r>
          </w:p>
          <w:p w:rsidR="00004383" w:rsidRPr="009C1D1B" w:rsidRDefault="00004383" w:rsidP="00626001">
            <w:pPr>
              <w:pStyle w:val="ListParagraph"/>
              <w:autoSpaceDE w:val="0"/>
              <w:autoSpaceDN w:val="0"/>
              <w:adjustRightInd w:val="0"/>
              <w:ind w:left="0"/>
              <w:rPr>
                <w:rFonts w:ascii="Times New Roman" w:hAnsi="Times New Roman"/>
                <w:sz w:val="22"/>
                <w:szCs w:val="22"/>
                <w:u w:val="wave"/>
              </w:rPr>
            </w:pPr>
          </w:p>
        </w:tc>
      </w:tr>
    </w:tbl>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w:t>
      </w:r>
      <w:proofErr w:type="spellStart"/>
      <w:r w:rsidRPr="009C1D1B">
        <w:rPr>
          <w:rFonts w:ascii="Times New Roman" w:hAnsi="Times New Roman"/>
          <w:sz w:val="22"/>
          <w:szCs w:val="22"/>
          <w:u w:val="wave"/>
        </w:rPr>
        <w:t>AUP</w:t>
      </w:r>
      <w:proofErr w:type="spellEnd"/>
      <w:r w:rsidRPr="009C1D1B">
        <w:rPr>
          <w:rFonts w:ascii="Times New Roman" w:hAnsi="Times New Roman"/>
          <w:sz w:val="22"/>
          <w:szCs w:val="22"/>
          <w:u w:val="wave"/>
        </w:rPr>
        <w:t xml:space="preserve"> report should list the following procedures and the results relating to </w:t>
      </w:r>
      <w:r w:rsidRPr="009C1D1B">
        <w:rPr>
          <w:rFonts w:ascii="Times New Roman" w:hAnsi="Times New Roman"/>
          <w:b/>
          <w:sz w:val="22"/>
          <w:szCs w:val="22"/>
          <w:u w:val="wave"/>
        </w:rPr>
        <w:t>each</w:t>
      </w:r>
      <w:r w:rsidRPr="009C1D1B">
        <w:rPr>
          <w:rFonts w:ascii="Times New Roman" w:hAnsi="Times New Roman"/>
          <w:sz w:val="22"/>
          <w:szCs w:val="22"/>
          <w:u w:val="wave"/>
        </w:rPr>
        <w:t xml:space="preserve"> Ohio school’s footnote:</w:t>
      </w:r>
    </w:p>
    <w:p w:rsidR="00004383" w:rsidRPr="009C1D1B" w:rsidRDefault="00004383" w:rsidP="00004383">
      <w:pPr>
        <w:pStyle w:val="ListParagraph"/>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Trace the management company direct expenses from each footnote by object / accounting code to the community school’s accounts in the management company’s accounting system.  </w:t>
      </w:r>
    </w:p>
    <w:p w:rsidR="00004383" w:rsidRPr="009C1D1B" w:rsidRDefault="00004383" w:rsidP="00004383">
      <w:pPr>
        <w:pStyle w:val="ListParagraph"/>
        <w:autoSpaceDE w:val="0"/>
        <w:autoSpaceDN w:val="0"/>
        <w:adjustRightInd w:val="0"/>
        <w:ind w:left="1440"/>
        <w:rPr>
          <w:rFonts w:ascii="Times New Roman" w:hAnsi="Times New Roman"/>
          <w:sz w:val="22"/>
          <w:szCs w:val="22"/>
          <w:u w:val="wave"/>
        </w:rPr>
      </w:pP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Trace each school’s federal award receipts and disbursements from its federal awards expenditure schedule to the community school’s accounts in the management company’s accounting system.    </w:t>
      </w:r>
    </w:p>
    <w:p w:rsidR="00004383" w:rsidRPr="009C1D1B" w:rsidRDefault="00004383" w:rsidP="00004383">
      <w:pPr>
        <w:autoSpaceDE w:val="0"/>
        <w:autoSpaceDN w:val="0"/>
        <w:adjustRightInd w:val="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Haphazardly or randomly select 100 direct </w:t>
      </w:r>
      <w:proofErr w:type="spellStart"/>
      <w:r w:rsidRPr="009C1D1B">
        <w:rPr>
          <w:rFonts w:ascii="Times New Roman" w:hAnsi="Times New Roman"/>
          <w:sz w:val="22"/>
          <w:szCs w:val="22"/>
          <w:u w:val="wave"/>
        </w:rPr>
        <w:t>nonpayroll</w:t>
      </w:r>
      <w:proofErr w:type="spellEnd"/>
      <w:r w:rsidRPr="009C1D1B">
        <w:rPr>
          <w:rFonts w:ascii="Times New Roman" w:hAnsi="Times New Roman"/>
          <w:sz w:val="22"/>
          <w:szCs w:val="22"/>
          <w:u w:val="wave"/>
        </w:rPr>
        <w:t xml:space="preserve"> expense transactions (checks, </w:t>
      </w:r>
      <w:proofErr w:type="spellStart"/>
      <w:r w:rsidRPr="009C1D1B">
        <w:rPr>
          <w:rFonts w:ascii="Times New Roman" w:hAnsi="Times New Roman"/>
          <w:sz w:val="22"/>
          <w:szCs w:val="22"/>
          <w:u w:val="wave"/>
        </w:rPr>
        <w:t>EFTs</w:t>
      </w:r>
      <w:proofErr w:type="spellEnd"/>
      <w:r w:rsidRPr="009C1D1B">
        <w:rPr>
          <w:rFonts w:ascii="Times New Roman" w:hAnsi="Times New Roman"/>
          <w:sz w:val="22"/>
          <w:szCs w:val="22"/>
          <w:u w:val="wave"/>
        </w:rPr>
        <w:t>, etc.) the management company charged to its Ohio community schools.  (One sample selected from all the management company’s Ohio schools will suffice.  If the management company accounts for only one Ohio school, you may reduce the sample size to 60.)</w:t>
      </w:r>
    </w:p>
    <w:p w:rsidR="00004383" w:rsidRPr="009C1D1B" w:rsidRDefault="00004383" w:rsidP="00004383">
      <w:pPr>
        <w:autoSpaceDE w:val="0"/>
        <w:autoSpaceDN w:val="0"/>
        <w:adjustRightInd w:val="0"/>
        <w:ind w:left="720"/>
        <w:rPr>
          <w:rFonts w:ascii="Times New Roman" w:hAnsi="Times New Roman"/>
          <w:sz w:val="22"/>
          <w:szCs w:val="22"/>
          <w:u w:val="wave"/>
        </w:rPr>
      </w:pPr>
    </w:p>
    <w:p w:rsidR="00004383" w:rsidRPr="009C1D1B" w:rsidRDefault="00004383" w:rsidP="00004383">
      <w:pPr>
        <w:autoSpaceDE w:val="0"/>
        <w:autoSpaceDN w:val="0"/>
        <w:adjustRightInd w:val="0"/>
        <w:ind w:left="720"/>
        <w:rPr>
          <w:rFonts w:ascii="Times New Roman" w:hAnsi="Times New Roman"/>
          <w:sz w:val="22"/>
          <w:szCs w:val="22"/>
          <w:u w:val="wave"/>
        </w:rPr>
      </w:pPr>
      <w:r w:rsidRPr="009C1D1B">
        <w:rPr>
          <w:rFonts w:ascii="Times New Roman" w:hAnsi="Times New Roman"/>
          <w:sz w:val="22"/>
          <w:szCs w:val="22"/>
          <w:u w:val="wave"/>
        </w:rPr>
        <w:t xml:space="preserve">Compare the amount charged to a school to supporting documentation, including a canceled check (or </w:t>
      </w:r>
      <w:proofErr w:type="spellStart"/>
      <w:r w:rsidRPr="009C1D1B">
        <w:rPr>
          <w:rFonts w:ascii="Times New Roman" w:hAnsi="Times New Roman"/>
          <w:sz w:val="22"/>
          <w:szCs w:val="22"/>
          <w:u w:val="wave"/>
        </w:rPr>
        <w:t>EFT</w:t>
      </w:r>
      <w:proofErr w:type="spellEnd"/>
      <w:r w:rsidRPr="009C1D1B">
        <w:rPr>
          <w:rFonts w:ascii="Times New Roman" w:hAnsi="Times New Roman"/>
          <w:sz w:val="22"/>
          <w:szCs w:val="22"/>
          <w:u w:val="wave"/>
        </w:rPr>
        <w:t xml:space="preserve"> documentation, etc.) and vendor invoice, supporting that the cost: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Is a direct expense benefiting the school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Is recorded for the proper amount for the proper period in the accounting system</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Is charged to a proper object / accounting code</w:t>
      </w:r>
    </w:p>
    <w:p w:rsidR="00004383" w:rsidRPr="009C1D1B" w:rsidRDefault="00004383" w:rsidP="00004383">
      <w:pPr>
        <w:pStyle w:val="ListParagraph"/>
        <w:autoSpaceDE w:val="0"/>
        <w:autoSpaceDN w:val="0"/>
        <w:adjustRightInd w:val="0"/>
        <w:ind w:left="216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Haphazardly or randomly select 100 direct payroll expense transactions, including salaries and benefits the management company charged to its Ohio community schools.  (One sample selected from all the management company’s Ohio schools will suffice. If the management company accounts for only one Ohio school, you may reduce the sample size to 60.)</w:t>
      </w:r>
    </w:p>
    <w:p w:rsidR="00004383" w:rsidRPr="009C1D1B" w:rsidRDefault="00004383" w:rsidP="00004383">
      <w:pPr>
        <w:pStyle w:val="ListParagraph"/>
        <w:autoSpaceDE w:val="0"/>
        <w:autoSpaceDN w:val="0"/>
        <w:adjustRightInd w:val="0"/>
        <w:ind w:left="1440"/>
        <w:rPr>
          <w:rFonts w:ascii="Times New Roman" w:hAnsi="Times New Roman"/>
          <w:sz w:val="22"/>
          <w:szCs w:val="22"/>
          <w:u w:val="wave"/>
        </w:rPr>
      </w:pPr>
    </w:p>
    <w:p w:rsidR="00004383" w:rsidRPr="009C1D1B" w:rsidRDefault="00004383" w:rsidP="00004383">
      <w:pPr>
        <w:pStyle w:val="ListParagraph"/>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Compare the amount charged to a school to supporting documentation, including a canceled check and to personnel files supporting that the cost: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Is a direct expense paid to an employee for services provided solely to the school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Is recorded for the proper amount for the proper period in the accounting system</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The amount paid agreed to the salary schedule and/or to amounts withheld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Is charged to a proper object / accounting code</w:t>
      </w:r>
    </w:p>
    <w:p w:rsidR="00004383" w:rsidRPr="009C1D1B" w:rsidRDefault="00004383" w:rsidP="00004383">
      <w:pPr>
        <w:pStyle w:val="ListParagraph"/>
        <w:autoSpaceDE w:val="0"/>
        <w:autoSpaceDN w:val="0"/>
        <w:adjustRightInd w:val="0"/>
        <w:ind w:left="2160"/>
        <w:rPr>
          <w:rFonts w:ascii="Times New Roman" w:hAnsi="Times New Roman"/>
          <w:sz w:val="22"/>
          <w:szCs w:val="22"/>
          <w:u w:val="wave"/>
        </w:rPr>
      </w:pPr>
    </w:p>
    <w:p w:rsidR="00004383" w:rsidRPr="009C1D1B" w:rsidRDefault="00004383" w:rsidP="00004383">
      <w:pPr>
        <w:pStyle w:val="ListParagraph"/>
        <w:numPr>
          <w:ilvl w:val="0"/>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Haphazardly or randomly select 100 expense transactions (</w:t>
      </w:r>
      <w:proofErr w:type="spellStart"/>
      <w:r w:rsidRPr="009C1D1B">
        <w:rPr>
          <w:rFonts w:ascii="Times New Roman" w:hAnsi="Times New Roman"/>
          <w:sz w:val="22"/>
          <w:szCs w:val="22"/>
          <w:u w:val="wave"/>
        </w:rPr>
        <w:t>e.g</w:t>
      </w:r>
      <w:proofErr w:type="spellEnd"/>
      <w:r w:rsidRPr="009C1D1B">
        <w:rPr>
          <w:rFonts w:ascii="Times New Roman" w:hAnsi="Times New Roman"/>
          <w:sz w:val="22"/>
          <w:szCs w:val="22"/>
          <w:u w:val="wave"/>
        </w:rPr>
        <w:t xml:space="preserve"> checks) assigned to any indirect cost pool that include Ohio schools.  (One sample from the pool(s) for Ohio schools will suffice.  If the management company accounts for only one Ohio school, you may reduce the sample size to 60.)</w:t>
      </w:r>
    </w:p>
    <w:p w:rsidR="00004383" w:rsidRPr="009C1D1B" w:rsidRDefault="00004383" w:rsidP="00004383">
      <w:pPr>
        <w:pStyle w:val="ListParagraph"/>
        <w:autoSpaceDE w:val="0"/>
        <w:autoSpaceDN w:val="0"/>
        <w:adjustRightInd w:val="0"/>
        <w:ind w:left="1440"/>
        <w:rPr>
          <w:rFonts w:ascii="Times New Roman" w:hAnsi="Times New Roman"/>
          <w:sz w:val="22"/>
          <w:szCs w:val="22"/>
          <w:u w:val="wave"/>
        </w:rPr>
      </w:pP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Compare the transaction to source documentation, such as vendor invoice, personnel file, etc. supporting the cost indirectly benefits the schools or other activities to which it is allocated.</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Determine the transaction is recorded for the proper amount for the proper period in the accounting system. </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 xml:space="preserve">Obtain an understanding of the method the management company uses to pool and assign indirect costs to individual schools.  </w:t>
      </w:r>
      <w:proofErr w:type="spellStart"/>
      <w:r w:rsidRPr="009C1D1B">
        <w:rPr>
          <w:rFonts w:ascii="Times New Roman" w:hAnsi="Times New Roman"/>
          <w:sz w:val="22"/>
          <w:szCs w:val="22"/>
          <w:u w:val="wave"/>
        </w:rPr>
        <w:t>Recompute</w:t>
      </w:r>
      <w:proofErr w:type="spellEnd"/>
      <w:r w:rsidRPr="009C1D1B">
        <w:rPr>
          <w:rFonts w:ascii="Times New Roman" w:hAnsi="Times New Roman"/>
          <w:sz w:val="22"/>
          <w:szCs w:val="22"/>
          <w:u w:val="wave"/>
        </w:rPr>
        <w:t xml:space="preserve"> selected allocations for conformity with the method.</w:t>
      </w:r>
    </w:p>
    <w:p w:rsidR="00004383" w:rsidRPr="009C1D1B" w:rsidRDefault="00004383" w:rsidP="00004383">
      <w:pPr>
        <w:pStyle w:val="ListParagraph"/>
        <w:numPr>
          <w:ilvl w:val="1"/>
          <w:numId w:val="17"/>
        </w:numPr>
        <w:autoSpaceDE w:val="0"/>
        <w:autoSpaceDN w:val="0"/>
        <w:adjustRightInd w:val="0"/>
        <w:rPr>
          <w:rFonts w:ascii="Times New Roman" w:hAnsi="Times New Roman"/>
          <w:sz w:val="22"/>
          <w:szCs w:val="22"/>
          <w:u w:val="wave"/>
        </w:rPr>
      </w:pPr>
      <w:r w:rsidRPr="009C1D1B">
        <w:rPr>
          <w:rFonts w:ascii="Times New Roman" w:hAnsi="Times New Roman"/>
          <w:sz w:val="22"/>
          <w:szCs w:val="22"/>
          <w:u w:val="wave"/>
        </w:rPr>
        <w:t>Compare the results from steps a through c with the overhead allocation disclosure in the footnote. Report any material departures from the footnote description in terms of the actual method used and any projected dollar effects of the departure.</w:t>
      </w:r>
    </w:p>
    <w:p w:rsidR="00265206" w:rsidRPr="009C1D1B" w:rsidRDefault="00265206" w:rsidP="00265206">
      <w:pPr>
        <w:tabs>
          <w:tab w:val="right" w:leader="dot" w:pos="8640"/>
        </w:tabs>
        <w:jc w:val="both"/>
        <w:rPr>
          <w:rFonts w:ascii="Times New Roman" w:hAnsi="Times New Roman"/>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640"/>
      </w:tblGrid>
      <w:tr w:rsidR="00B6130A" w:rsidRPr="009C1D1B">
        <w:trPr>
          <w:trHeight w:val="900"/>
        </w:trPr>
        <w:tc>
          <w:tcPr>
            <w:tcW w:w="8640" w:type="dxa"/>
          </w:tcPr>
          <w:p w:rsidR="00B6130A" w:rsidRPr="009C1D1B" w:rsidRDefault="00B6130A" w:rsidP="006C6CA7">
            <w:pPr>
              <w:tabs>
                <w:tab w:val="left" w:pos="720"/>
                <w:tab w:val="right" w:leader="dot" w:pos="8640"/>
              </w:tabs>
              <w:ind w:left="72"/>
              <w:jc w:val="both"/>
              <w:rPr>
                <w:rFonts w:ascii="Times New Roman" w:hAnsi="Times New Roman"/>
                <w:sz w:val="22"/>
                <w:szCs w:val="22"/>
              </w:rPr>
            </w:pPr>
            <w:r w:rsidRPr="009C1D1B">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sidRPr="009C1D1B">
              <w:rPr>
                <w:rFonts w:ascii="Times New Roman" w:hAnsi="Times New Roman"/>
                <w:b/>
                <w:sz w:val="22"/>
                <w:szCs w:val="22"/>
              </w:rPr>
              <w:t>significant deficiencies</w:t>
            </w:r>
            <w:r w:rsidRPr="009C1D1B">
              <w:rPr>
                <w:rFonts w:ascii="Times New Roman" w:hAnsi="Times New Roman"/>
                <w:b/>
                <w:sz w:val="22"/>
                <w:szCs w:val="22"/>
              </w:rPr>
              <w:t>/material weaknesses, and management letter comments):</w:t>
            </w:r>
          </w:p>
          <w:p w:rsidR="00B6130A" w:rsidRPr="009C1D1B" w:rsidRDefault="00B6130A" w:rsidP="006C6CA7">
            <w:pPr>
              <w:tabs>
                <w:tab w:val="left" w:pos="720"/>
                <w:tab w:val="right" w:leader="dot" w:pos="8640"/>
              </w:tabs>
              <w:jc w:val="both"/>
              <w:rPr>
                <w:rFonts w:ascii="Times New Roman" w:hAnsi="Times New Roman"/>
                <w:sz w:val="22"/>
                <w:szCs w:val="22"/>
              </w:rPr>
            </w:pPr>
          </w:p>
          <w:p w:rsidR="00B6130A" w:rsidRPr="009C1D1B" w:rsidRDefault="00B6130A" w:rsidP="006C6CA7">
            <w:pPr>
              <w:tabs>
                <w:tab w:val="left" w:pos="720"/>
                <w:tab w:val="right" w:leader="dot" w:pos="8640"/>
              </w:tabs>
              <w:jc w:val="both"/>
              <w:rPr>
                <w:rFonts w:ascii="Times New Roman" w:hAnsi="Times New Roman"/>
                <w:sz w:val="22"/>
                <w:szCs w:val="22"/>
              </w:rPr>
            </w:pPr>
          </w:p>
          <w:p w:rsidR="00B6130A" w:rsidRPr="009C1D1B" w:rsidRDefault="00B6130A" w:rsidP="006C6CA7">
            <w:pPr>
              <w:tabs>
                <w:tab w:val="left" w:pos="720"/>
                <w:tab w:val="right" w:leader="dot" w:pos="8640"/>
              </w:tabs>
              <w:jc w:val="both"/>
              <w:rPr>
                <w:rFonts w:ascii="Times New Roman" w:hAnsi="Times New Roman"/>
                <w:sz w:val="22"/>
                <w:szCs w:val="22"/>
              </w:rPr>
            </w:pPr>
          </w:p>
          <w:p w:rsidR="00B6130A" w:rsidRPr="009C1D1B" w:rsidRDefault="00B6130A" w:rsidP="006C6CA7">
            <w:pPr>
              <w:tabs>
                <w:tab w:val="left" w:pos="720"/>
                <w:tab w:val="right" w:leader="dot" w:pos="8640"/>
              </w:tabs>
              <w:jc w:val="both"/>
              <w:rPr>
                <w:rFonts w:ascii="Times New Roman" w:hAnsi="Times New Roman"/>
                <w:sz w:val="22"/>
                <w:szCs w:val="22"/>
              </w:rPr>
            </w:pPr>
          </w:p>
        </w:tc>
      </w:tr>
    </w:tbl>
    <w:p w:rsidR="00B6130A" w:rsidRPr="009C1D1B" w:rsidRDefault="00B6130A" w:rsidP="006C6CA7">
      <w:pPr>
        <w:tabs>
          <w:tab w:val="left" w:pos="720"/>
          <w:tab w:val="right" w:leader="dot" w:pos="8640"/>
        </w:tabs>
        <w:jc w:val="both"/>
        <w:rPr>
          <w:rFonts w:ascii="Times New Roman" w:hAnsi="Times New Roman"/>
          <w:sz w:val="22"/>
          <w:szCs w:val="22"/>
        </w:rPr>
      </w:pPr>
    </w:p>
    <w:p w:rsidR="00B13E27" w:rsidRPr="009C1D1B" w:rsidRDefault="00B6130A" w:rsidP="00B13E27">
      <w:pPr>
        <w:tabs>
          <w:tab w:val="left" w:pos="720"/>
          <w:tab w:val="right" w:leader="dot" w:pos="8640"/>
        </w:tabs>
        <w:jc w:val="center"/>
        <w:rPr>
          <w:rFonts w:ascii="Times New Roman" w:hAnsi="Times New Roman"/>
          <w:b/>
          <w:sz w:val="22"/>
          <w:szCs w:val="22"/>
        </w:rPr>
      </w:pPr>
      <w:r w:rsidRPr="009C1D1B">
        <w:rPr>
          <w:rFonts w:ascii="Times New Roman" w:hAnsi="Times New Roman"/>
          <w:sz w:val="22"/>
          <w:szCs w:val="22"/>
        </w:rPr>
        <w:br w:type="page"/>
      </w:r>
    </w:p>
    <w:p w:rsidR="00B13E27" w:rsidRPr="009C1D1B" w:rsidRDefault="00B13E27" w:rsidP="00B13E27">
      <w:pPr>
        <w:shd w:val="clear" w:color="auto" w:fill="C0C0C0"/>
        <w:tabs>
          <w:tab w:val="left" w:pos="720"/>
          <w:tab w:val="right" w:leader="dot" w:pos="8640"/>
        </w:tabs>
        <w:jc w:val="center"/>
        <w:rPr>
          <w:rFonts w:ascii="Times New Roman" w:hAnsi="Times New Roman"/>
          <w:b/>
          <w:sz w:val="28"/>
          <w:szCs w:val="28"/>
        </w:rPr>
      </w:pPr>
      <w:r w:rsidRPr="009C1D1B">
        <w:rPr>
          <w:rFonts w:ascii="Times New Roman" w:hAnsi="Times New Roman"/>
          <w:b/>
          <w:sz w:val="28"/>
          <w:szCs w:val="28"/>
        </w:rPr>
        <w:t>Section C:  Counties’ Electronic</w:t>
      </w:r>
      <w:r w:rsidR="003A6727" w:rsidRPr="009C1D1B">
        <w:rPr>
          <w:rFonts w:ascii="Times New Roman" w:hAnsi="Times New Roman"/>
          <w:b/>
          <w:sz w:val="28"/>
          <w:szCs w:val="28"/>
        </w:rPr>
        <w:t xml:space="preserve"> (i.e., Internet) Transactions</w:t>
      </w:r>
      <w:r w:rsidRPr="009C1D1B">
        <w:rPr>
          <w:rFonts w:ascii="Times New Roman" w:hAnsi="Times New Roman"/>
          <w:b/>
          <w:sz w:val="28"/>
          <w:szCs w:val="28"/>
        </w:rPr>
        <w:t xml:space="preserve"> </w:t>
      </w:r>
    </w:p>
    <w:p w:rsidR="00B13E27" w:rsidRPr="009C1D1B" w:rsidRDefault="00B13E27" w:rsidP="006C6CA7">
      <w:pPr>
        <w:tabs>
          <w:tab w:val="left" w:pos="720"/>
          <w:tab w:val="right" w:leader="dot" w:pos="8640"/>
        </w:tabs>
        <w:jc w:val="both"/>
        <w:rPr>
          <w:rFonts w:ascii="Times New Roman" w:hAnsi="Times New Roman"/>
          <w:sz w:val="22"/>
          <w:szCs w:val="22"/>
        </w:rPr>
      </w:pPr>
    </w:p>
    <w:p w:rsidR="001066F3" w:rsidRPr="009C1D1B" w:rsidRDefault="001066F3" w:rsidP="006C6CA7">
      <w:pPr>
        <w:tabs>
          <w:tab w:val="left" w:pos="720"/>
          <w:tab w:val="right" w:leader="dot" w:pos="8640"/>
        </w:tabs>
        <w:jc w:val="both"/>
        <w:rPr>
          <w:rFonts w:ascii="Times New Roman" w:hAnsi="Times New Roman"/>
          <w:b/>
          <w:color w:val="FF0000"/>
          <w:sz w:val="22"/>
          <w:szCs w:val="22"/>
        </w:rPr>
      </w:pPr>
      <w:r w:rsidRPr="009C1D1B">
        <w:rPr>
          <w:rFonts w:ascii="Times New Roman" w:hAnsi="Times New Roman"/>
          <w:b/>
          <w:color w:val="FF0000"/>
          <w:sz w:val="22"/>
          <w:szCs w:val="22"/>
        </w:rPr>
        <w:t xml:space="preserve">If you are auditing a county, </w:t>
      </w:r>
      <w:r w:rsidR="00CC70DD" w:rsidRPr="009C1D1B">
        <w:rPr>
          <w:rFonts w:ascii="Times New Roman" w:hAnsi="Times New Roman"/>
          <w:b/>
          <w:color w:val="FF0000"/>
          <w:sz w:val="22"/>
          <w:szCs w:val="22"/>
        </w:rPr>
        <w:t xml:space="preserve"> Ohio Rev. Code §</w:t>
      </w:r>
      <w:r w:rsidRPr="009C1D1B">
        <w:rPr>
          <w:rFonts w:ascii="Times New Roman" w:hAnsi="Times New Roman"/>
          <w:b/>
          <w:color w:val="FF0000"/>
          <w:sz w:val="22"/>
          <w:szCs w:val="22"/>
        </w:rPr>
        <w:t xml:space="preserve"> 117.111(A) mandates that we complete this step, if a county implemented </w:t>
      </w:r>
      <w:r w:rsidR="006B789C" w:rsidRPr="009C1D1B">
        <w:rPr>
          <w:rFonts w:ascii="Times New Roman" w:hAnsi="Times New Roman"/>
          <w:b/>
          <w:color w:val="FF0000"/>
          <w:sz w:val="22"/>
          <w:szCs w:val="22"/>
        </w:rPr>
        <w:t xml:space="preserve">or </w:t>
      </w:r>
      <w:r w:rsidRPr="009C1D1B">
        <w:rPr>
          <w:rFonts w:ascii="Times New Roman" w:hAnsi="Times New Roman"/>
          <w:b/>
          <w:color w:val="FF0000"/>
          <w:sz w:val="22"/>
          <w:szCs w:val="22"/>
        </w:rPr>
        <w:t xml:space="preserve">significantly updated </w:t>
      </w:r>
      <w:r w:rsidR="00595946" w:rsidRPr="009C1D1B">
        <w:rPr>
          <w:rFonts w:ascii="Times New Roman" w:hAnsi="Times New Roman"/>
          <w:b/>
          <w:color w:val="FF0000"/>
          <w:sz w:val="22"/>
          <w:szCs w:val="22"/>
        </w:rPr>
        <w:t xml:space="preserve">systems </w:t>
      </w:r>
      <w:r w:rsidRPr="009C1D1B">
        <w:rPr>
          <w:rFonts w:ascii="Times New Roman" w:hAnsi="Times New Roman"/>
          <w:b/>
          <w:color w:val="FF0000"/>
          <w:sz w:val="22"/>
          <w:szCs w:val="22"/>
        </w:rPr>
        <w:t>related to commercial</w:t>
      </w:r>
      <w:r w:rsidR="00595946" w:rsidRPr="009C1D1B">
        <w:rPr>
          <w:rFonts w:ascii="Times New Roman" w:hAnsi="Times New Roman"/>
          <w:b/>
          <w:color w:val="FF0000"/>
          <w:sz w:val="22"/>
          <w:szCs w:val="22"/>
        </w:rPr>
        <w:t xml:space="preserve"> electronic</w:t>
      </w:r>
      <w:r w:rsidRPr="009C1D1B">
        <w:rPr>
          <w:rFonts w:ascii="Times New Roman" w:hAnsi="Times New Roman"/>
          <w:b/>
          <w:color w:val="FF0000"/>
          <w:sz w:val="22"/>
          <w:szCs w:val="22"/>
        </w:rPr>
        <w:t xml:space="preserve"> (</w:t>
      </w:r>
      <w:r w:rsidR="00595946" w:rsidRPr="009C1D1B">
        <w:rPr>
          <w:rFonts w:ascii="Times New Roman" w:hAnsi="Times New Roman"/>
          <w:b/>
          <w:color w:val="FF0000"/>
          <w:sz w:val="22"/>
          <w:szCs w:val="22"/>
        </w:rPr>
        <w:t>internet</w:t>
      </w:r>
      <w:r w:rsidRPr="009C1D1B">
        <w:rPr>
          <w:rFonts w:ascii="Times New Roman" w:hAnsi="Times New Roman"/>
          <w:b/>
          <w:color w:val="FF0000"/>
          <w:sz w:val="22"/>
          <w:szCs w:val="22"/>
        </w:rPr>
        <w:t>) transactions.  This requirement applies to IPAs auditing counties.</w:t>
      </w:r>
    </w:p>
    <w:p w:rsidR="001066F3" w:rsidRPr="009C1D1B" w:rsidRDefault="001066F3" w:rsidP="006C6CA7">
      <w:pPr>
        <w:tabs>
          <w:tab w:val="left" w:pos="720"/>
          <w:tab w:val="right" w:leader="dot" w:pos="8640"/>
        </w:tabs>
        <w:jc w:val="both"/>
        <w:rPr>
          <w:rFonts w:ascii="Times New Roman" w:hAnsi="Times New Roman"/>
          <w:sz w:val="22"/>
          <w:szCs w:val="22"/>
        </w:rPr>
      </w:pPr>
    </w:p>
    <w:p w:rsidR="001066F3" w:rsidRPr="004E6A94" w:rsidRDefault="001066F3" w:rsidP="006C6CA7">
      <w:pPr>
        <w:tabs>
          <w:tab w:val="left" w:pos="720"/>
          <w:tab w:val="right" w:leader="dot" w:pos="8640"/>
        </w:tabs>
        <w:jc w:val="both"/>
        <w:rPr>
          <w:rFonts w:ascii="Times New Roman" w:hAnsi="Times New Roman"/>
          <w:sz w:val="22"/>
          <w:szCs w:val="22"/>
        </w:rPr>
      </w:pPr>
      <w:r w:rsidRPr="009C1D1B">
        <w:rPr>
          <w:rFonts w:ascii="Times New Roman" w:hAnsi="Times New Roman"/>
          <w:b/>
          <w:sz w:val="22"/>
          <w:szCs w:val="22"/>
        </w:rPr>
        <w:t>4-4 Compliance Requirement</w:t>
      </w:r>
      <w:r w:rsidRPr="009C1D1B">
        <w:rPr>
          <w:rFonts w:ascii="Times New Roman" w:hAnsi="Times New Roman"/>
          <w:sz w:val="22"/>
          <w:szCs w:val="22"/>
        </w:rPr>
        <w:t xml:space="preserve">: Ohio Rev. Code </w:t>
      </w:r>
      <w:r w:rsidR="00CC70DD" w:rsidRPr="009C1D1B">
        <w:rPr>
          <w:rFonts w:ascii="Times New Roman" w:hAnsi="Times New Roman"/>
          <w:sz w:val="22"/>
          <w:szCs w:val="22"/>
        </w:rPr>
        <w:t>§</w:t>
      </w:r>
      <w:r w:rsidRPr="009C1D1B">
        <w:rPr>
          <w:rFonts w:ascii="Times New Roman" w:hAnsi="Times New Roman"/>
          <w:sz w:val="22"/>
          <w:szCs w:val="22"/>
        </w:rPr>
        <w:t>117.111(A) Security controls over counties’ electronic</w:t>
      </w:r>
      <w:r w:rsidR="00193484" w:rsidRPr="009C1D1B">
        <w:rPr>
          <w:rFonts w:ascii="Times New Roman" w:hAnsi="Times New Roman"/>
          <w:sz w:val="22"/>
          <w:szCs w:val="22"/>
        </w:rPr>
        <w:t xml:space="preserve"> (i.e. internet)</w:t>
      </w:r>
      <w:r w:rsidRPr="009C1D1B">
        <w:rPr>
          <w:rFonts w:ascii="Times New Roman" w:hAnsi="Times New Roman"/>
          <w:sz w:val="22"/>
          <w:szCs w:val="22"/>
        </w:rPr>
        <w:t xml:space="preserve"> </w:t>
      </w:r>
      <w:r w:rsidR="00B27B50" w:rsidRPr="009C1D1B">
        <w:rPr>
          <w:rFonts w:ascii="Times New Roman" w:hAnsi="Times New Roman"/>
          <w:sz w:val="22"/>
          <w:szCs w:val="22"/>
        </w:rPr>
        <w:t>transactions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Summary of Requirement:</w:t>
      </w:r>
      <w:r w:rsidRPr="001E5B56">
        <w:rPr>
          <w:rFonts w:ascii="Times New Roman" w:hAnsi="Times New Roman"/>
          <w:sz w:val="22"/>
          <w:szCs w:val="22"/>
        </w:rPr>
        <w:t xml:space="preserve">  The AOS (and IPAs</w:t>
      </w:r>
      <w:r w:rsidR="00DD0727">
        <w:rPr>
          <w:rFonts w:ascii="Times New Roman" w:hAnsi="Times New Roman"/>
          <w:sz w:val="22"/>
          <w:szCs w:val="22"/>
        </w:rPr>
        <w:t xml:space="preserve"> contracting to audit counties)</w:t>
      </w:r>
      <w:r w:rsidRPr="001E5B56">
        <w:rPr>
          <w:rFonts w:ascii="Times New Roman" w:hAnsi="Times New Roman"/>
          <w:sz w:val="22"/>
          <w:szCs w:val="22"/>
        </w:rPr>
        <w:t xml:space="preserve"> </w:t>
      </w:r>
      <w:r w:rsidRPr="00DD0727">
        <w:rPr>
          <w:rFonts w:ascii="Times New Roman" w:hAnsi="Times New Roman"/>
          <w:b/>
          <w:color w:val="FF0000"/>
          <w:sz w:val="22"/>
          <w:szCs w:val="22"/>
        </w:rPr>
        <w:t>must</w:t>
      </w:r>
      <w:r w:rsidRPr="001E5B56">
        <w:rPr>
          <w:rFonts w:ascii="Times New Roman" w:hAnsi="Times New Roman"/>
          <w:sz w:val="22"/>
          <w:szCs w:val="22"/>
        </w:rPr>
        <w:t xml:space="preserve"> inquire into the method, accuracy and effectiveness of any procedure a county office adopts under </w:t>
      </w:r>
      <w:r w:rsidR="00CC70DD">
        <w:rPr>
          <w:rFonts w:ascii="Times New Roman" w:hAnsi="Times New Roman"/>
          <w:sz w:val="22"/>
          <w:szCs w:val="22"/>
        </w:rPr>
        <w:t>Ohio Rev. Code</w:t>
      </w:r>
      <w:r w:rsidRPr="001E5B56">
        <w:rPr>
          <w:rFonts w:ascii="Times New Roman" w:hAnsi="Times New Roman"/>
          <w:sz w:val="22"/>
          <w:szCs w:val="22"/>
        </w:rPr>
        <w:t xml:space="preserve"> </w:t>
      </w:r>
      <w:r w:rsidR="00CC70DD">
        <w:rPr>
          <w:rFonts w:ascii="Times New Roman" w:hAnsi="Times New Roman"/>
          <w:sz w:val="22"/>
          <w:szCs w:val="22"/>
        </w:rPr>
        <w:t>§</w:t>
      </w:r>
      <w:r w:rsidRPr="001E5B56">
        <w:rPr>
          <w:rFonts w:ascii="Times New Roman" w:hAnsi="Times New Roman"/>
          <w:sz w:val="22"/>
          <w:szCs w:val="22"/>
        </w:rPr>
        <w:t>304.02 to secure electronic signatures or records</w:t>
      </w:r>
      <w:r w:rsidR="00A7663E">
        <w:rPr>
          <w:rFonts w:ascii="Times New Roman" w:hAnsi="Times New Roman"/>
          <w:sz w:val="22"/>
          <w:szCs w:val="22"/>
        </w:rPr>
        <w:t xml:space="preserve"> relating to county business that is conducted electronically under Chapter 1306 of the Revised Code</w:t>
      </w:r>
      <w:r w:rsidRPr="001E5B56">
        <w:rPr>
          <w:rFonts w:ascii="Times New Roman" w:hAnsi="Times New Roman"/>
          <w:sz w:val="22"/>
          <w:szCs w:val="22"/>
        </w:rPr>
        <w:t xml:space="preserve">. </w:t>
      </w:r>
      <w:r w:rsidR="00753AC6" w:rsidRPr="001E5B56">
        <w:rPr>
          <w:rStyle w:val="FootnoteReference"/>
          <w:rFonts w:ascii="Times New Roman" w:hAnsi="Times New Roman"/>
          <w:sz w:val="22"/>
          <w:szCs w:val="22"/>
        </w:rPr>
        <w:footnoteReference w:id="12"/>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Other statutes relevant to this requirement: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Per </w:t>
      </w:r>
      <w:r w:rsidR="00CC70DD">
        <w:rPr>
          <w:rFonts w:ascii="Times New Roman" w:hAnsi="Times New Roman"/>
          <w:b/>
          <w:sz w:val="22"/>
          <w:szCs w:val="22"/>
        </w:rPr>
        <w:t>Ohio Rev. Code §</w:t>
      </w:r>
      <w:r w:rsidRPr="001E5B56">
        <w:rPr>
          <w:rFonts w:ascii="Times New Roman" w:hAnsi="Times New Roman"/>
          <w:b/>
          <w:sz w:val="22"/>
          <w:szCs w:val="22"/>
        </w:rPr>
        <w:t xml:space="preserve"> 304.01</w:t>
      </w:r>
      <w:r w:rsidRPr="001E5B56">
        <w:rPr>
          <w:rFonts w:ascii="Times New Roman" w:hAnsi="Times New Roman"/>
          <w:sz w:val="22"/>
          <w:szCs w:val="22"/>
        </w:rPr>
        <w:t>:</w:t>
      </w:r>
    </w:p>
    <w:p w:rsidR="001066F3"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(B) "County office" means any officer, department, board, commission, agency, court, or other instrumentality of a county.</w:t>
      </w:r>
    </w:p>
    <w:p w:rsidR="00A7663E" w:rsidRDefault="00A7663E" w:rsidP="006C6CA7">
      <w:pPr>
        <w:tabs>
          <w:tab w:val="left" w:pos="720"/>
          <w:tab w:val="right" w:leader="dot" w:pos="8640"/>
        </w:tabs>
        <w:jc w:val="both"/>
        <w:rPr>
          <w:rFonts w:ascii="Times New Roman" w:hAnsi="Times New Roman"/>
          <w:sz w:val="22"/>
          <w:szCs w:val="22"/>
        </w:rPr>
      </w:pPr>
    </w:p>
    <w:p w:rsidR="00A7663E" w:rsidRPr="001E5B56" w:rsidRDefault="00A7663E" w:rsidP="006C6CA7">
      <w:pPr>
        <w:tabs>
          <w:tab w:val="left" w:pos="720"/>
          <w:tab w:val="right" w:leader="dot" w:pos="8640"/>
        </w:tabs>
        <w:jc w:val="both"/>
        <w:rPr>
          <w:rFonts w:ascii="Times New Roman" w:hAnsi="Times New Roman"/>
          <w:sz w:val="22"/>
          <w:szCs w:val="22"/>
        </w:rPr>
      </w:pPr>
      <w:r>
        <w:rPr>
          <w:rFonts w:ascii="Times New Roman" w:hAnsi="Times New Roman"/>
          <w:sz w:val="22"/>
          <w:szCs w:val="22"/>
        </w:rPr>
        <w:t>(D)  “Electronic record” means a record created, generated, sent communicated, received, or st</w:t>
      </w:r>
      <w:r w:rsidR="006B789C">
        <w:rPr>
          <w:rFonts w:ascii="Times New Roman" w:hAnsi="Times New Roman"/>
          <w:sz w:val="22"/>
          <w:szCs w:val="22"/>
        </w:rPr>
        <w:t>o</w:t>
      </w:r>
      <w:r>
        <w:rPr>
          <w:rFonts w:ascii="Times New Roman" w:hAnsi="Times New Roman"/>
          <w:sz w:val="22"/>
          <w:szCs w:val="22"/>
        </w:rPr>
        <w:t xml:space="preserve">red by electronic means.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42EA"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w:t>
      </w:r>
      <w:r w:rsidR="00DD0727">
        <w:rPr>
          <w:rFonts w:ascii="Times New Roman" w:hAnsi="Times New Roman"/>
          <w:sz w:val="22"/>
          <w:szCs w:val="22"/>
        </w:rPr>
        <w:t xml:space="preserve"> </w:t>
      </w:r>
      <w:r w:rsidR="001066F3" w:rsidRPr="001E5B56">
        <w:rPr>
          <w:rFonts w:ascii="Times New Roman" w:hAnsi="Times New Roman"/>
          <w:sz w:val="22"/>
          <w:szCs w:val="22"/>
        </w:rPr>
        <w:t xml:space="preserve">Note:  The signature can be by a county employee or a citizen transacting </w:t>
      </w:r>
      <w:r w:rsidR="00A52684">
        <w:rPr>
          <w:rFonts w:ascii="Times New Roman" w:hAnsi="Times New Roman"/>
          <w:sz w:val="22"/>
          <w:szCs w:val="22"/>
        </w:rPr>
        <w:t xml:space="preserve">business </w:t>
      </w:r>
      <w:r w:rsidR="001066F3" w:rsidRPr="001E5B56">
        <w:rPr>
          <w:rFonts w:ascii="Times New Roman" w:hAnsi="Times New Roman"/>
          <w:sz w:val="22"/>
          <w:szCs w:val="22"/>
        </w:rPr>
        <w:t xml:space="preserve">with </w:t>
      </w:r>
      <w:r w:rsidR="00A52684">
        <w:rPr>
          <w:rFonts w:ascii="Times New Roman" w:hAnsi="Times New Roman"/>
          <w:sz w:val="22"/>
          <w:szCs w:val="22"/>
        </w:rPr>
        <w:t>a</w:t>
      </w:r>
      <w:r w:rsidR="001066F3" w:rsidRPr="001E5B56">
        <w:rPr>
          <w:rFonts w:ascii="Times New Roman" w:hAnsi="Times New Roman"/>
          <w:sz w:val="22"/>
          <w:szCs w:val="22"/>
        </w:rPr>
        <w:t xml:space="preserve"> county</w:t>
      </w:r>
      <w:r w:rsidR="00A52684">
        <w:rPr>
          <w:rFonts w:ascii="Times New Roman" w:hAnsi="Times New Roman"/>
          <w:sz w:val="22"/>
          <w:szCs w:val="22"/>
        </w:rPr>
        <w:t xml:space="preserve"> office</w:t>
      </w:r>
      <w:r w:rsidR="001066F3" w:rsidRPr="001E5B56">
        <w:rPr>
          <w:rFonts w:ascii="Times New Roman" w:hAnsi="Times New Roman"/>
          <w:sz w:val="22"/>
          <w:szCs w:val="22"/>
        </w:rPr>
        <w:t xml:space="preserve">. </w:t>
      </w:r>
    </w:p>
    <w:p w:rsidR="001042EA" w:rsidRPr="001E5B56" w:rsidRDefault="001042EA" w:rsidP="006C6CA7">
      <w:pPr>
        <w:tabs>
          <w:tab w:val="left" w:pos="720"/>
          <w:tab w:val="right" w:leader="dot" w:pos="8640"/>
        </w:tabs>
        <w:jc w:val="both"/>
        <w:rPr>
          <w:rFonts w:ascii="Times New Roman" w:hAnsi="Times New Roman"/>
          <w:sz w:val="22"/>
          <w:szCs w:val="22"/>
        </w:rPr>
      </w:pPr>
    </w:p>
    <w:p w:rsidR="001066F3" w:rsidRPr="001E5B56"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1066F3" w:rsidRPr="001E5B56">
        <w:rPr>
          <w:rFonts w:ascii="Times New Roman" w:hAnsi="Times New Roman"/>
          <w:b/>
          <w:sz w:val="22"/>
          <w:szCs w:val="22"/>
        </w:rPr>
        <w:t xml:space="preserve"> 304.02</w:t>
      </w:r>
      <w:r w:rsidR="001066F3" w:rsidRPr="001E5B56">
        <w:rPr>
          <w:rFonts w:ascii="Times New Roman" w:hAnsi="Times New Roman"/>
          <w:sz w:val="22"/>
          <w:szCs w:val="22"/>
        </w:rPr>
        <w:t xml:space="preserve">: Prior to a county office using electronic records and electronic signatures, </w:t>
      </w:r>
      <w:r w:rsidR="00A7663E">
        <w:rPr>
          <w:rFonts w:ascii="Times New Roman" w:hAnsi="Times New Roman"/>
          <w:sz w:val="22"/>
          <w:szCs w:val="22"/>
        </w:rPr>
        <w:t xml:space="preserve">under Chapter 1306 of the Revised </w:t>
      </w:r>
      <w:r w:rsidR="00A52684">
        <w:rPr>
          <w:rFonts w:ascii="Times New Roman" w:hAnsi="Times New Roman"/>
          <w:sz w:val="22"/>
          <w:szCs w:val="22"/>
        </w:rPr>
        <w:t>C</w:t>
      </w:r>
      <w:r w:rsidR="00A7663E">
        <w:rPr>
          <w:rFonts w:ascii="Times New Roman" w:hAnsi="Times New Roman"/>
          <w:sz w:val="22"/>
          <w:szCs w:val="22"/>
        </w:rPr>
        <w:t xml:space="preserve">ode and except as otherwise provided in Section 955.013 of the Revised Code, </w:t>
      </w:r>
      <w:r w:rsidR="001066F3" w:rsidRPr="001E5B56">
        <w:rPr>
          <w:rFonts w:ascii="Times New Roman" w:hAnsi="Times New Roman"/>
          <w:sz w:val="22"/>
          <w:szCs w:val="22"/>
        </w:rPr>
        <w:t xml:space="preserve">a county office shall adopt, in writing, a security </w:t>
      </w:r>
      <w:r w:rsidR="00282F30" w:rsidRPr="001E5B56">
        <w:rPr>
          <w:rFonts w:ascii="Times New Roman" w:hAnsi="Times New Roman"/>
          <w:sz w:val="22"/>
          <w:szCs w:val="22"/>
        </w:rPr>
        <w:t>procedure to</w:t>
      </w:r>
      <w:r w:rsidR="001066F3" w:rsidRPr="001E5B56">
        <w:rPr>
          <w:rFonts w:ascii="Times New Roman" w:hAnsi="Times New Roman"/>
          <w:sz w:val="22"/>
          <w:szCs w:val="22"/>
        </w:rPr>
        <w:t xml:space="preserve">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w:t>
      </w:r>
      <w:proofErr w:type="gramStart"/>
      <w:r>
        <w:rPr>
          <w:rFonts w:ascii="Times New Roman" w:hAnsi="Times New Roman"/>
          <w:b/>
          <w:sz w:val="22"/>
          <w:szCs w:val="22"/>
        </w:rPr>
        <w:t>Ohio Rev. Code §</w:t>
      </w:r>
      <w:r w:rsidR="001066F3" w:rsidRPr="001E5B56">
        <w:rPr>
          <w:rFonts w:ascii="Times New Roman" w:hAnsi="Times New Roman"/>
          <w:b/>
          <w:sz w:val="22"/>
          <w:szCs w:val="22"/>
        </w:rPr>
        <w:t xml:space="preserve"> 955.013</w:t>
      </w:r>
      <w:r w:rsidR="001066F3" w:rsidRPr="001E5B56">
        <w:rPr>
          <w:rFonts w:ascii="Times New Roman" w:hAnsi="Times New Roman"/>
          <w:sz w:val="22"/>
          <w:szCs w:val="22"/>
        </w:rPr>
        <w:t xml:space="preserve"> permits paying dog and kennel registration fees by financial transaction devices (e.g. credit cards), including via the internet.</w:t>
      </w:r>
      <w:proofErr w:type="gramEnd"/>
      <w:r w:rsidR="001066F3" w:rsidRPr="001E5B56">
        <w:rPr>
          <w:rFonts w:ascii="Times New Roman" w:hAnsi="Times New Roman"/>
          <w:sz w:val="22"/>
          <w:szCs w:val="22"/>
        </w:rPr>
        <w:t xml:space="preserve"> </w:t>
      </w:r>
    </w:p>
    <w:p w:rsidR="009C5A45" w:rsidRDefault="009C5A45" w:rsidP="006C6CA7">
      <w:pPr>
        <w:tabs>
          <w:tab w:val="left" w:pos="720"/>
          <w:tab w:val="right" w:leader="dot" w:pos="8640"/>
        </w:tabs>
        <w:jc w:val="both"/>
        <w:rPr>
          <w:rFonts w:ascii="Times New Roman" w:hAnsi="Times New Roman"/>
          <w:sz w:val="22"/>
          <w:szCs w:val="22"/>
        </w:rPr>
      </w:pPr>
    </w:p>
    <w:p w:rsidR="009C5A45"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9C5A45" w:rsidRPr="00450D22">
        <w:rPr>
          <w:rFonts w:ascii="Times New Roman" w:hAnsi="Times New Roman"/>
          <w:b/>
          <w:sz w:val="22"/>
          <w:szCs w:val="22"/>
        </w:rPr>
        <w:t xml:space="preserve"> 1306.02(A)</w:t>
      </w:r>
      <w:r w:rsidR="009C5A45">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9C5A45" w:rsidRDefault="009C5A45" w:rsidP="006C6CA7">
      <w:pPr>
        <w:tabs>
          <w:tab w:val="left" w:pos="720"/>
          <w:tab w:val="right" w:leader="dot" w:pos="8640"/>
        </w:tabs>
        <w:jc w:val="both"/>
        <w:rPr>
          <w:rFonts w:ascii="Times New Roman" w:hAnsi="Times New Roman"/>
          <w:sz w:val="22"/>
          <w:szCs w:val="22"/>
        </w:rPr>
      </w:pPr>
    </w:p>
    <w:p w:rsidR="009C5A45"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9C5A45" w:rsidRPr="00450D22">
        <w:rPr>
          <w:rFonts w:ascii="Times New Roman" w:hAnsi="Times New Roman"/>
          <w:b/>
          <w:sz w:val="22"/>
          <w:szCs w:val="22"/>
        </w:rPr>
        <w:t xml:space="preserve"> 1306.04(B)</w:t>
      </w:r>
      <w:r w:rsidR="009C5A45">
        <w:rPr>
          <w:rFonts w:ascii="Times New Roman" w:hAnsi="Times New Roman"/>
          <w:sz w:val="22"/>
          <w:szCs w:val="22"/>
        </w:rPr>
        <w:t xml:space="preserve"> provides that sections 1306.01 to 1306.23 of the Revised Code apply only to transactions between parties each of which has agreed to conduct transactions by electronic means. </w:t>
      </w:r>
    </w:p>
    <w:p w:rsidR="009C5A45" w:rsidRDefault="009C5A45" w:rsidP="006C6CA7">
      <w:pPr>
        <w:tabs>
          <w:tab w:val="left" w:pos="720"/>
          <w:tab w:val="right" w:leader="dot" w:pos="8640"/>
        </w:tabs>
        <w:jc w:val="both"/>
        <w:rPr>
          <w:rFonts w:ascii="Times New Roman" w:hAnsi="Times New Roman"/>
          <w:sz w:val="22"/>
          <w:szCs w:val="22"/>
        </w:rPr>
      </w:pPr>
    </w:p>
    <w:p w:rsidR="009C5A45" w:rsidRPr="001E5B56"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9C5A45" w:rsidRPr="00450D22">
        <w:rPr>
          <w:rFonts w:ascii="Times New Roman" w:hAnsi="Times New Roman"/>
          <w:b/>
          <w:sz w:val="22"/>
          <w:szCs w:val="22"/>
        </w:rPr>
        <w:t xml:space="preserve"> </w:t>
      </w:r>
      <w:r w:rsidR="00923418" w:rsidRPr="00450D22">
        <w:rPr>
          <w:rFonts w:ascii="Times New Roman" w:hAnsi="Times New Roman"/>
          <w:b/>
          <w:sz w:val="22"/>
          <w:szCs w:val="22"/>
        </w:rPr>
        <w:t xml:space="preserve">1306.01(P) </w:t>
      </w:r>
      <w:r w:rsidR="00923418">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Default="00CC70DD" w:rsidP="006C6CA7">
      <w:pPr>
        <w:tabs>
          <w:tab w:val="left" w:pos="720"/>
          <w:tab w:val="right" w:leader="dot" w:pos="8640"/>
        </w:tabs>
        <w:jc w:val="both"/>
        <w:rPr>
          <w:rFonts w:ascii="Times New Roman" w:hAnsi="Times New Roman"/>
          <w:sz w:val="22"/>
          <w:szCs w:val="22"/>
        </w:rPr>
      </w:pPr>
      <w:r>
        <w:rPr>
          <w:rFonts w:ascii="Times New Roman" w:hAnsi="Times New Roman"/>
          <w:b/>
          <w:sz w:val="22"/>
          <w:szCs w:val="22"/>
        </w:rPr>
        <w:t xml:space="preserve"> Ohio Rev. Code §</w:t>
      </w:r>
      <w:r w:rsidR="001066F3" w:rsidRPr="001E5B56">
        <w:rPr>
          <w:rFonts w:ascii="Times New Roman" w:hAnsi="Times New Roman"/>
          <w:b/>
          <w:sz w:val="22"/>
          <w:szCs w:val="22"/>
        </w:rPr>
        <w:t xml:space="preserve"> 1306.11</w:t>
      </w:r>
      <w:r w:rsidR="001066F3" w:rsidRPr="001E5B56">
        <w:rPr>
          <w:rFonts w:ascii="Times New Roman" w:hAnsi="Times New Roman"/>
          <w:sz w:val="22"/>
          <w:szCs w:val="22"/>
        </w:rPr>
        <w:t xml:space="preserve">:  (A) An electronic record of information </w:t>
      </w:r>
      <w:r w:rsidR="00923418">
        <w:rPr>
          <w:rFonts w:ascii="Times New Roman" w:hAnsi="Times New Roman"/>
          <w:sz w:val="22"/>
          <w:szCs w:val="22"/>
        </w:rPr>
        <w:t xml:space="preserve">generally </w:t>
      </w:r>
      <w:r w:rsidR="001066F3" w:rsidRPr="001E5B56">
        <w:rPr>
          <w:rFonts w:ascii="Times New Roman" w:hAnsi="Times New Roman"/>
          <w:sz w:val="22"/>
          <w:szCs w:val="22"/>
        </w:rPr>
        <w:t>satisfies record retention laws.</w:t>
      </w:r>
    </w:p>
    <w:p w:rsidR="00B30C7F" w:rsidRPr="001E5B56" w:rsidRDefault="00B30C7F" w:rsidP="00B30C7F">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B30C7F" w:rsidRPr="00444C7D" w:rsidTr="008A3C08">
        <w:tc>
          <w:tcPr>
            <w:tcW w:w="4428" w:type="dxa"/>
          </w:tcPr>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B30C7F" w:rsidRPr="00444C7D" w:rsidRDefault="00B30C7F" w:rsidP="008A3C08">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B30C7F" w:rsidRPr="00444C7D" w:rsidTr="008A3C08">
        <w:tc>
          <w:tcPr>
            <w:tcW w:w="4428" w:type="dxa"/>
          </w:tcPr>
          <w:p w:rsidR="00B30C7F" w:rsidRPr="00444C7D" w:rsidRDefault="00B30C7F" w:rsidP="008A3C08">
            <w:pPr>
              <w:tabs>
                <w:tab w:val="left" w:pos="720"/>
                <w:tab w:val="right" w:leader="dot" w:pos="8640"/>
              </w:tabs>
              <w:rPr>
                <w:rFonts w:ascii="Times New Roman" w:hAnsi="Times New Roman"/>
                <w:sz w:val="22"/>
                <w:szCs w:val="22"/>
              </w:rPr>
            </w:pPr>
          </w:p>
          <w:p w:rsidR="00B30C7F"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Accounting system designed to capture the required information</w:t>
            </w:r>
          </w:p>
          <w:p w:rsidR="00B30C7F"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Accounting policies and procedures manual</w:t>
            </w:r>
          </w:p>
          <w:p w:rsidR="00B30C7F"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Knowledge and training of accounting personnel</w:t>
            </w:r>
          </w:p>
          <w:p w:rsidR="00B30C7F" w:rsidRPr="00444C7D" w:rsidRDefault="00B30C7F" w:rsidP="008A3C08">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Pr>
                <w:rFonts w:ascii="Times New Roman" w:hAnsi="Times New Roman"/>
                <w:sz w:val="22"/>
                <w:szCs w:val="22"/>
              </w:rPr>
              <w:t>Legislative and Management Monitoring</w:t>
            </w:r>
          </w:p>
        </w:tc>
        <w:tc>
          <w:tcPr>
            <w:tcW w:w="3780" w:type="dxa"/>
          </w:tcPr>
          <w:p w:rsidR="00B30C7F" w:rsidRDefault="00B30C7F" w:rsidP="008A3C08">
            <w:pPr>
              <w:tabs>
                <w:tab w:val="left" w:pos="720"/>
                <w:tab w:val="right" w:leader="dot" w:pos="8640"/>
              </w:tabs>
              <w:ind w:left="-3974" w:firstLine="540"/>
              <w:rPr>
                <w:rFonts w:ascii="Times New Roman" w:hAnsi="Times New Roman"/>
                <w:sz w:val="22"/>
                <w:szCs w:val="22"/>
              </w:rPr>
            </w:pPr>
          </w:p>
          <w:p w:rsidR="00B30C7F" w:rsidRDefault="00B30C7F" w:rsidP="00B30C7F">
            <w:pPr>
              <w:rPr>
                <w:rFonts w:ascii="Times New Roman" w:hAnsi="Times New Roman"/>
                <w:sz w:val="22"/>
                <w:szCs w:val="22"/>
              </w:rPr>
            </w:pPr>
          </w:p>
          <w:p w:rsidR="00B30C7F" w:rsidRPr="00B30C7F" w:rsidRDefault="00B30C7F" w:rsidP="00B30C7F">
            <w:pPr>
              <w:tabs>
                <w:tab w:val="left" w:pos="386"/>
              </w:tabs>
              <w:rPr>
                <w:rFonts w:ascii="Times New Roman" w:hAnsi="Times New Roman"/>
                <w:sz w:val="22"/>
                <w:szCs w:val="22"/>
              </w:rPr>
            </w:pPr>
          </w:p>
        </w:tc>
        <w:tc>
          <w:tcPr>
            <w:tcW w:w="648" w:type="dxa"/>
          </w:tcPr>
          <w:p w:rsidR="00B30C7F" w:rsidRPr="00444C7D" w:rsidRDefault="00B30C7F" w:rsidP="008A3C08">
            <w:pPr>
              <w:tabs>
                <w:tab w:val="left" w:pos="720"/>
                <w:tab w:val="right" w:leader="dot" w:pos="8640"/>
              </w:tabs>
              <w:rPr>
                <w:rFonts w:ascii="Times New Roman" w:hAnsi="Times New Roman"/>
                <w:sz w:val="22"/>
                <w:szCs w:val="22"/>
              </w:rPr>
            </w:pPr>
          </w:p>
        </w:tc>
      </w:tr>
    </w:tbl>
    <w:p w:rsidR="00B30C7F" w:rsidRPr="001E5B56" w:rsidRDefault="00B30C7F" w:rsidP="00B30C7F">
      <w:pPr>
        <w:tabs>
          <w:tab w:val="left" w:pos="720"/>
          <w:tab w:val="right" w:leader="dot" w:pos="8640"/>
        </w:tabs>
        <w:jc w:val="both"/>
        <w:rPr>
          <w:rFonts w:ascii="Times New Roman" w:hAnsi="Times New Roman"/>
          <w:sz w:val="22"/>
          <w:szCs w:val="22"/>
        </w:rPr>
      </w:pPr>
    </w:p>
    <w:p w:rsidR="001066F3"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DD0727">
        <w:rPr>
          <w:rFonts w:ascii="Times New Roman" w:hAnsi="Times New Roman"/>
          <w:b/>
          <w:sz w:val="22"/>
          <w:szCs w:val="22"/>
        </w:rPr>
        <w:t>:</w:t>
      </w:r>
    </w:p>
    <w:p w:rsidR="00DD0727" w:rsidRPr="001E5B56" w:rsidRDefault="00DD0727" w:rsidP="006C6CA7">
      <w:pPr>
        <w:tabs>
          <w:tab w:val="left" w:pos="720"/>
          <w:tab w:val="right" w:leader="dot" w:pos="8640"/>
        </w:tabs>
        <w:jc w:val="both"/>
        <w:rPr>
          <w:rFonts w:ascii="Times New Roman" w:hAnsi="Times New Roman"/>
          <w:b/>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Determine the </w:t>
      </w:r>
      <w:r w:rsidR="00923418" w:rsidRPr="00B86032">
        <w:rPr>
          <w:rFonts w:ascii="Times New Roman" w:hAnsi="Times New Roman"/>
          <w:sz w:val="22"/>
          <w:szCs w:val="22"/>
        </w:rPr>
        <w:t xml:space="preserve">electronic </w:t>
      </w:r>
      <w:r w:rsidRPr="00B86032">
        <w:rPr>
          <w:rFonts w:ascii="Times New Roman" w:hAnsi="Times New Roman"/>
          <w:sz w:val="22"/>
          <w:szCs w:val="22"/>
        </w:rPr>
        <w:t xml:space="preserve">records </w:t>
      </w:r>
      <w:r w:rsidR="00923418" w:rsidRPr="00B86032">
        <w:rPr>
          <w:rFonts w:ascii="Times New Roman" w:hAnsi="Times New Roman"/>
          <w:sz w:val="22"/>
          <w:szCs w:val="22"/>
        </w:rPr>
        <w:t>and electronic signatures relat</w:t>
      </w:r>
      <w:r w:rsidR="00FF26CF" w:rsidRPr="00B86032">
        <w:rPr>
          <w:rFonts w:ascii="Times New Roman" w:hAnsi="Times New Roman"/>
          <w:sz w:val="22"/>
          <w:szCs w:val="22"/>
        </w:rPr>
        <w:t>ing</w:t>
      </w:r>
      <w:r w:rsidR="00923418" w:rsidRPr="00B86032">
        <w:rPr>
          <w:rFonts w:ascii="Times New Roman" w:hAnsi="Times New Roman"/>
          <w:sz w:val="22"/>
          <w:szCs w:val="22"/>
        </w:rPr>
        <w:t xml:space="preserve"> to </w:t>
      </w:r>
      <w:r w:rsidR="00FE3095" w:rsidRPr="00B86032">
        <w:rPr>
          <w:rFonts w:ascii="Times New Roman" w:hAnsi="Times New Roman"/>
          <w:sz w:val="22"/>
          <w:szCs w:val="22"/>
        </w:rPr>
        <w:t>a</w:t>
      </w:r>
      <w:r w:rsidR="00923418" w:rsidRPr="00B86032">
        <w:rPr>
          <w:rFonts w:ascii="Times New Roman" w:hAnsi="Times New Roman"/>
          <w:sz w:val="22"/>
          <w:szCs w:val="22"/>
        </w:rPr>
        <w:t xml:space="preserve"> county</w:t>
      </w:r>
      <w:r w:rsidR="00FE3095" w:rsidRPr="00B86032">
        <w:rPr>
          <w:rFonts w:ascii="Times New Roman" w:hAnsi="Times New Roman"/>
          <w:sz w:val="22"/>
          <w:szCs w:val="22"/>
        </w:rPr>
        <w:t xml:space="preserve"> office</w:t>
      </w:r>
      <w:r w:rsidR="00923418" w:rsidRPr="00B86032">
        <w:rPr>
          <w:rFonts w:ascii="Times New Roman" w:hAnsi="Times New Roman"/>
          <w:sz w:val="22"/>
          <w:szCs w:val="22"/>
        </w:rPr>
        <w:t xml:space="preserve">’s electronic </w:t>
      </w:r>
      <w:r w:rsidR="00FF26CF" w:rsidRPr="00B86032">
        <w:rPr>
          <w:rFonts w:ascii="Times New Roman" w:hAnsi="Times New Roman"/>
          <w:sz w:val="22"/>
          <w:szCs w:val="22"/>
        </w:rPr>
        <w:t xml:space="preserve">(i.e. </w:t>
      </w:r>
      <w:r w:rsidR="00FF26CF" w:rsidRPr="00B86032">
        <w:rPr>
          <w:rFonts w:ascii="Times New Roman" w:hAnsi="Times New Roman"/>
          <w:b/>
          <w:i/>
          <w:sz w:val="22"/>
          <w:szCs w:val="22"/>
        </w:rPr>
        <w:t>internet</w:t>
      </w:r>
      <w:r w:rsidR="00FF26CF" w:rsidRPr="00B86032">
        <w:rPr>
          <w:rFonts w:ascii="Times New Roman" w:hAnsi="Times New Roman"/>
          <w:sz w:val="22"/>
          <w:szCs w:val="22"/>
        </w:rPr>
        <w:t xml:space="preserve">) </w:t>
      </w:r>
      <w:r w:rsidR="00923418" w:rsidRPr="00B86032">
        <w:rPr>
          <w:rFonts w:ascii="Times New Roman" w:hAnsi="Times New Roman"/>
          <w:sz w:val="22"/>
          <w:szCs w:val="22"/>
        </w:rPr>
        <w:t>transactions.</w:t>
      </w:r>
      <w:r w:rsidRPr="001E5B56">
        <w:rPr>
          <w:rFonts w:ascii="Times New Roman" w:hAnsi="Times New Roman"/>
          <w:sz w:val="22"/>
          <w:szCs w:val="22"/>
        </w:rPr>
        <w:t xml:space="preserve">  These include: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1"/>
          <w:numId w:val="4"/>
        </w:numPr>
        <w:tabs>
          <w:tab w:val="clear" w:pos="1440"/>
          <w:tab w:val="left" w:pos="720"/>
          <w:tab w:val="right" w:leader="dot" w:pos="8640"/>
        </w:tabs>
        <w:ind w:left="720"/>
        <w:jc w:val="both"/>
        <w:rPr>
          <w:rFonts w:ascii="Times New Roman" w:hAnsi="Times New Roman"/>
          <w:sz w:val="22"/>
          <w:szCs w:val="22"/>
        </w:rPr>
      </w:pPr>
      <w:r w:rsidRPr="001E5B56">
        <w:rPr>
          <w:rFonts w:ascii="Times New Roman" w:hAnsi="Times New Roman"/>
          <w:sz w:val="22"/>
          <w:szCs w:val="22"/>
        </w:rPr>
        <w:t xml:space="preserve">Cash receipts where </w:t>
      </w:r>
      <w:r w:rsidR="00FE3095">
        <w:rPr>
          <w:rFonts w:ascii="Times New Roman" w:hAnsi="Times New Roman"/>
          <w:sz w:val="22"/>
          <w:szCs w:val="22"/>
        </w:rPr>
        <w:t>a</w:t>
      </w:r>
      <w:r w:rsidRPr="001E5B56">
        <w:rPr>
          <w:rFonts w:ascii="Times New Roman" w:hAnsi="Times New Roman"/>
          <w:sz w:val="22"/>
          <w:szCs w:val="22"/>
        </w:rPr>
        <w:t xml:space="preserve"> county</w:t>
      </w:r>
      <w:r w:rsidR="00FE3095">
        <w:rPr>
          <w:rFonts w:ascii="Times New Roman" w:hAnsi="Times New Roman"/>
          <w:sz w:val="22"/>
          <w:szCs w:val="22"/>
        </w:rPr>
        <w:t xml:space="preserve"> office</w:t>
      </w:r>
      <w:r w:rsidRPr="001E5B56">
        <w:rPr>
          <w:rFonts w:ascii="Times New Roman" w:hAnsi="Times New Roman"/>
          <w:sz w:val="22"/>
          <w:szCs w:val="22"/>
        </w:rPr>
        <w:t xml:space="preserve"> accepts credit/debit cards</w:t>
      </w:r>
      <w:r w:rsidR="00923418">
        <w:rPr>
          <w:rFonts w:ascii="Times New Roman" w:hAnsi="Times New Roman"/>
          <w:sz w:val="22"/>
          <w:szCs w:val="22"/>
        </w:rPr>
        <w:t xml:space="preserve"> electronically</w:t>
      </w:r>
      <w:r w:rsidR="00F227ED">
        <w:rPr>
          <w:rFonts w:ascii="Times New Roman" w:hAnsi="Times New Roman"/>
          <w:sz w:val="22"/>
          <w:szCs w:val="22"/>
        </w:rPr>
        <w:t xml:space="preserve"> (</w:t>
      </w:r>
      <w:proofErr w:type="spellStart"/>
      <w:r w:rsidR="00F227ED">
        <w:rPr>
          <w:rFonts w:ascii="Times New Roman" w:hAnsi="Times New Roman"/>
          <w:sz w:val="22"/>
          <w:szCs w:val="22"/>
        </w:rPr>
        <w:t>i.e</w:t>
      </w:r>
      <w:proofErr w:type="spellEnd"/>
      <w:r w:rsidR="00F227ED">
        <w:rPr>
          <w:rFonts w:ascii="Times New Roman" w:hAnsi="Times New Roman"/>
          <w:sz w:val="22"/>
          <w:szCs w:val="22"/>
        </w:rPr>
        <w:t>, via the internet)</w:t>
      </w:r>
      <w:r w:rsidRPr="001E5B56">
        <w:rPr>
          <w:rFonts w:ascii="Times New Roman" w:hAnsi="Times New Roman"/>
          <w:sz w:val="22"/>
          <w:szCs w:val="22"/>
        </w:rPr>
        <w:t>.</w:t>
      </w:r>
    </w:p>
    <w:p w:rsidR="001066F3" w:rsidRPr="00F227ED" w:rsidRDefault="001066F3" w:rsidP="006C6CA7">
      <w:pPr>
        <w:tabs>
          <w:tab w:val="left" w:pos="720"/>
          <w:tab w:val="right" w:leader="dot" w:pos="8640"/>
        </w:tabs>
        <w:jc w:val="both"/>
        <w:rPr>
          <w:rFonts w:ascii="Times New Roman" w:hAnsi="Times New Roman"/>
          <w:sz w:val="22"/>
          <w:szCs w:val="22"/>
        </w:rPr>
      </w:pPr>
    </w:p>
    <w:p w:rsidR="001066F3" w:rsidRPr="00923418" w:rsidRDefault="00FE3095" w:rsidP="009F24E3">
      <w:pPr>
        <w:numPr>
          <w:ilvl w:val="1"/>
          <w:numId w:val="4"/>
        </w:numPr>
        <w:tabs>
          <w:tab w:val="clear" w:pos="1440"/>
          <w:tab w:val="left" w:pos="720"/>
          <w:tab w:val="right" w:leader="dot" w:pos="8640"/>
        </w:tabs>
        <w:ind w:left="720"/>
        <w:jc w:val="both"/>
        <w:rPr>
          <w:rFonts w:ascii="Times New Roman" w:hAnsi="Times New Roman"/>
          <w:strike/>
          <w:sz w:val="22"/>
          <w:szCs w:val="22"/>
        </w:rPr>
      </w:pPr>
      <w:r>
        <w:rPr>
          <w:rFonts w:ascii="Times New Roman" w:hAnsi="Times New Roman"/>
          <w:sz w:val="22"/>
          <w:szCs w:val="22"/>
        </w:rPr>
        <w:t xml:space="preserve">Other </w:t>
      </w:r>
      <w:r w:rsidR="00B96795">
        <w:rPr>
          <w:rFonts w:ascii="Times New Roman" w:hAnsi="Times New Roman"/>
          <w:sz w:val="22"/>
          <w:szCs w:val="22"/>
        </w:rPr>
        <w:t xml:space="preserve">types of </w:t>
      </w:r>
      <w:r>
        <w:rPr>
          <w:rFonts w:ascii="Times New Roman" w:hAnsi="Times New Roman"/>
          <w:sz w:val="22"/>
          <w:szCs w:val="22"/>
        </w:rPr>
        <w:t>i</w:t>
      </w:r>
      <w:r w:rsidR="001066F3" w:rsidRPr="00F227ED">
        <w:rPr>
          <w:rFonts w:ascii="Times New Roman" w:hAnsi="Times New Roman"/>
          <w:sz w:val="22"/>
          <w:szCs w:val="22"/>
        </w:rPr>
        <w:t>nternet transactions</w:t>
      </w:r>
      <w:r w:rsidR="001066F3" w:rsidRPr="0041100A">
        <w:rPr>
          <w:rFonts w:ascii="Times New Roman" w:hAnsi="Times New Roman"/>
          <w:sz w:val="22"/>
          <w:szCs w:val="22"/>
        </w:rPr>
        <w:t>.</w:t>
      </w:r>
      <w:r w:rsidR="00993E93" w:rsidRPr="0041100A">
        <w:rPr>
          <w:rFonts w:ascii="Times New Roman" w:hAnsi="Times New Roman"/>
          <w:sz w:val="22"/>
          <w:szCs w:val="22"/>
        </w:rPr>
        <w:t xml:space="preserve"> </w:t>
      </w:r>
      <w:r w:rsidR="00993E93" w:rsidRPr="0041100A">
        <w:rPr>
          <w:rStyle w:val="FootnoteReference"/>
          <w:rFonts w:ascii="Times New Roman" w:hAnsi="Times New Roman"/>
          <w:sz w:val="22"/>
          <w:szCs w:val="22"/>
        </w:rPr>
        <w:footnoteReference w:id="13"/>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Obtain </w:t>
      </w:r>
      <w:r w:rsidRPr="00A8507D">
        <w:rPr>
          <w:rFonts w:ascii="Times New Roman" w:hAnsi="Times New Roman"/>
          <w:sz w:val="22"/>
          <w:szCs w:val="22"/>
        </w:rPr>
        <w:t>and read</w:t>
      </w:r>
      <w:r w:rsidRPr="001E5B56">
        <w:rPr>
          <w:rFonts w:ascii="Times New Roman" w:hAnsi="Times New Roman"/>
          <w:sz w:val="22"/>
          <w:szCs w:val="22"/>
        </w:rPr>
        <w:t xml:space="preserve"> the </w:t>
      </w:r>
      <w:r w:rsidRPr="00A8507D">
        <w:rPr>
          <w:rFonts w:ascii="Times New Roman" w:hAnsi="Times New Roman"/>
          <w:i/>
          <w:sz w:val="22"/>
          <w:szCs w:val="22"/>
        </w:rPr>
        <w:t>written</w:t>
      </w:r>
      <w:r w:rsidRPr="00A8507D">
        <w:rPr>
          <w:rFonts w:ascii="Times New Roman" w:hAnsi="Times New Roman"/>
          <w:sz w:val="22"/>
          <w:szCs w:val="22"/>
        </w:rPr>
        <w:t xml:space="preserve"> </w:t>
      </w:r>
      <w:r w:rsidRPr="001E5B56">
        <w:rPr>
          <w:rFonts w:ascii="Times New Roman" w:hAnsi="Times New Roman"/>
          <w:sz w:val="22"/>
          <w:szCs w:val="22"/>
        </w:rPr>
        <w:t xml:space="preserve">security </w:t>
      </w:r>
      <w:r w:rsidR="00AE6765">
        <w:rPr>
          <w:rFonts w:ascii="Times New Roman" w:hAnsi="Times New Roman"/>
          <w:sz w:val="22"/>
          <w:szCs w:val="22"/>
        </w:rPr>
        <w:t>procedure</w:t>
      </w:r>
      <w:r w:rsidR="00A8507D">
        <w:rPr>
          <w:rFonts w:ascii="Times New Roman" w:hAnsi="Times New Roman"/>
          <w:sz w:val="22"/>
          <w:szCs w:val="22"/>
        </w:rPr>
        <w:t xml:space="preserve"> </w:t>
      </w:r>
      <w:r w:rsidRPr="001E5B56">
        <w:rPr>
          <w:rFonts w:ascii="Times New Roman" w:hAnsi="Times New Roman"/>
          <w:sz w:val="22"/>
          <w:szCs w:val="22"/>
        </w:rPr>
        <w:t>the county</w:t>
      </w:r>
      <w:r w:rsidR="0041100A">
        <w:rPr>
          <w:rFonts w:ascii="Times New Roman" w:hAnsi="Times New Roman"/>
          <w:sz w:val="22"/>
          <w:szCs w:val="22"/>
        </w:rPr>
        <w:t xml:space="preserve"> office</w:t>
      </w:r>
      <w:r w:rsidRPr="001E5B56">
        <w:rPr>
          <w:rFonts w:ascii="Times New Roman" w:hAnsi="Times New Roman"/>
          <w:sz w:val="22"/>
          <w:szCs w:val="22"/>
        </w:rPr>
        <w:t xml:space="preserve"> </w:t>
      </w:r>
      <w:r w:rsidR="00A8507D">
        <w:rPr>
          <w:rFonts w:ascii="Times New Roman" w:hAnsi="Times New Roman"/>
          <w:sz w:val="22"/>
          <w:szCs w:val="22"/>
        </w:rPr>
        <w:t>(</w:t>
      </w:r>
      <w:r w:rsidR="00A8507D" w:rsidRPr="00B86032">
        <w:rPr>
          <w:rFonts w:ascii="Times New Roman" w:hAnsi="Times New Roman"/>
          <w:sz w:val="22"/>
          <w:szCs w:val="22"/>
        </w:rPr>
        <w:t>or its internet transaction service organization</w:t>
      </w:r>
      <w:r w:rsidR="00AD3ABA" w:rsidRPr="00B86032">
        <w:rPr>
          <w:rStyle w:val="FootnoteReference"/>
          <w:rFonts w:ascii="Times New Roman" w:hAnsi="Times New Roman"/>
          <w:sz w:val="22"/>
          <w:szCs w:val="22"/>
        </w:rPr>
        <w:footnoteReference w:id="14"/>
      </w:r>
      <w:r w:rsidR="00A8507D">
        <w:rPr>
          <w:rFonts w:ascii="Times New Roman" w:hAnsi="Times New Roman"/>
          <w:sz w:val="22"/>
          <w:szCs w:val="22"/>
        </w:rPr>
        <w:t xml:space="preserve">) </w:t>
      </w:r>
      <w:r w:rsidRPr="001E5B56">
        <w:rPr>
          <w:rFonts w:ascii="Times New Roman" w:hAnsi="Times New Roman"/>
          <w:sz w:val="22"/>
          <w:szCs w:val="22"/>
        </w:rPr>
        <w:t>adopted</w:t>
      </w:r>
      <w:r w:rsidR="00A8507D">
        <w:rPr>
          <w:rFonts w:ascii="Times New Roman" w:hAnsi="Times New Roman"/>
          <w:sz w:val="22"/>
          <w:szCs w:val="22"/>
        </w:rPr>
        <w:t xml:space="preserve"> t</w:t>
      </w:r>
      <w:r w:rsidRPr="001E5B56">
        <w:rPr>
          <w:rFonts w:ascii="Times New Roman" w:hAnsi="Times New Roman"/>
          <w:sz w:val="22"/>
          <w:szCs w:val="22"/>
        </w:rPr>
        <w:t xml:space="preserve">o safeguard </w:t>
      </w:r>
      <w:r w:rsidR="00B96795">
        <w:rPr>
          <w:rFonts w:ascii="Times New Roman" w:hAnsi="Times New Roman"/>
          <w:sz w:val="22"/>
          <w:szCs w:val="22"/>
        </w:rPr>
        <w:t xml:space="preserve">each type of </w:t>
      </w:r>
      <w:r w:rsidR="00AE6765" w:rsidRPr="00B86032">
        <w:rPr>
          <w:rFonts w:ascii="Times New Roman" w:hAnsi="Times New Roman"/>
          <w:sz w:val="22"/>
          <w:szCs w:val="22"/>
        </w:rPr>
        <w:t>electronic</w:t>
      </w:r>
      <w:r w:rsidR="007B6E9D" w:rsidRPr="00B86032">
        <w:rPr>
          <w:rFonts w:ascii="Times New Roman" w:hAnsi="Times New Roman"/>
          <w:sz w:val="22"/>
          <w:szCs w:val="22"/>
        </w:rPr>
        <w:t xml:space="preserve"> (i.e. internet)</w:t>
      </w:r>
      <w:r w:rsidR="00AE6765">
        <w:rPr>
          <w:rFonts w:ascii="Times New Roman" w:hAnsi="Times New Roman"/>
          <w:sz w:val="22"/>
          <w:szCs w:val="22"/>
        </w:rPr>
        <w:t xml:space="preserve"> </w:t>
      </w:r>
      <w:r w:rsidRPr="00A8507D">
        <w:rPr>
          <w:rFonts w:ascii="Times New Roman" w:hAnsi="Times New Roman"/>
          <w:sz w:val="22"/>
          <w:szCs w:val="22"/>
        </w:rPr>
        <w:t>transaction.</w:t>
      </w:r>
      <w:r w:rsidR="00A846F4">
        <w:rPr>
          <w:rFonts w:ascii="Times New Roman" w:hAnsi="Times New Roman"/>
          <w:sz w:val="22"/>
          <w:szCs w:val="22"/>
        </w:rPr>
        <w:t xml:space="preserve">  Note:  Because the service organization processes most elements of the</w:t>
      </w:r>
      <w:r w:rsidR="00574390">
        <w:rPr>
          <w:rFonts w:ascii="Times New Roman" w:hAnsi="Times New Roman"/>
          <w:sz w:val="22"/>
          <w:szCs w:val="22"/>
        </w:rPr>
        <w:t>se</w:t>
      </w:r>
      <w:r w:rsidR="00A846F4">
        <w:rPr>
          <w:rFonts w:ascii="Times New Roman" w:hAnsi="Times New Roman"/>
          <w:sz w:val="22"/>
          <w:szCs w:val="22"/>
        </w:rPr>
        <w:t xml:space="preserve"> transactions, it is sufficient if the </w:t>
      </w:r>
      <w:r w:rsidR="00A846F4" w:rsidRPr="00A846F4">
        <w:rPr>
          <w:rFonts w:ascii="Times New Roman" w:hAnsi="Times New Roman"/>
          <w:b/>
          <w:i/>
          <w:sz w:val="22"/>
          <w:szCs w:val="22"/>
        </w:rPr>
        <w:t>service organization</w:t>
      </w:r>
      <w:r w:rsidR="00A846F4">
        <w:rPr>
          <w:rFonts w:ascii="Times New Roman" w:hAnsi="Times New Roman"/>
          <w:sz w:val="22"/>
          <w:szCs w:val="22"/>
        </w:rPr>
        <w:t xml:space="preserve"> adopts security procedures</w:t>
      </w:r>
      <w:r w:rsidR="000155CD">
        <w:rPr>
          <w:rFonts w:ascii="Times New Roman" w:hAnsi="Times New Roman"/>
          <w:sz w:val="22"/>
          <w:szCs w:val="22"/>
        </w:rPr>
        <w:t xml:space="preserve">. </w:t>
      </w:r>
      <w:r w:rsidR="00A846F4">
        <w:rPr>
          <w:rFonts w:ascii="Times New Roman" w:hAnsi="Times New Roman"/>
          <w:sz w:val="22"/>
          <w:szCs w:val="22"/>
        </w:rPr>
        <w:t xml:space="preserve"> </w:t>
      </w:r>
      <w:r w:rsidR="000155CD">
        <w:rPr>
          <w:rFonts w:ascii="Times New Roman" w:hAnsi="Times New Roman"/>
          <w:sz w:val="22"/>
          <w:szCs w:val="22"/>
        </w:rPr>
        <w:t>I</w:t>
      </w:r>
      <w:r w:rsidR="00A846F4">
        <w:rPr>
          <w:rFonts w:ascii="Times New Roman" w:hAnsi="Times New Roman"/>
          <w:sz w:val="22"/>
          <w:szCs w:val="22"/>
        </w:rPr>
        <w:t xml:space="preserve">f </w:t>
      </w:r>
      <w:r w:rsidR="000155CD">
        <w:rPr>
          <w:rFonts w:ascii="Times New Roman" w:hAnsi="Times New Roman"/>
          <w:sz w:val="22"/>
          <w:szCs w:val="22"/>
        </w:rPr>
        <w:t xml:space="preserve">the service organization requires the county </w:t>
      </w:r>
      <w:r w:rsidR="00B309AE">
        <w:rPr>
          <w:rFonts w:ascii="Times New Roman" w:hAnsi="Times New Roman"/>
          <w:sz w:val="22"/>
          <w:szCs w:val="22"/>
        </w:rPr>
        <w:t xml:space="preserve">office </w:t>
      </w:r>
      <w:r w:rsidR="000155CD">
        <w:rPr>
          <w:rFonts w:ascii="Times New Roman" w:hAnsi="Times New Roman"/>
          <w:sz w:val="22"/>
          <w:szCs w:val="22"/>
        </w:rPr>
        <w:t xml:space="preserve">to adopt “user control” security procedures, we should </w:t>
      </w:r>
      <w:r w:rsidR="00A846F4">
        <w:rPr>
          <w:rFonts w:ascii="Times New Roman" w:hAnsi="Times New Roman"/>
          <w:sz w:val="22"/>
          <w:szCs w:val="22"/>
        </w:rPr>
        <w:t>consider whether the</w:t>
      </w:r>
      <w:r w:rsidR="000155CD">
        <w:rPr>
          <w:rFonts w:ascii="Times New Roman" w:hAnsi="Times New Roman"/>
          <w:sz w:val="22"/>
          <w:szCs w:val="22"/>
        </w:rPr>
        <w:t xml:space="preserve"> county </w:t>
      </w:r>
      <w:r w:rsidR="00B309AE">
        <w:rPr>
          <w:rFonts w:ascii="Times New Roman" w:hAnsi="Times New Roman"/>
          <w:sz w:val="22"/>
          <w:szCs w:val="22"/>
        </w:rPr>
        <w:t xml:space="preserve">office </w:t>
      </w:r>
      <w:r w:rsidR="000155CD">
        <w:rPr>
          <w:rFonts w:ascii="Times New Roman" w:hAnsi="Times New Roman"/>
          <w:sz w:val="22"/>
          <w:szCs w:val="22"/>
        </w:rPr>
        <w:t>has implemented these controls.</w:t>
      </w:r>
      <w:r w:rsidR="00A846F4">
        <w:rPr>
          <w:rFonts w:ascii="Times New Roman" w:hAnsi="Times New Roman"/>
          <w:sz w:val="22"/>
          <w:szCs w:val="22"/>
        </w:rPr>
        <w:t xml:space="preserve"> </w:t>
      </w:r>
      <w:r w:rsidR="001F6C27">
        <w:rPr>
          <w:rFonts w:ascii="Times New Roman" w:hAnsi="Times New Roman"/>
          <w:sz w:val="22"/>
          <w:szCs w:val="22"/>
        </w:rPr>
        <w:t xml:space="preserve"> (Often the service organization’s contract </w:t>
      </w:r>
      <w:r w:rsidR="002A7E29">
        <w:rPr>
          <w:rFonts w:ascii="Times New Roman" w:hAnsi="Times New Roman"/>
          <w:sz w:val="22"/>
          <w:szCs w:val="22"/>
        </w:rPr>
        <w:t xml:space="preserve">or response to a county office’s RFP </w:t>
      </w:r>
      <w:r w:rsidR="001F6C27">
        <w:rPr>
          <w:rFonts w:ascii="Times New Roman" w:hAnsi="Times New Roman"/>
          <w:sz w:val="22"/>
          <w:szCs w:val="22"/>
        </w:rPr>
        <w:t>will describe the security procedures.)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6"/>
        </w:num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Retain a copy or summary of the</w:t>
      </w:r>
      <w:r w:rsidR="00AE6765">
        <w:rPr>
          <w:rFonts w:ascii="Times New Roman" w:hAnsi="Times New Roman"/>
          <w:sz w:val="22"/>
          <w:szCs w:val="22"/>
        </w:rPr>
        <w:t xml:space="preserve"> procedure</w:t>
      </w:r>
      <w:r w:rsidRPr="001E5B56">
        <w:rPr>
          <w:rFonts w:ascii="Times New Roman" w:hAnsi="Times New Roman"/>
          <w:sz w:val="22"/>
          <w:szCs w:val="22"/>
        </w:rPr>
        <w:t xml:space="preserve"> in the permanent file.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6"/>
        </w:num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Update systems’ documentation as needed.</w:t>
      </w:r>
      <w:r w:rsidR="005A1F37" w:rsidRPr="001E5B56">
        <w:rPr>
          <w:rStyle w:val="FootnoteReference"/>
          <w:rFonts w:ascii="Times New Roman" w:hAnsi="Times New Roman"/>
          <w:sz w:val="22"/>
          <w:szCs w:val="22"/>
        </w:rPr>
        <w:footnoteReference w:id="15"/>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021BC"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Assess the effectiveness of the design of controls and determine that they have been</w:t>
      </w:r>
      <w:r w:rsidR="001021BC">
        <w:rPr>
          <w:rFonts w:ascii="Times New Roman" w:hAnsi="Times New Roman"/>
          <w:sz w:val="22"/>
          <w:szCs w:val="22"/>
        </w:rPr>
        <w:t xml:space="preserve"> </w:t>
      </w:r>
      <w:r w:rsidRPr="001E5B56">
        <w:rPr>
          <w:rFonts w:ascii="Times New Roman" w:hAnsi="Times New Roman"/>
          <w:sz w:val="22"/>
          <w:szCs w:val="22"/>
        </w:rPr>
        <w:t>“</w:t>
      </w:r>
      <w:r w:rsidRPr="004067BC">
        <w:rPr>
          <w:rFonts w:ascii="Times New Roman" w:hAnsi="Times New Roman"/>
          <w:sz w:val="22"/>
          <w:szCs w:val="22"/>
        </w:rPr>
        <w:t>placed in operation.”</w:t>
      </w:r>
      <w:r w:rsidRPr="001E5B56">
        <w:rPr>
          <w:rFonts w:ascii="Times New Roman" w:hAnsi="Times New Roman"/>
          <w:sz w:val="22"/>
          <w:szCs w:val="22"/>
        </w:rPr>
        <w:t xml:space="preserve">  (AOS staff can refer to</w:t>
      </w:r>
      <w:r w:rsidR="004067BC">
        <w:rPr>
          <w:rFonts w:ascii="Times New Roman" w:hAnsi="Times New Roman"/>
          <w:sz w:val="22"/>
          <w:szCs w:val="22"/>
        </w:rPr>
        <w:t xml:space="preserve"> </w:t>
      </w:r>
      <w:proofErr w:type="spellStart"/>
      <w:r w:rsidR="001021BC" w:rsidRPr="00B86032">
        <w:rPr>
          <w:rFonts w:ascii="Times New Roman" w:hAnsi="Times New Roman"/>
          <w:sz w:val="22"/>
          <w:szCs w:val="22"/>
        </w:rPr>
        <w:t>AOSAM</w:t>
      </w:r>
      <w:proofErr w:type="spellEnd"/>
      <w:r w:rsidR="001021BC" w:rsidRPr="00B86032">
        <w:rPr>
          <w:rFonts w:ascii="Times New Roman" w:hAnsi="Times New Roman"/>
          <w:sz w:val="22"/>
          <w:szCs w:val="22"/>
        </w:rPr>
        <w:t xml:space="preserve"> 30500.54</w:t>
      </w:r>
      <w:r w:rsidR="0007646A">
        <w:rPr>
          <w:rFonts w:ascii="Times New Roman" w:hAnsi="Times New Roman"/>
          <w:sz w:val="22"/>
          <w:szCs w:val="22"/>
        </w:rPr>
        <w:t xml:space="preserve"> </w:t>
      </w:r>
      <w:r w:rsidR="001021BC" w:rsidRPr="00B86032">
        <w:rPr>
          <w:rFonts w:ascii="Times New Roman" w:hAnsi="Times New Roman"/>
          <w:sz w:val="22"/>
          <w:szCs w:val="22"/>
        </w:rPr>
        <w:t>-.58</w:t>
      </w:r>
      <w:r w:rsidRPr="00B86032">
        <w:rPr>
          <w:rFonts w:ascii="Times New Roman" w:hAnsi="Times New Roman"/>
          <w:sz w:val="22"/>
          <w:szCs w:val="22"/>
        </w:rPr>
        <w:t>.</w:t>
      </w:r>
      <w:r w:rsidR="00F711CD" w:rsidRPr="00B86032">
        <w:rPr>
          <w:rFonts w:ascii="Times New Roman" w:hAnsi="Times New Roman"/>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If </w:t>
      </w:r>
      <w:r w:rsidR="00231814" w:rsidRPr="00B86032">
        <w:rPr>
          <w:rFonts w:ascii="Times New Roman" w:hAnsi="Times New Roman"/>
          <w:sz w:val="22"/>
          <w:szCs w:val="22"/>
        </w:rPr>
        <w:t>these transactions are subject to audit (exceed tolerable error, etc.) and</w:t>
      </w:r>
      <w:r w:rsidR="00231814">
        <w:rPr>
          <w:rFonts w:ascii="Times New Roman" w:hAnsi="Times New Roman"/>
          <w:sz w:val="22"/>
          <w:szCs w:val="22"/>
        </w:rPr>
        <w:t xml:space="preserve"> </w:t>
      </w:r>
      <w:r w:rsidRPr="001E5B56">
        <w:rPr>
          <w:rFonts w:ascii="Times New Roman" w:hAnsi="Times New Roman"/>
          <w:sz w:val="22"/>
          <w:szCs w:val="22"/>
        </w:rPr>
        <w:t xml:space="preserve">we assess CR at less than the maximum level or low, test monitoring or application controls related to electronic </w:t>
      </w:r>
      <w:r w:rsidR="000155CD" w:rsidRPr="00B86032">
        <w:rPr>
          <w:rFonts w:ascii="Times New Roman" w:hAnsi="Times New Roman"/>
          <w:sz w:val="22"/>
          <w:szCs w:val="22"/>
        </w:rPr>
        <w:t>(i.e. internet)</w:t>
      </w:r>
      <w:r w:rsidR="000155CD">
        <w:rPr>
          <w:rFonts w:ascii="Times New Roman" w:hAnsi="Times New Roman"/>
          <w:sz w:val="22"/>
          <w:szCs w:val="22"/>
        </w:rPr>
        <w:t xml:space="preserve"> </w:t>
      </w:r>
      <w:r w:rsidRPr="001E5B56">
        <w:rPr>
          <w:rFonts w:ascii="Times New Roman" w:hAnsi="Times New Roman"/>
          <w:sz w:val="22"/>
          <w:szCs w:val="22"/>
        </w:rPr>
        <w:t>transactions and signatures.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4"/>
        </w:numPr>
        <w:tabs>
          <w:tab w:val="clear" w:pos="720"/>
          <w:tab w:val="left" w:pos="360"/>
          <w:tab w:val="right" w:leader="dot" w:pos="8640"/>
        </w:tabs>
        <w:ind w:left="360"/>
        <w:jc w:val="both"/>
        <w:rPr>
          <w:rFonts w:ascii="Times New Roman" w:hAnsi="Times New Roman"/>
          <w:sz w:val="22"/>
          <w:szCs w:val="22"/>
        </w:rPr>
      </w:pPr>
      <w:r w:rsidRPr="001E5B56">
        <w:rPr>
          <w:rFonts w:ascii="Times New Roman" w:hAnsi="Times New Roman"/>
          <w:sz w:val="22"/>
          <w:szCs w:val="22"/>
        </w:rPr>
        <w:t xml:space="preserve">Determine whether results from the steps above regarding the design and operation of controls related to securing electronic signatures and </w:t>
      </w:r>
      <w:r w:rsidR="00AE6765" w:rsidRPr="00B86032">
        <w:rPr>
          <w:rFonts w:ascii="Times New Roman" w:hAnsi="Times New Roman"/>
          <w:sz w:val="22"/>
          <w:szCs w:val="22"/>
        </w:rPr>
        <w:t xml:space="preserve">electronic records relating to </w:t>
      </w:r>
      <w:r w:rsidR="000155CD" w:rsidRPr="00B86032">
        <w:rPr>
          <w:rFonts w:ascii="Times New Roman" w:hAnsi="Times New Roman"/>
          <w:sz w:val="22"/>
          <w:szCs w:val="22"/>
        </w:rPr>
        <w:t xml:space="preserve">internet </w:t>
      </w:r>
      <w:r w:rsidRPr="00B86032">
        <w:rPr>
          <w:rFonts w:ascii="Times New Roman" w:hAnsi="Times New Roman"/>
          <w:sz w:val="22"/>
          <w:szCs w:val="22"/>
        </w:rPr>
        <w:t xml:space="preserve">transactions result in any management comments, </w:t>
      </w:r>
      <w:r w:rsidR="000155CD" w:rsidRPr="00B86032">
        <w:rPr>
          <w:rFonts w:ascii="Times New Roman" w:hAnsi="Times New Roman"/>
          <w:sz w:val="22"/>
          <w:szCs w:val="22"/>
        </w:rPr>
        <w:t>significant deficiencies</w:t>
      </w:r>
      <w:r w:rsidRPr="001E5B56">
        <w:rPr>
          <w:rFonts w:ascii="Times New Roman" w:hAnsi="Times New Roman"/>
          <w:sz w:val="22"/>
          <w:szCs w:val="22"/>
        </w:rPr>
        <w:t xml:space="preserve"> or material weaknesses</w:t>
      </w:r>
      <w:r w:rsidR="00CB623D">
        <w:rPr>
          <w:rFonts w:ascii="Times New Roman" w:hAnsi="Times New Roman"/>
          <w:sz w:val="22"/>
          <w:szCs w:val="22"/>
        </w:rPr>
        <w:t>.  W</w:t>
      </w:r>
      <w:r w:rsidRPr="001E5B56">
        <w:rPr>
          <w:rFonts w:ascii="Times New Roman" w:hAnsi="Times New Roman"/>
          <w:sz w:val="22"/>
          <w:szCs w:val="22"/>
        </w:rPr>
        <w:t xml:space="preserve">e must also report as a noncompliance finding.  Since the statute explicitly refers to a </w:t>
      </w:r>
      <w:r w:rsidR="00C3189F" w:rsidRPr="001E5B56">
        <w:rPr>
          <w:rFonts w:ascii="Times New Roman" w:hAnsi="Times New Roman"/>
          <w:sz w:val="22"/>
          <w:szCs w:val="22"/>
        </w:rPr>
        <w:t xml:space="preserve">security </w:t>
      </w:r>
      <w:r w:rsidR="00C3189F">
        <w:rPr>
          <w:rFonts w:ascii="Times New Roman" w:hAnsi="Times New Roman"/>
          <w:sz w:val="22"/>
          <w:szCs w:val="22"/>
        </w:rPr>
        <w:t>procedure</w:t>
      </w:r>
      <w:r w:rsidR="00AE6765">
        <w:rPr>
          <w:rFonts w:ascii="Times New Roman" w:hAnsi="Times New Roman"/>
          <w:sz w:val="22"/>
          <w:szCs w:val="22"/>
        </w:rPr>
        <w:t xml:space="preserve"> </w:t>
      </w:r>
      <w:r w:rsidR="00C3189F">
        <w:rPr>
          <w:rFonts w:ascii="Times New Roman" w:hAnsi="Times New Roman"/>
          <w:sz w:val="22"/>
          <w:szCs w:val="22"/>
        </w:rPr>
        <w:t>adopted</w:t>
      </w:r>
      <w:r w:rsidR="00AE6765">
        <w:rPr>
          <w:rFonts w:ascii="Times New Roman" w:hAnsi="Times New Roman"/>
          <w:sz w:val="22"/>
          <w:szCs w:val="22"/>
        </w:rPr>
        <w:t xml:space="preserve"> in writing</w:t>
      </w:r>
      <w:r w:rsidRPr="001E5B56">
        <w:rPr>
          <w:rFonts w:ascii="Times New Roman" w:hAnsi="Times New Roman"/>
          <w:sz w:val="22"/>
          <w:szCs w:val="22"/>
        </w:rPr>
        <w:t xml:space="preserve">, we should report the absence of a </w:t>
      </w:r>
      <w:r w:rsidR="005F0E81">
        <w:rPr>
          <w:rFonts w:ascii="Times New Roman" w:hAnsi="Times New Roman"/>
          <w:sz w:val="22"/>
          <w:szCs w:val="22"/>
        </w:rPr>
        <w:t>security procedure adopted in writing.</w:t>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D62E70" w:rsidRPr="001E5B56">
        <w:trPr>
          <w:trHeight w:val="720"/>
        </w:trPr>
        <w:tc>
          <w:tcPr>
            <w:tcW w:w="9720" w:type="dxa"/>
          </w:tcPr>
          <w:p w:rsidR="00D62E70" w:rsidRPr="001E5B56" w:rsidRDefault="00D62E70" w:rsidP="006C6CA7">
            <w:pPr>
              <w:tabs>
                <w:tab w:val="left" w:pos="720"/>
                <w:tab w:val="right" w:leader="dot" w:pos="8640"/>
              </w:tabs>
              <w:ind w:left="180"/>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B847D0" w:rsidRPr="001E5B56" w:rsidRDefault="00B847D0" w:rsidP="006C6CA7">
            <w:pPr>
              <w:tabs>
                <w:tab w:val="left" w:pos="720"/>
                <w:tab w:val="right" w:leader="dot" w:pos="8640"/>
              </w:tabs>
              <w:ind w:left="180"/>
              <w:jc w:val="both"/>
              <w:rPr>
                <w:rFonts w:ascii="Times New Roman" w:hAnsi="Times New Roman"/>
                <w:b/>
                <w:sz w:val="22"/>
                <w:szCs w:val="22"/>
              </w:rPr>
            </w:pPr>
          </w:p>
          <w:p w:rsidR="00B847D0" w:rsidRPr="001E5B56" w:rsidRDefault="00B847D0" w:rsidP="006C6CA7">
            <w:pPr>
              <w:tabs>
                <w:tab w:val="left" w:pos="720"/>
                <w:tab w:val="right" w:leader="dot" w:pos="8640"/>
              </w:tabs>
              <w:ind w:left="180"/>
              <w:jc w:val="both"/>
              <w:rPr>
                <w:rFonts w:ascii="Times New Roman" w:hAnsi="Times New Roman"/>
                <w:b/>
                <w:sz w:val="22"/>
                <w:szCs w:val="22"/>
              </w:rPr>
            </w:pPr>
          </w:p>
          <w:p w:rsidR="00B847D0" w:rsidRPr="001E5B56" w:rsidRDefault="00B847D0" w:rsidP="006C6CA7">
            <w:pPr>
              <w:tabs>
                <w:tab w:val="left" w:pos="720"/>
                <w:tab w:val="right" w:leader="dot" w:pos="8640"/>
              </w:tabs>
              <w:ind w:left="180"/>
              <w:jc w:val="both"/>
              <w:rPr>
                <w:rFonts w:ascii="Times New Roman" w:hAnsi="Times New Roman"/>
                <w:b/>
                <w:sz w:val="22"/>
                <w:szCs w:val="22"/>
              </w:rPr>
            </w:pPr>
          </w:p>
          <w:p w:rsidR="00B847D0" w:rsidRPr="001E5B56" w:rsidRDefault="00B847D0" w:rsidP="006C6CA7">
            <w:pPr>
              <w:tabs>
                <w:tab w:val="left" w:pos="720"/>
                <w:tab w:val="right" w:leader="dot" w:pos="8640"/>
              </w:tabs>
              <w:ind w:left="180"/>
              <w:jc w:val="both"/>
              <w:rPr>
                <w:rFonts w:ascii="Times New Roman" w:hAnsi="Times New Roman"/>
                <w:b/>
                <w:sz w:val="22"/>
                <w:szCs w:val="22"/>
              </w:rPr>
            </w:pPr>
          </w:p>
        </w:tc>
      </w:tr>
    </w:tbl>
    <w:p w:rsidR="001066F3" w:rsidRPr="001E5B56" w:rsidRDefault="001066F3" w:rsidP="006C6CA7">
      <w:pPr>
        <w:tabs>
          <w:tab w:val="left" w:pos="720"/>
          <w:tab w:val="right" w:leader="dot" w:pos="8640"/>
        </w:tabs>
        <w:jc w:val="both"/>
        <w:rPr>
          <w:rFonts w:ascii="Times New Roman" w:hAnsi="Times New Roman"/>
          <w:sz w:val="22"/>
          <w:szCs w:val="22"/>
        </w:rPr>
      </w:pPr>
    </w:p>
    <w:p w:rsidR="00DD0727" w:rsidRDefault="00DD0727" w:rsidP="00DD0727">
      <w:pPr>
        <w:tabs>
          <w:tab w:val="left" w:pos="720"/>
          <w:tab w:val="right" w:leader="dot" w:pos="8640"/>
        </w:tabs>
        <w:jc w:val="center"/>
        <w:rPr>
          <w:rFonts w:ascii="Times New Roman" w:hAnsi="Times New Roman"/>
          <w:b/>
          <w:sz w:val="22"/>
          <w:szCs w:val="22"/>
        </w:rPr>
      </w:pPr>
      <w:r>
        <w:rPr>
          <w:rFonts w:ascii="Times New Roman" w:hAnsi="Times New Roman"/>
          <w:b/>
          <w:sz w:val="22"/>
          <w:szCs w:val="22"/>
        </w:rPr>
        <w:br w:type="page"/>
      </w:r>
    </w:p>
    <w:p w:rsidR="001066F3" w:rsidRPr="00DD0727" w:rsidRDefault="001066F3" w:rsidP="00DD0727">
      <w:pPr>
        <w:shd w:val="clear" w:color="auto" w:fill="C0C0C0"/>
        <w:tabs>
          <w:tab w:val="left" w:pos="720"/>
          <w:tab w:val="right" w:leader="dot" w:pos="8640"/>
        </w:tabs>
        <w:jc w:val="center"/>
        <w:rPr>
          <w:rFonts w:ascii="Times New Roman" w:hAnsi="Times New Roman"/>
          <w:b/>
          <w:sz w:val="28"/>
          <w:szCs w:val="28"/>
        </w:rPr>
      </w:pPr>
      <w:r w:rsidRPr="00DD0727">
        <w:rPr>
          <w:rFonts w:ascii="Times New Roman" w:hAnsi="Times New Roman"/>
          <w:b/>
          <w:sz w:val="28"/>
          <w:szCs w:val="28"/>
        </w:rPr>
        <w:t>Section D:  Accounting requirements applicable to all public offices</w:t>
      </w:r>
    </w:p>
    <w:p w:rsidR="001066F3" w:rsidRPr="001E5B56" w:rsidRDefault="001066F3" w:rsidP="006C6CA7">
      <w:pPr>
        <w:tabs>
          <w:tab w:val="left" w:pos="720"/>
          <w:tab w:val="right" w:leader="dot" w:pos="8640"/>
        </w:tabs>
        <w:jc w:val="both"/>
        <w:rPr>
          <w:rFonts w:ascii="Times New Roman" w:hAnsi="Times New Roman"/>
          <w:sz w:val="22"/>
          <w:szCs w:val="22"/>
        </w:rPr>
      </w:pPr>
    </w:p>
    <w:p w:rsidR="009470B2"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b/>
          <w:sz w:val="22"/>
          <w:szCs w:val="22"/>
        </w:rPr>
        <w:t xml:space="preserve">4-5 Compliance </w:t>
      </w:r>
      <w:r w:rsidR="00C3189F" w:rsidRPr="001E5B56">
        <w:rPr>
          <w:rFonts w:ascii="Times New Roman" w:hAnsi="Times New Roman"/>
          <w:b/>
          <w:sz w:val="22"/>
          <w:szCs w:val="22"/>
        </w:rPr>
        <w:t>Requirements</w:t>
      </w:r>
      <w:r w:rsidRPr="001E5B56">
        <w:rPr>
          <w:rFonts w:ascii="Times New Roman" w:hAnsi="Times New Roman"/>
          <w:sz w:val="22"/>
          <w:szCs w:val="22"/>
        </w:rPr>
        <w:t>: Ohio Admin. Code Section</w:t>
      </w:r>
      <w:r w:rsidR="005F0E81">
        <w:rPr>
          <w:rFonts w:ascii="Times New Roman" w:hAnsi="Times New Roman"/>
          <w:sz w:val="22"/>
          <w:szCs w:val="22"/>
        </w:rPr>
        <w:t>s</w:t>
      </w:r>
      <w:r w:rsidRPr="001E5B56">
        <w:rPr>
          <w:rFonts w:ascii="Times New Roman" w:hAnsi="Times New Roman"/>
          <w:sz w:val="22"/>
          <w:szCs w:val="22"/>
        </w:rPr>
        <w:t xml:space="preserve"> 117-2-02(D) </w:t>
      </w:r>
      <w:r w:rsidR="009470B2">
        <w:rPr>
          <w:rFonts w:ascii="Times New Roman" w:hAnsi="Times New Roman"/>
          <w:sz w:val="22"/>
          <w:szCs w:val="22"/>
        </w:rPr>
        <w:t>and (E)</w:t>
      </w: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Accounting records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DD0727" w:rsidRDefault="001066F3" w:rsidP="006C6CA7">
      <w:pPr>
        <w:tabs>
          <w:tab w:val="left" w:pos="720"/>
          <w:tab w:val="right" w:leader="dot" w:pos="8640"/>
        </w:tabs>
        <w:jc w:val="both"/>
        <w:rPr>
          <w:rFonts w:ascii="Times New Roman" w:hAnsi="Times New Roman"/>
          <w:b/>
          <w:sz w:val="22"/>
          <w:szCs w:val="22"/>
        </w:rPr>
      </w:pPr>
      <w:r w:rsidRPr="00DD0727">
        <w:rPr>
          <w:rFonts w:ascii="Times New Roman" w:hAnsi="Times New Roman"/>
          <w:b/>
          <w:sz w:val="22"/>
          <w:szCs w:val="22"/>
        </w:rPr>
        <w:t xml:space="preserve">Summary of Requirement:  </w:t>
      </w:r>
    </w:p>
    <w:p w:rsidR="00DD0727" w:rsidRDefault="00DD0727"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DD0727">
        <w:rPr>
          <w:rFonts w:ascii="Times New Roman" w:hAnsi="Times New Roman"/>
          <w:b/>
          <w:sz w:val="22"/>
          <w:szCs w:val="22"/>
        </w:rPr>
        <w:t>should</w:t>
      </w:r>
      <w:r w:rsidRPr="001E5B56">
        <w:rPr>
          <w:rFonts w:ascii="Times New Roman" w:hAnsi="Times New Roman"/>
          <w:sz w:val="22"/>
          <w:szCs w:val="22"/>
        </w:rPr>
        <w:t xml:space="preserve"> include the following:</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 xml:space="preserve">Receipts ledger, which typically assembles and classifies receipts into separate accounts for each type of receipt of each fund the public office uses. The amount, date, name of the </w:t>
      </w:r>
      <w:proofErr w:type="spellStart"/>
      <w:r w:rsidRPr="001E5B56">
        <w:rPr>
          <w:rFonts w:ascii="Times New Roman" w:hAnsi="Times New Roman"/>
          <w:sz w:val="22"/>
          <w:szCs w:val="22"/>
        </w:rPr>
        <w:t>payor</w:t>
      </w:r>
      <w:proofErr w:type="spellEnd"/>
      <w:r w:rsidRPr="001E5B56">
        <w:rPr>
          <w:rFonts w:ascii="Times New Roman" w:hAnsi="Times New Roman"/>
          <w:sz w:val="22"/>
          <w:szCs w:val="22"/>
        </w:rPr>
        <w:t>, purpose, receipt number, and other information required for the transactions can be recorded on this ledger.</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0"/>
          <w:numId w:val="8"/>
        </w:numPr>
        <w:tabs>
          <w:tab w:val="clear" w:pos="2700"/>
          <w:tab w:val="num" w:pos="720"/>
          <w:tab w:val="right" w:leader="dot" w:pos="8640"/>
        </w:tabs>
        <w:ind w:left="720"/>
        <w:jc w:val="both"/>
        <w:rPr>
          <w:rFonts w:ascii="Times New Roman" w:hAnsi="Times New Roman"/>
          <w:sz w:val="22"/>
          <w:szCs w:val="22"/>
        </w:rPr>
      </w:pPr>
      <w:r w:rsidRPr="001E5B56">
        <w:rPr>
          <w:rFonts w:ascii="Times New Roman" w:hAnsi="Times New Roman"/>
          <w:sz w:val="22"/>
          <w:szCs w:val="22"/>
        </w:rPr>
        <w:t>In addition, all local public offices should maintain or provide a report similar to the following accounting records: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9F4096" w:rsidP="009F24E3">
      <w:pPr>
        <w:numPr>
          <w:ilvl w:val="1"/>
          <w:numId w:val="8"/>
        </w:numPr>
        <w:tabs>
          <w:tab w:val="clear" w:pos="1440"/>
          <w:tab w:val="left" w:pos="720"/>
          <w:tab w:val="num" w:pos="1080"/>
          <w:tab w:val="right" w:leader="dot" w:pos="8640"/>
        </w:tabs>
        <w:ind w:hanging="720"/>
        <w:jc w:val="both"/>
        <w:rPr>
          <w:rFonts w:ascii="Times New Roman" w:hAnsi="Times New Roman"/>
          <w:sz w:val="22"/>
          <w:szCs w:val="22"/>
        </w:rPr>
      </w:pPr>
      <w:r w:rsidRPr="001E5B56">
        <w:rPr>
          <w:rFonts w:ascii="Times New Roman" w:hAnsi="Times New Roman"/>
          <w:sz w:val="22"/>
          <w:szCs w:val="22"/>
        </w:rPr>
        <w:t>Payroll records including:</w:t>
      </w:r>
    </w:p>
    <w:p w:rsidR="00B61E63" w:rsidRPr="001E5B56" w:rsidRDefault="00B61E63" w:rsidP="00B61E63">
      <w:pPr>
        <w:tabs>
          <w:tab w:val="left" w:pos="720"/>
          <w:tab w:val="right" w:leader="dot" w:pos="8640"/>
        </w:tabs>
        <w:ind w:left="720"/>
        <w:jc w:val="both"/>
        <w:rPr>
          <w:rFonts w:ascii="Times New Roman" w:hAnsi="Times New Roman"/>
          <w:sz w:val="22"/>
          <w:szCs w:val="22"/>
        </w:rPr>
      </w:pPr>
    </w:p>
    <w:p w:rsidR="009F4096" w:rsidRPr="001E5B56" w:rsidRDefault="00B61E63" w:rsidP="009F24E3">
      <w:pPr>
        <w:numPr>
          <w:ilvl w:val="2"/>
          <w:numId w:val="8"/>
        </w:numPr>
        <w:tabs>
          <w:tab w:val="clear" w:pos="2340"/>
          <w:tab w:val="left" w:pos="720"/>
          <w:tab w:val="num" w:pos="1440"/>
          <w:tab w:val="right" w:leader="dot" w:pos="8640"/>
        </w:tabs>
        <w:ind w:hanging="1080"/>
        <w:jc w:val="both"/>
        <w:rPr>
          <w:rFonts w:ascii="Times New Roman" w:hAnsi="Times New Roman"/>
          <w:sz w:val="22"/>
          <w:szCs w:val="22"/>
        </w:rPr>
      </w:pPr>
      <w:r w:rsidRPr="001E5B56">
        <w:rPr>
          <w:rFonts w:ascii="Times New Roman" w:hAnsi="Times New Roman"/>
          <w:sz w:val="22"/>
          <w:szCs w:val="22"/>
        </w:rPr>
        <w:t>W-2’s, W-4’s and other withhol</w:t>
      </w:r>
      <w:r w:rsidR="00CC70DD">
        <w:rPr>
          <w:rFonts w:ascii="Times New Roman" w:hAnsi="Times New Roman"/>
          <w:sz w:val="22"/>
          <w:szCs w:val="22"/>
        </w:rPr>
        <w:t>ding records and authorizations;</w:t>
      </w:r>
    </w:p>
    <w:p w:rsidR="00B61E63" w:rsidRPr="001E5B56" w:rsidRDefault="00B61E63" w:rsidP="00B61E63">
      <w:pPr>
        <w:tabs>
          <w:tab w:val="left" w:pos="720"/>
          <w:tab w:val="right" w:leader="dot" w:pos="8640"/>
        </w:tabs>
        <w:jc w:val="both"/>
        <w:rPr>
          <w:rFonts w:ascii="Times New Roman" w:hAnsi="Times New Roman"/>
          <w:sz w:val="22"/>
          <w:szCs w:val="22"/>
        </w:rPr>
      </w:pPr>
    </w:p>
    <w:p w:rsidR="00B61E63" w:rsidRPr="001E5B56" w:rsidRDefault="00B61E63" w:rsidP="009F24E3">
      <w:pPr>
        <w:numPr>
          <w:ilvl w:val="2"/>
          <w:numId w:val="8"/>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w:t>
      </w:r>
      <w:r w:rsidR="00CC70DD">
        <w:rPr>
          <w:rFonts w:ascii="Times New Roman" w:hAnsi="Times New Roman"/>
          <w:sz w:val="22"/>
          <w:szCs w:val="22"/>
        </w:rPr>
        <w:t>ccount charged for the payments;</w:t>
      </w:r>
    </w:p>
    <w:p w:rsidR="00B61E63" w:rsidRPr="001E5B56" w:rsidRDefault="00B61E63" w:rsidP="00B61E63">
      <w:pPr>
        <w:tabs>
          <w:tab w:val="left" w:pos="720"/>
          <w:tab w:val="right" w:leader="dot" w:pos="8640"/>
        </w:tabs>
        <w:jc w:val="both"/>
        <w:rPr>
          <w:rFonts w:ascii="Times New Roman" w:hAnsi="Times New Roman"/>
          <w:sz w:val="22"/>
          <w:szCs w:val="22"/>
        </w:rPr>
      </w:pPr>
    </w:p>
    <w:p w:rsidR="00B61E63" w:rsidRPr="001E5B56" w:rsidRDefault="00B61E63" w:rsidP="009F24E3">
      <w:pPr>
        <w:numPr>
          <w:ilvl w:val="2"/>
          <w:numId w:val="8"/>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 xml:space="preserve">Check register that includes, in numerical sequence, the check number, </w:t>
      </w:r>
      <w:r w:rsidR="00CC70DD">
        <w:rPr>
          <w:rFonts w:ascii="Times New Roman" w:hAnsi="Times New Roman"/>
          <w:sz w:val="22"/>
          <w:szCs w:val="22"/>
        </w:rPr>
        <w:t>payee, net amount, and the date;</w:t>
      </w:r>
    </w:p>
    <w:p w:rsidR="00B61E63" w:rsidRPr="001E5B56" w:rsidRDefault="00B61E63" w:rsidP="00B61E63">
      <w:pPr>
        <w:tabs>
          <w:tab w:val="left" w:pos="720"/>
          <w:tab w:val="right" w:leader="dot" w:pos="8640"/>
        </w:tabs>
        <w:jc w:val="both"/>
        <w:rPr>
          <w:rFonts w:ascii="Times New Roman" w:hAnsi="Times New Roman"/>
          <w:sz w:val="22"/>
          <w:szCs w:val="22"/>
        </w:rPr>
      </w:pPr>
    </w:p>
    <w:p w:rsidR="00B61E63" w:rsidRPr="001E5B56" w:rsidRDefault="009800FC" w:rsidP="009F24E3">
      <w:pPr>
        <w:numPr>
          <w:ilvl w:val="2"/>
          <w:numId w:val="8"/>
        </w:numPr>
        <w:tabs>
          <w:tab w:val="clear" w:pos="2340"/>
          <w:tab w:val="left" w:pos="720"/>
          <w:tab w:val="num" w:pos="1440"/>
          <w:tab w:val="right" w:leader="dot" w:pos="8640"/>
        </w:tabs>
        <w:ind w:left="1620"/>
        <w:jc w:val="both"/>
        <w:rPr>
          <w:rFonts w:ascii="Times New Roman" w:hAnsi="Times New Roman"/>
          <w:sz w:val="22"/>
          <w:szCs w:val="22"/>
        </w:rPr>
      </w:pPr>
      <w:r w:rsidRPr="001E5B56">
        <w:rPr>
          <w:rFonts w:ascii="Times New Roman" w:hAnsi="Times New Roman"/>
          <w:sz w:val="22"/>
          <w:szCs w:val="22"/>
        </w:rPr>
        <w:t>Information regarding nonmonetary benefits such as car usage and life insurance</w:t>
      </w:r>
      <w:r w:rsidR="00CC70DD">
        <w:rPr>
          <w:rFonts w:ascii="Times New Roman" w:hAnsi="Times New Roman"/>
          <w:sz w:val="22"/>
          <w:szCs w:val="22"/>
        </w:rPr>
        <w:t>; and</w:t>
      </w:r>
    </w:p>
    <w:p w:rsidR="009800FC" w:rsidRPr="001E5B56" w:rsidRDefault="009800FC" w:rsidP="009800FC">
      <w:pPr>
        <w:tabs>
          <w:tab w:val="left" w:pos="720"/>
          <w:tab w:val="right" w:leader="dot" w:pos="8640"/>
        </w:tabs>
        <w:jc w:val="both"/>
        <w:rPr>
          <w:rFonts w:ascii="Times New Roman" w:hAnsi="Times New Roman"/>
          <w:sz w:val="22"/>
          <w:szCs w:val="22"/>
        </w:rPr>
      </w:pPr>
    </w:p>
    <w:p w:rsidR="009800FC" w:rsidRPr="001E5B56" w:rsidRDefault="009800FC" w:rsidP="009F24E3">
      <w:pPr>
        <w:numPr>
          <w:ilvl w:val="2"/>
          <w:numId w:val="8"/>
        </w:numPr>
        <w:tabs>
          <w:tab w:val="clear" w:pos="2340"/>
          <w:tab w:val="left" w:pos="540"/>
          <w:tab w:val="num" w:pos="1440"/>
          <w:tab w:val="right" w:leader="dot" w:pos="8640"/>
        </w:tabs>
        <w:ind w:hanging="1080"/>
        <w:jc w:val="both"/>
        <w:rPr>
          <w:rFonts w:ascii="Times New Roman" w:hAnsi="Times New Roman"/>
          <w:sz w:val="22"/>
          <w:szCs w:val="22"/>
        </w:rPr>
      </w:pPr>
      <w:r w:rsidRPr="001E5B56">
        <w:rPr>
          <w:rFonts w:ascii="Times New Roman" w:hAnsi="Times New Roman"/>
          <w:sz w:val="22"/>
          <w:szCs w:val="22"/>
        </w:rPr>
        <w:t>Information, by employee, regarding leave balances and usage</w:t>
      </w:r>
      <w:r w:rsidR="00CC70DD">
        <w:rPr>
          <w:rFonts w:ascii="Times New Roman" w:hAnsi="Times New Roman"/>
          <w:sz w:val="22"/>
          <w:szCs w:val="22"/>
        </w:rPr>
        <w:t>;</w:t>
      </w:r>
    </w:p>
    <w:p w:rsidR="00521179" w:rsidRPr="001E5B56" w:rsidRDefault="00521179" w:rsidP="00521179">
      <w:pPr>
        <w:tabs>
          <w:tab w:val="left" w:pos="720"/>
          <w:tab w:val="right" w:leader="dot" w:pos="8640"/>
        </w:tabs>
        <w:ind w:left="1260"/>
        <w:jc w:val="both"/>
        <w:rPr>
          <w:rFonts w:ascii="Times New Roman" w:hAnsi="Times New Roman"/>
          <w:sz w:val="22"/>
          <w:szCs w:val="22"/>
        </w:rPr>
      </w:pPr>
    </w:p>
    <w:p w:rsidR="001066F3" w:rsidRPr="001E5B56" w:rsidRDefault="001066F3" w:rsidP="009F24E3">
      <w:pPr>
        <w:numPr>
          <w:ilvl w:val="0"/>
          <w:numId w:val="9"/>
        </w:numPr>
        <w:tabs>
          <w:tab w:val="left" w:pos="1080"/>
          <w:tab w:val="right" w:leader="dot" w:pos="8640"/>
        </w:tabs>
        <w:ind w:hanging="1260"/>
        <w:jc w:val="both"/>
        <w:rPr>
          <w:rFonts w:ascii="Times New Roman" w:hAnsi="Times New Roman"/>
          <w:sz w:val="22"/>
          <w:szCs w:val="22"/>
        </w:rPr>
      </w:pPr>
      <w:r w:rsidRPr="001E5B56">
        <w:rPr>
          <w:rFonts w:ascii="Times New Roman" w:hAnsi="Times New Roman"/>
          <w:sz w:val="22"/>
          <w:szCs w:val="22"/>
        </w:rPr>
        <w:t>Utilities billing records including:</w:t>
      </w:r>
    </w:p>
    <w:p w:rsidR="001066F3" w:rsidRPr="001E5B56" w:rsidRDefault="001066F3" w:rsidP="00521179">
      <w:pPr>
        <w:tabs>
          <w:tab w:val="left" w:pos="1260"/>
          <w:tab w:val="right" w:leader="dot" w:pos="8640"/>
        </w:tabs>
        <w:jc w:val="both"/>
        <w:rPr>
          <w:rFonts w:ascii="Times New Roman" w:hAnsi="Times New Roman"/>
          <w:sz w:val="22"/>
          <w:szCs w:val="22"/>
        </w:rPr>
      </w:pPr>
    </w:p>
    <w:p w:rsidR="001066F3" w:rsidRPr="001E5B56" w:rsidRDefault="001066F3" w:rsidP="009F24E3">
      <w:pPr>
        <w:numPr>
          <w:ilvl w:val="2"/>
          <w:numId w:val="9"/>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Master file of service address, account numbers, billing address, type of services provided, and billing rates;</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2"/>
          <w:numId w:val="9"/>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9F24E3">
      <w:pPr>
        <w:numPr>
          <w:ilvl w:val="2"/>
          <w:numId w:val="9"/>
        </w:numPr>
        <w:tabs>
          <w:tab w:val="clear" w:pos="2340"/>
          <w:tab w:val="left" w:pos="720"/>
          <w:tab w:val="num" w:pos="1440"/>
          <w:tab w:val="right" w:leader="dot" w:pos="8640"/>
        </w:tabs>
        <w:ind w:left="1440" w:hanging="180"/>
        <w:jc w:val="both"/>
        <w:rPr>
          <w:rFonts w:ascii="Times New Roman" w:hAnsi="Times New Roman"/>
          <w:sz w:val="22"/>
          <w:szCs w:val="22"/>
        </w:rPr>
      </w:pPr>
      <w:r w:rsidRPr="001E5B56">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9C1D1B" w:rsidRDefault="009470B2" w:rsidP="009F24E3">
      <w:pPr>
        <w:numPr>
          <w:ilvl w:val="0"/>
          <w:numId w:val="9"/>
        </w:numPr>
        <w:tabs>
          <w:tab w:val="clear" w:pos="1980"/>
          <w:tab w:val="num" w:pos="1080"/>
          <w:tab w:val="right" w:leader="dot" w:pos="8640"/>
        </w:tabs>
        <w:ind w:left="1080"/>
        <w:jc w:val="both"/>
        <w:rPr>
          <w:rFonts w:ascii="Times New Roman" w:hAnsi="Times New Roman"/>
          <w:sz w:val="22"/>
          <w:szCs w:val="22"/>
        </w:rPr>
      </w:pPr>
      <w:r>
        <w:rPr>
          <w:rFonts w:ascii="Times New Roman" w:hAnsi="Times New Roman"/>
          <w:sz w:val="22"/>
          <w:szCs w:val="22"/>
        </w:rPr>
        <w:t xml:space="preserve">Capital </w:t>
      </w:r>
      <w:r w:rsidR="001066F3" w:rsidRPr="001E5B56">
        <w:rPr>
          <w:rFonts w:ascii="Times New Roman" w:hAnsi="Times New Roman"/>
          <w:sz w:val="22"/>
          <w:szCs w:val="22"/>
        </w:rPr>
        <w:t xml:space="preserve">asset records* including such information as the original cost, acquisition date, voucher number, the asset type (land, building, vehicle, etc.), asset description, location, and tag number. Local governments preparing financial statements using generally accepted accounting </w:t>
      </w:r>
      <w:r w:rsidR="001066F3" w:rsidRPr="009C1D1B">
        <w:rPr>
          <w:rFonts w:ascii="Times New Roman" w:hAnsi="Times New Roman"/>
          <w:sz w:val="22"/>
          <w:szCs w:val="22"/>
        </w:rPr>
        <w:t xml:space="preserve">principles will want to maintain additional data. </w:t>
      </w:r>
      <w:r w:rsidR="001066F3" w:rsidRPr="009C1D1B">
        <w:rPr>
          <w:rFonts w:ascii="Times New Roman" w:hAnsi="Times New Roman"/>
          <w:strike/>
          <w:sz w:val="22"/>
          <w:szCs w:val="22"/>
        </w:rPr>
        <w:t>Fixed</w:t>
      </w:r>
      <w:r w:rsidR="001066F3" w:rsidRPr="009C1D1B">
        <w:rPr>
          <w:rFonts w:ascii="Times New Roman" w:hAnsi="Times New Roman"/>
          <w:sz w:val="22"/>
          <w:szCs w:val="22"/>
        </w:rPr>
        <w:t xml:space="preserve"> </w:t>
      </w:r>
      <w:r w:rsidR="00681BA7" w:rsidRPr="009C1D1B">
        <w:rPr>
          <w:rFonts w:ascii="Times New Roman" w:hAnsi="Times New Roman"/>
          <w:sz w:val="22"/>
          <w:szCs w:val="22"/>
          <w:u w:val="wave"/>
        </w:rPr>
        <w:t>Capital</w:t>
      </w:r>
      <w:r w:rsidR="00681BA7" w:rsidRPr="009C1D1B">
        <w:rPr>
          <w:rFonts w:ascii="Times New Roman" w:hAnsi="Times New Roman"/>
          <w:sz w:val="22"/>
          <w:szCs w:val="22"/>
        </w:rPr>
        <w:t xml:space="preserve"> </w:t>
      </w:r>
      <w:r w:rsidR="001066F3" w:rsidRPr="009C1D1B">
        <w:rPr>
          <w:rFonts w:ascii="Times New Roman" w:hAnsi="Times New Roman"/>
          <w:sz w:val="22"/>
          <w:szCs w:val="22"/>
        </w:rPr>
        <w:t>assets are tangible assets that normally do not change form with use and should be distinguished from repair parts and supply items.</w:t>
      </w:r>
    </w:p>
    <w:p w:rsidR="001066F3" w:rsidRPr="009C1D1B" w:rsidRDefault="001066F3" w:rsidP="006C6CA7">
      <w:pPr>
        <w:tabs>
          <w:tab w:val="left" w:pos="720"/>
          <w:tab w:val="right" w:leader="dot" w:pos="8640"/>
        </w:tabs>
        <w:jc w:val="both"/>
        <w:rPr>
          <w:rFonts w:ascii="Times New Roman" w:hAnsi="Times New Roman"/>
          <w:sz w:val="22"/>
          <w:szCs w:val="22"/>
        </w:rPr>
      </w:pPr>
    </w:p>
    <w:p w:rsidR="001066F3" w:rsidRPr="001E5B56" w:rsidRDefault="009470B2" w:rsidP="00CC70DD">
      <w:pPr>
        <w:tabs>
          <w:tab w:val="right" w:leader="dot" w:pos="8640"/>
        </w:tabs>
        <w:ind w:left="720"/>
        <w:jc w:val="both"/>
        <w:rPr>
          <w:rFonts w:ascii="Times New Roman" w:hAnsi="Times New Roman"/>
          <w:sz w:val="22"/>
          <w:szCs w:val="22"/>
        </w:rPr>
      </w:pPr>
      <w:proofErr w:type="gramStart"/>
      <w:r w:rsidRPr="009C1D1B">
        <w:rPr>
          <w:rFonts w:ascii="Times New Roman" w:hAnsi="Times New Roman"/>
          <w:sz w:val="22"/>
          <w:szCs w:val="22"/>
        </w:rPr>
        <w:t>Ohio Admin.</w:t>
      </w:r>
      <w:proofErr w:type="gramEnd"/>
      <w:r w:rsidRPr="009C1D1B">
        <w:rPr>
          <w:rFonts w:ascii="Times New Roman" w:hAnsi="Times New Roman"/>
          <w:sz w:val="22"/>
          <w:szCs w:val="22"/>
        </w:rPr>
        <w:t xml:space="preserve"> Code Section 117-2-02(E) states that e</w:t>
      </w:r>
      <w:r w:rsidR="001066F3" w:rsidRPr="009C1D1B">
        <w:rPr>
          <w:rFonts w:ascii="Times New Roman" w:hAnsi="Times New Roman"/>
          <w:sz w:val="22"/>
          <w:szCs w:val="22"/>
        </w:rPr>
        <w:t>ach local public office should establish a capitalization threshold</w:t>
      </w:r>
      <w:r w:rsidR="001066F3" w:rsidRPr="009C1D1B">
        <w:rPr>
          <w:rFonts w:ascii="Times New Roman" w:hAnsi="Times New Roman"/>
          <w:color w:val="FF0000"/>
          <w:sz w:val="22"/>
          <w:szCs w:val="22"/>
        </w:rPr>
        <w:t>*</w:t>
      </w:r>
      <w:r w:rsidR="001066F3" w:rsidRPr="009C1D1B">
        <w:rPr>
          <w:rFonts w:ascii="Times New Roman" w:hAnsi="Times New Roman"/>
          <w:sz w:val="22"/>
          <w:szCs w:val="22"/>
        </w:rPr>
        <w:t xml:space="preserve"> so that, at a minimum, eighty per cent of the local public office's non-infrastructure assets are identified, classified, and recorded on the local public office's financial records.</w:t>
      </w:r>
      <w:r w:rsidR="001066F3" w:rsidRPr="001E5B56">
        <w:rPr>
          <w:rFonts w:ascii="Times New Roman" w:hAnsi="Times New Roman"/>
          <w:sz w:val="22"/>
          <w:szCs w:val="22"/>
        </w:rPr>
        <w:cr/>
      </w:r>
    </w:p>
    <w:p w:rsidR="001066F3" w:rsidRPr="001E5B56" w:rsidRDefault="00DD0727" w:rsidP="00DD0727">
      <w:pPr>
        <w:tabs>
          <w:tab w:val="right" w:leader="dot" w:pos="8640"/>
        </w:tabs>
        <w:jc w:val="both"/>
        <w:rPr>
          <w:rFonts w:ascii="Times New Roman" w:hAnsi="Times New Roman"/>
          <w:sz w:val="22"/>
          <w:szCs w:val="22"/>
        </w:rPr>
      </w:pPr>
      <w:proofErr w:type="gramStart"/>
      <w:r w:rsidRPr="00DD0727">
        <w:rPr>
          <w:rFonts w:ascii="Times New Roman" w:hAnsi="Times New Roman"/>
          <w:color w:val="FF0000"/>
          <w:sz w:val="22"/>
          <w:szCs w:val="22"/>
        </w:rPr>
        <w:t>*</w:t>
      </w:r>
      <w:r>
        <w:rPr>
          <w:rFonts w:ascii="Times New Roman" w:hAnsi="Times New Roman"/>
          <w:color w:val="FF0000"/>
          <w:sz w:val="22"/>
          <w:szCs w:val="22"/>
        </w:rPr>
        <w:t xml:space="preserve">  </w:t>
      </w:r>
      <w:r w:rsidR="001066F3" w:rsidRPr="001E5B56">
        <w:rPr>
          <w:rFonts w:ascii="Times New Roman" w:hAnsi="Times New Roman"/>
          <w:sz w:val="22"/>
          <w:szCs w:val="22"/>
        </w:rPr>
        <w:t>These</w:t>
      </w:r>
      <w:proofErr w:type="gramEnd"/>
      <w:r w:rsidR="001066F3" w:rsidRPr="001E5B56">
        <w:rPr>
          <w:rFonts w:ascii="Times New Roman" w:hAnsi="Times New Roman"/>
          <w:sz w:val="22"/>
          <w:szCs w:val="22"/>
        </w:rPr>
        <w:t xml:space="preserve"> </w:t>
      </w:r>
      <w:r w:rsidR="001E74E3">
        <w:rPr>
          <w:rFonts w:ascii="Times New Roman" w:hAnsi="Times New Roman"/>
          <w:sz w:val="22"/>
          <w:szCs w:val="22"/>
        </w:rPr>
        <w:t xml:space="preserve">capital </w:t>
      </w:r>
      <w:r w:rsidR="00F8366E">
        <w:rPr>
          <w:rFonts w:ascii="Times New Roman" w:hAnsi="Times New Roman"/>
          <w:sz w:val="22"/>
          <w:szCs w:val="22"/>
        </w:rPr>
        <w:t>asset (</w:t>
      </w:r>
      <w:r w:rsidR="001E74E3">
        <w:rPr>
          <w:rFonts w:ascii="Times New Roman" w:hAnsi="Times New Roman"/>
          <w:sz w:val="22"/>
          <w:szCs w:val="22"/>
        </w:rPr>
        <w:t xml:space="preserve">fixed </w:t>
      </w:r>
      <w:r w:rsidR="001066F3" w:rsidRPr="001E5B56">
        <w:rPr>
          <w:rFonts w:ascii="Times New Roman" w:hAnsi="Times New Roman"/>
          <w:sz w:val="22"/>
          <w:szCs w:val="22"/>
        </w:rPr>
        <w:t>asset</w:t>
      </w:r>
      <w:r w:rsidR="00F8366E">
        <w:rPr>
          <w:rFonts w:ascii="Times New Roman" w:hAnsi="Times New Roman"/>
          <w:sz w:val="22"/>
          <w:szCs w:val="22"/>
        </w:rPr>
        <w:t>) record requirements</w:t>
      </w:r>
      <w:r w:rsidR="001066F3" w:rsidRPr="001E5B56">
        <w:rPr>
          <w:rFonts w:ascii="Times New Roman" w:hAnsi="Times New Roman"/>
          <w:sz w:val="22"/>
          <w:szCs w:val="22"/>
        </w:rPr>
        <w:t xml:space="preserve"> apply to GAAP </w:t>
      </w:r>
      <w:r w:rsidR="001066F3" w:rsidRPr="00DD0727">
        <w:rPr>
          <w:rFonts w:ascii="Times New Roman" w:hAnsi="Times New Roman"/>
          <w:i/>
          <w:sz w:val="22"/>
          <w:szCs w:val="22"/>
        </w:rPr>
        <w:t>and non-GAAP</w:t>
      </w:r>
      <w:r w:rsidR="001066F3" w:rsidRPr="001E5B56">
        <w:rPr>
          <w:rFonts w:ascii="Times New Roman" w:hAnsi="Times New Roman"/>
          <w:sz w:val="22"/>
          <w:szCs w:val="22"/>
        </w:rPr>
        <w:t xml:space="preserve"> mandated public offices.  All public offices should have record of significant capital assets owned sufficient to manage their operations.</w:t>
      </w:r>
    </w:p>
    <w:p w:rsidR="000F6111" w:rsidRPr="001E5B56" w:rsidRDefault="000F6111" w:rsidP="000F6111">
      <w:pPr>
        <w:tabs>
          <w:tab w:val="left" w:pos="720"/>
          <w:tab w:val="right" w:leader="dot" w:pos="8640"/>
        </w:tabs>
        <w:ind w:left="18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780"/>
        <w:gridCol w:w="648"/>
      </w:tblGrid>
      <w:tr w:rsidR="008A6E5B" w:rsidRPr="00444C7D" w:rsidTr="00444C7D">
        <w:tc>
          <w:tcPr>
            <w:tcW w:w="4428" w:type="dxa"/>
          </w:tcPr>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In determining how the government ensures compliance, consider the following:</w:t>
            </w:r>
          </w:p>
        </w:tc>
        <w:tc>
          <w:tcPr>
            <w:tcW w:w="3780" w:type="dxa"/>
          </w:tcPr>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bCs/>
                <w:sz w:val="22"/>
                <w:szCs w:val="22"/>
              </w:rPr>
              <w:t>What control procedures address the compliance requirement?</w:t>
            </w:r>
          </w:p>
        </w:tc>
        <w:tc>
          <w:tcPr>
            <w:tcW w:w="648" w:type="dxa"/>
          </w:tcPr>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W/P</w:t>
            </w:r>
          </w:p>
          <w:p w:rsidR="008A6E5B" w:rsidRPr="00444C7D" w:rsidRDefault="008A6E5B" w:rsidP="00444C7D">
            <w:pPr>
              <w:tabs>
                <w:tab w:val="left" w:pos="720"/>
                <w:tab w:val="right" w:leader="dot" w:pos="8640"/>
              </w:tabs>
              <w:rPr>
                <w:rFonts w:ascii="Times New Roman" w:hAnsi="Times New Roman"/>
                <w:b/>
                <w:sz w:val="22"/>
                <w:szCs w:val="22"/>
              </w:rPr>
            </w:pPr>
            <w:r w:rsidRPr="00444C7D">
              <w:rPr>
                <w:rFonts w:ascii="Times New Roman" w:hAnsi="Times New Roman"/>
                <w:b/>
                <w:sz w:val="22"/>
                <w:szCs w:val="22"/>
              </w:rPr>
              <w:t>Ref.</w:t>
            </w:r>
          </w:p>
        </w:tc>
      </w:tr>
      <w:tr w:rsidR="008A6E5B" w:rsidRPr="00444C7D" w:rsidTr="00444C7D">
        <w:tc>
          <w:tcPr>
            <w:tcW w:w="4428" w:type="dxa"/>
          </w:tcPr>
          <w:p w:rsidR="008A6E5B" w:rsidRPr="00444C7D" w:rsidRDefault="008A6E5B" w:rsidP="00444C7D">
            <w:pPr>
              <w:tabs>
                <w:tab w:val="left" w:pos="720"/>
                <w:tab w:val="right" w:leader="dot" w:pos="8640"/>
              </w:tabs>
              <w:rPr>
                <w:rFonts w:ascii="Times New Roman" w:hAnsi="Times New Roman"/>
                <w:sz w:val="22"/>
                <w:szCs w:val="22"/>
              </w:rPr>
            </w:pP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Accounting system designed to capture the required information</w:t>
            </w: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Accounting policies and procedures manuals</w:t>
            </w: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444C7D">
              <w:rPr>
                <w:rFonts w:ascii="Times New Roman" w:hAnsi="Times New Roman"/>
                <w:sz w:val="22"/>
                <w:szCs w:val="22"/>
              </w:rPr>
              <w:t>Knowledge and training of accounting personnel</w:t>
            </w:r>
          </w:p>
          <w:p w:rsidR="008A6E5B" w:rsidRPr="00444C7D" w:rsidRDefault="008A6E5B" w:rsidP="00444C7D">
            <w:pPr>
              <w:widowControl w:val="0"/>
              <w:numPr>
                <w:ilvl w:val="0"/>
                <w:numId w:val="1"/>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444C7D">
              <w:rPr>
                <w:rFonts w:ascii="Times New Roman" w:hAnsi="Times New Roman"/>
                <w:sz w:val="22"/>
                <w:szCs w:val="22"/>
              </w:rPr>
              <w:t>Legislative and Management Monitoring</w:t>
            </w:r>
          </w:p>
          <w:p w:rsidR="008A6E5B" w:rsidRPr="00444C7D" w:rsidRDefault="008A6E5B" w:rsidP="00444C7D">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8A6E5B" w:rsidRPr="00444C7D" w:rsidRDefault="008A6E5B" w:rsidP="00444C7D">
            <w:pPr>
              <w:tabs>
                <w:tab w:val="left" w:pos="720"/>
                <w:tab w:val="right" w:leader="dot" w:pos="8640"/>
              </w:tabs>
              <w:ind w:left="-3974" w:firstLine="540"/>
              <w:rPr>
                <w:rFonts w:ascii="Times New Roman" w:hAnsi="Times New Roman"/>
                <w:sz w:val="22"/>
                <w:szCs w:val="22"/>
              </w:rPr>
            </w:pPr>
          </w:p>
        </w:tc>
        <w:tc>
          <w:tcPr>
            <w:tcW w:w="648" w:type="dxa"/>
          </w:tcPr>
          <w:p w:rsidR="008A6E5B" w:rsidRPr="00444C7D" w:rsidRDefault="008A6E5B" w:rsidP="00444C7D">
            <w:pPr>
              <w:tabs>
                <w:tab w:val="left" w:pos="720"/>
                <w:tab w:val="right" w:leader="dot" w:pos="8640"/>
              </w:tabs>
              <w:rPr>
                <w:rFonts w:ascii="Times New Roman" w:hAnsi="Times New Roman"/>
                <w:sz w:val="22"/>
                <w:szCs w:val="22"/>
              </w:rPr>
            </w:pPr>
          </w:p>
        </w:tc>
      </w:tr>
    </w:tbl>
    <w:p w:rsidR="00DD0727" w:rsidRDefault="00DD0727" w:rsidP="006C6CA7">
      <w:pPr>
        <w:tabs>
          <w:tab w:val="left" w:pos="720"/>
          <w:tab w:val="right" w:leader="dot" w:pos="8640"/>
        </w:tabs>
        <w:jc w:val="both"/>
        <w:rPr>
          <w:rFonts w:ascii="Times New Roman" w:hAnsi="Times New Roman"/>
          <w:b/>
          <w:sz w:val="22"/>
          <w:szCs w:val="22"/>
        </w:rPr>
      </w:pPr>
    </w:p>
    <w:p w:rsidR="001066F3" w:rsidRPr="001E5B56" w:rsidRDefault="001066F3" w:rsidP="006C6CA7">
      <w:pPr>
        <w:tabs>
          <w:tab w:val="left" w:pos="720"/>
          <w:tab w:val="right" w:leader="dot" w:pos="8640"/>
        </w:tabs>
        <w:jc w:val="both"/>
        <w:rPr>
          <w:rFonts w:ascii="Times New Roman" w:hAnsi="Times New Roman"/>
          <w:b/>
          <w:sz w:val="22"/>
          <w:szCs w:val="22"/>
        </w:rPr>
      </w:pPr>
      <w:r w:rsidRPr="001E5B56">
        <w:rPr>
          <w:rFonts w:ascii="Times New Roman" w:hAnsi="Times New Roman"/>
          <w:b/>
          <w:sz w:val="22"/>
          <w:szCs w:val="22"/>
        </w:rPr>
        <w:t>Suggested Audit Procedures - Compliance (Substantive) Tests</w:t>
      </w:r>
      <w:r w:rsidR="00DD0727">
        <w:rPr>
          <w:rFonts w:ascii="Times New Roman" w:hAnsi="Times New Roman"/>
          <w:b/>
          <w:sz w:val="22"/>
          <w:szCs w:val="22"/>
        </w:rPr>
        <w:t>:</w:t>
      </w:r>
    </w:p>
    <w:p w:rsidR="001066F3" w:rsidRPr="001E5B56" w:rsidRDefault="001066F3" w:rsidP="006C6CA7">
      <w:pPr>
        <w:tabs>
          <w:tab w:val="left" w:pos="720"/>
          <w:tab w:val="right" w:leader="dot" w:pos="8640"/>
        </w:tabs>
        <w:jc w:val="both"/>
        <w:rPr>
          <w:rFonts w:ascii="Times New Roman" w:hAnsi="Times New Roman"/>
          <w:sz w:val="22"/>
          <w:szCs w:val="22"/>
        </w:rPr>
      </w:pPr>
    </w:p>
    <w:p w:rsidR="001066F3" w:rsidRPr="001E5B56" w:rsidRDefault="001066F3" w:rsidP="006C6CA7">
      <w:pPr>
        <w:tabs>
          <w:tab w:val="left" w:pos="720"/>
          <w:tab w:val="right" w:leader="dot" w:pos="8640"/>
        </w:tabs>
        <w:jc w:val="both"/>
        <w:rPr>
          <w:rFonts w:ascii="Times New Roman" w:hAnsi="Times New Roman"/>
          <w:sz w:val="22"/>
          <w:szCs w:val="22"/>
        </w:rPr>
      </w:pPr>
      <w:r w:rsidRPr="001E5B56">
        <w:rPr>
          <w:rFonts w:ascii="Times New Roman" w:hAnsi="Times New Roman"/>
          <w:sz w:val="22"/>
          <w:szCs w:val="22"/>
        </w:rPr>
        <w:t xml:space="preserve">Based on our systems documentation, results of inquiries and other audit </w:t>
      </w:r>
      <w:proofErr w:type="gramStart"/>
      <w:r w:rsidRPr="001E5B56">
        <w:rPr>
          <w:rFonts w:ascii="Times New Roman" w:hAnsi="Times New Roman"/>
          <w:sz w:val="22"/>
          <w:szCs w:val="22"/>
        </w:rPr>
        <w:t>procedures,</w:t>
      </w:r>
      <w:proofErr w:type="gramEnd"/>
      <w:r w:rsidRPr="001E5B56">
        <w:rPr>
          <w:rFonts w:ascii="Times New Roman" w:hAnsi="Times New Roman"/>
          <w:sz w:val="22"/>
          <w:szCs w:val="22"/>
        </w:rPr>
        <w:t xml:space="preserve"> assess whether the accounting system generally complies with the aforementioned requirements.</w:t>
      </w:r>
      <w:r w:rsidR="00874862">
        <w:rPr>
          <w:rStyle w:val="FootnoteReference"/>
          <w:rFonts w:ascii="Times New Roman" w:hAnsi="Times New Roman"/>
          <w:sz w:val="22"/>
          <w:szCs w:val="22"/>
        </w:rPr>
        <w:footnoteReference w:id="16"/>
      </w:r>
      <w:r w:rsidRPr="001E5B56">
        <w:rPr>
          <w:rFonts w:ascii="Times New Roman" w:hAnsi="Times New Roman"/>
          <w:sz w:val="22"/>
          <w:szCs w:val="22"/>
        </w:rPr>
        <w:t xml:space="preserve"> </w:t>
      </w:r>
    </w:p>
    <w:p w:rsidR="001066F3" w:rsidRPr="001E5B56" w:rsidRDefault="001066F3" w:rsidP="006C6CA7">
      <w:pPr>
        <w:tabs>
          <w:tab w:val="left" w:pos="720"/>
          <w:tab w:val="right" w:leader="dot" w:pos="8640"/>
        </w:tabs>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B22913" w:rsidRPr="001E5B56">
        <w:trPr>
          <w:trHeight w:val="720"/>
        </w:trPr>
        <w:tc>
          <w:tcPr>
            <w:tcW w:w="8820" w:type="dxa"/>
          </w:tcPr>
          <w:p w:rsidR="00B22913" w:rsidRPr="001E5B56" w:rsidRDefault="00B22913" w:rsidP="00654622">
            <w:pPr>
              <w:tabs>
                <w:tab w:val="left" w:pos="720"/>
                <w:tab w:val="right" w:leader="dot" w:pos="8640"/>
              </w:tabs>
              <w:ind w:left="-108"/>
              <w:jc w:val="both"/>
              <w:rPr>
                <w:rFonts w:ascii="Times New Roman" w:hAnsi="Times New Roman"/>
                <w:b/>
                <w:sz w:val="22"/>
                <w:szCs w:val="22"/>
              </w:rPr>
            </w:pPr>
            <w:r w:rsidRPr="001E5B56">
              <w:rPr>
                <w:rFonts w:ascii="Times New Roman" w:hAnsi="Times New Roman"/>
                <w:b/>
                <w:sz w:val="22"/>
                <w:szCs w:val="22"/>
              </w:rPr>
              <w:t xml:space="preserve">Audit Implications (adequacy of the system and controls, and the direct and material effects of non-compliance, effects on the audit opinions and/or footnote disclosures, </w:t>
            </w:r>
            <w:r w:rsidR="00997F35">
              <w:rPr>
                <w:rFonts w:ascii="Times New Roman" w:hAnsi="Times New Roman"/>
                <w:b/>
                <w:sz w:val="22"/>
                <w:szCs w:val="22"/>
              </w:rPr>
              <w:t>significant deficiencies</w:t>
            </w:r>
            <w:r w:rsidRPr="001E5B56">
              <w:rPr>
                <w:rFonts w:ascii="Times New Roman" w:hAnsi="Times New Roman"/>
                <w:b/>
                <w:sz w:val="22"/>
                <w:szCs w:val="22"/>
              </w:rPr>
              <w:t>/material weaknesses, and management letter comments):</w:t>
            </w:r>
          </w:p>
          <w:p w:rsidR="00B22913" w:rsidRPr="001E5B56" w:rsidRDefault="00B22913" w:rsidP="00B22913">
            <w:pPr>
              <w:tabs>
                <w:tab w:val="left" w:pos="720"/>
                <w:tab w:val="right" w:leader="dot" w:pos="8640"/>
              </w:tabs>
              <w:jc w:val="both"/>
              <w:rPr>
                <w:rFonts w:ascii="Times New Roman" w:hAnsi="Times New Roman"/>
                <w:b/>
                <w:sz w:val="22"/>
                <w:szCs w:val="22"/>
              </w:rPr>
            </w:pPr>
          </w:p>
          <w:p w:rsidR="00B22913" w:rsidRPr="001E5B56" w:rsidRDefault="00B22913" w:rsidP="00B22913">
            <w:pPr>
              <w:tabs>
                <w:tab w:val="left" w:pos="720"/>
                <w:tab w:val="right" w:leader="dot" w:pos="8640"/>
              </w:tabs>
              <w:jc w:val="both"/>
              <w:rPr>
                <w:rFonts w:ascii="Times New Roman" w:hAnsi="Times New Roman"/>
                <w:sz w:val="22"/>
                <w:szCs w:val="22"/>
              </w:rPr>
            </w:pPr>
          </w:p>
          <w:p w:rsidR="00B22913" w:rsidRPr="001E5B56" w:rsidRDefault="00B22913" w:rsidP="00B22913">
            <w:pPr>
              <w:tabs>
                <w:tab w:val="left" w:pos="720"/>
                <w:tab w:val="right" w:leader="dot" w:pos="8640"/>
              </w:tabs>
              <w:jc w:val="both"/>
              <w:rPr>
                <w:rFonts w:ascii="Times New Roman" w:hAnsi="Times New Roman"/>
                <w:sz w:val="22"/>
                <w:szCs w:val="22"/>
              </w:rPr>
            </w:pPr>
          </w:p>
          <w:p w:rsidR="00B22913" w:rsidRPr="001E5B56" w:rsidRDefault="00B22913" w:rsidP="006C6CA7">
            <w:pPr>
              <w:tabs>
                <w:tab w:val="left" w:pos="720"/>
                <w:tab w:val="right" w:leader="dot" w:pos="8640"/>
              </w:tabs>
              <w:jc w:val="both"/>
              <w:rPr>
                <w:rFonts w:ascii="Times New Roman" w:hAnsi="Times New Roman"/>
                <w:sz w:val="22"/>
                <w:szCs w:val="22"/>
              </w:rPr>
            </w:pPr>
          </w:p>
        </w:tc>
      </w:tr>
    </w:tbl>
    <w:p w:rsidR="001066F3" w:rsidRPr="001E5B56" w:rsidRDefault="001066F3" w:rsidP="006C6CA7">
      <w:pPr>
        <w:tabs>
          <w:tab w:val="left" w:pos="720"/>
          <w:tab w:val="right" w:leader="dot" w:pos="8640"/>
        </w:tabs>
        <w:jc w:val="both"/>
        <w:rPr>
          <w:rFonts w:ascii="Times New Roman" w:hAnsi="Times New Roman"/>
          <w:sz w:val="22"/>
          <w:szCs w:val="22"/>
        </w:rPr>
      </w:pPr>
    </w:p>
    <w:sectPr w:rsidR="001066F3" w:rsidRPr="001E5B56" w:rsidSect="00763E18">
      <w:headerReference w:type="default" r:id="rId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95" w:rsidRDefault="00FC2395">
      <w:r>
        <w:separator/>
      </w:r>
    </w:p>
  </w:endnote>
  <w:endnote w:type="continuationSeparator" w:id="0">
    <w:p w:rsidR="00FC2395" w:rsidRDefault="00FC2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95" w:rsidRDefault="001D1CC1" w:rsidP="007C786F">
    <w:pPr>
      <w:pStyle w:val="Footer"/>
      <w:framePr w:wrap="around" w:vAnchor="text" w:hAnchor="margin" w:xAlign="center" w:y="1"/>
      <w:rPr>
        <w:rStyle w:val="PageNumber"/>
      </w:rPr>
    </w:pPr>
    <w:r>
      <w:rPr>
        <w:rStyle w:val="PageNumber"/>
      </w:rPr>
      <w:fldChar w:fldCharType="begin"/>
    </w:r>
    <w:r w:rsidR="00242695">
      <w:rPr>
        <w:rStyle w:val="PageNumber"/>
      </w:rPr>
      <w:instrText xml:space="preserve">PAGE  </w:instrText>
    </w:r>
    <w:r>
      <w:rPr>
        <w:rStyle w:val="PageNumber"/>
      </w:rPr>
      <w:fldChar w:fldCharType="end"/>
    </w:r>
  </w:p>
  <w:p w:rsidR="00242695" w:rsidRDefault="002426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95" w:rsidRPr="001E5B56" w:rsidRDefault="001D1CC1" w:rsidP="007C786F">
    <w:pPr>
      <w:pStyle w:val="Footer"/>
      <w:framePr w:wrap="around" w:vAnchor="text" w:hAnchor="margin" w:xAlign="center" w:y="1"/>
      <w:rPr>
        <w:rStyle w:val="PageNumber"/>
        <w:rFonts w:ascii="Times New Roman" w:hAnsi="Times New Roman"/>
      </w:rPr>
    </w:pPr>
    <w:r w:rsidRPr="001E5B56">
      <w:rPr>
        <w:rStyle w:val="PageNumber"/>
        <w:rFonts w:ascii="Times New Roman" w:hAnsi="Times New Roman"/>
      </w:rPr>
      <w:fldChar w:fldCharType="begin"/>
    </w:r>
    <w:r w:rsidR="00242695" w:rsidRPr="001E5B56">
      <w:rPr>
        <w:rStyle w:val="PageNumber"/>
        <w:rFonts w:ascii="Times New Roman" w:hAnsi="Times New Roman"/>
      </w:rPr>
      <w:instrText xml:space="preserve">PAGE  </w:instrText>
    </w:r>
    <w:r w:rsidRPr="001E5B56">
      <w:rPr>
        <w:rStyle w:val="PageNumber"/>
        <w:rFonts w:ascii="Times New Roman" w:hAnsi="Times New Roman"/>
      </w:rPr>
      <w:fldChar w:fldCharType="separate"/>
    </w:r>
    <w:r w:rsidR="009C1D1B">
      <w:rPr>
        <w:rStyle w:val="PageNumber"/>
        <w:rFonts w:ascii="Times New Roman" w:hAnsi="Times New Roman"/>
        <w:noProof/>
      </w:rPr>
      <w:t>1</w:t>
    </w:r>
    <w:r w:rsidRPr="001E5B56">
      <w:rPr>
        <w:rStyle w:val="PageNumber"/>
        <w:rFonts w:ascii="Times New Roman" w:hAnsi="Times New Roman"/>
      </w:rPr>
      <w:fldChar w:fldCharType="end"/>
    </w:r>
  </w:p>
  <w:p w:rsidR="00242695" w:rsidRDefault="002426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95" w:rsidRDefault="00FC2395">
      <w:r>
        <w:separator/>
      </w:r>
    </w:p>
  </w:footnote>
  <w:footnote w:type="continuationSeparator" w:id="0">
    <w:p w:rsidR="00FC2395" w:rsidRDefault="00FC2395">
      <w:r>
        <w:continuationSeparator/>
      </w:r>
    </w:p>
  </w:footnote>
  <w:footnote w:id="1">
    <w:p w:rsidR="00242695" w:rsidRPr="002833CB" w:rsidRDefault="00242695" w:rsidP="00AE6A46">
      <w:pPr>
        <w:pStyle w:val="FootnoteText"/>
        <w:jc w:val="both"/>
        <w:rPr>
          <w:rFonts w:ascii="Times New Roman" w:hAnsi="Times New Roman"/>
        </w:rPr>
      </w:pPr>
      <w:r w:rsidRPr="00AE6A46">
        <w:rPr>
          <w:rStyle w:val="FootnoteReference"/>
        </w:rPr>
        <w:footnoteRef/>
      </w:r>
      <w:r w:rsidRPr="00AE6A46">
        <w:t xml:space="preserve"> </w:t>
      </w:r>
      <w:r w:rsidRPr="002833CB">
        <w:rPr>
          <w:rFonts w:ascii="Times New Roman" w:hAnsi="Times New Roman"/>
        </w:rPr>
        <w:t>Ohio Administrative Code (OAC) 117-10-01(B) requires county and independent agricultural societies to record and report all financial t</w:t>
      </w:r>
      <w:r w:rsidR="0007646A">
        <w:rPr>
          <w:rFonts w:ascii="Times New Roman" w:hAnsi="Times New Roman"/>
        </w:rPr>
        <w:t>ransactions in accordance with A</w:t>
      </w:r>
      <w:r w:rsidRPr="002833CB">
        <w:rPr>
          <w:rFonts w:ascii="Times New Roman" w:hAnsi="Times New Roman"/>
        </w:rPr>
        <w:t xml:space="preserve">ppendix A of the Auditor of State manual, “Uniform System of Accounting for Agricultural Societies.”  This Manual is available at </w:t>
      </w:r>
      <w:hyperlink r:id="rId1" w:history="1">
        <w:r w:rsidRPr="002833CB">
          <w:rPr>
            <w:rStyle w:val="Hyperlink"/>
            <w:rFonts w:ascii="Times New Roman" w:hAnsi="Times New Roman"/>
            <w:u w:val="none"/>
          </w:rPr>
          <w:t>www.auditor.state.oh.us</w:t>
        </w:r>
      </w:hyperlink>
      <w:r w:rsidRPr="002833CB">
        <w:rPr>
          <w:rFonts w:ascii="Times New Roman" w:hAnsi="Times New Roman"/>
        </w:rPr>
        <w:t xml:space="preserve">, under </w:t>
      </w:r>
      <w:r w:rsidRPr="002833CB">
        <w:rPr>
          <w:rFonts w:ascii="Times New Roman" w:hAnsi="Times New Roman"/>
          <w:i/>
        </w:rPr>
        <w:t>Publications</w:t>
      </w:r>
      <w:r w:rsidRPr="002833CB">
        <w:rPr>
          <w:rFonts w:ascii="Times New Roman" w:hAnsi="Times New Roman"/>
        </w:rPr>
        <w:t xml:space="preserve">. </w:t>
      </w:r>
    </w:p>
    <w:p w:rsidR="00242695" w:rsidRPr="002833CB" w:rsidRDefault="00242695" w:rsidP="00AE6A46">
      <w:pPr>
        <w:pStyle w:val="FootnoteText"/>
        <w:jc w:val="both"/>
        <w:rPr>
          <w:rFonts w:ascii="Times New Roman" w:hAnsi="Times New Roman"/>
        </w:rPr>
      </w:pPr>
    </w:p>
    <w:p w:rsidR="00004383" w:rsidRDefault="00242695" w:rsidP="00004383">
      <w:pPr>
        <w:pStyle w:val="FootnoteText"/>
        <w:jc w:val="both"/>
        <w:rPr>
          <w:rFonts w:ascii="Times New Roman" w:hAnsi="Times New Roman"/>
        </w:rPr>
      </w:pPr>
      <w:r w:rsidRPr="009C1D1B">
        <w:rPr>
          <w:rFonts w:ascii="Times New Roman" w:hAnsi="Times New Roman"/>
          <w:strike/>
        </w:rPr>
        <w:t>A January 2006 revision to the OAC rescinded the charts of accounts from OAC 117 for counties, schools, townships, libraries, and villages.   Therefore, some of the charts of account described in the footnote below from the 2006 OCS no longer exist.</w:t>
      </w:r>
      <w:r w:rsidRPr="00004383">
        <w:rPr>
          <w:rFonts w:ascii="Times New Roman" w:hAnsi="Times New Roman"/>
          <w:strike/>
        </w:rPr>
        <w:t xml:space="preserve"> </w:t>
      </w:r>
    </w:p>
    <w:p w:rsidR="00004383" w:rsidRPr="002833CB" w:rsidRDefault="00004383" w:rsidP="00004383">
      <w:pPr>
        <w:pStyle w:val="FootnoteText"/>
        <w:jc w:val="both"/>
        <w:rPr>
          <w:rFonts w:ascii="Times New Roman" w:hAnsi="Times New Roman"/>
        </w:rPr>
      </w:pPr>
    </w:p>
    <w:p w:rsidR="00242695" w:rsidRPr="00AE6A46" w:rsidRDefault="00242695" w:rsidP="00AE6A46">
      <w:pPr>
        <w:pStyle w:val="FootnoteText"/>
        <w:jc w:val="both"/>
        <w:rPr>
          <w:rFonts w:ascii="Times New Roman" w:hAnsi="Times New Roman"/>
        </w:rPr>
      </w:pPr>
      <w:r w:rsidRPr="00AE6A46">
        <w:rPr>
          <w:rFonts w:ascii="Times New Roman" w:hAnsi="Times New Roman"/>
        </w:rPr>
        <w:t xml:space="preserve">As a matter of accountability and internal control, each public office should account for financial activities using an accounting system which demonstrate legal compliance and follows a documented chart of accounts appropriate for its particular activities; and is supported by appropriate subsidiary ledgers/journals.  When a public office fails to maintain such an accounting system, auditors should consider whether the failure constitutes a </w:t>
      </w:r>
      <w:r w:rsidR="00484042">
        <w:rPr>
          <w:rFonts w:ascii="Times New Roman" w:hAnsi="Times New Roman"/>
        </w:rPr>
        <w:t xml:space="preserve">reportable </w:t>
      </w:r>
      <w:r w:rsidR="000418E5">
        <w:rPr>
          <w:rFonts w:ascii="Times New Roman" w:hAnsi="Times New Roman"/>
        </w:rPr>
        <w:t>control deficiency</w:t>
      </w:r>
      <w:r w:rsidRPr="00AE6A46">
        <w:rPr>
          <w:rFonts w:ascii="Times New Roman" w:hAnsi="Times New Roman"/>
        </w:rPr>
        <w:t xml:space="preserve"> or noncompliance.  Also see Step 4-5 </w:t>
      </w:r>
      <w:r w:rsidRPr="002833CB">
        <w:rPr>
          <w:rFonts w:ascii="Times New Roman" w:hAnsi="Times New Roman"/>
        </w:rPr>
        <w:t>as it relates to accounting systems</w:t>
      </w:r>
      <w:r w:rsidRPr="00AE6A46">
        <w:rPr>
          <w:rFonts w:ascii="Times New Roman" w:hAnsi="Times New Roman"/>
        </w:rPr>
        <w:t>.</w:t>
      </w:r>
    </w:p>
  </w:footnote>
  <w:footnote w:id="2">
    <w:p w:rsidR="00242695" w:rsidRPr="004E6A94" w:rsidRDefault="00242695" w:rsidP="003464AB">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w:t>
      </w:r>
      <w:r w:rsidRPr="004E6A94">
        <w:rPr>
          <w:rFonts w:ascii="Times New Roman" w:hAnsi="Times New Roman"/>
        </w:rPr>
        <w:t xml:space="preserve">We will cite noncompliance if a “GAAP government” files OCBOA or regulatory statements, </w:t>
      </w:r>
      <w:r w:rsidRPr="004E6A94">
        <w:rPr>
          <w:rFonts w:ascii="Times New Roman" w:hAnsi="Times New Roman"/>
          <w:b/>
          <w:i/>
          <w:color w:val="FF0000"/>
        </w:rPr>
        <w:t>regardless</w:t>
      </w:r>
      <w:r w:rsidRPr="004E6A94">
        <w:rPr>
          <w:rFonts w:ascii="Times New Roman" w:hAnsi="Times New Roman"/>
        </w:rPr>
        <w:t xml:space="preserve"> of whether they filed within 60 days.  That is, the 60-day requirement is irrelevant to “GAAP governments.”  For example, if a county filed OCBOA statements within 60 days of its year end, the following cite would apply:  </w:t>
      </w:r>
    </w:p>
    <w:p w:rsidR="00242695" w:rsidRPr="004E6A94" w:rsidRDefault="00242695" w:rsidP="003464AB">
      <w:pPr>
        <w:autoSpaceDE w:val="0"/>
        <w:autoSpaceDN w:val="0"/>
        <w:adjustRightInd w:val="0"/>
        <w:ind w:left="720"/>
        <w:jc w:val="both"/>
        <w:rPr>
          <w:rFonts w:ascii="Times New Roman" w:hAnsi="Times New Roman"/>
        </w:rPr>
      </w:pPr>
      <w:r w:rsidRPr="004E6A94">
        <w:rPr>
          <w:rFonts w:ascii="Times New Roman" w:hAnsi="Times New Roman"/>
        </w:rPr>
        <w:t>“Ohio Admini</w:t>
      </w:r>
      <w:r w:rsidR="0007646A">
        <w:rPr>
          <w:rFonts w:ascii="Times New Roman" w:hAnsi="Times New Roman"/>
        </w:rPr>
        <w:t xml:space="preserve">strative Code </w:t>
      </w:r>
      <w:r w:rsidRPr="004E6A94">
        <w:rPr>
          <w:rFonts w:ascii="Times New Roman" w:hAnsi="Times New Roman"/>
        </w:rPr>
        <w:t>117-2-03 (B) requires the County to prepare its annual financial report in accordance with generally accepted acc</w:t>
      </w:r>
      <w:r>
        <w:rPr>
          <w:rFonts w:ascii="Times New Roman" w:hAnsi="Times New Roman"/>
        </w:rPr>
        <w:t xml:space="preserve">ounting principles. The County </w:t>
      </w:r>
      <w:r w:rsidRPr="004E6A94">
        <w:rPr>
          <w:rFonts w:ascii="Times New Roman" w:hAnsi="Times New Roman"/>
        </w:rPr>
        <w:t xml:space="preserve">filed financial statements with the Auditor of State, but those statements followed </w:t>
      </w:r>
      <w:proofErr w:type="gramStart"/>
      <w:r w:rsidRPr="004E6A94">
        <w:rPr>
          <w:rFonts w:ascii="Times New Roman" w:hAnsi="Times New Roman"/>
        </w:rPr>
        <w:t>a cash</w:t>
      </w:r>
      <w:proofErr w:type="gramEnd"/>
      <w:r w:rsidRPr="004E6A94">
        <w:rPr>
          <w:rFonts w:ascii="Times New Roman" w:hAnsi="Times New Roman"/>
        </w:rPr>
        <w:t xml:space="preserve"> and investments accounting basis rather than generally accepted accounting principles. The accompanying financial statements and notes omit material assets, liabilities, fund equities, and disclosures.  The County is subject to fines and various other administrative remedies.”</w:t>
      </w:r>
    </w:p>
    <w:p w:rsidR="00242695" w:rsidRPr="004E6A94" w:rsidRDefault="00242695" w:rsidP="003464AB">
      <w:pPr>
        <w:pStyle w:val="FootnoteText"/>
        <w:jc w:val="both"/>
        <w:rPr>
          <w:rFonts w:ascii="Times New Roman" w:hAnsi="Times New Roman"/>
        </w:rPr>
      </w:pPr>
      <w:r w:rsidRPr="004E6A94">
        <w:rPr>
          <w:rFonts w:ascii="Times New Roman" w:hAnsi="Times New Roman"/>
        </w:rPr>
        <w:t xml:space="preserve">(For this finding we need not differentiate regulatory </w:t>
      </w:r>
      <w:proofErr w:type="spellStart"/>
      <w:r w:rsidRPr="004E6A94">
        <w:rPr>
          <w:rFonts w:ascii="Times New Roman" w:hAnsi="Times New Roman"/>
        </w:rPr>
        <w:t>vs</w:t>
      </w:r>
      <w:proofErr w:type="spellEnd"/>
      <w:r w:rsidRPr="004E6A94">
        <w:rPr>
          <w:rFonts w:ascii="Times New Roman" w:hAnsi="Times New Roman"/>
        </w:rPr>
        <w:t xml:space="preserve"> OCBOA formatting or list the date the statements were filed, because it is irrelevant.)    </w:t>
      </w:r>
    </w:p>
    <w:p w:rsidR="00242695" w:rsidRPr="00A364F8" w:rsidRDefault="00242695" w:rsidP="003464AB">
      <w:pPr>
        <w:pStyle w:val="FootnoteText"/>
        <w:jc w:val="both"/>
        <w:rPr>
          <w:rFonts w:ascii="Times New Roman" w:hAnsi="Times New Roman"/>
        </w:rPr>
      </w:pPr>
    </w:p>
  </w:footnote>
  <w:footnote w:id="3">
    <w:p w:rsidR="00242695" w:rsidRPr="001A6E89" w:rsidRDefault="00242695" w:rsidP="00FA2BE0">
      <w:pPr>
        <w:pStyle w:val="FootnoteText"/>
        <w:jc w:val="both"/>
        <w:rPr>
          <w:rFonts w:ascii="Times New Roman" w:hAnsi="Times New Roman"/>
        </w:rPr>
      </w:pPr>
      <w:r w:rsidRPr="001A6E89">
        <w:rPr>
          <w:rStyle w:val="FootnoteReference"/>
          <w:rFonts w:ascii="Times New Roman" w:hAnsi="Times New Roman"/>
        </w:rPr>
        <w:footnoteRef/>
      </w:r>
      <w:r w:rsidRPr="001A6E89">
        <w:rPr>
          <w:rFonts w:ascii="Times New Roman" w:hAnsi="Times New Roman"/>
        </w:rPr>
        <w:t xml:space="preserve"> Failing to file an annual report could be a symptom of an inadequate accounting system, inadequate training of personnel in understanding the accounting and reporting process, </w:t>
      </w:r>
      <w:proofErr w:type="spellStart"/>
      <w:r w:rsidRPr="001A6E89">
        <w:rPr>
          <w:rFonts w:ascii="Times New Roman" w:hAnsi="Times New Roman"/>
        </w:rPr>
        <w:t>unposted</w:t>
      </w:r>
      <w:proofErr w:type="spellEnd"/>
      <w:r w:rsidRPr="001A6E89">
        <w:rPr>
          <w:rFonts w:ascii="Times New Roman" w:hAnsi="Times New Roman"/>
        </w:rPr>
        <w:t xml:space="preserve"> or </w:t>
      </w:r>
      <w:proofErr w:type="spellStart"/>
      <w:r w:rsidRPr="001A6E89">
        <w:rPr>
          <w:rFonts w:ascii="Times New Roman" w:hAnsi="Times New Roman"/>
        </w:rPr>
        <w:t>unreconciled</w:t>
      </w:r>
      <w:proofErr w:type="spellEnd"/>
      <w:r w:rsidRPr="001A6E89">
        <w:rPr>
          <w:rFonts w:ascii="Times New Roman" w:hAnsi="Times New Roman"/>
        </w:rPr>
        <w:t xml:space="preserve"> records or other significant issues affecting the control environment, or which may even pose fraud risks.</w:t>
      </w:r>
    </w:p>
    <w:p w:rsidR="00242695" w:rsidRPr="001A6E89" w:rsidRDefault="00242695" w:rsidP="00FA2BE0">
      <w:pPr>
        <w:pStyle w:val="FootnoteText"/>
        <w:jc w:val="both"/>
        <w:rPr>
          <w:rFonts w:ascii="Times New Roman" w:hAnsi="Times New Roman"/>
        </w:rPr>
      </w:pPr>
    </w:p>
  </w:footnote>
  <w:footnote w:id="4">
    <w:p w:rsidR="00242695" w:rsidRPr="004E6A94" w:rsidRDefault="00242695" w:rsidP="00FA2BE0">
      <w:pPr>
        <w:pStyle w:val="FootnoteText"/>
        <w:jc w:val="both"/>
        <w:rPr>
          <w:rFonts w:ascii="Times New Roman" w:hAnsi="Times New Roman"/>
        </w:rPr>
      </w:pPr>
      <w:r w:rsidRPr="004E6A94">
        <w:rPr>
          <w:rStyle w:val="FootnoteReference"/>
          <w:rFonts w:ascii="Times New Roman" w:hAnsi="Times New Roman"/>
        </w:rPr>
        <w:footnoteRef/>
      </w:r>
      <w:r w:rsidRPr="004E6A94">
        <w:rPr>
          <w:rFonts w:ascii="Times New Roman" w:hAnsi="Times New Roman"/>
        </w:rPr>
        <w:t xml:space="preserve"> Ohio Rev. Code </w:t>
      </w:r>
      <w:r w:rsidRPr="004E6A94">
        <w:rPr>
          <w:rFonts w:ascii="Times New Roman" w:hAnsi="Times New Roman"/>
          <w:sz w:val="22"/>
          <w:szCs w:val="22"/>
        </w:rPr>
        <w:t>§</w:t>
      </w:r>
      <w:r w:rsidRPr="004E6A94">
        <w:rPr>
          <w:rFonts w:ascii="Times New Roman" w:hAnsi="Times New Roman"/>
        </w:rPr>
        <w:t>117.01(D) states that, as used in Ohio Rev. Code Chapter 117, “</w:t>
      </w:r>
      <w:r w:rsidRPr="004E6A94">
        <w:rPr>
          <w:rFonts w:ascii="Times New Roman" w:hAnsi="Times New Roman"/>
          <w:i/>
        </w:rPr>
        <w:t>public office</w:t>
      </w:r>
      <w:r w:rsidRPr="004E6A94">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government.”  Op. Atty. Gen. No. 89-055 indicates the Auditor of State has discretion to interpret and apply the definition of “public office” used in Ohio Rev. Code </w:t>
      </w:r>
      <w:r w:rsidRPr="004E6A94">
        <w:rPr>
          <w:rFonts w:ascii="Times New Roman" w:hAnsi="Times New Roman"/>
          <w:sz w:val="22"/>
          <w:szCs w:val="22"/>
        </w:rPr>
        <w:t>§</w:t>
      </w:r>
      <w:r w:rsidRPr="004E6A94">
        <w:rPr>
          <w:rFonts w:ascii="Times New Roman" w:hAnsi="Times New Roman"/>
        </w:rPr>
        <w:t>117.01(D).  The Auditor of State has therefore determined that charter schools qualify as public offices as defined under this section.</w:t>
      </w:r>
    </w:p>
    <w:p w:rsidR="00242695" w:rsidRPr="004E6A94" w:rsidRDefault="00242695" w:rsidP="00FA2BE0">
      <w:pPr>
        <w:pStyle w:val="FootnoteText"/>
        <w:jc w:val="both"/>
        <w:rPr>
          <w:rFonts w:ascii="Times New Roman" w:hAnsi="Times New Roman"/>
        </w:rPr>
      </w:pPr>
    </w:p>
  </w:footnote>
  <w:footnote w:id="5">
    <w:p w:rsidR="00242695" w:rsidRPr="004E6A94" w:rsidRDefault="00242695" w:rsidP="00FA2BE0">
      <w:pPr>
        <w:pStyle w:val="FootnoteText"/>
        <w:jc w:val="both"/>
        <w:rPr>
          <w:rFonts w:ascii="Times New Roman" w:hAnsi="Times New Roman"/>
        </w:rPr>
      </w:pPr>
      <w:r w:rsidRPr="004E6A94">
        <w:rPr>
          <w:rStyle w:val="FootnoteReference"/>
          <w:rFonts w:ascii="Times New Roman" w:hAnsi="Times New Roman"/>
        </w:rPr>
        <w:footnoteRef/>
      </w:r>
      <w:r w:rsidRPr="004E6A94">
        <w:rPr>
          <w:rFonts w:ascii="Times New Roman" w:hAnsi="Times New Roman"/>
        </w:rPr>
        <w:t xml:space="preserve"> Charter schools should publish notices in the newspapers of the locality where the constituents are located if different from where the office of the chief fiscal officer is located.</w:t>
      </w:r>
    </w:p>
    <w:p w:rsidR="00242695" w:rsidRPr="00A364F8" w:rsidRDefault="00242695" w:rsidP="00FA2BE0">
      <w:pPr>
        <w:pStyle w:val="FootnoteText"/>
        <w:jc w:val="both"/>
        <w:rPr>
          <w:rFonts w:ascii="Times New Roman" w:hAnsi="Times New Roman"/>
        </w:rPr>
      </w:pPr>
    </w:p>
  </w:footnote>
  <w:footnote w:id="6">
    <w:p w:rsidR="00242695" w:rsidRPr="00AE6A46" w:rsidRDefault="00242695" w:rsidP="00450D22">
      <w:pPr>
        <w:pStyle w:val="FootnoteText"/>
        <w:jc w:val="both"/>
        <w:rPr>
          <w:rFonts w:ascii="Times New Roman" w:hAnsi="Times New Roman"/>
        </w:rPr>
      </w:pPr>
      <w:r w:rsidRPr="00AE6A46">
        <w:rPr>
          <w:rStyle w:val="FootnoteReference"/>
        </w:rPr>
        <w:footnoteRef/>
      </w:r>
      <w:r w:rsidRPr="00AE6A46">
        <w:t xml:space="preserve"> </w:t>
      </w:r>
      <w:r w:rsidRPr="00AE6A46">
        <w:rPr>
          <w:rFonts w:ascii="Times New Roman" w:hAnsi="Times New Roman"/>
        </w:rPr>
        <w:t xml:space="preserve">Being non-profit under chapter 1702 is not enough to be a </w:t>
      </w:r>
      <w:proofErr w:type="spellStart"/>
      <w:r w:rsidRPr="00AE6A46">
        <w:rPr>
          <w:rFonts w:ascii="Times New Roman" w:hAnsi="Times New Roman"/>
        </w:rPr>
        <w:t>CIC</w:t>
      </w:r>
      <w:proofErr w:type="spellEnd"/>
      <w:r w:rsidRPr="00AE6A46">
        <w:rPr>
          <w:rFonts w:ascii="Times New Roman" w:hAnsi="Times New Roman"/>
        </w:rPr>
        <w:t xml:space="preserve">.  To be a </w:t>
      </w:r>
      <w:proofErr w:type="spellStart"/>
      <w:r w:rsidRPr="00AE6A46">
        <w:rPr>
          <w:rFonts w:ascii="Times New Roman" w:hAnsi="Times New Roman"/>
        </w:rPr>
        <w:t>CIC</w:t>
      </w:r>
      <w:proofErr w:type="spellEnd"/>
      <w:r w:rsidRPr="00AE6A46">
        <w:rPr>
          <w:rFonts w:ascii="Times New Roman" w:hAnsi="Times New Roman"/>
        </w:rPr>
        <w:t xml:space="preserve"> requiring an AOS audit, the entity must be incorporated under both 1702 &amp; 1724.  (A Development Corp. would only be incorporated under chapter 1726.)  Read the articles and see if they refer to chapters 1724 or 1726.  Merely entitling an entity</w:t>
      </w:r>
      <w:r>
        <w:rPr>
          <w:rFonts w:ascii="Times New Roman" w:hAnsi="Times New Roman"/>
        </w:rPr>
        <w:t xml:space="preserve"> as</w:t>
      </w:r>
      <w:r w:rsidRPr="00AE6A46">
        <w:rPr>
          <w:rFonts w:ascii="Times New Roman" w:hAnsi="Times New Roman"/>
        </w:rPr>
        <w:t xml:space="preserve"> an “improvement” or “development” corporation is not sufficient.  The articles of incorporation must support that the entity falls under 1724 or 1726.</w:t>
      </w:r>
    </w:p>
    <w:p w:rsidR="00242695" w:rsidRPr="00AE6A46" w:rsidRDefault="00242695" w:rsidP="00450D22">
      <w:pPr>
        <w:pStyle w:val="FootnoteText"/>
        <w:jc w:val="both"/>
        <w:rPr>
          <w:rFonts w:ascii="Times New Roman" w:hAnsi="Times New Roman"/>
        </w:rPr>
      </w:pPr>
    </w:p>
  </w:footnote>
  <w:footnote w:id="7">
    <w:p w:rsidR="00242695" w:rsidRPr="00AE6A46" w:rsidRDefault="00242695" w:rsidP="00450D22">
      <w:pPr>
        <w:pStyle w:val="FootnoteText"/>
        <w:jc w:val="both"/>
        <w:rPr>
          <w:rFonts w:ascii="Times New Roman" w:hAnsi="Times New Roman"/>
        </w:rPr>
      </w:pPr>
      <w:r w:rsidRPr="00AE6A46">
        <w:rPr>
          <w:rStyle w:val="FootnoteReference"/>
        </w:rPr>
        <w:footnoteRef/>
      </w:r>
      <w:r w:rsidRPr="00AE6A46">
        <w:t xml:space="preserve"> </w:t>
      </w:r>
      <w:r w:rsidRPr="00AE6A46">
        <w:rPr>
          <w:rFonts w:ascii="Times New Roman" w:hAnsi="Times New Roman"/>
        </w:rPr>
        <w:t>We are aware of only four DC, and at least two of them are inactive.  Development corporations organized under ORC 1726 are stock-issuing entities.</w:t>
      </w:r>
    </w:p>
    <w:p w:rsidR="00242695" w:rsidRPr="00AE6A46" w:rsidRDefault="00242695" w:rsidP="00450D22">
      <w:pPr>
        <w:pStyle w:val="FootnoteText"/>
        <w:jc w:val="both"/>
        <w:rPr>
          <w:rFonts w:ascii="Times New Roman" w:hAnsi="Times New Roman"/>
        </w:rPr>
      </w:pPr>
    </w:p>
  </w:footnote>
  <w:footnote w:id="8">
    <w:p w:rsidR="00242695" w:rsidRPr="004E6A94" w:rsidRDefault="00242695" w:rsidP="00450D22">
      <w:pPr>
        <w:pStyle w:val="FootnoteText"/>
        <w:jc w:val="both"/>
        <w:rPr>
          <w:rFonts w:ascii="Times New Roman" w:hAnsi="Times New Roman"/>
        </w:rPr>
      </w:pPr>
      <w:r w:rsidRPr="00AE6A46">
        <w:rPr>
          <w:rStyle w:val="FootnoteReference"/>
        </w:rPr>
        <w:footnoteRef/>
      </w:r>
      <w:r w:rsidRPr="00762374">
        <w:rPr>
          <w:rFonts w:ascii="Times New Roman" w:hAnsi="Times New Roman"/>
        </w:rPr>
        <w:t xml:space="preserve"> </w:t>
      </w:r>
      <w:proofErr w:type="spellStart"/>
      <w:r w:rsidRPr="004E6A94">
        <w:rPr>
          <w:rFonts w:ascii="Times New Roman" w:hAnsi="Times New Roman"/>
        </w:rPr>
        <w:t>CIC</w:t>
      </w:r>
      <w:proofErr w:type="spellEnd"/>
      <w:r w:rsidRPr="004E6A94">
        <w:rPr>
          <w:rFonts w:ascii="Times New Roman" w:hAnsi="Times New Roman"/>
        </w:rPr>
        <w:t xml:space="preserve"> or DC that do not file GAAP statements and notes (and required supplementary information, if any) within 120 days of its fiscal year end are </w:t>
      </w:r>
      <w:r w:rsidRPr="004E6A94">
        <w:rPr>
          <w:rFonts w:ascii="Times New Roman" w:hAnsi="Times New Roman"/>
          <w:b/>
          <w:i/>
        </w:rPr>
        <w:t>not</w:t>
      </w:r>
      <w:r w:rsidRPr="004E6A94">
        <w:rPr>
          <w:rFonts w:ascii="Times New Roman" w:hAnsi="Times New Roman"/>
        </w:rPr>
        <w:t xml:space="preserve"> subject to AOS penalties prescribed in ORC 117.38.  “A community improvement corporation is, in essence, a private non-profit corporation which is bound by the general terms of RC Chapter 1702 (non-profit corporations).  A privately organized entity that performs a public purpose occupies a status no different from that of countless other non-profit corporations, the private nature of which is indisputable.  Nor is a community improvement corporation possessed of powers derived from statute.  Although RC 1724.02 provides that a community improvement corporation shall possess, certain powers enumerated therein, the ultimate source of its power is not RC 1724.02, but its articles of incorporation and code of regulations.” [Ohio Atty Gen. Op. No. 79-061]  Also, auditors should take note that </w:t>
      </w:r>
      <w:proofErr w:type="spellStart"/>
      <w:r w:rsidRPr="004E6A94">
        <w:rPr>
          <w:rFonts w:ascii="Times New Roman" w:hAnsi="Times New Roman"/>
        </w:rPr>
        <w:t>CIC</w:t>
      </w:r>
      <w:proofErr w:type="spellEnd"/>
      <w:r w:rsidRPr="004E6A94">
        <w:rPr>
          <w:rFonts w:ascii="Times New Roman" w:hAnsi="Times New Roman"/>
        </w:rPr>
        <w:t xml:space="preserve"> and DC are subject to a 120-day filing requirement rather than the 150-day requirement applicable to other GAAP entities.)</w:t>
      </w:r>
    </w:p>
  </w:footnote>
  <w:footnote w:id="9">
    <w:p w:rsidR="00242695" w:rsidRDefault="00242695">
      <w:pPr>
        <w:pStyle w:val="FootnoteText"/>
        <w:rPr>
          <w:rFonts w:ascii="Times New Roman" w:hAnsi="Times New Roman"/>
        </w:rPr>
      </w:pPr>
      <w:r>
        <w:rPr>
          <w:rStyle w:val="FootnoteReference"/>
        </w:rPr>
        <w:footnoteRef/>
      </w:r>
      <w:r>
        <w:t xml:space="preserve"> </w:t>
      </w:r>
      <w:r w:rsidRPr="00A364F8">
        <w:rPr>
          <w:rFonts w:ascii="Times New Roman" w:hAnsi="Times New Roman"/>
        </w:rPr>
        <w:t>It is the intention of the Auditor of State to reinstate the Uniform Schools’ Accounting System (USAS) requirement that was listed in OAC 117-6-01.  Since school districts conform to the USAS requirement of accounting, community schools are expected to, as well</w:t>
      </w:r>
      <w:r w:rsidRPr="00C54F70">
        <w:rPr>
          <w:rFonts w:ascii="Times New Roman" w:hAnsi="Times New Roman"/>
        </w:rPr>
        <w:t>.</w:t>
      </w:r>
    </w:p>
    <w:p w:rsidR="00242695" w:rsidRPr="00C54F70" w:rsidRDefault="00242695">
      <w:pPr>
        <w:pStyle w:val="FootnoteText"/>
        <w:rPr>
          <w:rFonts w:ascii="Times New Roman" w:hAnsi="Times New Roman"/>
        </w:rPr>
      </w:pPr>
    </w:p>
  </w:footnote>
  <w:footnote w:id="10">
    <w:p w:rsidR="00242695" w:rsidRPr="00220F80" w:rsidRDefault="00242695" w:rsidP="00220F80">
      <w:pPr>
        <w:pStyle w:val="FootnoteText"/>
        <w:jc w:val="both"/>
        <w:rPr>
          <w:rFonts w:ascii="Times New Roman" w:hAnsi="Times New Roman"/>
        </w:rPr>
      </w:pPr>
      <w:r w:rsidRPr="00AE6A46">
        <w:rPr>
          <w:rStyle w:val="FootnoteReference"/>
        </w:rPr>
        <w:footnoteRef/>
      </w:r>
      <w:r w:rsidRPr="00AE6A46">
        <w:t xml:space="preserve"> </w:t>
      </w:r>
      <w:r w:rsidRPr="00220F80">
        <w:rPr>
          <w:rFonts w:ascii="Times New Roman" w:hAnsi="Times New Roman"/>
        </w:rPr>
        <w:t xml:space="preserve">While the law requires the auditor to “qualify” the opinion, we believe an </w:t>
      </w:r>
      <w:r w:rsidRPr="00004383">
        <w:rPr>
          <w:rFonts w:ascii="Times New Roman" w:hAnsi="Times New Roman"/>
          <w:i/>
        </w:rPr>
        <w:t>emphasis of a matter</w:t>
      </w:r>
      <w:r w:rsidRPr="00220F80">
        <w:rPr>
          <w:rFonts w:ascii="Times New Roman" w:hAnsi="Times New Roman"/>
        </w:rPr>
        <w:t xml:space="preserve"> paragraph is preferable because inadequate disclosure of this matter is not a departure from GAAP.</w:t>
      </w:r>
    </w:p>
  </w:footnote>
  <w:footnote w:id="11">
    <w:p w:rsidR="00242695" w:rsidRPr="00816A69" w:rsidRDefault="00242695" w:rsidP="00D56AA5">
      <w:pPr>
        <w:pStyle w:val="FootnoteText"/>
        <w:rPr>
          <w:rFonts w:ascii="Times New Roman" w:hAnsi="Times New Roman"/>
        </w:rPr>
      </w:pPr>
      <w:r>
        <w:rPr>
          <w:rStyle w:val="FootnoteReference"/>
        </w:rPr>
        <w:footnoteRef/>
      </w:r>
      <w:r>
        <w:t xml:space="preserve"> </w:t>
      </w:r>
      <w:r w:rsidRPr="00A364F8">
        <w:rPr>
          <w:rFonts w:ascii="Times New Roman" w:hAnsi="Times New Roman"/>
        </w:rPr>
        <w:t>We believe testing 100 transactions is appropriate when a company manages several community schools.  If a company manages only one or two schools, auditors may consider reducing this sample size, but should still select sufficient transactions to provide relatively high assurance</w:t>
      </w:r>
      <w:r w:rsidRPr="00A02FB5">
        <w:rPr>
          <w:rFonts w:ascii="Times New Roman" w:hAnsi="Times New Roman"/>
        </w:rPr>
        <w:t>.</w:t>
      </w:r>
    </w:p>
    <w:p w:rsidR="00242695" w:rsidRDefault="00242695">
      <w:pPr>
        <w:pStyle w:val="FootnoteText"/>
      </w:pPr>
    </w:p>
  </w:footnote>
  <w:footnote w:id="12">
    <w:p w:rsidR="00242695" w:rsidRPr="00AE6A46" w:rsidRDefault="00242695" w:rsidP="00DD0727">
      <w:pPr>
        <w:pStyle w:val="FootnoteText"/>
        <w:jc w:val="both"/>
        <w:rPr>
          <w:rFonts w:ascii="Times New Roman" w:hAnsi="Times New Roman"/>
        </w:rPr>
      </w:pPr>
      <w:r w:rsidRPr="0007646A">
        <w:rPr>
          <w:rStyle w:val="FootnoteReference"/>
          <w:rFonts w:ascii="Times New Roman" w:hAnsi="Times New Roman"/>
        </w:rPr>
        <w:footnoteRef/>
      </w:r>
      <w:r w:rsidRPr="00AE6A46">
        <w:rPr>
          <w:b/>
        </w:rPr>
        <w:t xml:space="preserve"> </w:t>
      </w:r>
      <w:r w:rsidRPr="00AE6A46">
        <w:rPr>
          <w:rFonts w:ascii="Times New Roman" w:hAnsi="Times New Roman"/>
        </w:rPr>
        <w:t>Note:  Since the legislature has mandated this step, we should deem it to be qualitatively material.</w:t>
      </w:r>
    </w:p>
  </w:footnote>
  <w:footnote w:id="13">
    <w:p w:rsidR="00242695" w:rsidRPr="00B86032" w:rsidRDefault="00242695" w:rsidP="00FC75FC">
      <w:pPr>
        <w:pStyle w:val="FootnoteText"/>
        <w:jc w:val="both"/>
        <w:rPr>
          <w:rFonts w:ascii="Times New Roman" w:hAnsi="Times New Roman"/>
        </w:rPr>
      </w:pPr>
      <w:r w:rsidRPr="00581B04">
        <w:rPr>
          <w:rStyle w:val="FootnoteReference"/>
          <w:rFonts w:ascii="Times New Roman" w:hAnsi="Times New Roman"/>
        </w:rPr>
        <w:footnoteRef/>
      </w:r>
      <w:r w:rsidRPr="00581B04">
        <w:rPr>
          <w:rFonts w:ascii="Times New Roman" w:hAnsi="Times New Roman"/>
        </w:rPr>
        <w:t xml:space="preserve"> </w:t>
      </w:r>
      <w:r w:rsidRPr="00B86032">
        <w:rPr>
          <w:rFonts w:ascii="Times New Roman" w:hAnsi="Times New Roman"/>
        </w:rPr>
        <w:t xml:space="preserve">As noted on the previous page, ORC 955.013 separately addresses electronic / internet sales of dog licenses.  Direct deposits do </w:t>
      </w:r>
      <w:r w:rsidRPr="00B86032">
        <w:rPr>
          <w:rFonts w:ascii="Times New Roman" w:hAnsi="Times New Roman"/>
          <w:b/>
          <w:i/>
        </w:rPr>
        <w:t>not</w:t>
      </w:r>
      <w:r w:rsidRPr="00B86032">
        <w:rPr>
          <w:rFonts w:ascii="Times New Roman" w:hAnsi="Times New Roman"/>
        </w:rPr>
        <w:t xml:space="preserve"> fall under Ohio Rev. Code 117.111 or Ohio Rev. Code 304.02. </w:t>
      </w:r>
    </w:p>
    <w:p w:rsidR="00242695" w:rsidRPr="00B86032" w:rsidRDefault="00242695" w:rsidP="00FC75FC">
      <w:pPr>
        <w:pStyle w:val="FootnoteText"/>
        <w:jc w:val="both"/>
        <w:rPr>
          <w:rFonts w:ascii="Times New Roman" w:hAnsi="Times New Roman"/>
        </w:rPr>
      </w:pPr>
    </w:p>
  </w:footnote>
  <w:footnote w:id="14">
    <w:p w:rsidR="00242695" w:rsidRDefault="00242695" w:rsidP="00FC75FC">
      <w:pPr>
        <w:pStyle w:val="FootnoteText"/>
        <w:jc w:val="both"/>
        <w:rPr>
          <w:rFonts w:ascii="Times New Roman" w:hAnsi="Times New Roman"/>
        </w:rPr>
      </w:pPr>
      <w:r w:rsidRPr="00B86032">
        <w:rPr>
          <w:rStyle w:val="FootnoteReference"/>
        </w:rPr>
        <w:footnoteRef/>
      </w:r>
      <w:r w:rsidRPr="00B86032">
        <w:t xml:space="preserve"> </w:t>
      </w:r>
      <w:r w:rsidRPr="00B86032">
        <w:rPr>
          <w:rFonts w:ascii="Times New Roman" w:hAnsi="Times New Roman"/>
        </w:rPr>
        <w:t xml:space="preserve">Companies providing internet transaction services may be </w:t>
      </w:r>
      <w:r w:rsidRPr="00B86032">
        <w:rPr>
          <w:rFonts w:ascii="Times New Roman" w:hAnsi="Times New Roman"/>
          <w:b/>
          <w:i/>
        </w:rPr>
        <w:t>service organizations</w:t>
      </w:r>
      <w:r w:rsidRPr="00B86032">
        <w:rPr>
          <w:rFonts w:ascii="Times New Roman" w:hAnsi="Times New Roman"/>
        </w:rPr>
        <w:t>.  We should consider service organization implications per AU 324 depending upon the materiality of the transactions.</w:t>
      </w:r>
    </w:p>
    <w:p w:rsidR="00242695" w:rsidRPr="00B86032" w:rsidRDefault="00242695" w:rsidP="00FC75FC">
      <w:pPr>
        <w:pStyle w:val="FootnoteText"/>
        <w:jc w:val="both"/>
        <w:rPr>
          <w:rFonts w:ascii="Times New Roman" w:hAnsi="Times New Roman"/>
        </w:rPr>
      </w:pPr>
    </w:p>
  </w:footnote>
  <w:footnote w:id="15">
    <w:p w:rsidR="00242695" w:rsidRPr="00AE6A46" w:rsidRDefault="00242695" w:rsidP="00FC75FC">
      <w:pPr>
        <w:pStyle w:val="FootnoteText"/>
        <w:jc w:val="both"/>
      </w:pPr>
      <w:r w:rsidRPr="00B86032">
        <w:rPr>
          <w:rStyle w:val="FootnoteReference"/>
        </w:rPr>
        <w:footnoteRef/>
      </w:r>
      <w:r w:rsidRPr="00B86032">
        <w:t xml:space="preserve"> </w:t>
      </w:r>
      <w:r w:rsidRPr="00B86032">
        <w:rPr>
          <w:rFonts w:ascii="Times New Roman" w:hAnsi="Times New Roman"/>
        </w:rPr>
        <w:t>AOS staff should update the RCEC where needed to incorporate electronic (i.e. internet)</w:t>
      </w:r>
      <w:r w:rsidRPr="00AE6A46">
        <w:rPr>
          <w:rFonts w:ascii="Times New Roman" w:hAnsi="Times New Roman"/>
        </w:rPr>
        <w:t xml:space="preserve"> transactions, including controls and procedures designed to safeguard electronic transactions.  Also, consider the appropriate degree of ISA involvement.  AOS audit staff must consult with ISA when a government has a complex IT environment (</w:t>
      </w:r>
      <w:proofErr w:type="spellStart"/>
      <w:r w:rsidRPr="00AE6A46">
        <w:rPr>
          <w:rFonts w:ascii="Times New Roman" w:hAnsi="Times New Roman"/>
        </w:rPr>
        <w:t>AOSAM</w:t>
      </w:r>
      <w:proofErr w:type="spellEnd"/>
      <w:r w:rsidRPr="00AE6A46">
        <w:rPr>
          <w:rFonts w:ascii="Times New Roman" w:hAnsi="Times New Roman"/>
        </w:rPr>
        <w:t xml:space="preserve"> 30500.</w:t>
      </w:r>
      <w:r w:rsidRPr="00B86032">
        <w:rPr>
          <w:rFonts w:ascii="Times New Roman" w:hAnsi="Times New Roman"/>
        </w:rPr>
        <w:t xml:space="preserve">41. </w:t>
      </w:r>
      <w:r w:rsidRPr="00AE6A46">
        <w:rPr>
          <w:rFonts w:ascii="Times New Roman" w:hAnsi="Times New Roman"/>
        </w:rPr>
        <w:t xml:space="preserve"> Also consider that the nature of electronic transactions and signatures subject to this law may require ISA assistance.</w:t>
      </w:r>
    </w:p>
  </w:footnote>
  <w:footnote w:id="16">
    <w:p w:rsidR="00242695" w:rsidRPr="005C1CA7" w:rsidRDefault="00242695" w:rsidP="002459E1">
      <w:pPr>
        <w:autoSpaceDE w:val="0"/>
        <w:autoSpaceDN w:val="0"/>
        <w:adjustRightInd w:val="0"/>
        <w:jc w:val="both"/>
        <w:rPr>
          <w:rFonts w:ascii="Times New Roman" w:hAnsi="Times New Roman"/>
        </w:rPr>
      </w:pPr>
      <w:r w:rsidRPr="00AE6A46">
        <w:rPr>
          <w:rStyle w:val="FootnoteReference"/>
        </w:rPr>
        <w:footnoteRef/>
      </w:r>
      <w:r w:rsidRPr="00AE6A46">
        <w:rPr>
          <w:rFonts w:ascii="Times New Roman" w:hAnsi="Times New Roman"/>
        </w:rPr>
        <w:t xml:space="preserve"> </w:t>
      </w:r>
      <w:r w:rsidRPr="00BB61FF">
        <w:rPr>
          <w:rFonts w:ascii="Times New Roman" w:hAnsi="Times New Roman"/>
        </w:rPr>
        <w:t xml:space="preserve">Note:  </w:t>
      </w:r>
      <w:r w:rsidRPr="00B86032">
        <w:rPr>
          <w:rFonts w:ascii="Times New Roman" w:hAnsi="Times New Roman"/>
        </w:rPr>
        <w:t xml:space="preserve">Statement on Auditing Standards No. 112 (SAS 112), effective for audits of financial reporting periods ending on or after December 15, 2006, lowered the threshold for reporting control deficiencies.   </w:t>
      </w:r>
      <w:r w:rsidR="00004383" w:rsidRPr="009C1D1B">
        <w:rPr>
          <w:rFonts w:ascii="Times New Roman" w:hAnsi="Times New Roman"/>
          <w:u w:val="wave"/>
        </w:rPr>
        <w:t>SAS 115 supersede SAS 112, and is effective for financial statement periods ending on or after December 15, 2009.  Noncompliance with these OAC requirements normally also suggest control deficiencies</w:t>
      </w:r>
      <w:r w:rsidR="00004383" w:rsidRPr="000E20EC">
        <w:rPr>
          <w:rFonts w:ascii="Times New Roman" w:hAnsi="Times New Roman"/>
          <w:u w:val="wave"/>
        </w:rPr>
        <w:t>.</w:t>
      </w:r>
      <w:r w:rsidR="00004383">
        <w:rPr>
          <w:rFonts w:ascii="Times New Roman" w:hAnsi="Times New Roman"/>
          <w:u w:val="wave"/>
        </w:rPr>
        <w:t xml:space="preserve">  </w:t>
      </w:r>
      <w:r w:rsidRPr="00B86032">
        <w:rPr>
          <w:rFonts w:ascii="Times New Roman" w:hAnsi="Times New Roman"/>
        </w:rPr>
        <w:t>Section 4.</w:t>
      </w:r>
      <w:r w:rsidR="002459E1">
        <w:rPr>
          <w:rFonts w:ascii="Times New Roman" w:hAnsi="Times New Roman"/>
        </w:rPr>
        <w:t>30</w:t>
      </w:r>
      <w:r w:rsidRPr="00B86032">
        <w:rPr>
          <w:rFonts w:ascii="Times New Roman" w:hAnsi="Times New Roman"/>
        </w:rPr>
        <w:t xml:space="preserve"> in the </w:t>
      </w:r>
      <w:proofErr w:type="spellStart"/>
      <w:r w:rsidRPr="00B86032">
        <w:rPr>
          <w:rFonts w:ascii="Times New Roman" w:hAnsi="Times New Roman"/>
        </w:rPr>
        <w:t>AICPA’s</w:t>
      </w:r>
      <w:proofErr w:type="spellEnd"/>
      <w:r w:rsidRPr="00B86032">
        <w:rPr>
          <w:rFonts w:ascii="Times New Roman" w:hAnsi="Times New Roman"/>
        </w:rPr>
        <w:t xml:space="preserve"> </w:t>
      </w:r>
      <w:r w:rsidRPr="00B86032">
        <w:rPr>
          <w:rFonts w:ascii="Times New Roman" w:hAnsi="Times New Roman"/>
          <w:i/>
          <w:iCs/>
        </w:rPr>
        <w:t xml:space="preserve">Government Auditing Standards and Circular A-133 Audits </w:t>
      </w:r>
      <w:r w:rsidRPr="00B86032">
        <w:rPr>
          <w:rFonts w:ascii="Times New Roman" w:hAnsi="Times New Roman"/>
        </w:rPr>
        <w:t xml:space="preserve">requires auditors to report noncompliance findings (e.g. OAC 117-2-02(D) that also relate to control deficiencies in both (1) the internal control and (2) the compliance sections of the </w:t>
      </w:r>
      <w:proofErr w:type="spellStart"/>
      <w:r w:rsidRPr="00B86032">
        <w:rPr>
          <w:rFonts w:ascii="Times New Roman" w:hAnsi="Times New Roman"/>
        </w:rPr>
        <w:t>GAGAS</w:t>
      </w:r>
      <w:proofErr w:type="spellEnd"/>
      <w:r w:rsidRPr="00B86032">
        <w:rPr>
          <w:rFonts w:ascii="Times New Roman" w:hAnsi="Times New Roman"/>
        </w:rPr>
        <w:t xml:space="preserve"> report.  Auditors should refer to Advisory </w:t>
      </w:r>
      <w:r w:rsidRPr="00004383">
        <w:rPr>
          <w:rFonts w:ascii="Times New Roman" w:hAnsi="Times New Roman"/>
          <w:u w:val="wave"/>
        </w:rPr>
        <w:t>Memo</w:t>
      </w:r>
      <w:r w:rsidR="00910BFB" w:rsidRPr="009C1D1B">
        <w:rPr>
          <w:rFonts w:ascii="Times New Roman" w:hAnsi="Times New Roman"/>
          <w:u w:val="wave"/>
        </w:rPr>
        <w:t xml:space="preserve">s 2010-02, </w:t>
      </w:r>
      <w:r w:rsidR="00910BFB" w:rsidRPr="009C1D1B">
        <w:rPr>
          <w:rFonts w:ascii="Times New Roman" w:hAnsi="Times New Roman"/>
          <w:i/>
          <w:u w:val="wave"/>
        </w:rPr>
        <w:t>Auditor of State Guidance regarding adopting Statement of Auditing Standards No. 115, Communicating Internal Control Related Matters Identified in an Audit (SAS 115)</w:t>
      </w:r>
      <w:r w:rsidR="00910BFB" w:rsidRPr="009C1D1B">
        <w:rPr>
          <w:rFonts w:ascii="Times New Roman" w:hAnsi="Times New Roman"/>
          <w:u w:val="wave"/>
        </w:rPr>
        <w:t>, and</w:t>
      </w:r>
      <w:r w:rsidR="00910BFB" w:rsidRPr="00004383">
        <w:rPr>
          <w:rFonts w:ascii="Times New Roman" w:hAnsi="Times New Roman"/>
          <w:u w:val="wave"/>
        </w:rPr>
        <w:t xml:space="preserve"> </w:t>
      </w:r>
      <w:r w:rsidRPr="00B86032">
        <w:rPr>
          <w:rFonts w:ascii="Times New Roman" w:hAnsi="Times New Roman"/>
        </w:rPr>
        <w:t xml:space="preserve">2007-07, </w:t>
      </w:r>
      <w:r w:rsidRPr="00B86032">
        <w:rPr>
          <w:rFonts w:ascii="Times New Roman" w:hAnsi="Times New Roman"/>
          <w:i/>
        </w:rPr>
        <w:t>Reporting Control Deficiencies Under Auditing Standard No. 112</w:t>
      </w:r>
      <w:r w:rsidRPr="00B86032">
        <w:rPr>
          <w:rFonts w:ascii="Times New Roman" w:hAnsi="Times New Roman"/>
        </w:rPr>
        <w:t xml:space="preserve">, to determine how and where to report </w:t>
      </w:r>
      <w:r w:rsidRPr="00BB61FF">
        <w:rPr>
          <w:rFonts w:ascii="Times New Roman" w:hAnsi="Times New Roman"/>
        </w:rPr>
        <w:t xml:space="preserve">control deficiencies </w:t>
      </w:r>
      <w:r w:rsidRPr="00BB61FF">
        <w:rPr>
          <w:rFonts w:ascii="Times New Roman" w:hAnsi="Times New Roman"/>
          <w:b/>
          <w:i/>
        </w:rPr>
        <w:t>and</w:t>
      </w:r>
      <w:r w:rsidRPr="00BB61FF">
        <w:rPr>
          <w:rFonts w:ascii="Times New Roman" w:hAnsi="Times New Roman"/>
        </w:rPr>
        <w:t xml:space="preserve"> noncompliance with OAC 117-2-02(D) requirements.  </w:t>
      </w:r>
      <w:r w:rsidRPr="00A364F8">
        <w:rPr>
          <w:rFonts w:ascii="Times New Roman" w:hAnsi="Times New Roman"/>
        </w:rPr>
        <w:t xml:space="preserve">We would not automatically deem minor misclassifications or other lesser-significant errors as reportable noncompliance under this OAC Section.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whole.  Conversely, a failure to maintain any utility billing records (for example) would not only be a material weakness, but would be reportable noncompliance with OAC 117-2-02(D).  </w:t>
      </w:r>
    </w:p>
    <w:p w:rsidR="00242695" w:rsidRPr="00AE6A46" w:rsidRDefault="00242695" w:rsidP="000E454B">
      <w:pPr>
        <w:autoSpaceDE w:val="0"/>
        <w:autoSpaceDN w:val="0"/>
        <w:adjustRightInd w:val="0"/>
        <w:jc w:val="both"/>
        <w:rPr>
          <w:rFonts w:ascii="Times New Roman" w:hAnsi="Times New Roman"/>
        </w:rPr>
      </w:pPr>
    </w:p>
    <w:p w:rsidR="00242695" w:rsidRPr="00AE6A46" w:rsidRDefault="00242695" w:rsidP="000E454B">
      <w:pPr>
        <w:pStyle w:val="FootnoteText"/>
        <w:jc w:val="both"/>
        <w:rPr>
          <w:rFonts w:ascii="Times New Roman" w:hAnsi="Times New Roman"/>
          <w:b/>
          <w:strike/>
        </w:rPr>
      </w:pPr>
    </w:p>
    <w:p w:rsidR="00242695" w:rsidRPr="000E454B" w:rsidRDefault="00242695" w:rsidP="000E454B">
      <w:pPr>
        <w:pStyle w:val="FootnoteText"/>
        <w:jc w:val="both"/>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695" w:rsidRPr="00BE2837" w:rsidRDefault="00242695">
    <w:pPr>
      <w:pStyle w:val="Header"/>
      <w:rPr>
        <w:rFonts w:ascii="Times New Roman" w:hAnsi="Times New Roman"/>
        <w:b/>
        <w:i/>
        <w:sz w:val="22"/>
        <w:szCs w:val="22"/>
        <w:u w:val="single"/>
      </w:rPr>
    </w:pPr>
    <w:r>
      <w:rPr>
        <w:rFonts w:ascii="Times New Roman" w:hAnsi="Times New Roman"/>
        <w:b/>
        <w:i/>
        <w:sz w:val="22"/>
        <w:szCs w:val="22"/>
        <w:u w:val="single"/>
      </w:rPr>
      <w:t>20</w:t>
    </w:r>
    <w:r w:rsidR="004D2652">
      <w:rPr>
        <w:rFonts w:ascii="Times New Roman" w:hAnsi="Times New Roman"/>
        <w:b/>
        <w:i/>
        <w:sz w:val="22"/>
        <w:szCs w:val="22"/>
        <w:u w:val="single"/>
      </w:rPr>
      <w:t>10</w:t>
    </w:r>
    <w:r>
      <w:rPr>
        <w:rFonts w:ascii="Times New Roman" w:hAnsi="Times New Roman"/>
        <w:b/>
        <w:i/>
        <w:sz w:val="22"/>
        <w:szCs w:val="22"/>
        <w:u w:val="single"/>
      </w:rPr>
      <w:t xml:space="preserve"> Ohio Compliance Supplement</w:t>
    </w:r>
    <w:r>
      <w:rPr>
        <w:rFonts w:ascii="Times New Roman" w:hAnsi="Times New Roman"/>
        <w:b/>
        <w:i/>
        <w:sz w:val="22"/>
        <w:szCs w:val="22"/>
        <w:u w:val="single"/>
      </w:rPr>
      <w:tab/>
    </w:r>
    <w:r>
      <w:rPr>
        <w:rFonts w:ascii="Times New Roman" w:hAnsi="Times New Roman"/>
        <w:b/>
        <w:i/>
        <w:sz w:val="22"/>
        <w:szCs w:val="22"/>
        <w:u w:val="single"/>
      </w:rPr>
      <w:tab/>
      <w:t>Accounting &amp; Reporting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012D6"/>
    <w:multiLevelType w:val="hybridMultilevel"/>
    <w:tmpl w:val="AD94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C61A3D"/>
    <w:multiLevelType w:val="hybridMultilevel"/>
    <w:tmpl w:val="2CE8048C"/>
    <w:lvl w:ilvl="0" w:tplc="67603AD4">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0E0AA3"/>
    <w:multiLevelType w:val="hybridMultilevel"/>
    <w:tmpl w:val="83EA1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B51E8C"/>
    <w:multiLevelType w:val="hybridMultilevel"/>
    <w:tmpl w:val="90EAD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551B4D"/>
    <w:multiLevelType w:val="multilevel"/>
    <w:tmpl w:val="C6869E8C"/>
    <w:styleLink w:val="Style1"/>
    <w:lvl w:ilvl="0">
      <w:start w:val="2"/>
      <w:numFmt w:val="decimal"/>
      <w:lvlText w:val="%1"/>
      <w:lvlJc w:val="left"/>
      <w:pPr>
        <w:tabs>
          <w:tab w:val="num" w:pos="540"/>
        </w:tabs>
        <w:ind w:left="540" w:hanging="360"/>
      </w:pPr>
      <w:rPr>
        <w:rFonts w:ascii="Times New Roman" w:hAnsi="Times New Roman" w:cs="Symbol" w:hint="default"/>
        <w:sz w:val="22"/>
      </w:rPr>
    </w:lvl>
    <w:lvl w:ilvl="1">
      <w:start w:val="1"/>
      <w:numFmt w:val="lowerLetter"/>
      <w:lvlText w:val="%2"/>
      <w:lvlJc w:val="left"/>
      <w:pPr>
        <w:tabs>
          <w:tab w:val="num" w:pos="1440"/>
        </w:tabs>
        <w:ind w:left="1440" w:hanging="360"/>
      </w:pPr>
      <w:rPr>
        <w:rFonts w:ascii="Times New Roman" w:hAnsi="Times New Roman" w:cs="Courier New" w:hint="default"/>
        <w:sz w:val="22"/>
      </w:rPr>
    </w:lvl>
    <w:lvl w:ilvl="2">
      <w:start w:val="1"/>
      <w:numFmt w:val="lowerRoman"/>
      <w:lvlText w:val="%3"/>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C4F18A6"/>
    <w:multiLevelType w:val="hybridMultilevel"/>
    <w:tmpl w:val="C6869E8C"/>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35176DFA"/>
    <w:multiLevelType w:val="hybridMultilevel"/>
    <w:tmpl w:val="DF9628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932927"/>
    <w:multiLevelType w:val="hybridMultilevel"/>
    <w:tmpl w:val="A3B49B12"/>
    <w:lvl w:ilvl="0" w:tplc="0409001B">
      <w:start w:val="1"/>
      <w:numFmt w:val="lowerRoman"/>
      <w:lvlText w:val="%1."/>
      <w:lvlJc w:val="right"/>
      <w:pPr>
        <w:tabs>
          <w:tab w:val="num" w:pos="1815"/>
        </w:tabs>
        <w:ind w:left="1815" w:hanging="360"/>
      </w:pPr>
    </w:lvl>
    <w:lvl w:ilvl="1" w:tplc="3EC69514">
      <w:start w:val="3"/>
      <w:numFmt w:val="lowerLetter"/>
      <w:lvlText w:val="%2."/>
      <w:lvlJc w:val="left"/>
      <w:pPr>
        <w:tabs>
          <w:tab w:val="num" w:pos="2535"/>
        </w:tabs>
        <w:ind w:left="2535" w:hanging="360"/>
      </w:pPr>
      <w:rPr>
        <w:rFonts w:hint="default"/>
      </w:rPr>
    </w:lvl>
    <w:lvl w:ilvl="2" w:tplc="0409001B">
      <w:start w:val="1"/>
      <w:numFmt w:val="lowerRoman"/>
      <w:lvlText w:val="%3."/>
      <w:lvlJc w:val="right"/>
      <w:pPr>
        <w:tabs>
          <w:tab w:val="num" w:pos="3435"/>
        </w:tabs>
        <w:ind w:left="3435" w:hanging="360"/>
      </w:pPr>
    </w:lvl>
    <w:lvl w:ilvl="3" w:tplc="93E66444">
      <w:start w:val="5"/>
      <w:numFmt w:val="lowerLetter"/>
      <w:lvlText w:val="%4."/>
      <w:lvlJc w:val="left"/>
      <w:pPr>
        <w:tabs>
          <w:tab w:val="num" w:pos="3975"/>
        </w:tabs>
        <w:ind w:left="3975" w:hanging="360"/>
      </w:pPr>
      <w:rPr>
        <w:rFonts w:hint="default"/>
      </w:rPr>
    </w:lvl>
    <w:lvl w:ilvl="4" w:tplc="0409001B">
      <w:start w:val="1"/>
      <w:numFmt w:val="lowerRoman"/>
      <w:lvlText w:val="%5."/>
      <w:lvlJc w:val="righ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1">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640F4C"/>
    <w:multiLevelType w:val="hybridMultilevel"/>
    <w:tmpl w:val="20AA9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76850E35"/>
    <w:multiLevelType w:val="hybridMultilevel"/>
    <w:tmpl w:val="9730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7F66AAE"/>
    <w:multiLevelType w:val="hybridMultilevel"/>
    <w:tmpl w:val="E5429A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0539A8"/>
    <w:multiLevelType w:val="hybridMultilevel"/>
    <w:tmpl w:val="3CDC33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5"/>
  </w:num>
  <w:num w:numId="4">
    <w:abstractNumId w:val="17"/>
  </w:num>
  <w:num w:numId="5">
    <w:abstractNumId w:val="6"/>
  </w:num>
  <w:num w:numId="6">
    <w:abstractNumId w:val="11"/>
  </w:num>
  <w:num w:numId="7">
    <w:abstractNumId w:val="10"/>
  </w:num>
  <w:num w:numId="8">
    <w:abstractNumId w:val="9"/>
  </w:num>
  <w:num w:numId="9">
    <w:abstractNumId w:val="0"/>
  </w:num>
  <w:num w:numId="10">
    <w:abstractNumId w:val="1"/>
  </w:num>
  <w:num w:numId="11">
    <w:abstractNumId w:val="3"/>
  </w:num>
  <w:num w:numId="12">
    <w:abstractNumId w:val="12"/>
  </w:num>
  <w:num w:numId="13">
    <w:abstractNumId w:val="16"/>
  </w:num>
  <w:num w:numId="14">
    <w:abstractNumId w:val="14"/>
  </w:num>
  <w:num w:numId="15">
    <w:abstractNumId w:val="2"/>
  </w:num>
  <w:num w:numId="16">
    <w:abstractNumId w:val="13"/>
  </w:num>
  <w:num w:numId="17">
    <w:abstractNumId w:val="4"/>
  </w:num>
  <w:num w:numId="1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1066F3"/>
    <w:rsid w:val="0000363F"/>
    <w:rsid w:val="00004383"/>
    <w:rsid w:val="00006A48"/>
    <w:rsid w:val="000155CD"/>
    <w:rsid w:val="00016FA9"/>
    <w:rsid w:val="00023D86"/>
    <w:rsid w:val="000253A0"/>
    <w:rsid w:val="00041519"/>
    <w:rsid w:val="000418E5"/>
    <w:rsid w:val="00041C37"/>
    <w:rsid w:val="00042FDB"/>
    <w:rsid w:val="000510DD"/>
    <w:rsid w:val="00053D3A"/>
    <w:rsid w:val="00057F77"/>
    <w:rsid w:val="000625DB"/>
    <w:rsid w:val="00063B48"/>
    <w:rsid w:val="00067534"/>
    <w:rsid w:val="00067BA2"/>
    <w:rsid w:val="00067C64"/>
    <w:rsid w:val="000756C7"/>
    <w:rsid w:val="0007646A"/>
    <w:rsid w:val="000840CC"/>
    <w:rsid w:val="000842DE"/>
    <w:rsid w:val="00092F7A"/>
    <w:rsid w:val="00093ECD"/>
    <w:rsid w:val="000967E0"/>
    <w:rsid w:val="000A005E"/>
    <w:rsid w:val="000A14B3"/>
    <w:rsid w:val="000A3E95"/>
    <w:rsid w:val="000A648F"/>
    <w:rsid w:val="000A725D"/>
    <w:rsid w:val="000A7B9E"/>
    <w:rsid w:val="000C1A69"/>
    <w:rsid w:val="000C6C22"/>
    <w:rsid w:val="000E0C12"/>
    <w:rsid w:val="000E0C45"/>
    <w:rsid w:val="000E454B"/>
    <w:rsid w:val="000F261F"/>
    <w:rsid w:val="000F2AD3"/>
    <w:rsid w:val="000F4B3C"/>
    <w:rsid w:val="000F55D4"/>
    <w:rsid w:val="000F57A9"/>
    <w:rsid w:val="000F6111"/>
    <w:rsid w:val="000F637F"/>
    <w:rsid w:val="001021BC"/>
    <w:rsid w:val="001042EA"/>
    <w:rsid w:val="001066F3"/>
    <w:rsid w:val="00106F34"/>
    <w:rsid w:val="001103EC"/>
    <w:rsid w:val="00111476"/>
    <w:rsid w:val="00124ED9"/>
    <w:rsid w:val="001268BF"/>
    <w:rsid w:val="001272BC"/>
    <w:rsid w:val="001310A4"/>
    <w:rsid w:val="001515C7"/>
    <w:rsid w:val="0015612B"/>
    <w:rsid w:val="00160CD9"/>
    <w:rsid w:val="00165EF0"/>
    <w:rsid w:val="00166C6C"/>
    <w:rsid w:val="00167690"/>
    <w:rsid w:val="00173256"/>
    <w:rsid w:val="00187379"/>
    <w:rsid w:val="00187384"/>
    <w:rsid w:val="00193484"/>
    <w:rsid w:val="00193B5F"/>
    <w:rsid w:val="00197DCA"/>
    <w:rsid w:val="001A0652"/>
    <w:rsid w:val="001A13A0"/>
    <w:rsid w:val="001A3F3D"/>
    <w:rsid w:val="001B1C2E"/>
    <w:rsid w:val="001B1EA2"/>
    <w:rsid w:val="001B2E3C"/>
    <w:rsid w:val="001C3025"/>
    <w:rsid w:val="001C3F1D"/>
    <w:rsid w:val="001C51C9"/>
    <w:rsid w:val="001D1CC1"/>
    <w:rsid w:val="001D3EF4"/>
    <w:rsid w:val="001E2570"/>
    <w:rsid w:val="001E5B56"/>
    <w:rsid w:val="001E695F"/>
    <w:rsid w:val="001E74E3"/>
    <w:rsid w:val="001F11D3"/>
    <w:rsid w:val="001F4049"/>
    <w:rsid w:val="001F6C27"/>
    <w:rsid w:val="0020117B"/>
    <w:rsid w:val="00201B88"/>
    <w:rsid w:val="00201B89"/>
    <w:rsid w:val="00204C6F"/>
    <w:rsid w:val="00206296"/>
    <w:rsid w:val="002104C1"/>
    <w:rsid w:val="00213217"/>
    <w:rsid w:val="0021716B"/>
    <w:rsid w:val="00220B72"/>
    <w:rsid w:val="00220F80"/>
    <w:rsid w:val="002211F9"/>
    <w:rsid w:val="00223C00"/>
    <w:rsid w:val="00227BF1"/>
    <w:rsid w:val="00231814"/>
    <w:rsid w:val="00236D8B"/>
    <w:rsid w:val="00241B24"/>
    <w:rsid w:val="00242695"/>
    <w:rsid w:val="002459E1"/>
    <w:rsid w:val="002533D9"/>
    <w:rsid w:val="0026410C"/>
    <w:rsid w:val="00265206"/>
    <w:rsid w:val="00265E33"/>
    <w:rsid w:val="002749DB"/>
    <w:rsid w:val="00280260"/>
    <w:rsid w:val="0028251E"/>
    <w:rsid w:val="00282F30"/>
    <w:rsid w:val="002833CB"/>
    <w:rsid w:val="00284307"/>
    <w:rsid w:val="0029378C"/>
    <w:rsid w:val="00293CF3"/>
    <w:rsid w:val="00294CB4"/>
    <w:rsid w:val="002A1DBF"/>
    <w:rsid w:val="002A26BC"/>
    <w:rsid w:val="002A30CD"/>
    <w:rsid w:val="002A5DBC"/>
    <w:rsid w:val="002A7E29"/>
    <w:rsid w:val="002B295D"/>
    <w:rsid w:val="002B3BAF"/>
    <w:rsid w:val="002B3DE2"/>
    <w:rsid w:val="002B6B67"/>
    <w:rsid w:val="002C117A"/>
    <w:rsid w:val="002E70E3"/>
    <w:rsid w:val="002F3C50"/>
    <w:rsid w:val="002F6290"/>
    <w:rsid w:val="00300A93"/>
    <w:rsid w:val="0030599B"/>
    <w:rsid w:val="00307474"/>
    <w:rsid w:val="0031010B"/>
    <w:rsid w:val="00311F51"/>
    <w:rsid w:val="00312685"/>
    <w:rsid w:val="00325306"/>
    <w:rsid w:val="00325553"/>
    <w:rsid w:val="003259EF"/>
    <w:rsid w:val="00326EC7"/>
    <w:rsid w:val="003323CD"/>
    <w:rsid w:val="00332F0C"/>
    <w:rsid w:val="003464AB"/>
    <w:rsid w:val="0035312B"/>
    <w:rsid w:val="00354E9C"/>
    <w:rsid w:val="00356A8F"/>
    <w:rsid w:val="00357DF8"/>
    <w:rsid w:val="003657A1"/>
    <w:rsid w:val="003663DD"/>
    <w:rsid w:val="00377F5A"/>
    <w:rsid w:val="003836EF"/>
    <w:rsid w:val="00391FB3"/>
    <w:rsid w:val="00395891"/>
    <w:rsid w:val="003967FA"/>
    <w:rsid w:val="003A6727"/>
    <w:rsid w:val="003B5331"/>
    <w:rsid w:val="003C2930"/>
    <w:rsid w:val="003C6A01"/>
    <w:rsid w:val="003C7022"/>
    <w:rsid w:val="003D501E"/>
    <w:rsid w:val="003D745E"/>
    <w:rsid w:val="003E24E2"/>
    <w:rsid w:val="003E3455"/>
    <w:rsid w:val="003E4610"/>
    <w:rsid w:val="003E7780"/>
    <w:rsid w:val="003F1D80"/>
    <w:rsid w:val="00401364"/>
    <w:rsid w:val="004067BC"/>
    <w:rsid w:val="0041100A"/>
    <w:rsid w:val="00421367"/>
    <w:rsid w:val="004216F0"/>
    <w:rsid w:val="00422C4D"/>
    <w:rsid w:val="004259C1"/>
    <w:rsid w:val="00431EE4"/>
    <w:rsid w:val="00440F9F"/>
    <w:rsid w:val="00444C7D"/>
    <w:rsid w:val="00450D22"/>
    <w:rsid w:val="00452D89"/>
    <w:rsid w:val="00453207"/>
    <w:rsid w:val="004559D8"/>
    <w:rsid w:val="00455CFE"/>
    <w:rsid w:val="004631F9"/>
    <w:rsid w:val="00463F48"/>
    <w:rsid w:val="00466E25"/>
    <w:rsid w:val="004708E2"/>
    <w:rsid w:val="00472482"/>
    <w:rsid w:val="00474FD0"/>
    <w:rsid w:val="00477012"/>
    <w:rsid w:val="00481B8D"/>
    <w:rsid w:val="00484042"/>
    <w:rsid w:val="0049020C"/>
    <w:rsid w:val="0049148B"/>
    <w:rsid w:val="0049149F"/>
    <w:rsid w:val="004A024A"/>
    <w:rsid w:val="004A2E5C"/>
    <w:rsid w:val="004A7E36"/>
    <w:rsid w:val="004B1089"/>
    <w:rsid w:val="004B3695"/>
    <w:rsid w:val="004B4C68"/>
    <w:rsid w:val="004B5887"/>
    <w:rsid w:val="004C1DEA"/>
    <w:rsid w:val="004C2AFB"/>
    <w:rsid w:val="004C4298"/>
    <w:rsid w:val="004D0235"/>
    <w:rsid w:val="004D14D2"/>
    <w:rsid w:val="004D2652"/>
    <w:rsid w:val="004D4821"/>
    <w:rsid w:val="004E6A94"/>
    <w:rsid w:val="004F0204"/>
    <w:rsid w:val="004F4B5B"/>
    <w:rsid w:val="004F7E44"/>
    <w:rsid w:val="00503B21"/>
    <w:rsid w:val="00503E4A"/>
    <w:rsid w:val="005043DF"/>
    <w:rsid w:val="00505DBC"/>
    <w:rsid w:val="00506C00"/>
    <w:rsid w:val="005129DC"/>
    <w:rsid w:val="00521179"/>
    <w:rsid w:val="00525459"/>
    <w:rsid w:val="00525AB8"/>
    <w:rsid w:val="00531323"/>
    <w:rsid w:val="00535DDD"/>
    <w:rsid w:val="00542D1B"/>
    <w:rsid w:val="00550EF2"/>
    <w:rsid w:val="00551F45"/>
    <w:rsid w:val="00553B1A"/>
    <w:rsid w:val="00555D1F"/>
    <w:rsid w:val="00562DDA"/>
    <w:rsid w:val="00573255"/>
    <w:rsid w:val="00574390"/>
    <w:rsid w:val="00575829"/>
    <w:rsid w:val="005765E6"/>
    <w:rsid w:val="00576660"/>
    <w:rsid w:val="0058156D"/>
    <w:rsid w:val="00581B04"/>
    <w:rsid w:val="00582DF1"/>
    <w:rsid w:val="005851BC"/>
    <w:rsid w:val="00586021"/>
    <w:rsid w:val="00592E41"/>
    <w:rsid w:val="00595946"/>
    <w:rsid w:val="00597E3B"/>
    <w:rsid w:val="005A0384"/>
    <w:rsid w:val="005A18A6"/>
    <w:rsid w:val="005A1D37"/>
    <w:rsid w:val="005A1F37"/>
    <w:rsid w:val="005A6B68"/>
    <w:rsid w:val="005B0A28"/>
    <w:rsid w:val="005B1CA1"/>
    <w:rsid w:val="005B1F93"/>
    <w:rsid w:val="005B421A"/>
    <w:rsid w:val="005C1CA7"/>
    <w:rsid w:val="005C3678"/>
    <w:rsid w:val="005C3FED"/>
    <w:rsid w:val="005D540B"/>
    <w:rsid w:val="005E2AF5"/>
    <w:rsid w:val="005E6480"/>
    <w:rsid w:val="005E7108"/>
    <w:rsid w:val="005F03B2"/>
    <w:rsid w:val="005F0E81"/>
    <w:rsid w:val="005F1AC7"/>
    <w:rsid w:val="005F504C"/>
    <w:rsid w:val="005F6671"/>
    <w:rsid w:val="005F6CDD"/>
    <w:rsid w:val="006050FE"/>
    <w:rsid w:val="006102CE"/>
    <w:rsid w:val="00614338"/>
    <w:rsid w:val="006228EC"/>
    <w:rsid w:val="006265C6"/>
    <w:rsid w:val="006279CB"/>
    <w:rsid w:val="0063005C"/>
    <w:rsid w:val="00631943"/>
    <w:rsid w:val="00631D46"/>
    <w:rsid w:val="00635314"/>
    <w:rsid w:val="006357D8"/>
    <w:rsid w:val="0064499E"/>
    <w:rsid w:val="00646E9F"/>
    <w:rsid w:val="006511BD"/>
    <w:rsid w:val="006516CF"/>
    <w:rsid w:val="00653133"/>
    <w:rsid w:val="00654622"/>
    <w:rsid w:val="0065469F"/>
    <w:rsid w:val="00660A1C"/>
    <w:rsid w:val="00661157"/>
    <w:rsid w:val="00667083"/>
    <w:rsid w:val="006676D5"/>
    <w:rsid w:val="00670904"/>
    <w:rsid w:val="0067517A"/>
    <w:rsid w:val="0067709E"/>
    <w:rsid w:val="006803DB"/>
    <w:rsid w:val="00681BA7"/>
    <w:rsid w:val="00684B73"/>
    <w:rsid w:val="00685B3A"/>
    <w:rsid w:val="00694845"/>
    <w:rsid w:val="0069526A"/>
    <w:rsid w:val="006A59B5"/>
    <w:rsid w:val="006A5BD5"/>
    <w:rsid w:val="006A63B4"/>
    <w:rsid w:val="006A6F09"/>
    <w:rsid w:val="006B075B"/>
    <w:rsid w:val="006B09E7"/>
    <w:rsid w:val="006B20A1"/>
    <w:rsid w:val="006B789C"/>
    <w:rsid w:val="006C3A46"/>
    <w:rsid w:val="006C5F04"/>
    <w:rsid w:val="006C665C"/>
    <w:rsid w:val="006C6CA7"/>
    <w:rsid w:val="006D5EAF"/>
    <w:rsid w:val="006D6354"/>
    <w:rsid w:val="006E2C66"/>
    <w:rsid w:val="006E50D8"/>
    <w:rsid w:val="006F0756"/>
    <w:rsid w:val="006F287F"/>
    <w:rsid w:val="006F60EC"/>
    <w:rsid w:val="0070135D"/>
    <w:rsid w:val="00705BEF"/>
    <w:rsid w:val="007065A6"/>
    <w:rsid w:val="00713173"/>
    <w:rsid w:val="00713E26"/>
    <w:rsid w:val="007143E5"/>
    <w:rsid w:val="00721CB7"/>
    <w:rsid w:val="00722B94"/>
    <w:rsid w:val="00722D8E"/>
    <w:rsid w:val="00723480"/>
    <w:rsid w:val="00723524"/>
    <w:rsid w:val="00723BE5"/>
    <w:rsid w:val="00725F56"/>
    <w:rsid w:val="00726E34"/>
    <w:rsid w:val="007277B8"/>
    <w:rsid w:val="00732B3E"/>
    <w:rsid w:val="00733130"/>
    <w:rsid w:val="007359DB"/>
    <w:rsid w:val="00735D25"/>
    <w:rsid w:val="00740C2A"/>
    <w:rsid w:val="0074501F"/>
    <w:rsid w:val="00746D0D"/>
    <w:rsid w:val="007511DC"/>
    <w:rsid w:val="00753AC6"/>
    <w:rsid w:val="007540A6"/>
    <w:rsid w:val="00755347"/>
    <w:rsid w:val="00755375"/>
    <w:rsid w:val="00755EFD"/>
    <w:rsid w:val="007577B9"/>
    <w:rsid w:val="00760C9B"/>
    <w:rsid w:val="0076164E"/>
    <w:rsid w:val="00762374"/>
    <w:rsid w:val="00763E18"/>
    <w:rsid w:val="00773216"/>
    <w:rsid w:val="0077370F"/>
    <w:rsid w:val="007741D7"/>
    <w:rsid w:val="0077540B"/>
    <w:rsid w:val="00776E94"/>
    <w:rsid w:val="007908B5"/>
    <w:rsid w:val="007914E9"/>
    <w:rsid w:val="007A201C"/>
    <w:rsid w:val="007A3AEC"/>
    <w:rsid w:val="007B3487"/>
    <w:rsid w:val="007B5AD1"/>
    <w:rsid w:val="007B610B"/>
    <w:rsid w:val="007B6E9D"/>
    <w:rsid w:val="007C31E5"/>
    <w:rsid w:val="007C3300"/>
    <w:rsid w:val="007C786F"/>
    <w:rsid w:val="007E4FD3"/>
    <w:rsid w:val="007E5E17"/>
    <w:rsid w:val="007F0C27"/>
    <w:rsid w:val="007F41B0"/>
    <w:rsid w:val="007F4309"/>
    <w:rsid w:val="00802A93"/>
    <w:rsid w:val="008204DB"/>
    <w:rsid w:val="0082744B"/>
    <w:rsid w:val="008324F1"/>
    <w:rsid w:val="0083273E"/>
    <w:rsid w:val="00837D64"/>
    <w:rsid w:val="00840DE7"/>
    <w:rsid w:val="00841490"/>
    <w:rsid w:val="00841BA2"/>
    <w:rsid w:val="00842004"/>
    <w:rsid w:val="00842A41"/>
    <w:rsid w:val="00842FBF"/>
    <w:rsid w:val="008445B9"/>
    <w:rsid w:val="008528E7"/>
    <w:rsid w:val="00852D0E"/>
    <w:rsid w:val="00853793"/>
    <w:rsid w:val="00854F45"/>
    <w:rsid w:val="008560E5"/>
    <w:rsid w:val="00857AC0"/>
    <w:rsid w:val="00860F55"/>
    <w:rsid w:val="00862F00"/>
    <w:rsid w:val="0086481F"/>
    <w:rsid w:val="00866514"/>
    <w:rsid w:val="00867215"/>
    <w:rsid w:val="008673E4"/>
    <w:rsid w:val="008711AA"/>
    <w:rsid w:val="00871874"/>
    <w:rsid w:val="00874862"/>
    <w:rsid w:val="00874B6A"/>
    <w:rsid w:val="00874F01"/>
    <w:rsid w:val="0087530B"/>
    <w:rsid w:val="0087657B"/>
    <w:rsid w:val="00876ECF"/>
    <w:rsid w:val="008804A0"/>
    <w:rsid w:val="00883E4B"/>
    <w:rsid w:val="0088579B"/>
    <w:rsid w:val="00890666"/>
    <w:rsid w:val="008927FA"/>
    <w:rsid w:val="0089743A"/>
    <w:rsid w:val="008A3C08"/>
    <w:rsid w:val="008A6E5B"/>
    <w:rsid w:val="008B1CC7"/>
    <w:rsid w:val="008C2D35"/>
    <w:rsid w:val="008C354A"/>
    <w:rsid w:val="008C37F0"/>
    <w:rsid w:val="008C4760"/>
    <w:rsid w:val="008C4AC5"/>
    <w:rsid w:val="008D5F38"/>
    <w:rsid w:val="008D7B2A"/>
    <w:rsid w:val="008D7EE9"/>
    <w:rsid w:val="008E1B5A"/>
    <w:rsid w:val="008E2EDF"/>
    <w:rsid w:val="008E5555"/>
    <w:rsid w:val="008F3083"/>
    <w:rsid w:val="008F314A"/>
    <w:rsid w:val="0090045B"/>
    <w:rsid w:val="009015B8"/>
    <w:rsid w:val="009045C0"/>
    <w:rsid w:val="00905B7A"/>
    <w:rsid w:val="00910896"/>
    <w:rsid w:val="00910BFB"/>
    <w:rsid w:val="00911F03"/>
    <w:rsid w:val="00912558"/>
    <w:rsid w:val="00914FA2"/>
    <w:rsid w:val="00921D7A"/>
    <w:rsid w:val="00922328"/>
    <w:rsid w:val="00923418"/>
    <w:rsid w:val="00927C91"/>
    <w:rsid w:val="00930D90"/>
    <w:rsid w:val="009312EF"/>
    <w:rsid w:val="00932F73"/>
    <w:rsid w:val="00933429"/>
    <w:rsid w:val="00933889"/>
    <w:rsid w:val="009470B2"/>
    <w:rsid w:val="0094754C"/>
    <w:rsid w:val="00947754"/>
    <w:rsid w:val="00955C79"/>
    <w:rsid w:val="00956843"/>
    <w:rsid w:val="0096350E"/>
    <w:rsid w:val="00973F52"/>
    <w:rsid w:val="00974D78"/>
    <w:rsid w:val="00976A2C"/>
    <w:rsid w:val="00976FE8"/>
    <w:rsid w:val="009800FC"/>
    <w:rsid w:val="00980F38"/>
    <w:rsid w:val="00986526"/>
    <w:rsid w:val="00990FC5"/>
    <w:rsid w:val="00991B61"/>
    <w:rsid w:val="00993E93"/>
    <w:rsid w:val="00994CC5"/>
    <w:rsid w:val="00995C55"/>
    <w:rsid w:val="00997F35"/>
    <w:rsid w:val="009A6024"/>
    <w:rsid w:val="009A789B"/>
    <w:rsid w:val="009C1D1B"/>
    <w:rsid w:val="009C5A45"/>
    <w:rsid w:val="009D31C1"/>
    <w:rsid w:val="009E401A"/>
    <w:rsid w:val="009E4E5B"/>
    <w:rsid w:val="009E6A44"/>
    <w:rsid w:val="009F24E3"/>
    <w:rsid w:val="009F4096"/>
    <w:rsid w:val="009F5A67"/>
    <w:rsid w:val="00A023BE"/>
    <w:rsid w:val="00A13229"/>
    <w:rsid w:val="00A2647E"/>
    <w:rsid w:val="00A30110"/>
    <w:rsid w:val="00A33501"/>
    <w:rsid w:val="00A34B55"/>
    <w:rsid w:val="00A364F8"/>
    <w:rsid w:val="00A4303A"/>
    <w:rsid w:val="00A44477"/>
    <w:rsid w:val="00A501FC"/>
    <w:rsid w:val="00A52684"/>
    <w:rsid w:val="00A662AD"/>
    <w:rsid w:val="00A700EC"/>
    <w:rsid w:val="00A71A93"/>
    <w:rsid w:val="00A73F33"/>
    <w:rsid w:val="00A75B34"/>
    <w:rsid w:val="00A75E4C"/>
    <w:rsid w:val="00A7663E"/>
    <w:rsid w:val="00A76D5B"/>
    <w:rsid w:val="00A813A8"/>
    <w:rsid w:val="00A846F4"/>
    <w:rsid w:val="00A8507D"/>
    <w:rsid w:val="00A86E95"/>
    <w:rsid w:val="00A908A3"/>
    <w:rsid w:val="00A93ACA"/>
    <w:rsid w:val="00AA0BBF"/>
    <w:rsid w:val="00AA0D1D"/>
    <w:rsid w:val="00AA1C96"/>
    <w:rsid w:val="00AA2D6C"/>
    <w:rsid w:val="00AA3AAE"/>
    <w:rsid w:val="00AA44B3"/>
    <w:rsid w:val="00AB082A"/>
    <w:rsid w:val="00AB386F"/>
    <w:rsid w:val="00AB5ADE"/>
    <w:rsid w:val="00AB6567"/>
    <w:rsid w:val="00AC31AD"/>
    <w:rsid w:val="00AD050C"/>
    <w:rsid w:val="00AD1F5F"/>
    <w:rsid w:val="00AD3ABA"/>
    <w:rsid w:val="00AD6C52"/>
    <w:rsid w:val="00AE03A0"/>
    <w:rsid w:val="00AE10BA"/>
    <w:rsid w:val="00AE202D"/>
    <w:rsid w:val="00AE6765"/>
    <w:rsid w:val="00AE6A46"/>
    <w:rsid w:val="00B03C65"/>
    <w:rsid w:val="00B13E27"/>
    <w:rsid w:val="00B147C0"/>
    <w:rsid w:val="00B1645C"/>
    <w:rsid w:val="00B172A7"/>
    <w:rsid w:val="00B212FB"/>
    <w:rsid w:val="00B22913"/>
    <w:rsid w:val="00B26C71"/>
    <w:rsid w:val="00B27B50"/>
    <w:rsid w:val="00B309AE"/>
    <w:rsid w:val="00B30C7F"/>
    <w:rsid w:val="00B452B1"/>
    <w:rsid w:val="00B5279D"/>
    <w:rsid w:val="00B55558"/>
    <w:rsid w:val="00B6130A"/>
    <w:rsid w:val="00B61C9C"/>
    <w:rsid w:val="00B61E63"/>
    <w:rsid w:val="00B62340"/>
    <w:rsid w:val="00B64B45"/>
    <w:rsid w:val="00B74430"/>
    <w:rsid w:val="00B847D0"/>
    <w:rsid w:val="00B84C0E"/>
    <w:rsid w:val="00B8523D"/>
    <w:rsid w:val="00B86032"/>
    <w:rsid w:val="00B876DB"/>
    <w:rsid w:val="00B9112F"/>
    <w:rsid w:val="00B9212C"/>
    <w:rsid w:val="00B96795"/>
    <w:rsid w:val="00B96DD2"/>
    <w:rsid w:val="00BA104E"/>
    <w:rsid w:val="00BA436E"/>
    <w:rsid w:val="00BA5DFF"/>
    <w:rsid w:val="00BB5CA7"/>
    <w:rsid w:val="00BB61FF"/>
    <w:rsid w:val="00BB63B5"/>
    <w:rsid w:val="00BB66CE"/>
    <w:rsid w:val="00BC6435"/>
    <w:rsid w:val="00BC6FDE"/>
    <w:rsid w:val="00BC74C3"/>
    <w:rsid w:val="00BD699D"/>
    <w:rsid w:val="00BD7989"/>
    <w:rsid w:val="00BE105A"/>
    <w:rsid w:val="00BE1E41"/>
    <w:rsid w:val="00BE2837"/>
    <w:rsid w:val="00BE39C3"/>
    <w:rsid w:val="00BE49D4"/>
    <w:rsid w:val="00BE4C13"/>
    <w:rsid w:val="00BE6B1A"/>
    <w:rsid w:val="00BF1B2D"/>
    <w:rsid w:val="00C000BB"/>
    <w:rsid w:val="00C031CD"/>
    <w:rsid w:val="00C0537B"/>
    <w:rsid w:val="00C05C67"/>
    <w:rsid w:val="00C13EBF"/>
    <w:rsid w:val="00C14630"/>
    <w:rsid w:val="00C14780"/>
    <w:rsid w:val="00C1583E"/>
    <w:rsid w:val="00C164EB"/>
    <w:rsid w:val="00C16E78"/>
    <w:rsid w:val="00C21839"/>
    <w:rsid w:val="00C24363"/>
    <w:rsid w:val="00C257CC"/>
    <w:rsid w:val="00C30BB5"/>
    <w:rsid w:val="00C30FE7"/>
    <w:rsid w:val="00C3189F"/>
    <w:rsid w:val="00C34B7F"/>
    <w:rsid w:val="00C34BCA"/>
    <w:rsid w:val="00C35F2E"/>
    <w:rsid w:val="00C36170"/>
    <w:rsid w:val="00C43BB1"/>
    <w:rsid w:val="00C44A15"/>
    <w:rsid w:val="00C45480"/>
    <w:rsid w:val="00C52885"/>
    <w:rsid w:val="00C533F5"/>
    <w:rsid w:val="00C53609"/>
    <w:rsid w:val="00C54F70"/>
    <w:rsid w:val="00C56CB7"/>
    <w:rsid w:val="00C60FA6"/>
    <w:rsid w:val="00C7429E"/>
    <w:rsid w:val="00C75B8E"/>
    <w:rsid w:val="00C765B7"/>
    <w:rsid w:val="00C82BAC"/>
    <w:rsid w:val="00CA0153"/>
    <w:rsid w:val="00CA2A0C"/>
    <w:rsid w:val="00CA4940"/>
    <w:rsid w:val="00CB55CE"/>
    <w:rsid w:val="00CB623D"/>
    <w:rsid w:val="00CC4961"/>
    <w:rsid w:val="00CC6B98"/>
    <w:rsid w:val="00CC70DD"/>
    <w:rsid w:val="00CC7A12"/>
    <w:rsid w:val="00CD2D55"/>
    <w:rsid w:val="00CD5CD5"/>
    <w:rsid w:val="00CE0A76"/>
    <w:rsid w:val="00CE0B65"/>
    <w:rsid w:val="00CE3348"/>
    <w:rsid w:val="00CE34F3"/>
    <w:rsid w:val="00CE6CCE"/>
    <w:rsid w:val="00CF3560"/>
    <w:rsid w:val="00CF6A63"/>
    <w:rsid w:val="00D05F8F"/>
    <w:rsid w:val="00D11BF3"/>
    <w:rsid w:val="00D149F0"/>
    <w:rsid w:val="00D17EB5"/>
    <w:rsid w:val="00D32BF0"/>
    <w:rsid w:val="00D33B27"/>
    <w:rsid w:val="00D34FF6"/>
    <w:rsid w:val="00D36C7C"/>
    <w:rsid w:val="00D37494"/>
    <w:rsid w:val="00D43484"/>
    <w:rsid w:val="00D44635"/>
    <w:rsid w:val="00D51A30"/>
    <w:rsid w:val="00D56AA5"/>
    <w:rsid w:val="00D5791F"/>
    <w:rsid w:val="00D62E70"/>
    <w:rsid w:val="00D63B0A"/>
    <w:rsid w:val="00D642B3"/>
    <w:rsid w:val="00D6737D"/>
    <w:rsid w:val="00D70194"/>
    <w:rsid w:val="00D7221A"/>
    <w:rsid w:val="00D72F70"/>
    <w:rsid w:val="00D9105D"/>
    <w:rsid w:val="00D917BF"/>
    <w:rsid w:val="00D92534"/>
    <w:rsid w:val="00D94579"/>
    <w:rsid w:val="00D95B03"/>
    <w:rsid w:val="00D960B3"/>
    <w:rsid w:val="00D96970"/>
    <w:rsid w:val="00D97040"/>
    <w:rsid w:val="00D97C4D"/>
    <w:rsid w:val="00DA6337"/>
    <w:rsid w:val="00DA6FAE"/>
    <w:rsid w:val="00DB44B1"/>
    <w:rsid w:val="00DB5F70"/>
    <w:rsid w:val="00DB6305"/>
    <w:rsid w:val="00DC2F7D"/>
    <w:rsid w:val="00DC5776"/>
    <w:rsid w:val="00DD0727"/>
    <w:rsid w:val="00DD47FF"/>
    <w:rsid w:val="00DD4A5D"/>
    <w:rsid w:val="00DE0658"/>
    <w:rsid w:val="00DE5AC0"/>
    <w:rsid w:val="00DF1380"/>
    <w:rsid w:val="00DF1F59"/>
    <w:rsid w:val="00DF2F93"/>
    <w:rsid w:val="00E00915"/>
    <w:rsid w:val="00E0121C"/>
    <w:rsid w:val="00E07385"/>
    <w:rsid w:val="00E10414"/>
    <w:rsid w:val="00E11417"/>
    <w:rsid w:val="00E14CCD"/>
    <w:rsid w:val="00E20222"/>
    <w:rsid w:val="00E2530F"/>
    <w:rsid w:val="00E27614"/>
    <w:rsid w:val="00E30DEB"/>
    <w:rsid w:val="00E32FF7"/>
    <w:rsid w:val="00E44CC7"/>
    <w:rsid w:val="00E459C1"/>
    <w:rsid w:val="00E548A7"/>
    <w:rsid w:val="00E570F5"/>
    <w:rsid w:val="00E72FEB"/>
    <w:rsid w:val="00E759C1"/>
    <w:rsid w:val="00E76A73"/>
    <w:rsid w:val="00E81ECC"/>
    <w:rsid w:val="00E82793"/>
    <w:rsid w:val="00E84BC8"/>
    <w:rsid w:val="00E85070"/>
    <w:rsid w:val="00E94039"/>
    <w:rsid w:val="00EA0DB1"/>
    <w:rsid w:val="00EA3126"/>
    <w:rsid w:val="00ED1C23"/>
    <w:rsid w:val="00ED2B26"/>
    <w:rsid w:val="00EE0DA9"/>
    <w:rsid w:val="00EE3AC2"/>
    <w:rsid w:val="00EE70E3"/>
    <w:rsid w:val="00EF0924"/>
    <w:rsid w:val="00EF282F"/>
    <w:rsid w:val="00EF4486"/>
    <w:rsid w:val="00EF62C5"/>
    <w:rsid w:val="00F00961"/>
    <w:rsid w:val="00F01DB5"/>
    <w:rsid w:val="00F0300A"/>
    <w:rsid w:val="00F032D3"/>
    <w:rsid w:val="00F06142"/>
    <w:rsid w:val="00F17170"/>
    <w:rsid w:val="00F227ED"/>
    <w:rsid w:val="00F22E7A"/>
    <w:rsid w:val="00F231F9"/>
    <w:rsid w:val="00F34064"/>
    <w:rsid w:val="00F35D6A"/>
    <w:rsid w:val="00F35F3F"/>
    <w:rsid w:val="00F43ECF"/>
    <w:rsid w:val="00F45375"/>
    <w:rsid w:val="00F57AB6"/>
    <w:rsid w:val="00F61E28"/>
    <w:rsid w:val="00F62471"/>
    <w:rsid w:val="00F63244"/>
    <w:rsid w:val="00F711CD"/>
    <w:rsid w:val="00F748AF"/>
    <w:rsid w:val="00F77844"/>
    <w:rsid w:val="00F8366E"/>
    <w:rsid w:val="00F861D4"/>
    <w:rsid w:val="00F92932"/>
    <w:rsid w:val="00F92A5A"/>
    <w:rsid w:val="00F9748B"/>
    <w:rsid w:val="00FA0778"/>
    <w:rsid w:val="00FA2BE0"/>
    <w:rsid w:val="00FA3838"/>
    <w:rsid w:val="00FA6FD1"/>
    <w:rsid w:val="00FB2DD9"/>
    <w:rsid w:val="00FC2395"/>
    <w:rsid w:val="00FC2745"/>
    <w:rsid w:val="00FC2A6C"/>
    <w:rsid w:val="00FC47C5"/>
    <w:rsid w:val="00FC75FC"/>
    <w:rsid w:val="00FD2B86"/>
    <w:rsid w:val="00FD48B4"/>
    <w:rsid w:val="00FE0D1B"/>
    <w:rsid w:val="00FE1AEF"/>
    <w:rsid w:val="00FE2638"/>
    <w:rsid w:val="00FE3095"/>
    <w:rsid w:val="00FE5376"/>
    <w:rsid w:val="00FF1060"/>
    <w:rsid w:val="00FF14E8"/>
    <w:rsid w:val="00FF26CF"/>
    <w:rsid w:val="00FF5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C5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741D7"/>
  </w:style>
  <w:style w:type="character" w:styleId="FootnoteReference">
    <w:name w:val="footnote reference"/>
    <w:basedOn w:val="DefaultParagraphFont"/>
    <w:semiHidden/>
    <w:rsid w:val="007741D7"/>
    <w:rPr>
      <w:vertAlign w:val="superscript"/>
    </w:rPr>
  </w:style>
  <w:style w:type="paragraph" w:styleId="Header">
    <w:name w:val="header"/>
    <w:basedOn w:val="Normal"/>
    <w:rsid w:val="00BF1B2D"/>
    <w:pPr>
      <w:tabs>
        <w:tab w:val="center" w:pos="4320"/>
        <w:tab w:val="right" w:pos="8640"/>
      </w:tabs>
    </w:pPr>
  </w:style>
  <w:style w:type="paragraph" w:styleId="Footer">
    <w:name w:val="footer"/>
    <w:basedOn w:val="Normal"/>
    <w:rsid w:val="00BF1B2D"/>
    <w:pPr>
      <w:tabs>
        <w:tab w:val="center" w:pos="4320"/>
        <w:tab w:val="right" w:pos="8640"/>
      </w:tabs>
    </w:pPr>
  </w:style>
  <w:style w:type="table" w:styleId="TableGrid">
    <w:name w:val="Table Grid"/>
    <w:basedOn w:val="TableNormal"/>
    <w:uiPriority w:val="59"/>
    <w:rsid w:val="00455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1F45"/>
  </w:style>
  <w:style w:type="character" w:styleId="Hyperlink">
    <w:name w:val="Hyperlink"/>
    <w:basedOn w:val="DefaultParagraphFont"/>
    <w:rsid w:val="0077370F"/>
    <w:rPr>
      <w:color w:val="0000FF"/>
      <w:u w:val="single"/>
    </w:rPr>
  </w:style>
  <w:style w:type="numbering" w:customStyle="1" w:styleId="Style1">
    <w:name w:val="Style1"/>
    <w:rsid w:val="00F92A5A"/>
    <w:pPr>
      <w:numPr>
        <w:numId w:val="5"/>
      </w:numPr>
    </w:pPr>
  </w:style>
  <w:style w:type="paragraph" w:styleId="BalloonText">
    <w:name w:val="Balloon Text"/>
    <w:basedOn w:val="Normal"/>
    <w:semiHidden/>
    <w:rsid w:val="00575829"/>
    <w:rPr>
      <w:rFonts w:cs="Arial"/>
      <w:sz w:val="16"/>
      <w:szCs w:val="16"/>
    </w:rPr>
  </w:style>
  <w:style w:type="character" w:styleId="CommentReference">
    <w:name w:val="annotation reference"/>
    <w:basedOn w:val="DefaultParagraphFont"/>
    <w:semiHidden/>
    <w:rsid w:val="004C2AFB"/>
    <w:rPr>
      <w:sz w:val="16"/>
      <w:szCs w:val="16"/>
    </w:rPr>
  </w:style>
  <w:style w:type="paragraph" w:styleId="CommentText">
    <w:name w:val="annotation text"/>
    <w:basedOn w:val="Normal"/>
    <w:semiHidden/>
    <w:rsid w:val="004C2AFB"/>
  </w:style>
  <w:style w:type="paragraph" w:styleId="CommentSubject">
    <w:name w:val="annotation subject"/>
    <w:basedOn w:val="CommentText"/>
    <w:next w:val="CommentText"/>
    <w:semiHidden/>
    <w:rsid w:val="004C2AFB"/>
    <w:rPr>
      <w:b/>
      <w:bCs/>
    </w:rPr>
  </w:style>
  <w:style w:type="character" w:customStyle="1" w:styleId="FootnoteTextChar">
    <w:name w:val="Footnote Text Char"/>
    <w:basedOn w:val="DefaultParagraphFont"/>
    <w:link w:val="FootnoteText"/>
    <w:semiHidden/>
    <w:rsid w:val="00FA2BE0"/>
    <w:rPr>
      <w:rFonts w:ascii="Arial" w:hAnsi="Arial"/>
    </w:rPr>
  </w:style>
  <w:style w:type="character" w:customStyle="1" w:styleId="EmailStyle281">
    <w:name w:val="EmailStyle28"/>
    <w:aliases w:val="EmailStyle28"/>
    <w:basedOn w:val="DefaultParagraphFont"/>
    <w:semiHidden/>
    <w:personal/>
    <w:personalCompose/>
    <w:rsid w:val="00FA2BE0"/>
    <w:rPr>
      <w:rFonts w:ascii="Arial" w:hAnsi="Arial" w:cs="Arial"/>
      <w:color w:val="auto"/>
      <w:sz w:val="20"/>
      <w:szCs w:val="20"/>
    </w:rPr>
  </w:style>
  <w:style w:type="paragraph" w:styleId="EndnoteText">
    <w:name w:val="endnote text"/>
    <w:basedOn w:val="Normal"/>
    <w:link w:val="EndnoteTextChar"/>
    <w:uiPriority w:val="99"/>
    <w:unhideWhenUsed/>
    <w:rsid w:val="007914E9"/>
    <w:rPr>
      <w:rFonts w:eastAsiaTheme="minorHAnsi" w:cstheme="minorBidi"/>
    </w:rPr>
  </w:style>
  <w:style w:type="character" w:customStyle="1" w:styleId="EndnoteTextChar">
    <w:name w:val="Endnote Text Char"/>
    <w:basedOn w:val="DefaultParagraphFont"/>
    <w:link w:val="EndnoteText"/>
    <w:uiPriority w:val="99"/>
    <w:rsid w:val="007914E9"/>
    <w:rPr>
      <w:rFonts w:ascii="Arial" w:eastAsiaTheme="minorHAnsi" w:hAnsi="Arial" w:cstheme="minorBidi"/>
    </w:rPr>
  </w:style>
  <w:style w:type="character" w:styleId="EndnoteReference">
    <w:name w:val="endnote reference"/>
    <w:basedOn w:val="DefaultParagraphFont"/>
    <w:uiPriority w:val="99"/>
    <w:unhideWhenUsed/>
    <w:rsid w:val="007914E9"/>
    <w:rPr>
      <w:vertAlign w:val="superscript"/>
    </w:rPr>
  </w:style>
  <w:style w:type="paragraph" w:styleId="ListParagraph">
    <w:name w:val="List Paragraph"/>
    <w:basedOn w:val="Normal"/>
    <w:uiPriority w:val="34"/>
    <w:qFormat/>
    <w:rsid w:val="000043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kruse@auditor.state.oh.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uditor.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C5A3-602D-483C-B34D-3FBAAB56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5522</Words>
  <Characters>31532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Chapter 4</vt:lpstr>
    </vt:vector>
  </TitlesOfParts>
  <Company>Auditor of State of Ohio</Company>
  <LinksUpToDate>false</LinksUpToDate>
  <CharactersWithSpaces>36981</CharactersWithSpaces>
  <SharedDoc>false</SharedDoc>
  <HLinks>
    <vt:vector size="6" baseType="variant">
      <vt:variant>
        <vt:i4>7143486</vt:i4>
      </vt:variant>
      <vt:variant>
        <vt:i4>0</vt:i4>
      </vt:variant>
      <vt:variant>
        <vt:i4>0</vt:i4>
      </vt:variant>
      <vt:variant>
        <vt:i4>5</vt:i4>
      </vt:variant>
      <vt:variant>
        <vt:lpwstr>http://www.auditor.state.oh.us/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subject/>
  <dc:creator>Marnie A. Carlisle</dc:creator>
  <cp:keywords/>
  <dc:description/>
  <cp:lastModifiedBy>Michele R. Porter</cp:lastModifiedBy>
  <cp:revision>2</cp:revision>
  <cp:lastPrinted>2008-10-09T20:40:00Z</cp:lastPrinted>
  <dcterms:created xsi:type="dcterms:W3CDTF">2010-09-30T13:40:00Z</dcterms:created>
  <dcterms:modified xsi:type="dcterms:W3CDTF">2010-09-30T13:40:00Z</dcterms:modified>
</cp:coreProperties>
</file>