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22E7AB21" w:rsidR="007814B6" w:rsidRPr="00A0464C" w:rsidRDefault="00230FA4" w:rsidP="006672EA">
            <w:pPr>
              <w:jc w:val="both"/>
              <w:rPr>
                <w:rFonts w:ascii="Arial" w:hAnsi="Arial" w:cs="Arial"/>
                <w:sz w:val="24"/>
                <w:szCs w:val="24"/>
              </w:rPr>
            </w:pPr>
            <w:r>
              <w:rPr>
                <w:rFonts w:ascii="Arial" w:hAnsi="Arial" w:cs="Arial"/>
                <w:sz w:val="24"/>
                <w:szCs w:val="24"/>
              </w:rPr>
              <w:t xml:space="preserve">Public Housing Capital Fund </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45DE8318" w:rsidR="007814B6" w:rsidRPr="00A0464C" w:rsidRDefault="00230FA4" w:rsidP="006672EA">
            <w:pPr>
              <w:jc w:val="both"/>
              <w:rPr>
                <w:rFonts w:ascii="Arial" w:hAnsi="Arial" w:cs="Arial"/>
                <w:sz w:val="24"/>
                <w:szCs w:val="24"/>
              </w:rPr>
            </w:pPr>
            <w:r>
              <w:rPr>
                <w:rFonts w:ascii="Arial" w:hAnsi="Arial" w:cs="Arial"/>
                <w:sz w:val="24"/>
                <w:szCs w:val="24"/>
              </w:rPr>
              <w:t>14.872</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463533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666CEC"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666CEC"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666CEC"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01B0B386" w:rsidR="00DF7D32" w:rsidRPr="00F00D94" w:rsidRDefault="00666CEC"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4635337"/>
      <w:bookmarkEnd w:id="2"/>
      <w:r w:rsidRPr="00A0464C">
        <w:rPr>
          <w:rFonts w:cs="Arial"/>
          <w:sz w:val="24"/>
        </w:rPr>
        <w:lastRenderedPageBreak/>
        <w:t>A</w:t>
      </w:r>
      <w:r w:rsidR="00A0464C">
        <w:rPr>
          <w:rFonts w:cs="Arial"/>
          <w:sz w:val="24"/>
        </w:rPr>
        <w:t>gency Adoption of the UG and Example Citations</w:t>
      </w:r>
      <w:bookmarkEnd w:id="3"/>
    </w:p>
    <w:p w14:paraId="35D2AAD9" w14:textId="5B059A15" w:rsidR="00EF77DC" w:rsidRDefault="00666CEC"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4635338"/>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7C776716" w14:textId="298CB814" w:rsidR="00BF5EB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4635336" w:history="1">
            <w:r w:rsidR="00BF5EB7" w:rsidRPr="00F93CEB">
              <w:rPr>
                <w:rStyle w:val="Hyperlink"/>
                <w:rFonts w:cs="Arial"/>
                <w:noProof/>
              </w:rPr>
              <w:t>Important Information</w:t>
            </w:r>
            <w:r w:rsidR="00BF5EB7">
              <w:rPr>
                <w:noProof/>
                <w:webHidden/>
              </w:rPr>
              <w:tab/>
            </w:r>
            <w:r w:rsidR="00BF5EB7">
              <w:rPr>
                <w:noProof/>
                <w:webHidden/>
              </w:rPr>
              <w:fldChar w:fldCharType="begin"/>
            </w:r>
            <w:r w:rsidR="00BF5EB7">
              <w:rPr>
                <w:noProof/>
                <w:webHidden/>
              </w:rPr>
              <w:instrText xml:space="preserve"> PAGEREF _Toc174635336 \h </w:instrText>
            </w:r>
            <w:r w:rsidR="00BF5EB7">
              <w:rPr>
                <w:noProof/>
                <w:webHidden/>
              </w:rPr>
            </w:r>
            <w:r w:rsidR="00BF5EB7">
              <w:rPr>
                <w:noProof/>
                <w:webHidden/>
              </w:rPr>
              <w:fldChar w:fldCharType="separate"/>
            </w:r>
            <w:r w:rsidR="00BF5EB7">
              <w:rPr>
                <w:noProof/>
                <w:webHidden/>
              </w:rPr>
              <w:t>1</w:t>
            </w:r>
            <w:r w:rsidR="00BF5EB7">
              <w:rPr>
                <w:noProof/>
                <w:webHidden/>
              </w:rPr>
              <w:fldChar w:fldCharType="end"/>
            </w:r>
          </w:hyperlink>
        </w:p>
        <w:p w14:paraId="0BBAAE5B" w14:textId="7DA25947" w:rsidR="00BF5EB7" w:rsidRDefault="00666CEC">
          <w:pPr>
            <w:pStyle w:val="TOC1"/>
            <w:rPr>
              <w:rFonts w:asciiTheme="minorHAnsi" w:eastAsiaTheme="minorEastAsia" w:hAnsiTheme="minorHAnsi" w:cstheme="minorBidi"/>
              <w:noProof/>
              <w:kern w:val="2"/>
              <w:sz w:val="24"/>
              <w:szCs w:val="24"/>
              <w14:ligatures w14:val="standardContextual"/>
            </w:rPr>
          </w:pPr>
          <w:hyperlink w:anchor="_Toc174635337" w:history="1">
            <w:r w:rsidR="00BF5EB7" w:rsidRPr="00F93CEB">
              <w:rPr>
                <w:rStyle w:val="Hyperlink"/>
                <w:rFonts w:cs="Arial"/>
                <w:noProof/>
              </w:rPr>
              <w:t>Agency Adoption of the UG and Example Citations</w:t>
            </w:r>
            <w:r w:rsidR="00BF5EB7">
              <w:rPr>
                <w:noProof/>
                <w:webHidden/>
              </w:rPr>
              <w:tab/>
            </w:r>
            <w:r w:rsidR="00BF5EB7">
              <w:rPr>
                <w:noProof/>
                <w:webHidden/>
              </w:rPr>
              <w:fldChar w:fldCharType="begin"/>
            </w:r>
            <w:r w:rsidR="00BF5EB7">
              <w:rPr>
                <w:noProof/>
                <w:webHidden/>
              </w:rPr>
              <w:instrText xml:space="preserve"> PAGEREF _Toc174635337 \h </w:instrText>
            </w:r>
            <w:r w:rsidR="00BF5EB7">
              <w:rPr>
                <w:noProof/>
                <w:webHidden/>
              </w:rPr>
            </w:r>
            <w:r w:rsidR="00BF5EB7">
              <w:rPr>
                <w:noProof/>
                <w:webHidden/>
              </w:rPr>
              <w:fldChar w:fldCharType="separate"/>
            </w:r>
            <w:r w:rsidR="00BF5EB7">
              <w:rPr>
                <w:noProof/>
                <w:webHidden/>
              </w:rPr>
              <w:t>2</w:t>
            </w:r>
            <w:r w:rsidR="00BF5EB7">
              <w:rPr>
                <w:noProof/>
                <w:webHidden/>
              </w:rPr>
              <w:fldChar w:fldCharType="end"/>
            </w:r>
          </w:hyperlink>
        </w:p>
        <w:p w14:paraId="13BF9A2D" w14:textId="657556DE" w:rsidR="00BF5EB7" w:rsidRDefault="00666CEC">
          <w:pPr>
            <w:pStyle w:val="TOC1"/>
            <w:rPr>
              <w:rFonts w:asciiTheme="minorHAnsi" w:eastAsiaTheme="minorEastAsia" w:hAnsiTheme="minorHAnsi" w:cstheme="minorBidi"/>
              <w:noProof/>
              <w:kern w:val="2"/>
              <w:sz w:val="24"/>
              <w:szCs w:val="24"/>
              <w14:ligatures w14:val="standardContextual"/>
            </w:rPr>
          </w:pPr>
          <w:hyperlink w:anchor="_Toc174635338" w:history="1">
            <w:r w:rsidR="00BF5EB7" w:rsidRPr="00F93CEB">
              <w:rPr>
                <w:rStyle w:val="Hyperlink"/>
                <w:rFonts w:cs="Arial"/>
                <w:noProof/>
              </w:rPr>
              <w:t>Table of Contents</w:t>
            </w:r>
            <w:r w:rsidR="00BF5EB7">
              <w:rPr>
                <w:noProof/>
                <w:webHidden/>
              </w:rPr>
              <w:tab/>
            </w:r>
            <w:r w:rsidR="00BF5EB7">
              <w:rPr>
                <w:noProof/>
                <w:webHidden/>
              </w:rPr>
              <w:fldChar w:fldCharType="begin"/>
            </w:r>
            <w:r w:rsidR="00BF5EB7">
              <w:rPr>
                <w:noProof/>
                <w:webHidden/>
              </w:rPr>
              <w:instrText xml:space="preserve"> PAGEREF _Toc174635338 \h </w:instrText>
            </w:r>
            <w:r w:rsidR="00BF5EB7">
              <w:rPr>
                <w:noProof/>
                <w:webHidden/>
              </w:rPr>
            </w:r>
            <w:r w:rsidR="00BF5EB7">
              <w:rPr>
                <w:noProof/>
                <w:webHidden/>
              </w:rPr>
              <w:fldChar w:fldCharType="separate"/>
            </w:r>
            <w:r w:rsidR="00BF5EB7">
              <w:rPr>
                <w:noProof/>
                <w:webHidden/>
              </w:rPr>
              <w:t>3</w:t>
            </w:r>
            <w:r w:rsidR="00BF5EB7">
              <w:rPr>
                <w:noProof/>
                <w:webHidden/>
              </w:rPr>
              <w:fldChar w:fldCharType="end"/>
            </w:r>
          </w:hyperlink>
        </w:p>
        <w:p w14:paraId="388A5DE8" w14:textId="38F2923E" w:rsidR="00BF5EB7" w:rsidRDefault="00666CEC">
          <w:pPr>
            <w:pStyle w:val="TOC1"/>
            <w:rPr>
              <w:rFonts w:asciiTheme="minorHAnsi" w:eastAsiaTheme="minorEastAsia" w:hAnsiTheme="minorHAnsi" w:cstheme="minorBidi"/>
              <w:noProof/>
              <w:kern w:val="2"/>
              <w:sz w:val="24"/>
              <w:szCs w:val="24"/>
              <w14:ligatures w14:val="standardContextual"/>
            </w:rPr>
          </w:pPr>
          <w:hyperlink w:anchor="_Toc174635339" w:history="1">
            <w:r w:rsidR="00BF5EB7" w:rsidRPr="00F93CEB">
              <w:rPr>
                <w:rStyle w:val="Hyperlink"/>
                <w:rFonts w:cs="Arial"/>
                <w:noProof/>
              </w:rPr>
              <w:t>Compliance Requirement Matrix</w:t>
            </w:r>
            <w:r w:rsidR="00BF5EB7">
              <w:rPr>
                <w:noProof/>
                <w:webHidden/>
              </w:rPr>
              <w:tab/>
            </w:r>
            <w:r w:rsidR="00BF5EB7">
              <w:rPr>
                <w:noProof/>
                <w:webHidden/>
              </w:rPr>
              <w:fldChar w:fldCharType="begin"/>
            </w:r>
            <w:r w:rsidR="00BF5EB7">
              <w:rPr>
                <w:noProof/>
                <w:webHidden/>
              </w:rPr>
              <w:instrText xml:space="preserve"> PAGEREF _Toc174635339 \h </w:instrText>
            </w:r>
            <w:r w:rsidR="00BF5EB7">
              <w:rPr>
                <w:noProof/>
                <w:webHidden/>
              </w:rPr>
            </w:r>
            <w:r w:rsidR="00BF5EB7">
              <w:rPr>
                <w:noProof/>
                <w:webHidden/>
              </w:rPr>
              <w:fldChar w:fldCharType="separate"/>
            </w:r>
            <w:r w:rsidR="00BF5EB7">
              <w:rPr>
                <w:noProof/>
                <w:webHidden/>
              </w:rPr>
              <w:t>5</w:t>
            </w:r>
            <w:r w:rsidR="00BF5EB7">
              <w:rPr>
                <w:noProof/>
                <w:webHidden/>
              </w:rPr>
              <w:fldChar w:fldCharType="end"/>
            </w:r>
          </w:hyperlink>
        </w:p>
        <w:p w14:paraId="2F41518B" w14:textId="6A124EF0" w:rsidR="00BF5EB7" w:rsidRDefault="00666CEC">
          <w:pPr>
            <w:pStyle w:val="TOC1"/>
            <w:rPr>
              <w:rFonts w:asciiTheme="minorHAnsi" w:eastAsiaTheme="minorEastAsia" w:hAnsiTheme="minorHAnsi" w:cstheme="minorBidi"/>
              <w:noProof/>
              <w:kern w:val="2"/>
              <w:sz w:val="24"/>
              <w:szCs w:val="24"/>
              <w14:ligatures w14:val="standardContextual"/>
            </w:rPr>
          </w:pPr>
          <w:hyperlink w:anchor="_Toc174635340" w:history="1">
            <w:r w:rsidR="00BF5EB7" w:rsidRPr="00F93CEB">
              <w:rPr>
                <w:rStyle w:val="Hyperlink"/>
                <w:rFonts w:cs="Arial"/>
                <w:noProof/>
              </w:rPr>
              <w:t>Part I – OMB Compliance Supplement Information</w:t>
            </w:r>
            <w:r w:rsidR="00BF5EB7">
              <w:rPr>
                <w:noProof/>
                <w:webHidden/>
              </w:rPr>
              <w:tab/>
            </w:r>
            <w:r w:rsidR="00BF5EB7">
              <w:rPr>
                <w:noProof/>
                <w:webHidden/>
              </w:rPr>
              <w:fldChar w:fldCharType="begin"/>
            </w:r>
            <w:r w:rsidR="00BF5EB7">
              <w:rPr>
                <w:noProof/>
                <w:webHidden/>
              </w:rPr>
              <w:instrText xml:space="preserve"> PAGEREF _Toc174635340 \h </w:instrText>
            </w:r>
            <w:r w:rsidR="00BF5EB7">
              <w:rPr>
                <w:noProof/>
                <w:webHidden/>
              </w:rPr>
            </w:r>
            <w:r w:rsidR="00BF5EB7">
              <w:rPr>
                <w:noProof/>
                <w:webHidden/>
              </w:rPr>
              <w:fldChar w:fldCharType="separate"/>
            </w:r>
            <w:r w:rsidR="00BF5EB7">
              <w:rPr>
                <w:noProof/>
                <w:webHidden/>
              </w:rPr>
              <w:t>9</w:t>
            </w:r>
            <w:r w:rsidR="00BF5EB7">
              <w:rPr>
                <w:noProof/>
                <w:webHidden/>
              </w:rPr>
              <w:fldChar w:fldCharType="end"/>
            </w:r>
          </w:hyperlink>
        </w:p>
        <w:p w14:paraId="77E2072D" w14:textId="114E8191"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41" w:history="1">
            <w:r w:rsidR="00BF5EB7" w:rsidRPr="00F93CEB">
              <w:rPr>
                <w:rStyle w:val="Hyperlink"/>
                <w:rFonts w:cs="Arial"/>
                <w:noProof/>
              </w:rPr>
              <w:t>I. Program Objectives</w:t>
            </w:r>
            <w:r w:rsidR="00BF5EB7">
              <w:rPr>
                <w:noProof/>
                <w:webHidden/>
              </w:rPr>
              <w:tab/>
            </w:r>
            <w:r w:rsidR="00BF5EB7">
              <w:rPr>
                <w:noProof/>
                <w:webHidden/>
              </w:rPr>
              <w:fldChar w:fldCharType="begin"/>
            </w:r>
            <w:r w:rsidR="00BF5EB7">
              <w:rPr>
                <w:noProof/>
                <w:webHidden/>
              </w:rPr>
              <w:instrText xml:space="preserve"> PAGEREF _Toc174635341 \h </w:instrText>
            </w:r>
            <w:r w:rsidR="00BF5EB7">
              <w:rPr>
                <w:noProof/>
                <w:webHidden/>
              </w:rPr>
            </w:r>
            <w:r w:rsidR="00BF5EB7">
              <w:rPr>
                <w:noProof/>
                <w:webHidden/>
              </w:rPr>
              <w:fldChar w:fldCharType="separate"/>
            </w:r>
            <w:r w:rsidR="00BF5EB7">
              <w:rPr>
                <w:noProof/>
                <w:webHidden/>
              </w:rPr>
              <w:t>9</w:t>
            </w:r>
            <w:r w:rsidR="00BF5EB7">
              <w:rPr>
                <w:noProof/>
                <w:webHidden/>
              </w:rPr>
              <w:fldChar w:fldCharType="end"/>
            </w:r>
          </w:hyperlink>
        </w:p>
        <w:p w14:paraId="353A46B4" w14:textId="22AF2E65"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42" w:history="1">
            <w:r w:rsidR="00BF5EB7" w:rsidRPr="00F93CEB">
              <w:rPr>
                <w:rStyle w:val="Hyperlink"/>
                <w:rFonts w:cs="Arial"/>
                <w:noProof/>
              </w:rPr>
              <w:t>II. Program Procedures</w:t>
            </w:r>
            <w:r w:rsidR="00BF5EB7">
              <w:rPr>
                <w:noProof/>
                <w:webHidden/>
              </w:rPr>
              <w:tab/>
            </w:r>
            <w:r w:rsidR="00BF5EB7">
              <w:rPr>
                <w:noProof/>
                <w:webHidden/>
              </w:rPr>
              <w:fldChar w:fldCharType="begin"/>
            </w:r>
            <w:r w:rsidR="00BF5EB7">
              <w:rPr>
                <w:noProof/>
                <w:webHidden/>
              </w:rPr>
              <w:instrText xml:space="preserve"> PAGEREF _Toc174635342 \h </w:instrText>
            </w:r>
            <w:r w:rsidR="00BF5EB7">
              <w:rPr>
                <w:noProof/>
                <w:webHidden/>
              </w:rPr>
            </w:r>
            <w:r w:rsidR="00BF5EB7">
              <w:rPr>
                <w:noProof/>
                <w:webHidden/>
              </w:rPr>
              <w:fldChar w:fldCharType="separate"/>
            </w:r>
            <w:r w:rsidR="00BF5EB7">
              <w:rPr>
                <w:noProof/>
                <w:webHidden/>
              </w:rPr>
              <w:t>9</w:t>
            </w:r>
            <w:r w:rsidR="00BF5EB7">
              <w:rPr>
                <w:noProof/>
                <w:webHidden/>
              </w:rPr>
              <w:fldChar w:fldCharType="end"/>
            </w:r>
          </w:hyperlink>
        </w:p>
        <w:p w14:paraId="17B73CE3" w14:textId="1E359D0E"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43" w:history="1">
            <w:r w:rsidR="00BF5EB7" w:rsidRPr="00F93CEB">
              <w:rPr>
                <w:rStyle w:val="Hyperlink"/>
                <w:rFonts w:cs="Arial"/>
                <w:noProof/>
              </w:rPr>
              <w:t>III. Source of Governing Requirements</w:t>
            </w:r>
            <w:r w:rsidR="00BF5EB7">
              <w:rPr>
                <w:noProof/>
                <w:webHidden/>
              </w:rPr>
              <w:tab/>
            </w:r>
            <w:r w:rsidR="00BF5EB7">
              <w:rPr>
                <w:noProof/>
                <w:webHidden/>
              </w:rPr>
              <w:fldChar w:fldCharType="begin"/>
            </w:r>
            <w:r w:rsidR="00BF5EB7">
              <w:rPr>
                <w:noProof/>
                <w:webHidden/>
              </w:rPr>
              <w:instrText xml:space="preserve"> PAGEREF _Toc174635343 \h </w:instrText>
            </w:r>
            <w:r w:rsidR="00BF5EB7">
              <w:rPr>
                <w:noProof/>
                <w:webHidden/>
              </w:rPr>
            </w:r>
            <w:r w:rsidR="00BF5EB7">
              <w:rPr>
                <w:noProof/>
                <w:webHidden/>
              </w:rPr>
              <w:fldChar w:fldCharType="separate"/>
            </w:r>
            <w:r w:rsidR="00BF5EB7">
              <w:rPr>
                <w:noProof/>
                <w:webHidden/>
              </w:rPr>
              <w:t>11</w:t>
            </w:r>
            <w:r w:rsidR="00BF5EB7">
              <w:rPr>
                <w:noProof/>
                <w:webHidden/>
              </w:rPr>
              <w:fldChar w:fldCharType="end"/>
            </w:r>
          </w:hyperlink>
        </w:p>
        <w:p w14:paraId="6BA78D9B" w14:textId="376E98D3"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44" w:history="1">
            <w:r w:rsidR="00BF5EB7" w:rsidRPr="00F93CEB">
              <w:rPr>
                <w:rStyle w:val="Hyperlink"/>
                <w:rFonts w:cs="Arial"/>
                <w:noProof/>
              </w:rPr>
              <w:t>IV. Other Information</w:t>
            </w:r>
            <w:r w:rsidR="00BF5EB7">
              <w:rPr>
                <w:noProof/>
                <w:webHidden/>
              </w:rPr>
              <w:tab/>
            </w:r>
            <w:r w:rsidR="00BF5EB7">
              <w:rPr>
                <w:noProof/>
                <w:webHidden/>
              </w:rPr>
              <w:fldChar w:fldCharType="begin"/>
            </w:r>
            <w:r w:rsidR="00BF5EB7">
              <w:rPr>
                <w:noProof/>
                <w:webHidden/>
              </w:rPr>
              <w:instrText xml:space="preserve"> PAGEREF _Toc174635344 \h </w:instrText>
            </w:r>
            <w:r w:rsidR="00BF5EB7">
              <w:rPr>
                <w:noProof/>
                <w:webHidden/>
              </w:rPr>
            </w:r>
            <w:r w:rsidR="00BF5EB7">
              <w:rPr>
                <w:noProof/>
                <w:webHidden/>
              </w:rPr>
              <w:fldChar w:fldCharType="separate"/>
            </w:r>
            <w:r w:rsidR="00BF5EB7">
              <w:rPr>
                <w:noProof/>
                <w:webHidden/>
              </w:rPr>
              <w:t>11</w:t>
            </w:r>
            <w:r w:rsidR="00BF5EB7">
              <w:rPr>
                <w:noProof/>
                <w:webHidden/>
              </w:rPr>
              <w:fldChar w:fldCharType="end"/>
            </w:r>
          </w:hyperlink>
        </w:p>
        <w:p w14:paraId="15F0558B" w14:textId="3296F621" w:rsidR="00BF5EB7" w:rsidRDefault="00666CEC">
          <w:pPr>
            <w:pStyle w:val="TOC1"/>
            <w:rPr>
              <w:rFonts w:asciiTheme="minorHAnsi" w:eastAsiaTheme="minorEastAsia" w:hAnsiTheme="minorHAnsi" w:cstheme="minorBidi"/>
              <w:noProof/>
              <w:kern w:val="2"/>
              <w:sz w:val="24"/>
              <w:szCs w:val="24"/>
              <w14:ligatures w14:val="standardContextual"/>
            </w:rPr>
          </w:pPr>
          <w:hyperlink w:anchor="_Toc174635345" w:history="1">
            <w:r w:rsidR="00BF5EB7" w:rsidRPr="00F93CEB">
              <w:rPr>
                <w:rStyle w:val="Hyperlink"/>
                <w:rFonts w:cs="Arial"/>
                <w:noProof/>
              </w:rPr>
              <w:t>Part II – Pass through Agency and Grant Specific Information</w:t>
            </w:r>
            <w:r w:rsidR="00BF5EB7">
              <w:rPr>
                <w:noProof/>
                <w:webHidden/>
              </w:rPr>
              <w:tab/>
            </w:r>
            <w:r w:rsidR="00BF5EB7">
              <w:rPr>
                <w:noProof/>
                <w:webHidden/>
              </w:rPr>
              <w:fldChar w:fldCharType="begin"/>
            </w:r>
            <w:r w:rsidR="00BF5EB7">
              <w:rPr>
                <w:noProof/>
                <w:webHidden/>
              </w:rPr>
              <w:instrText xml:space="preserve"> PAGEREF _Toc174635345 \h </w:instrText>
            </w:r>
            <w:r w:rsidR="00BF5EB7">
              <w:rPr>
                <w:noProof/>
                <w:webHidden/>
              </w:rPr>
            </w:r>
            <w:r w:rsidR="00BF5EB7">
              <w:rPr>
                <w:noProof/>
                <w:webHidden/>
              </w:rPr>
              <w:fldChar w:fldCharType="separate"/>
            </w:r>
            <w:r w:rsidR="00BF5EB7">
              <w:rPr>
                <w:noProof/>
                <w:webHidden/>
              </w:rPr>
              <w:t>13</w:t>
            </w:r>
            <w:r w:rsidR="00BF5EB7">
              <w:rPr>
                <w:noProof/>
                <w:webHidden/>
              </w:rPr>
              <w:fldChar w:fldCharType="end"/>
            </w:r>
          </w:hyperlink>
        </w:p>
        <w:p w14:paraId="400E6E11" w14:textId="42A0A4E9"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46" w:history="1">
            <w:r w:rsidR="00BF5EB7" w:rsidRPr="00F93CEB">
              <w:rPr>
                <w:rStyle w:val="Hyperlink"/>
                <w:rFonts w:cs="Arial"/>
                <w:noProof/>
              </w:rPr>
              <w:t>Program Overview</w:t>
            </w:r>
            <w:r w:rsidR="00BF5EB7">
              <w:rPr>
                <w:noProof/>
                <w:webHidden/>
              </w:rPr>
              <w:tab/>
            </w:r>
            <w:r w:rsidR="00BF5EB7">
              <w:rPr>
                <w:noProof/>
                <w:webHidden/>
              </w:rPr>
              <w:fldChar w:fldCharType="begin"/>
            </w:r>
            <w:r w:rsidR="00BF5EB7">
              <w:rPr>
                <w:noProof/>
                <w:webHidden/>
              </w:rPr>
              <w:instrText xml:space="preserve"> PAGEREF _Toc174635346 \h </w:instrText>
            </w:r>
            <w:r w:rsidR="00BF5EB7">
              <w:rPr>
                <w:noProof/>
                <w:webHidden/>
              </w:rPr>
            </w:r>
            <w:r w:rsidR="00BF5EB7">
              <w:rPr>
                <w:noProof/>
                <w:webHidden/>
              </w:rPr>
              <w:fldChar w:fldCharType="separate"/>
            </w:r>
            <w:r w:rsidR="00BF5EB7">
              <w:rPr>
                <w:noProof/>
                <w:webHidden/>
              </w:rPr>
              <w:t>13</w:t>
            </w:r>
            <w:r w:rsidR="00BF5EB7">
              <w:rPr>
                <w:noProof/>
                <w:webHidden/>
              </w:rPr>
              <w:fldChar w:fldCharType="end"/>
            </w:r>
          </w:hyperlink>
        </w:p>
        <w:p w14:paraId="04A16157" w14:textId="7C317C26"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47" w:history="1">
            <w:r w:rsidR="00BF5EB7" w:rsidRPr="00F93CEB">
              <w:rPr>
                <w:rStyle w:val="Hyperlink"/>
                <w:rFonts w:cs="Arial"/>
                <w:noProof/>
              </w:rPr>
              <w:t>Testing Considerations</w:t>
            </w:r>
            <w:r w:rsidR="00BF5EB7">
              <w:rPr>
                <w:noProof/>
                <w:webHidden/>
              </w:rPr>
              <w:tab/>
            </w:r>
            <w:r w:rsidR="00BF5EB7">
              <w:rPr>
                <w:noProof/>
                <w:webHidden/>
              </w:rPr>
              <w:fldChar w:fldCharType="begin"/>
            </w:r>
            <w:r w:rsidR="00BF5EB7">
              <w:rPr>
                <w:noProof/>
                <w:webHidden/>
              </w:rPr>
              <w:instrText xml:space="preserve"> PAGEREF _Toc174635347 \h </w:instrText>
            </w:r>
            <w:r w:rsidR="00BF5EB7">
              <w:rPr>
                <w:noProof/>
                <w:webHidden/>
              </w:rPr>
            </w:r>
            <w:r w:rsidR="00BF5EB7">
              <w:rPr>
                <w:noProof/>
                <w:webHidden/>
              </w:rPr>
              <w:fldChar w:fldCharType="separate"/>
            </w:r>
            <w:r w:rsidR="00BF5EB7">
              <w:rPr>
                <w:noProof/>
                <w:webHidden/>
              </w:rPr>
              <w:t>13</w:t>
            </w:r>
            <w:r w:rsidR="00BF5EB7">
              <w:rPr>
                <w:noProof/>
                <w:webHidden/>
              </w:rPr>
              <w:fldChar w:fldCharType="end"/>
            </w:r>
          </w:hyperlink>
        </w:p>
        <w:p w14:paraId="3E1FEDF1" w14:textId="0C9052E0"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48" w:history="1">
            <w:r w:rsidR="00BF5EB7" w:rsidRPr="00F93CEB">
              <w:rPr>
                <w:rStyle w:val="Hyperlink"/>
                <w:rFonts w:cs="Arial"/>
                <w:noProof/>
              </w:rPr>
              <w:t>Reporting</w:t>
            </w:r>
            <w:r w:rsidR="00BF5EB7">
              <w:rPr>
                <w:noProof/>
                <w:webHidden/>
              </w:rPr>
              <w:tab/>
            </w:r>
            <w:r w:rsidR="00BF5EB7">
              <w:rPr>
                <w:noProof/>
                <w:webHidden/>
              </w:rPr>
              <w:fldChar w:fldCharType="begin"/>
            </w:r>
            <w:r w:rsidR="00BF5EB7">
              <w:rPr>
                <w:noProof/>
                <w:webHidden/>
              </w:rPr>
              <w:instrText xml:space="preserve"> PAGEREF _Toc174635348 \h </w:instrText>
            </w:r>
            <w:r w:rsidR="00BF5EB7">
              <w:rPr>
                <w:noProof/>
                <w:webHidden/>
              </w:rPr>
            </w:r>
            <w:r w:rsidR="00BF5EB7">
              <w:rPr>
                <w:noProof/>
                <w:webHidden/>
              </w:rPr>
              <w:fldChar w:fldCharType="separate"/>
            </w:r>
            <w:r w:rsidR="00BF5EB7">
              <w:rPr>
                <w:noProof/>
                <w:webHidden/>
              </w:rPr>
              <w:t>13</w:t>
            </w:r>
            <w:r w:rsidR="00BF5EB7">
              <w:rPr>
                <w:noProof/>
                <w:webHidden/>
              </w:rPr>
              <w:fldChar w:fldCharType="end"/>
            </w:r>
          </w:hyperlink>
        </w:p>
        <w:p w14:paraId="69F81E40" w14:textId="44DD09D0" w:rsidR="00BF5EB7" w:rsidRDefault="00666CEC">
          <w:pPr>
            <w:pStyle w:val="TOC1"/>
            <w:rPr>
              <w:rFonts w:asciiTheme="minorHAnsi" w:eastAsiaTheme="minorEastAsia" w:hAnsiTheme="minorHAnsi" w:cstheme="minorBidi"/>
              <w:noProof/>
              <w:kern w:val="2"/>
              <w:sz w:val="24"/>
              <w:szCs w:val="24"/>
              <w14:ligatures w14:val="standardContextual"/>
            </w:rPr>
          </w:pPr>
          <w:hyperlink w:anchor="_Toc174635349" w:history="1">
            <w:r w:rsidR="00BF5EB7" w:rsidRPr="00F93CEB">
              <w:rPr>
                <w:rStyle w:val="Hyperlink"/>
                <w:rFonts w:cs="Arial"/>
                <w:noProof/>
              </w:rPr>
              <w:t>Part III – Applicable Compliance Requirements</w:t>
            </w:r>
            <w:r w:rsidR="00BF5EB7">
              <w:rPr>
                <w:noProof/>
                <w:webHidden/>
              </w:rPr>
              <w:tab/>
            </w:r>
            <w:r w:rsidR="00BF5EB7">
              <w:rPr>
                <w:noProof/>
                <w:webHidden/>
              </w:rPr>
              <w:fldChar w:fldCharType="begin"/>
            </w:r>
            <w:r w:rsidR="00BF5EB7">
              <w:rPr>
                <w:noProof/>
                <w:webHidden/>
              </w:rPr>
              <w:instrText xml:space="preserve"> PAGEREF _Toc174635349 \h </w:instrText>
            </w:r>
            <w:r w:rsidR="00BF5EB7">
              <w:rPr>
                <w:noProof/>
                <w:webHidden/>
              </w:rPr>
            </w:r>
            <w:r w:rsidR="00BF5EB7">
              <w:rPr>
                <w:noProof/>
                <w:webHidden/>
              </w:rPr>
              <w:fldChar w:fldCharType="separate"/>
            </w:r>
            <w:r w:rsidR="00BF5EB7">
              <w:rPr>
                <w:noProof/>
                <w:webHidden/>
              </w:rPr>
              <w:t>14</w:t>
            </w:r>
            <w:r w:rsidR="00BF5EB7">
              <w:rPr>
                <w:noProof/>
                <w:webHidden/>
              </w:rPr>
              <w:fldChar w:fldCharType="end"/>
            </w:r>
          </w:hyperlink>
        </w:p>
        <w:p w14:paraId="6EAD6612" w14:textId="0A9748A8" w:rsidR="00BF5EB7" w:rsidRDefault="00666CEC">
          <w:pPr>
            <w:pStyle w:val="TOC2"/>
            <w:rPr>
              <w:rFonts w:asciiTheme="minorHAnsi" w:eastAsiaTheme="minorEastAsia" w:hAnsiTheme="minorHAnsi" w:cstheme="minorBidi"/>
              <w:bCs w:val="0"/>
              <w:kern w:val="2"/>
              <w:sz w:val="24"/>
              <w14:ligatures w14:val="standardContextual"/>
            </w:rPr>
          </w:pPr>
          <w:hyperlink w:anchor="_Toc174635350" w:history="1">
            <w:r w:rsidR="00BF5EB7" w:rsidRPr="00F93CEB">
              <w:rPr>
                <w:rStyle w:val="Hyperlink"/>
              </w:rPr>
              <w:t>A.  ACTIVITIES ALLOWED OR UNALLOWED</w:t>
            </w:r>
            <w:r w:rsidR="00BF5EB7">
              <w:rPr>
                <w:webHidden/>
              </w:rPr>
              <w:tab/>
            </w:r>
            <w:r w:rsidR="00BF5EB7">
              <w:rPr>
                <w:webHidden/>
              </w:rPr>
              <w:fldChar w:fldCharType="begin"/>
            </w:r>
            <w:r w:rsidR="00BF5EB7">
              <w:rPr>
                <w:webHidden/>
              </w:rPr>
              <w:instrText xml:space="preserve"> PAGEREF _Toc174635350 \h </w:instrText>
            </w:r>
            <w:r w:rsidR="00BF5EB7">
              <w:rPr>
                <w:webHidden/>
              </w:rPr>
            </w:r>
            <w:r w:rsidR="00BF5EB7">
              <w:rPr>
                <w:webHidden/>
              </w:rPr>
              <w:fldChar w:fldCharType="separate"/>
            </w:r>
            <w:r w:rsidR="00BF5EB7">
              <w:rPr>
                <w:webHidden/>
              </w:rPr>
              <w:t>14</w:t>
            </w:r>
            <w:r w:rsidR="00BF5EB7">
              <w:rPr>
                <w:webHidden/>
              </w:rPr>
              <w:fldChar w:fldCharType="end"/>
            </w:r>
          </w:hyperlink>
        </w:p>
        <w:p w14:paraId="0D31C52A" w14:textId="7EBA3E33"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51" w:history="1">
            <w:r w:rsidR="00BF5EB7" w:rsidRPr="00F93CEB">
              <w:rPr>
                <w:rStyle w:val="Hyperlink"/>
                <w:rFonts w:cs="Arial"/>
                <w:noProof/>
              </w:rPr>
              <w:t>OMB Compliance Requirements</w:t>
            </w:r>
            <w:r w:rsidR="00BF5EB7">
              <w:rPr>
                <w:noProof/>
                <w:webHidden/>
              </w:rPr>
              <w:tab/>
            </w:r>
            <w:r w:rsidR="00BF5EB7">
              <w:rPr>
                <w:noProof/>
                <w:webHidden/>
              </w:rPr>
              <w:fldChar w:fldCharType="begin"/>
            </w:r>
            <w:r w:rsidR="00BF5EB7">
              <w:rPr>
                <w:noProof/>
                <w:webHidden/>
              </w:rPr>
              <w:instrText xml:space="preserve"> PAGEREF _Toc174635351 \h </w:instrText>
            </w:r>
            <w:r w:rsidR="00BF5EB7">
              <w:rPr>
                <w:noProof/>
                <w:webHidden/>
              </w:rPr>
            </w:r>
            <w:r w:rsidR="00BF5EB7">
              <w:rPr>
                <w:noProof/>
                <w:webHidden/>
              </w:rPr>
              <w:fldChar w:fldCharType="separate"/>
            </w:r>
            <w:r w:rsidR="00BF5EB7">
              <w:rPr>
                <w:noProof/>
                <w:webHidden/>
              </w:rPr>
              <w:t>14</w:t>
            </w:r>
            <w:r w:rsidR="00BF5EB7">
              <w:rPr>
                <w:noProof/>
                <w:webHidden/>
              </w:rPr>
              <w:fldChar w:fldCharType="end"/>
            </w:r>
          </w:hyperlink>
        </w:p>
        <w:p w14:paraId="4965A337" w14:textId="1904A9E6"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52" w:history="1">
            <w:r w:rsidR="00BF5EB7" w:rsidRPr="00F93CEB">
              <w:rPr>
                <w:rStyle w:val="Hyperlink"/>
                <w:rFonts w:cs="Arial"/>
                <w:noProof/>
              </w:rPr>
              <w:t>Additional Program Specific Information</w:t>
            </w:r>
            <w:r w:rsidR="00BF5EB7">
              <w:rPr>
                <w:noProof/>
                <w:webHidden/>
              </w:rPr>
              <w:tab/>
            </w:r>
            <w:r w:rsidR="00BF5EB7">
              <w:rPr>
                <w:noProof/>
                <w:webHidden/>
              </w:rPr>
              <w:fldChar w:fldCharType="begin"/>
            </w:r>
            <w:r w:rsidR="00BF5EB7">
              <w:rPr>
                <w:noProof/>
                <w:webHidden/>
              </w:rPr>
              <w:instrText xml:space="preserve"> PAGEREF _Toc174635352 \h </w:instrText>
            </w:r>
            <w:r w:rsidR="00BF5EB7">
              <w:rPr>
                <w:noProof/>
                <w:webHidden/>
              </w:rPr>
            </w:r>
            <w:r w:rsidR="00BF5EB7">
              <w:rPr>
                <w:noProof/>
                <w:webHidden/>
              </w:rPr>
              <w:fldChar w:fldCharType="separate"/>
            </w:r>
            <w:r w:rsidR="00BF5EB7">
              <w:rPr>
                <w:noProof/>
                <w:webHidden/>
              </w:rPr>
              <w:t>16</w:t>
            </w:r>
            <w:r w:rsidR="00BF5EB7">
              <w:rPr>
                <w:noProof/>
                <w:webHidden/>
              </w:rPr>
              <w:fldChar w:fldCharType="end"/>
            </w:r>
          </w:hyperlink>
        </w:p>
        <w:p w14:paraId="5B334F58" w14:textId="23958422"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53" w:history="1">
            <w:r w:rsidR="00BF5EB7" w:rsidRPr="00F93CEB">
              <w:rPr>
                <w:rStyle w:val="Hyperlink"/>
                <w:noProof/>
              </w:rPr>
              <w:t>Audit Objectives and Control Testing</w:t>
            </w:r>
            <w:r w:rsidR="00BF5EB7">
              <w:rPr>
                <w:noProof/>
                <w:webHidden/>
              </w:rPr>
              <w:tab/>
            </w:r>
            <w:r w:rsidR="00BF5EB7">
              <w:rPr>
                <w:noProof/>
                <w:webHidden/>
              </w:rPr>
              <w:fldChar w:fldCharType="begin"/>
            </w:r>
            <w:r w:rsidR="00BF5EB7">
              <w:rPr>
                <w:noProof/>
                <w:webHidden/>
              </w:rPr>
              <w:instrText xml:space="preserve"> PAGEREF _Toc174635353 \h </w:instrText>
            </w:r>
            <w:r w:rsidR="00BF5EB7">
              <w:rPr>
                <w:noProof/>
                <w:webHidden/>
              </w:rPr>
            </w:r>
            <w:r w:rsidR="00BF5EB7">
              <w:rPr>
                <w:noProof/>
                <w:webHidden/>
              </w:rPr>
              <w:fldChar w:fldCharType="separate"/>
            </w:r>
            <w:r w:rsidR="00BF5EB7">
              <w:rPr>
                <w:noProof/>
                <w:webHidden/>
              </w:rPr>
              <w:t>16</w:t>
            </w:r>
            <w:r w:rsidR="00BF5EB7">
              <w:rPr>
                <w:noProof/>
                <w:webHidden/>
              </w:rPr>
              <w:fldChar w:fldCharType="end"/>
            </w:r>
          </w:hyperlink>
        </w:p>
        <w:p w14:paraId="5A77BF0E" w14:textId="3056A622"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54" w:history="1">
            <w:r w:rsidR="00BF5EB7" w:rsidRPr="00F93CEB">
              <w:rPr>
                <w:rStyle w:val="Hyperlink"/>
                <w:rFonts w:cs="Arial"/>
                <w:noProof/>
              </w:rPr>
              <w:t>Suggested Substantive Audit Procedures – Compliance</w:t>
            </w:r>
            <w:r w:rsidR="00BF5EB7">
              <w:rPr>
                <w:noProof/>
                <w:webHidden/>
              </w:rPr>
              <w:tab/>
            </w:r>
            <w:r w:rsidR="00BF5EB7">
              <w:rPr>
                <w:noProof/>
                <w:webHidden/>
              </w:rPr>
              <w:fldChar w:fldCharType="begin"/>
            </w:r>
            <w:r w:rsidR="00BF5EB7">
              <w:rPr>
                <w:noProof/>
                <w:webHidden/>
              </w:rPr>
              <w:instrText xml:space="preserve"> PAGEREF _Toc174635354 \h </w:instrText>
            </w:r>
            <w:r w:rsidR="00BF5EB7">
              <w:rPr>
                <w:noProof/>
                <w:webHidden/>
              </w:rPr>
            </w:r>
            <w:r w:rsidR="00BF5EB7">
              <w:rPr>
                <w:noProof/>
                <w:webHidden/>
              </w:rPr>
              <w:fldChar w:fldCharType="separate"/>
            </w:r>
            <w:r w:rsidR="00BF5EB7">
              <w:rPr>
                <w:noProof/>
                <w:webHidden/>
              </w:rPr>
              <w:t>17</w:t>
            </w:r>
            <w:r w:rsidR="00BF5EB7">
              <w:rPr>
                <w:noProof/>
                <w:webHidden/>
              </w:rPr>
              <w:fldChar w:fldCharType="end"/>
            </w:r>
          </w:hyperlink>
        </w:p>
        <w:p w14:paraId="3EE95EFE" w14:textId="4E8E4A47"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55" w:history="1">
            <w:r w:rsidR="00BF5EB7" w:rsidRPr="00F93CEB">
              <w:rPr>
                <w:rStyle w:val="Hyperlink"/>
                <w:rFonts w:cs="Arial"/>
                <w:noProof/>
              </w:rPr>
              <w:t>Audit Implications Summary</w:t>
            </w:r>
            <w:r w:rsidR="00BF5EB7">
              <w:rPr>
                <w:noProof/>
                <w:webHidden/>
              </w:rPr>
              <w:tab/>
            </w:r>
            <w:r w:rsidR="00BF5EB7">
              <w:rPr>
                <w:noProof/>
                <w:webHidden/>
              </w:rPr>
              <w:fldChar w:fldCharType="begin"/>
            </w:r>
            <w:r w:rsidR="00BF5EB7">
              <w:rPr>
                <w:noProof/>
                <w:webHidden/>
              </w:rPr>
              <w:instrText xml:space="preserve"> PAGEREF _Toc174635355 \h </w:instrText>
            </w:r>
            <w:r w:rsidR="00BF5EB7">
              <w:rPr>
                <w:noProof/>
                <w:webHidden/>
              </w:rPr>
            </w:r>
            <w:r w:rsidR="00BF5EB7">
              <w:rPr>
                <w:noProof/>
                <w:webHidden/>
              </w:rPr>
              <w:fldChar w:fldCharType="separate"/>
            </w:r>
            <w:r w:rsidR="00BF5EB7">
              <w:rPr>
                <w:noProof/>
                <w:webHidden/>
              </w:rPr>
              <w:t>18</w:t>
            </w:r>
            <w:r w:rsidR="00BF5EB7">
              <w:rPr>
                <w:noProof/>
                <w:webHidden/>
              </w:rPr>
              <w:fldChar w:fldCharType="end"/>
            </w:r>
          </w:hyperlink>
        </w:p>
        <w:p w14:paraId="19EE0720" w14:textId="24F681B7" w:rsidR="00BF5EB7" w:rsidRDefault="00666CEC">
          <w:pPr>
            <w:pStyle w:val="TOC2"/>
            <w:rPr>
              <w:rFonts w:asciiTheme="minorHAnsi" w:eastAsiaTheme="minorEastAsia" w:hAnsiTheme="minorHAnsi" w:cstheme="minorBidi"/>
              <w:bCs w:val="0"/>
              <w:kern w:val="2"/>
              <w:sz w:val="24"/>
              <w14:ligatures w14:val="standardContextual"/>
            </w:rPr>
          </w:pPr>
          <w:hyperlink w:anchor="_Toc174635356" w:history="1">
            <w:r w:rsidR="00BF5EB7" w:rsidRPr="00F93CEB">
              <w:rPr>
                <w:rStyle w:val="Hyperlink"/>
              </w:rPr>
              <w:t>B.  ALLOWABLE COSTS/COST PRINCIPLES</w:t>
            </w:r>
            <w:r w:rsidR="00BF5EB7">
              <w:rPr>
                <w:webHidden/>
              </w:rPr>
              <w:tab/>
            </w:r>
            <w:r w:rsidR="00BF5EB7">
              <w:rPr>
                <w:webHidden/>
              </w:rPr>
              <w:fldChar w:fldCharType="begin"/>
            </w:r>
            <w:r w:rsidR="00BF5EB7">
              <w:rPr>
                <w:webHidden/>
              </w:rPr>
              <w:instrText xml:space="preserve"> PAGEREF _Toc174635356 \h </w:instrText>
            </w:r>
            <w:r w:rsidR="00BF5EB7">
              <w:rPr>
                <w:webHidden/>
              </w:rPr>
            </w:r>
            <w:r w:rsidR="00BF5EB7">
              <w:rPr>
                <w:webHidden/>
              </w:rPr>
              <w:fldChar w:fldCharType="separate"/>
            </w:r>
            <w:r w:rsidR="00BF5EB7">
              <w:rPr>
                <w:webHidden/>
              </w:rPr>
              <w:t>19</w:t>
            </w:r>
            <w:r w:rsidR="00BF5EB7">
              <w:rPr>
                <w:webHidden/>
              </w:rPr>
              <w:fldChar w:fldCharType="end"/>
            </w:r>
          </w:hyperlink>
        </w:p>
        <w:p w14:paraId="5B9409BA" w14:textId="4E124465"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57" w:history="1">
            <w:r w:rsidR="00BF5EB7" w:rsidRPr="00F93CEB">
              <w:rPr>
                <w:rStyle w:val="Hyperlink"/>
                <w:rFonts w:cs="Arial"/>
                <w:noProof/>
              </w:rPr>
              <w:t>Applicability of Cost Principles</w:t>
            </w:r>
            <w:r w:rsidR="00BF5EB7">
              <w:rPr>
                <w:noProof/>
                <w:webHidden/>
              </w:rPr>
              <w:tab/>
            </w:r>
            <w:r w:rsidR="00BF5EB7">
              <w:rPr>
                <w:noProof/>
                <w:webHidden/>
              </w:rPr>
              <w:fldChar w:fldCharType="begin"/>
            </w:r>
            <w:r w:rsidR="00BF5EB7">
              <w:rPr>
                <w:noProof/>
                <w:webHidden/>
              </w:rPr>
              <w:instrText xml:space="preserve"> PAGEREF _Toc174635357 \h </w:instrText>
            </w:r>
            <w:r w:rsidR="00BF5EB7">
              <w:rPr>
                <w:noProof/>
                <w:webHidden/>
              </w:rPr>
            </w:r>
            <w:r w:rsidR="00BF5EB7">
              <w:rPr>
                <w:noProof/>
                <w:webHidden/>
              </w:rPr>
              <w:fldChar w:fldCharType="separate"/>
            </w:r>
            <w:r w:rsidR="00BF5EB7">
              <w:rPr>
                <w:noProof/>
                <w:webHidden/>
              </w:rPr>
              <w:t>20</w:t>
            </w:r>
            <w:r w:rsidR="00BF5EB7">
              <w:rPr>
                <w:noProof/>
                <w:webHidden/>
              </w:rPr>
              <w:fldChar w:fldCharType="end"/>
            </w:r>
          </w:hyperlink>
        </w:p>
        <w:p w14:paraId="5945F9C3" w14:textId="44559567"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58" w:history="1">
            <w:r w:rsidR="00BF5EB7" w:rsidRPr="00F93CEB">
              <w:rPr>
                <w:rStyle w:val="Hyperlink"/>
                <w:rFonts w:cs="Arial"/>
                <w:noProof/>
              </w:rPr>
              <w:t>Additional Program Specific Information</w:t>
            </w:r>
            <w:r w:rsidR="00BF5EB7">
              <w:rPr>
                <w:noProof/>
                <w:webHidden/>
              </w:rPr>
              <w:tab/>
            </w:r>
            <w:r w:rsidR="00BF5EB7">
              <w:rPr>
                <w:noProof/>
                <w:webHidden/>
              </w:rPr>
              <w:fldChar w:fldCharType="begin"/>
            </w:r>
            <w:r w:rsidR="00BF5EB7">
              <w:rPr>
                <w:noProof/>
                <w:webHidden/>
              </w:rPr>
              <w:instrText xml:space="preserve"> PAGEREF _Toc174635358 \h </w:instrText>
            </w:r>
            <w:r w:rsidR="00BF5EB7">
              <w:rPr>
                <w:noProof/>
                <w:webHidden/>
              </w:rPr>
            </w:r>
            <w:r w:rsidR="00BF5EB7">
              <w:rPr>
                <w:noProof/>
                <w:webHidden/>
              </w:rPr>
              <w:fldChar w:fldCharType="separate"/>
            </w:r>
            <w:r w:rsidR="00BF5EB7">
              <w:rPr>
                <w:noProof/>
                <w:webHidden/>
              </w:rPr>
              <w:t>23</w:t>
            </w:r>
            <w:r w:rsidR="00BF5EB7">
              <w:rPr>
                <w:noProof/>
                <w:webHidden/>
              </w:rPr>
              <w:fldChar w:fldCharType="end"/>
            </w:r>
          </w:hyperlink>
        </w:p>
        <w:p w14:paraId="6C8B9BD5" w14:textId="69085C4F"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59" w:history="1">
            <w:r w:rsidR="00BF5EB7" w:rsidRPr="00F93CEB">
              <w:rPr>
                <w:rStyle w:val="Hyperlink"/>
                <w:rFonts w:cs="Arial"/>
                <w:noProof/>
              </w:rPr>
              <w:t>Cost Principles for States, Local Governments and Indian Tribes</w:t>
            </w:r>
            <w:r w:rsidR="00BF5EB7">
              <w:rPr>
                <w:noProof/>
                <w:webHidden/>
              </w:rPr>
              <w:tab/>
            </w:r>
            <w:r w:rsidR="00BF5EB7">
              <w:rPr>
                <w:noProof/>
                <w:webHidden/>
              </w:rPr>
              <w:fldChar w:fldCharType="begin"/>
            </w:r>
            <w:r w:rsidR="00BF5EB7">
              <w:rPr>
                <w:noProof/>
                <w:webHidden/>
              </w:rPr>
              <w:instrText xml:space="preserve"> PAGEREF _Toc174635359 \h </w:instrText>
            </w:r>
            <w:r w:rsidR="00BF5EB7">
              <w:rPr>
                <w:noProof/>
                <w:webHidden/>
              </w:rPr>
            </w:r>
            <w:r w:rsidR="00BF5EB7">
              <w:rPr>
                <w:noProof/>
                <w:webHidden/>
              </w:rPr>
              <w:fldChar w:fldCharType="separate"/>
            </w:r>
            <w:r w:rsidR="00BF5EB7">
              <w:rPr>
                <w:noProof/>
                <w:webHidden/>
              </w:rPr>
              <w:t>23</w:t>
            </w:r>
            <w:r w:rsidR="00BF5EB7">
              <w:rPr>
                <w:noProof/>
                <w:webHidden/>
              </w:rPr>
              <w:fldChar w:fldCharType="end"/>
            </w:r>
          </w:hyperlink>
        </w:p>
        <w:p w14:paraId="42E62D18" w14:textId="51575851"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60" w:history="1">
            <w:r w:rsidR="00BF5EB7" w:rsidRPr="00F93CEB">
              <w:rPr>
                <w:rStyle w:val="Hyperlink"/>
                <w:rFonts w:cs="Arial"/>
                <w:noProof/>
              </w:rPr>
              <w:t>OMB Compliance Requirements</w:t>
            </w:r>
            <w:r w:rsidR="00BF5EB7">
              <w:rPr>
                <w:noProof/>
                <w:webHidden/>
              </w:rPr>
              <w:tab/>
            </w:r>
            <w:r w:rsidR="00BF5EB7">
              <w:rPr>
                <w:noProof/>
                <w:webHidden/>
              </w:rPr>
              <w:fldChar w:fldCharType="begin"/>
            </w:r>
            <w:r w:rsidR="00BF5EB7">
              <w:rPr>
                <w:noProof/>
                <w:webHidden/>
              </w:rPr>
              <w:instrText xml:space="preserve"> PAGEREF _Toc174635360 \h </w:instrText>
            </w:r>
            <w:r w:rsidR="00BF5EB7">
              <w:rPr>
                <w:noProof/>
                <w:webHidden/>
              </w:rPr>
            </w:r>
            <w:r w:rsidR="00BF5EB7">
              <w:rPr>
                <w:noProof/>
                <w:webHidden/>
              </w:rPr>
              <w:fldChar w:fldCharType="separate"/>
            </w:r>
            <w:r w:rsidR="00BF5EB7">
              <w:rPr>
                <w:noProof/>
                <w:webHidden/>
              </w:rPr>
              <w:t>23</w:t>
            </w:r>
            <w:r w:rsidR="00BF5EB7">
              <w:rPr>
                <w:noProof/>
                <w:webHidden/>
              </w:rPr>
              <w:fldChar w:fldCharType="end"/>
            </w:r>
          </w:hyperlink>
        </w:p>
        <w:p w14:paraId="135CCF28" w14:textId="7D8BACDE"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61" w:history="1">
            <w:r w:rsidR="00BF5EB7" w:rsidRPr="00F93CEB">
              <w:rPr>
                <w:rStyle w:val="Hyperlink"/>
                <w:rFonts w:cs="Arial"/>
                <w:noProof/>
              </w:rPr>
              <w:t>Audit Implications Summary</w:t>
            </w:r>
            <w:r w:rsidR="00BF5EB7">
              <w:rPr>
                <w:noProof/>
                <w:webHidden/>
              </w:rPr>
              <w:tab/>
            </w:r>
            <w:r w:rsidR="00BF5EB7">
              <w:rPr>
                <w:noProof/>
                <w:webHidden/>
              </w:rPr>
              <w:fldChar w:fldCharType="begin"/>
            </w:r>
            <w:r w:rsidR="00BF5EB7">
              <w:rPr>
                <w:noProof/>
                <w:webHidden/>
              </w:rPr>
              <w:instrText xml:space="preserve"> PAGEREF _Toc174635361 \h </w:instrText>
            </w:r>
            <w:r w:rsidR="00BF5EB7">
              <w:rPr>
                <w:noProof/>
                <w:webHidden/>
              </w:rPr>
            </w:r>
            <w:r w:rsidR="00BF5EB7">
              <w:rPr>
                <w:noProof/>
                <w:webHidden/>
              </w:rPr>
              <w:fldChar w:fldCharType="separate"/>
            </w:r>
            <w:r w:rsidR="00BF5EB7">
              <w:rPr>
                <w:noProof/>
                <w:webHidden/>
              </w:rPr>
              <w:t>31</w:t>
            </w:r>
            <w:r w:rsidR="00BF5EB7">
              <w:rPr>
                <w:noProof/>
                <w:webHidden/>
              </w:rPr>
              <w:fldChar w:fldCharType="end"/>
            </w:r>
          </w:hyperlink>
        </w:p>
        <w:p w14:paraId="6A83F869" w14:textId="019034FF" w:rsidR="00BF5EB7" w:rsidRDefault="00666CEC">
          <w:pPr>
            <w:pStyle w:val="TOC2"/>
            <w:rPr>
              <w:rFonts w:asciiTheme="minorHAnsi" w:eastAsiaTheme="minorEastAsia" w:hAnsiTheme="minorHAnsi" w:cstheme="minorBidi"/>
              <w:bCs w:val="0"/>
              <w:kern w:val="2"/>
              <w:sz w:val="24"/>
              <w14:ligatures w14:val="standardContextual"/>
            </w:rPr>
          </w:pPr>
          <w:hyperlink w:anchor="_Toc174635362" w:history="1">
            <w:r w:rsidR="00BF5EB7" w:rsidRPr="00F93CEB">
              <w:rPr>
                <w:rStyle w:val="Hyperlink"/>
              </w:rPr>
              <w:t>C. CASH MANAGEMENT</w:t>
            </w:r>
            <w:r w:rsidR="00BF5EB7">
              <w:rPr>
                <w:webHidden/>
              </w:rPr>
              <w:tab/>
            </w:r>
            <w:r w:rsidR="00BF5EB7">
              <w:rPr>
                <w:webHidden/>
              </w:rPr>
              <w:fldChar w:fldCharType="begin"/>
            </w:r>
            <w:r w:rsidR="00BF5EB7">
              <w:rPr>
                <w:webHidden/>
              </w:rPr>
              <w:instrText xml:space="preserve"> PAGEREF _Toc174635362 \h </w:instrText>
            </w:r>
            <w:r w:rsidR="00BF5EB7">
              <w:rPr>
                <w:webHidden/>
              </w:rPr>
            </w:r>
            <w:r w:rsidR="00BF5EB7">
              <w:rPr>
                <w:webHidden/>
              </w:rPr>
              <w:fldChar w:fldCharType="separate"/>
            </w:r>
            <w:r w:rsidR="00BF5EB7">
              <w:rPr>
                <w:webHidden/>
              </w:rPr>
              <w:t>33</w:t>
            </w:r>
            <w:r w:rsidR="00BF5EB7">
              <w:rPr>
                <w:webHidden/>
              </w:rPr>
              <w:fldChar w:fldCharType="end"/>
            </w:r>
          </w:hyperlink>
        </w:p>
        <w:p w14:paraId="63DDCDE7" w14:textId="18F0F7F0"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63" w:history="1">
            <w:r w:rsidR="00BF5EB7" w:rsidRPr="00F93CEB">
              <w:rPr>
                <w:rStyle w:val="Hyperlink"/>
                <w:rFonts w:cs="Arial"/>
                <w:noProof/>
              </w:rPr>
              <w:t>OMB Compliance Requirements</w:t>
            </w:r>
            <w:r w:rsidR="00BF5EB7">
              <w:rPr>
                <w:noProof/>
                <w:webHidden/>
              </w:rPr>
              <w:tab/>
            </w:r>
            <w:r w:rsidR="00BF5EB7">
              <w:rPr>
                <w:noProof/>
                <w:webHidden/>
              </w:rPr>
              <w:fldChar w:fldCharType="begin"/>
            </w:r>
            <w:r w:rsidR="00BF5EB7">
              <w:rPr>
                <w:noProof/>
                <w:webHidden/>
              </w:rPr>
              <w:instrText xml:space="preserve"> PAGEREF _Toc174635363 \h </w:instrText>
            </w:r>
            <w:r w:rsidR="00BF5EB7">
              <w:rPr>
                <w:noProof/>
                <w:webHidden/>
              </w:rPr>
            </w:r>
            <w:r w:rsidR="00BF5EB7">
              <w:rPr>
                <w:noProof/>
                <w:webHidden/>
              </w:rPr>
              <w:fldChar w:fldCharType="separate"/>
            </w:r>
            <w:r w:rsidR="00BF5EB7">
              <w:rPr>
                <w:noProof/>
                <w:webHidden/>
              </w:rPr>
              <w:t>33</w:t>
            </w:r>
            <w:r w:rsidR="00BF5EB7">
              <w:rPr>
                <w:noProof/>
                <w:webHidden/>
              </w:rPr>
              <w:fldChar w:fldCharType="end"/>
            </w:r>
          </w:hyperlink>
        </w:p>
        <w:p w14:paraId="4F30F720" w14:textId="4B6BDAF3"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64" w:history="1">
            <w:r w:rsidR="00BF5EB7" w:rsidRPr="00F93CEB">
              <w:rPr>
                <w:rStyle w:val="Hyperlink"/>
                <w:rFonts w:cs="Arial"/>
                <w:noProof/>
              </w:rPr>
              <w:t>Additional Program Specific Information</w:t>
            </w:r>
            <w:r w:rsidR="00BF5EB7">
              <w:rPr>
                <w:noProof/>
                <w:webHidden/>
              </w:rPr>
              <w:tab/>
            </w:r>
            <w:r w:rsidR="00BF5EB7">
              <w:rPr>
                <w:noProof/>
                <w:webHidden/>
              </w:rPr>
              <w:fldChar w:fldCharType="begin"/>
            </w:r>
            <w:r w:rsidR="00BF5EB7">
              <w:rPr>
                <w:noProof/>
                <w:webHidden/>
              </w:rPr>
              <w:instrText xml:space="preserve"> PAGEREF _Toc174635364 \h </w:instrText>
            </w:r>
            <w:r w:rsidR="00BF5EB7">
              <w:rPr>
                <w:noProof/>
                <w:webHidden/>
              </w:rPr>
            </w:r>
            <w:r w:rsidR="00BF5EB7">
              <w:rPr>
                <w:noProof/>
                <w:webHidden/>
              </w:rPr>
              <w:fldChar w:fldCharType="separate"/>
            </w:r>
            <w:r w:rsidR="00BF5EB7">
              <w:rPr>
                <w:noProof/>
                <w:webHidden/>
              </w:rPr>
              <w:t>35</w:t>
            </w:r>
            <w:r w:rsidR="00BF5EB7">
              <w:rPr>
                <w:noProof/>
                <w:webHidden/>
              </w:rPr>
              <w:fldChar w:fldCharType="end"/>
            </w:r>
          </w:hyperlink>
        </w:p>
        <w:p w14:paraId="24856928" w14:textId="47262CF5"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65" w:history="1">
            <w:r w:rsidR="00BF5EB7" w:rsidRPr="00F93CEB">
              <w:rPr>
                <w:rStyle w:val="Hyperlink"/>
                <w:rFonts w:cs="Arial"/>
                <w:noProof/>
              </w:rPr>
              <w:t>Audit Objectives and Control Testing</w:t>
            </w:r>
            <w:r w:rsidR="00BF5EB7">
              <w:rPr>
                <w:noProof/>
                <w:webHidden/>
              </w:rPr>
              <w:tab/>
            </w:r>
            <w:r w:rsidR="00BF5EB7">
              <w:rPr>
                <w:noProof/>
                <w:webHidden/>
              </w:rPr>
              <w:fldChar w:fldCharType="begin"/>
            </w:r>
            <w:r w:rsidR="00BF5EB7">
              <w:rPr>
                <w:noProof/>
                <w:webHidden/>
              </w:rPr>
              <w:instrText xml:space="preserve"> PAGEREF _Toc174635365 \h </w:instrText>
            </w:r>
            <w:r w:rsidR="00BF5EB7">
              <w:rPr>
                <w:noProof/>
                <w:webHidden/>
              </w:rPr>
            </w:r>
            <w:r w:rsidR="00BF5EB7">
              <w:rPr>
                <w:noProof/>
                <w:webHidden/>
              </w:rPr>
              <w:fldChar w:fldCharType="separate"/>
            </w:r>
            <w:r w:rsidR="00BF5EB7">
              <w:rPr>
                <w:noProof/>
                <w:webHidden/>
              </w:rPr>
              <w:t>35</w:t>
            </w:r>
            <w:r w:rsidR="00BF5EB7">
              <w:rPr>
                <w:noProof/>
                <w:webHidden/>
              </w:rPr>
              <w:fldChar w:fldCharType="end"/>
            </w:r>
          </w:hyperlink>
        </w:p>
        <w:p w14:paraId="2D1FF7E7" w14:textId="53E1F413"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66" w:history="1">
            <w:r w:rsidR="00BF5EB7" w:rsidRPr="00F93CEB">
              <w:rPr>
                <w:rStyle w:val="Hyperlink"/>
                <w:rFonts w:cs="Arial"/>
                <w:noProof/>
              </w:rPr>
              <w:t>Suggested Substantive Audit Procedures – Compliance</w:t>
            </w:r>
            <w:r w:rsidR="00BF5EB7">
              <w:rPr>
                <w:noProof/>
                <w:webHidden/>
              </w:rPr>
              <w:tab/>
            </w:r>
            <w:r w:rsidR="00BF5EB7">
              <w:rPr>
                <w:noProof/>
                <w:webHidden/>
              </w:rPr>
              <w:fldChar w:fldCharType="begin"/>
            </w:r>
            <w:r w:rsidR="00BF5EB7">
              <w:rPr>
                <w:noProof/>
                <w:webHidden/>
              </w:rPr>
              <w:instrText xml:space="preserve"> PAGEREF _Toc174635366 \h </w:instrText>
            </w:r>
            <w:r w:rsidR="00BF5EB7">
              <w:rPr>
                <w:noProof/>
                <w:webHidden/>
              </w:rPr>
            </w:r>
            <w:r w:rsidR="00BF5EB7">
              <w:rPr>
                <w:noProof/>
                <w:webHidden/>
              </w:rPr>
              <w:fldChar w:fldCharType="separate"/>
            </w:r>
            <w:r w:rsidR="00BF5EB7">
              <w:rPr>
                <w:noProof/>
                <w:webHidden/>
              </w:rPr>
              <w:t>37</w:t>
            </w:r>
            <w:r w:rsidR="00BF5EB7">
              <w:rPr>
                <w:noProof/>
                <w:webHidden/>
              </w:rPr>
              <w:fldChar w:fldCharType="end"/>
            </w:r>
          </w:hyperlink>
        </w:p>
        <w:p w14:paraId="3E7620A0" w14:textId="38B95910"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67" w:history="1">
            <w:r w:rsidR="00BF5EB7" w:rsidRPr="00F93CEB">
              <w:rPr>
                <w:rStyle w:val="Hyperlink"/>
                <w:rFonts w:cs="Arial"/>
                <w:noProof/>
              </w:rPr>
              <w:t>Audit Implications Summary</w:t>
            </w:r>
            <w:r w:rsidR="00BF5EB7">
              <w:rPr>
                <w:noProof/>
                <w:webHidden/>
              </w:rPr>
              <w:tab/>
            </w:r>
            <w:r w:rsidR="00BF5EB7">
              <w:rPr>
                <w:noProof/>
                <w:webHidden/>
              </w:rPr>
              <w:fldChar w:fldCharType="begin"/>
            </w:r>
            <w:r w:rsidR="00BF5EB7">
              <w:rPr>
                <w:noProof/>
                <w:webHidden/>
              </w:rPr>
              <w:instrText xml:space="preserve"> PAGEREF _Toc174635367 \h </w:instrText>
            </w:r>
            <w:r w:rsidR="00BF5EB7">
              <w:rPr>
                <w:noProof/>
                <w:webHidden/>
              </w:rPr>
            </w:r>
            <w:r w:rsidR="00BF5EB7">
              <w:rPr>
                <w:noProof/>
                <w:webHidden/>
              </w:rPr>
              <w:fldChar w:fldCharType="separate"/>
            </w:r>
            <w:r w:rsidR="00BF5EB7">
              <w:rPr>
                <w:noProof/>
                <w:webHidden/>
              </w:rPr>
              <w:t>38</w:t>
            </w:r>
            <w:r w:rsidR="00BF5EB7">
              <w:rPr>
                <w:noProof/>
                <w:webHidden/>
              </w:rPr>
              <w:fldChar w:fldCharType="end"/>
            </w:r>
          </w:hyperlink>
        </w:p>
        <w:p w14:paraId="54CE6D72" w14:textId="739562D4" w:rsidR="00BF5EB7" w:rsidRDefault="00666CEC">
          <w:pPr>
            <w:pStyle w:val="TOC2"/>
            <w:rPr>
              <w:rFonts w:asciiTheme="minorHAnsi" w:eastAsiaTheme="minorEastAsia" w:hAnsiTheme="minorHAnsi" w:cstheme="minorBidi"/>
              <w:bCs w:val="0"/>
              <w:kern w:val="2"/>
              <w:sz w:val="24"/>
              <w14:ligatures w14:val="standardContextual"/>
            </w:rPr>
          </w:pPr>
          <w:hyperlink w:anchor="_Toc174635368" w:history="1">
            <w:r w:rsidR="00BF5EB7" w:rsidRPr="00F93CEB">
              <w:rPr>
                <w:rStyle w:val="Hyperlink"/>
              </w:rPr>
              <w:t>H.  PERIOD OF PERFORMANCE</w:t>
            </w:r>
            <w:r w:rsidR="00BF5EB7">
              <w:rPr>
                <w:webHidden/>
              </w:rPr>
              <w:tab/>
            </w:r>
            <w:r w:rsidR="00BF5EB7">
              <w:rPr>
                <w:webHidden/>
              </w:rPr>
              <w:fldChar w:fldCharType="begin"/>
            </w:r>
            <w:r w:rsidR="00BF5EB7">
              <w:rPr>
                <w:webHidden/>
              </w:rPr>
              <w:instrText xml:space="preserve"> PAGEREF _Toc174635368 \h </w:instrText>
            </w:r>
            <w:r w:rsidR="00BF5EB7">
              <w:rPr>
                <w:webHidden/>
              </w:rPr>
            </w:r>
            <w:r w:rsidR="00BF5EB7">
              <w:rPr>
                <w:webHidden/>
              </w:rPr>
              <w:fldChar w:fldCharType="separate"/>
            </w:r>
            <w:r w:rsidR="00BF5EB7">
              <w:rPr>
                <w:webHidden/>
              </w:rPr>
              <w:t>40</w:t>
            </w:r>
            <w:r w:rsidR="00BF5EB7">
              <w:rPr>
                <w:webHidden/>
              </w:rPr>
              <w:fldChar w:fldCharType="end"/>
            </w:r>
          </w:hyperlink>
        </w:p>
        <w:p w14:paraId="0E4987A8" w14:textId="6E5887C4"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69" w:history="1">
            <w:r w:rsidR="00BF5EB7" w:rsidRPr="00F93CEB">
              <w:rPr>
                <w:rStyle w:val="Hyperlink"/>
                <w:rFonts w:cs="Arial"/>
                <w:noProof/>
              </w:rPr>
              <w:t>OMB Compliance Requirements</w:t>
            </w:r>
            <w:r w:rsidR="00BF5EB7">
              <w:rPr>
                <w:noProof/>
                <w:webHidden/>
              </w:rPr>
              <w:tab/>
            </w:r>
            <w:r w:rsidR="00BF5EB7">
              <w:rPr>
                <w:noProof/>
                <w:webHidden/>
              </w:rPr>
              <w:fldChar w:fldCharType="begin"/>
            </w:r>
            <w:r w:rsidR="00BF5EB7">
              <w:rPr>
                <w:noProof/>
                <w:webHidden/>
              </w:rPr>
              <w:instrText xml:space="preserve"> PAGEREF _Toc174635369 \h </w:instrText>
            </w:r>
            <w:r w:rsidR="00BF5EB7">
              <w:rPr>
                <w:noProof/>
                <w:webHidden/>
              </w:rPr>
            </w:r>
            <w:r w:rsidR="00BF5EB7">
              <w:rPr>
                <w:noProof/>
                <w:webHidden/>
              </w:rPr>
              <w:fldChar w:fldCharType="separate"/>
            </w:r>
            <w:r w:rsidR="00BF5EB7">
              <w:rPr>
                <w:noProof/>
                <w:webHidden/>
              </w:rPr>
              <w:t>40</w:t>
            </w:r>
            <w:r w:rsidR="00BF5EB7">
              <w:rPr>
                <w:noProof/>
                <w:webHidden/>
              </w:rPr>
              <w:fldChar w:fldCharType="end"/>
            </w:r>
          </w:hyperlink>
        </w:p>
        <w:p w14:paraId="35E5F852" w14:textId="0CAC73AD"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70" w:history="1">
            <w:r w:rsidR="00BF5EB7" w:rsidRPr="00F93CEB">
              <w:rPr>
                <w:rStyle w:val="Hyperlink"/>
                <w:rFonts w:cs="Arial"/>
                <w:noProof/>
              </w:rPr>
              <w:t>Additional Program Specific Information</w:t>
            </w:r>
            <w:r w:rsidR="00BF5EB7">
              <w:rPr>
                <w:noProof/>
                <w:webHidden/>
              </w:rPr>
              <w:tab/>
            </w:r>
            <w:r w:rsidR="00BF5EB7">
              <w:rPr>
                <w:noProof/>
                <w:webHidden/>
              </w:rPr>
              <w:fldChar w:fldCharType="begin"/>
            </w:r>
            <w:r w:rsidR="00BF5EB7">
              <w:rPr>
                <w:noProof/>
                <w:webHidden/>
              </w:rPr>
              <w:instrText xml:space="preserve"> PAGEREF _Toc174635370 \h </w:instrText>
            </w:r>
            <w:r w:rsidR="00BF5EB7">
              <w:rPr>
                <w:noProof/>
                <w:webHidden/>
              </w:rPr>
            </w:r>
            <w:r w:rsidR="00BF5EB7">
              <w:rPr>
                <w:noProof/>
                <w:webHidden/>
              </w:rPr>
              <w:fldChar w:fldCharType="separate"/>
            </w:r>
            <w:r w:rsidR="00BF5EB7">
              <w:rPr>
                <w:noProof/>
                <w:webHidden/>
              </w:rPr>
              <w:t>41</w:t>
            </w:r>
            <w:r w:rsidR="00BF5EB7">
              <w:rPr>
                <w:noProof/>
                <w:webHidden/>
              </w:rPr>
              <w:fldChar w:fldCharType="end"/>
            </w:r>
          </w:hyperlink>
        </w:p>
        <w:p w14:paraId="527435C8" w14:textId="5E0DEF69"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71" w:history="1">
            <w:r w:rsidR="00BF5EB7" w:rsidRPr="00F93CEB">
              <w:rPr>
                <w:rStyle w:val="Hyperlink"/>
                <w:rFonts w:cs="Arial"/>
                <w:noProof/>
              </w:rPr>
              <w:t>Audit Objectives and Control Testing</w:t>
            </w:r>
            <w:r w:rsidR="00BF5EB7">
              <w:rPr>
                <w:noProof/>
                <w:webHidden/>
              </w:rPr>
              <w:tab/>
            </w:r>
            <w:r w:rsidR="00BF5EB7">
              <w:rPr>
                <w:noProof/>
                <w:webHidden/>
              </w:rPr>
              <w:fldChar w:fldCharType="begin"/>
            </w:r>
            <w:r w:rsidR="00BF5EB7">
              <w:rPr>
                <w:noProof/>
                <w:webHidden/>
              </w:rPr>
              <w:instrText xml:space="preserve"> PAGEREF _Toc174635371 \h </w:instrText>
            </w:r>
            <w:r w:rsidR="00BF5EB7">
              <w:rPr>
                <w:noProof/>
                <w:webHidden/>
              </w:rPr>
            </w:r>
            <w:r w:rsidR="00BF5EB7">
              <w:rPr>
                <w:noProof/>
                <w:webHidden/>
              </w:rPr>
              <w:fldChar w:fldCharType="separate"/>
            </w:r>
            <w:r w:rsidR="00BF5EB7">
              <w:rPr>
                <w:noProof/>
                <w:webHidden/>
              </w:rPr>
              <w:t>41</w:t>
            </w:r>
            <w:r w:rsidR="00BF5EB7">
              <w:rPr>
                <w:noProof/>
                <w:webHidden/>
              </w:rPr>
              <w:fldChar w:fldCharType="end"/>
            </w:r>
          </w:hyperlink>
        </w:p>
        <w:p w14:paraId="4F402B3F" w14:textId="19016294"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72" w:history="1">
            <w:r w:rsidR="00BF5EB7" w:rsidRPr="00F93CEB">
              <w:rPr>
                <w:rStyle w:val="Hyperlink"/>
                <w:rFonts w:cs="Arial"/>
                <w:noProof/>
              </w:rPr>
              <w:t>Suggested Substantive Audit Procedures – Compliance</w:t>
            </w:r>
            <w:r w:rsidR="00BF5EB7">
              <w:rPr>
                <w:noProof/>
                <w:webHidden/>
              </w:rPr>
              <w:tab/>
            </w:r>
            <w:r w:rsidR="00BF5EB7">
              <w:rPr>
                <w:noProof/>
                <w:webHidden/>
              </w:rPr>
              <w:fldChar w:fldCharType="begin"/>
            </w:r>
            <w:r w:rsidR="00BF5EB7">
              <w:rPr>
                <w:noProof/>
                <w:webHidden/>
              </w:rPr>
              <w:instrText xml:space="preserve"> PAGEREF _Toc174635372 \h </w:instrText>
            </w:r>
            <w:r w:rsidR="00BF5EB7">
              <w:rPr>
                <w:noProof/>
                <w:webHidden/>
              </w:rPr>
            </w:r>
            <w:r w:rsidR="00BF5EB7">
              <w:rPr>
                <w:noProof/>
                <w:webHidden/>
              </w:rPr>
              <w:fldChar w:fldCharType="separate"/>
            </w:r>
            <w:r w:rsidR="00BF5EB7">
              <w:rPr>
                <w:noProof/>
                <w:webHidden/>
              </w:rPr>
              <w:t>42</w:t>
            </w:r>
            <w:r w:rsidR="00BF5EB7">
              <w:rPr>
                <w:noProof/>
                <w:webHidden/>
              </w:rPr>
              <w:fldChar w:fldCharType="end"/>
            </w:r>
          </w:hyperlink>
        </w:p>
        <w:p w14:paraId="6BC7F7CF" w14:textId="42356CA6"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73" w:history="1">
            <w:r w:rsidR="00BF5EB7" w:rsidRPr="00F93CEB">
              <w:rPr>
                <w:rStyle w:val="Hyperlink"/>
                <w:rFonts w:cs="Arial"/>
                <w:noProof/>
              </w:rPr>
              <w:t>Audit Implications Summary</w:t>
            </w:r>
            <w:r w:rsidR="00BF5EB7">
              <w:rPr>
                <w:noProof/>
                <w:webHidden/>
              </w:rPr>
              <w:tab/>
            </w:r>
            <w:r w:rsidR="00BF5EB7">
              <w:rPr>
                <w:noProof/>
                <w:webHidden/>
              </w:rPr>
              <w:fldChar w:fldCharType="begin"/>
            </w:r>
            <w:r w:rsidR="00BF5EB7">
              <w:rPr>
                <w:noProof/>
                <w:webHidden/>
              </w:rPr>
              <w:instrText xml:space="preserve"> PAGEREF _Toc174635373 \h </w:instrText>
            </w:r>
            <w:r w:rsidR="00BF5EB7">
              <w:rPr>
                <w:noProof/>
                <w:webHidden/>
              </w:rPr>
            </w:r>
            <w:r w:rsidR="00BF5EB7">
              <w:rPr>
                <w:noProof/>
                <w:webHidden/>
              </w:rPr>
              <w:fldChar w:fldCharType="separate"/>
            </w:r>
            <w:r w:rsidR="00BF5EB7">
              <w:rPr>
                <w:noProof/>
                <w:webHidden/>
              </w:rPr>
              <w:t>43</w:t>
            </w:r>
            <w:r w:rsidR="00BF5EB7">
              <w:rPr>
                <w:noProof/>
                <w:webHidden/>
              </w:rPr>
              <w:fldChar w:fldCharType="end"/>
            </w:r>
          </w:hyperlink>
        </w:p>
        <w:p w14:paraId="717ABDED" w14:textId="3088B25A" w:rsidR="00BF5EB7" w:rsidRDefault="00666CEC">
          <w:pPr>
            <w:pStyle w:val="TOC2"/>
            <w:rPr>
              <w:rFonts w:asciiTheme="minorHAnsi" w:eastAsiaTheme="minorEastAsia" w:hAnsiTheme="minorHAnsi" w:cstheme="minorBidi"/>
              <w:bCs w:val="0"/>
              <w:kern w:val="2"/>
              <w:sz w:val="24"/>
              <w14:ligatures w14:val="standardContextual"/>
            </w:rPr>
          </w:pPr>
          <w:hyperlink w:anchor="_Toc174635374" w:history="1">
            <w:r w:rsidR="00BF5EB7" w:rsidRPr="00F93CEB">
              <w:rPr>
                <w:rStyle w:val="Hyperlink"/>
              </w:rPr>
              <w:t>L.  REPORTING</w:t>
            </w:r>
            <w:r w:rsidR="00BF5EB7">
              <w:rPr>
                <w:webHidden/>
              </w:rPr>
              <w:tab/>
            </w:r>
            <w:r w:rsidR="00BF5EB7">
              <w:rPr>
                <w:webHidden/>
              </w:rPr>
              <w:fldChar w:fldCharType="begin"/>
            </w:r>
            <w:r w:rsidR="00BF5EB7">
              <w:rPr>
                <w:webHidden/>
              </w:rPr>
              <w:instrText xml:space="preserve"> PAGEREF _Toc174635374 \h </w:instrText>
            </w:r>
            <w:r w:rsidR="00BF5EB7">
              <w:rPr>
                <w:webHidden/>
              </w:rPr>
            </w:r>
            <w:r w:rsidR="00BF5EB7">
              <w:rPr>
                <w:webHidden/>
              </w:rPr>
              <w:fldChar w:fldCharType="separate"/>
            </w:r>
            <w:r w:rsidR="00BF5EB7">
              <w:rPr>
                <w:webHidden/>
              </w:rPr>
              <w:t>44</w:t>
            </w:r>
            <w:r w:rsidR="00BF5EB7">
              <w:rPr>
                <w:webHidden/>
              </w:rPr>
              <w:fldChar w:fldCharType="end"/>
            </w:r>
          </w:hyperlink>
        </w:p>
        <w:p w14:paraId="0CD52583" w14:textId="1F0A0F80"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75" w:history="1">
            <w:r w:rsidR="00BF5EB7" w:rsidRPr="00F93CEB">
              <w:rPr>
                <w:rStyle w:val="Hyperlink"/>
                <w:rFonts w:cs="Arial"/>
                <w:noProof/>
              </w:rPr>
              <w:t>OMB Compliance Requirements</w:t>
            </w:r>
            <w:r w:rsidR="00BF5EB7">
              <w:rPr>
                <w:noProof/>
                <w:webHidden/>
              </w:rPr>
              <w:tab/>
            </w:r>
            <w:r w:rsidR="00BF5EB7">
              <w:rPr>
                <w:noProof/>
                <w:webHidden/>
              </w:rPr>
              <w:fldChar w:fldCharType="begin"/>
            </w:r>
            <w:r w:rsidR="00BF5EB7">
              <w:rPr>
                <w:noProof/>
                <w:webHidden/>
              </w:rPr>
              <w:instrText xml:space="preserve"> PAGEREF _Toc174635375 \h </w:instrText>
            </w:r>
            <w:r w:rsidR="00BF5EB7">
              <w:rPr>
                <w:noProof/>
                <w:webHidden/>
              </w:rPr>
            </w:r>
            <w:r w:rsidR="00BF5EB7">
              <w:rPr>
                <w:noProof/>
                <w:webHidden/>
              </w:rPr>
              <w:fldChar w:fldCharType="separate"/>
            </w:r>
            <w:r w:rsidR="00BF5EB7">
              <w:rPr>
                <w:noProof/>
                <w:webHidden/>
              </w:rPr>
              <w:t>44</w:t>
            </w:r>
            <w:r w:rsidR="00BF5EB7">
              <w:rPr>
                <w:noProof/>
                <w:webHidden/>
              </w:rPr>
              <w:fldChar w:fldCharType="end"/>
            </w:r>
          </w:hyperlink>
        </w:p>
        <w:p w14:paraId="680CC22B" w14:textId="29A20472"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76" w:history="1">
            <w:r w:rsidR="00BF5EB7" w:rsidRPr="00F93CEB">
              <w:rPr>
                <w:rStyle w:val="Hyperlink"/>
                <w:rFonts w:cs="Arial"/>
                <w:noProof/>
              </w:rPr>
              <w:t>Additional Program Specific Information</w:t>
            </w:r>
            <w:r w:rsidR="00BF5EB7">
              <w:rPr>
                <w:noProof/>
                <w:webHidden/>
              </w:rPr>
              <w:tab/>
            </w:r>
            <w:r w:rsidR="00BF5EB7">
              <w:rPr>
                <w:noProof/>
                <w:webHidden/>
              </w:rPr>
              <w:fldChar w:fldCharType="begin"/>
            </w:r>
            <w:r w:rsidR="00BF5EB7">
              <w:rPr>
                <w:noProof/>
                <w:webHidden/>
              </w:rPr>
              <w:instrText xml:space="preserve"> PAGEREF _Toc174635376 \h </w:instrText>
            </w:r>
            <w:r w:rsidR="00BF5EB7">
              <w:rPr>
                <w:noProof/>
                <w:webHidden/>
              </w:rPr>
            </w:r>
            <w:r w:rsidR="00BF5EB7">
              <w:rPr>
                <w:noProof/>
                <w:webHidden/>
              </w:rPr>
              <w:fldChar w:fldCharType="separate"/>
            </w:r>
            <w:r w:rsidR="00BF5EB7">
              <w:rPr>
                <w:noProof/>
                <w:webHidden/>
              </w:rPr>
              <w:t>46</w:t>
            </w:r>
            <w:r w:rsidR="00BF5EB7">
              <w:rPr>
                <w:noProof/>
                <w:webHidden/>
              </w:rPr>
              <w:fldChar w:fldCharType="end"/>
            </w:r>
          </w:hyperlink>
        </w:p>
        <w:p w14:paraId="4C81D292" w14:textId="204C1D30"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77" w:history="1">
            <w:r w:rsidR="00BF5EB7" w:rsidRPr="00F93CEB">
              <w:rPr>
                <w:rStyle w:val="Hyperlink"/>
                <w:rFonts w:cs="Arial"/>
                <w:noProof/>
              </w:rPr>
              <w:t>Audit Objectives and Control Testing</w:t>
            </w:r>
            <w:r w:rsidR="00BF5EB7">
              <w:rPr>
                <w:noProof/>
                <w:webHidden/>
              </w:rPr>
              <w:tab/>
            </w:r>
            <w:r w:rsidR="00BF5EB7">
              <w:rPr>
                <w:noProof/>
                <w:webHidden/>
              </w:rPr>
              <w:fldChar w:fldCharType="begin"/>
            </w:r>
            <w:r w:rsidR="00BF5EB7">
              <w:rPr>
                <w:noProof/>
                <w:webHidden/>
              </w:rPr>
              <w:instrText xml:space="preserve"> PAGEREF _Toc174635377 \h </w:instrText>
            </w:r>
            <w:r w:rsidR="00BF5EB7">
              <w:rPr>
                <w:noProof/>
                <w:webHidden/>
              </w:rPr>
            </w:r>
            <w:r w:rsidR="00BF5EB7">
              <w:rPr>
                <w:noProof/>
                <w:webHidden/>
              </w:rPr>
              <w:fldChar w:fldCharType="separate"/>
            </w:r>
            <w:r w:rsidR="00BF5EB7">
              <w:rPr>
                <w:noProof/>
                <w:webHidden/>
              </w:rPr>
              <w:t>46</w:t>
            </w:r>
            <w:r w:rsidR="00BF5EB7">
              <w:rPr>
                <w:noProof/>
                <w:webHidden/>
              </w:rPr>
              <w:fldChar w:fldCharType="end"/>
            </w:r>
          </w:hyperlink>
        </w:p>
        <w:p w14:paraId="2B781AE9" w14:textId="2BE948F7"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78" w:history="1">
            <w:r w:rsidR="00BF5EB7" w:rsidRPr="00F93CEB">
              <w:rPr>
                <w:rStyle w:val="Hyperlink"/>
                <w:rFonts w:cs="Arial"/>
                <w:noProof/>
              </w:rPr>
              <w:t>Suggested Substantive Audit Procedures – Compliance</w:t>
            </w:r>
            <w:r w:rsidR="00BF5EB7">
              <w:rPr>
                <w:noProof/>
                <w:webHidden/>
              </w:rPr>
              <w:tab/>
            </w:r>
            <w:r w:rsidR="00BF5EB7">
              <w:rPr>
                <w:noProof/>
                <w:webHidden/>
              </w:rPr>
              <w:fldChar w:fldCharType="begin"/>
            </w:r>
            <w:r w:rsidR="00BF5EB7">
              <w:rPr>
                <w:noProof/>
                <w:webHidden/>
              </w:rPr>
              <w:instrText xml:space="preserve"> PAGEREF _Toc174635378 \h </w:instrText>
            </w:r>
            <w:r w:rsidR="00BF5EB7">
              <w:rPr>
                <w:noProof/>
                <w:webHidden/>
              </w:rPr>
            </w:r>
            <w:r w:rsidR="00BF5EB7">
              <w:rPr>
                <w:noProof/>
                <w:webHidden/>
              </w:rPr>
              <w:fldChar w:fldCharType="separate"/>
            </w:r>
            <w:r w:rsidR="00BF5EB7">
              <w:rPr>
                <w:noProof/>
                <w:webHidden/>
              </w:rPr>
              <w:t>47</w:t>
            </w:r>
            <w:r w:rsidR="00BF5EB7">
              <w:rPr>
                <w:noProof/>
                <w:webHidden/>
              </w:rPr>
              <w:fldChar w:fldCharType="end"/>
            </w:r>
          </w:hyperlink>
        </w:p>
        <w:p w14:paraId="39AD1764" w14:textId="737C343E" w:rsidR="00BF5EB7" w:rsidRDefault="00666CEC">
          <w:pPr>
            <w:pStyle w:val="TOC3"/>
            <w:rPr>
              <w:rFonts w:asciiTheme="minorHAnsi" w:eastAsiaTheme="minorEastAsia" w:hAnsiTheme="minorHAnsi" w:cstheme="minorBidi"/>
              <w:b w:val="0"/>
              <w:noProof/>
              <w:kern w:val="2"/>
              <w:sz w:val="24"/>
              <w:szCs w:val="24"/>
              <w14:ligatures w14:val="standardContextual"/>
            </w:rPr>
          </w:pPr>
          <w:hyperlink w:anchor="_Toc174635379" w:history="1">
            <w:r w:rsidR="00BF5EB7" w:rsidRPr="00F93CEB">
              <w:rPr>
                <w:rStyle w:val="Hyperlink"/>
                <w:rFonts w:cs="Arial"/>
                <w:noProof/>
              </w:rPr>
              <w:t>Audit Implications Summary</w:t>
            </w:r>
            <w:r w:rsidR="00BF5EB7">
              <w:rPr>
                <w:noProof/>
                <w:webHidden/>
              </w:rPr>
              <w:tab/>
            </w:r>
            <w:r w:rsidR="00BF5EB7">
              <w:rPr>
                <w:noProof/>
                <w:webHidden/>
              </w:rPr>
              <w:fldChar w:fldCharType="begin"/>
            </w:r>
            <w:r w:rsidR="00BF5EB7">
              <w:rPr>
                <w:noProof/>
                <w:webHidden/>
              </w:rPr>
              <w:instrText xml:space="preserve"> PAGEREF _Toc174635379 \h </w:instrText>
            </w:r>
            <w:r w:rsidR="00BF5EB7">
              <w:rPr>
                <w:noProof/>
                <w:webHidden/>
              </w:rPr>
            </w:r>
            <w:r w:rsidR="00BF5EB7">
              <w:rPr>
                <w:noProof/>
                <w:webHidden/>
              </w:rPr>
              <w:fldChar w:fldCharType="separate"/>
            </w:r>
            <w:r w:rsidR="00BF5EB7">
              <w:rPr>
                <w:noProof/>
                <w:webHidden/>
              </w:rPr>
              <w:t>49</w:t>
            </w:r>
            <w:r w:rsidR="00BF5EB7">
              <w:rPr>
                <w:noProof/>
                <w:webHidden/>
              </w:rPr>
              <w:fldChar w:fldCharType="end"/>
            </w:r>
          </w:hyperlink>
        </w:p>
        <w:p w14:paraId="40671A64" w14:textId="241A3EB2" w:rsidR="00BF5EB7" w:rsidRDefault="00666CEC">
          <w:pPr>
            <w:pStyle w:val="TOC2"/>
            <w:rPr>
              <w:rFonts w:asciiTheme="minorHAnsi" w:eastAsiaTheme="minorEastAsia" w:hAnsiTheme="minorHAnsi" w:cstheme="minorBidi"/>
              <w:bCs w:val="0"/>
              <w:kern w:val="2"/>
              <w:sz w:val="24"/>
              <w14:ligatures w14:val="standardContextual"/>
            </w:rPr>
          </w:pPr>
          <w:hyperlink w:anchor="_Toc174635380" w:history="1">
            <w:r w:rsidR="00BF5EB7" w:rsidRPr="00F93CEB">
              <w:rPr>
                <w:rStyle w:val="Hyperlink"/>
              </w:rPr>
              <w:t>Program Testing Conclusion</w:t>
            </w:r>
            <w:r w:rsidR="00BF5EB7">
              <w:rPr>
                <w:webHidden/>
              </w:rPr>
              <w:tab/>
            </w:r>
            <w:r w:rsidR="00BF5EB7">
              <w:rPr>
                <w:webHidden/>
              </w:rPr>
              <w:fldChar w:fldCharType="begin"/>
            </w:r>
            <w:r w:rsidR="00BF5EB7">
              <w:rPr>
                <w:webHidden/>
              </w:rPr>
              <w:instrText xml:space="preserve"> PAGEREF _Toc174635380 \h </w:instrText>
            </w:r>
            <w:r w:rsidR="00BF5EB7">
              <w:rPr>
                <w:webHidden/>
              </w:rPr>
            </w:r>
            <w:r w:rsidR="00BF5EB7">
              <w:rPr>
                <w:webHidden/>
              </w:rPr>
              <w:fldChar w:fldCharType="separate"/>
            </w:r>
            <w:r w:rsidR="00BF5EB7">
              <w:rPr>
                <w:webHidden/>
              </w:rPr>
              <w:t>50</w:t>
            </w:r>
            <w:r w:rsidR="00BF5EB7">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4635339"/>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07E12FC0" w:rsidR="00A3491E" w:rsidRPr="00F00D94" w:rsidRDefault="00230FA4"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666C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0BAFF5D0" w:rsidR="00A3491E" w:rsidRPr="00F00D94" w:rsidRDefault="00230FA4"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4C2CCFDB" w:rsidR="007C67FD" w:rsidRPr="00F00D94" w:rsidRDefault="00230FA4"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A1405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4D08A7B9" w:rsidR="007C67FD" w:rsidRPr="00F00D94" w:rsidRDefault="00230FA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39B307D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24404368" w:rsidR="007C67FD" w:rsidRPr="00F00D94" w:rsidRDefault="007C67FD" w:rsidP="007C67FD">
            <w:pPr>
              <w:jc w:val="center"/>
              <w:rPr>
                <w:rFonts w:ascii="Arial" w:hAnsi="Arial" w:cs="Arial"/>
                <w:i/>
                <w:iCs/>
              </w:rPr>
            </w:pPr>
          </w:p>
        </w:tc>
      </w:tr>
      <w:tr w:rsidR="007C67FD" w:rsidRPr="00F00D94" w14:paraId="75696477" w14:textId="77777777" w:rsidTr="00A1405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23B5D58F" w:rsidR="007C67FD" w:rsidRPr="00F00D94" w:rsidRDefault="00230FA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5066BC21"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104C258B" w:rsidR="007C67FD" w:rsidRPr="00F00D94" w:rsidRDefault="007C67FD" w:rsidP="007C67FD">
            <w:pPr>
              <w:jc w:val="center"/>
              <w:rPr>
                <w:rFonts w:ascii="Arial" w:hAnsi="Arial" w:cs="Arial"/>
                <w:i/>
                <w:iCs/>
              </w:rPr>
            </w:pPr>
          </w:p>
        </w:tc>
      </w:tr>
      <w:tr w:rsidR="007C67FD" w:rsidRPr="00F00D94" w14:paraId="43A8818F" w14:textId="77777777" w:rsidTr="00A1405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37C7F9A1" w:rsidR="007C67FD" w:rsidRPr="00F00D94" w:rsidRDefault="00230FA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63F696C" w14:textId="5448FA0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FD6A3D1" w14:textId="0EAC7852" w:rsidR="007C67FD" w:rsidRPr="00F00D94" w:rsidRDefault="007C67FD" w:rsidP="007C67FD">
            <w:pPr>
              <w:jc w:val="center"/>
              <w:rPr>
                <w:rFonts w:ascii="Arial" w:hAnsi="Arial" w:cs="Arial"/>
                <w:i/>
                <w:iCs/>
              </w:rPr>
            </w:pP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3EB9847D" w:rsidR="007C67FD" w:rsidRPr="00F00D94" w:rsidRDefault="00230FA4"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A1405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15158A2A" w:rsidR="007C67FD" w:rsidRPr="00F00D94" w:rsidRDefault="00230FA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0990A7D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0D84034E" w:rsidR="007C67FD" w:rsidRPr="00F00D94" w:rsidRDefault="007C67FD" w:rsidP="007C67FD">
            <w:pPr>
              <w:jc w:val="center"/>
              <w:rPr>
                <w:rFonts w:ascii="Arial" w:hAnsi="Arial" w:cs="Arial"/>
                <w:i/>
                <w:iCs/>
              </w:rPr>
            </w:pPr>
          </w:p>
        </w:tc>
      </w:tr>
      <w:tr w:rsidR="007C67FD" w:rsidRPr="00F00D94" w14:paraId="16987E1E" w14:textId="77777777" w:rsidTr="00A1405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7F428C20" w:rsidR="007C67FD" w:rsidRPr="00F00D94" w:rsidRDefault="00230FA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1C7F882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6396F836"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01E6039B" w:rsidR="007C67FD" w:rsidRPr="00F00D94" w:rsidRDefault="00230FA4"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A1405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303ED814" w:rsidR="007C67FD" w:rsidRPr="00F00D94" w:rsidRDefault="00230FA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31BD2AB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411CE5C1" w:rsidR="007C67FD" w:rsidRPr="00F00D94" w:rsidRDefault="007C67FD" w:rsidP="007C67FD">
            <w:pPr>
              <w:jc w:val="center"/>
              <w:rPr>
                <w:rFonts w:ascii="Arial" w:hAnsi="Arial" w:cs="Arial"/>
                <w:i/>
                <w:iCs/>
              </w:rPr>
            </w:pPr>
          </w:p>
        </w:tc>
      </w:tr>
      <w:tr w:rsidR="007C67FD" w:rsidRPr="00F00D94" w14:paraId="6B68C39A" w14:textId="77777777" w:rsidTr="00A1405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46A5A852" w14:textId="77777777" w:rsidR="007C67FD" w:rsidRDefault="007C67FD" w:rsidP="007C67FD">
            <w:pPr>
              <w:jc w:val="both"/>
              <w:rPr>
                <w:rFonts w:ascii="Arial" w:hAnsi="Arial" w:cs="Arial"/>
                <w:b/>
                <w:bCs/>
              </w:rPr>
            </w:pPr>
            <w:r w:rsidRPr="00F00D94">
              <w:rPr>
                <w:rFonts w:ascii="Arial" w:hAnsi="Arial" w:cs="Arial"/>
                <w:b/>
                <w:bCs/>
              </w:rPr>
              <w:t xml:space="preserve">Special Tests &amp; Provisions </w:t>
            </w:r>
          </w:p>
          <w:p w14:paraId="1C8AB68D" w14:textId="2D26DAD3" w:rsidR="007C67FD" w:rsidRPr="00F00D94" w:rsidRDefault="007C67FD" w:rsidP="007C67FD">
            <w:pPr>
              <w:jc w:val="both"/>
              <w:rPr>
                <w:rFonts w:ascii="Arial" w:hAnsi="Arial" w:cs="Arial"/>
                <w:b/>
                <w:bCs/>
              </w:rPr>
            </w:pPr>
            <w:r w:rsidRPr="00F00D94">
              <w:rPr>
                <w:rFonts w:ascii="Arial" w:hAnsi="Arial" w:cs="Arial"/>
                <w:b/>
                <w:bCs/>
              </w:rPr>
              <w:t>(Provide an assessment for each)</w:t>
            </w:r>
          </w:p>
        </w:tc>
        <w:tc>
          <w:tcPr>
            <w:tcW w:w="410" w:type="pct"/>
            <w:tcBorders>
              <w:top w:val="nil"/>
              <w:left w:val="nil"/>
              <w:bottom w:val="single" w:sz="4" w:space="0" w:color="auto"/>
              <w:right w:val="single" w:sz="4" w:space="0" w:color="auto"/>
            </w:tcBorders>
          </w:tcPr>
          <w:p w14:paraId="24CFD221" w14:textId="4CA115D4" w:rsidR="007C67FD" w:rsidRPr="00F00D94" w:rsidRDefault="00230FA4"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0CA7023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7E0BECE9"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666CEC"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4635340"/>
      <w:r w:rsidRPr="00A0464C">
        <w:rPr>
          <w:rFonts w:cs="Arial"/>
          <w:sz w:val="24"/>
        </w:rPr>
        <w:lastRenderedPageBreak/>
        <w:t>Part I</w:t>
      </w:r>
      <w:bookmarkEnd w:id="14"/>
      <w:r w:rsidR="003644ED" w:rsidRPr="00A0464C">
        <w:rPr>
          <w:rFonts w:cs="Arial"/>
          <w:sz w:val="24"/>
        </w:rPr>
        <w:t xml:space="preserve"> – OMB Compliance Supplement Information</w:t>
      </w:r>
      <w:bookmarkEnd w:id="15"/>
    </w:p>
    <w:p w14:paraId="240AA8D7" w14:textId="77777777" w:rsidR="009656BB" w:rsidRPr="00A0464C" w:rsidRDefault="009656BB" w:rsidP="006672EA">
      <w:pPr>
        <w:pStyle w:val="Heading3"/>
        <w:jc w:val="both"/>
        <w:rPr>
          <w:rFonts w:cs="Arial"/>
          <w:sz w:val="24"/>
          <w:szCs w:val="24"/>
        </w:rPr>
      </w:pPr>
      <w:bookmarkStart w:id="16" w:name="_Toc174635341"/>
      <w:r w:rsidRPr="00A0464C">
        <w:rPr>
          <w:rFonts w:cs="Arial"/>
          <w:sz w:val="24"/>
          <w:szCs w:val="24"/>
        </w:rPr>
        <w:t>I. Program Objectives</w:t>
      </w:r>
      <w:bookmarkEnd w:id="16"/>
    </w:p>
    <w:p w14:paraId="09B93118" w14:textId="159A82B5" w:rsidR="00230FA4" w:rsidRPr="00230FA4" w:rsidRDefault="00230FA4" w:rsidP="00230FA4">
      <w:pPr>
        <w:spacing w:after="240"/>
        <w:jc w:val="both"/>
        <w:rPr>
          <w:rFonts w:ascii="Arial" w:hAnsi="Arial" w:cs="Arial"/>
          <w:bCs/>
        </w:rPr>
      </w:pPr>
      <w:r w:rsidRPr="00230FA4">
        <w:rPr>
          <w:rFonts w:ascii="Arial" w:hAnsi="Arial" w:cs="Arial"/>
          <w:bCs/>
        </w:rPr>
        <w:t>The primary objective of the Capital Fund Program (CFP) is to make assistance available to public housing agencies (PHAs) to carry out capital and management improvement activities. The CFP can also be used for demolition, resident relocation, resident economic development, security, financing costs, and homeownership. The CFP is the major source of funding made available by HUD to PHAs for their capital activities, including modernization and development of public housing.</w:t>
      </w:r>
    </w:p>
    <w:p w14:paraId="4754F3E5" w14:textId="26F5A82B" w:rsidR="00230FA4" w:rsidRPr="00230FA4" w:rsidRDefault="00230FA4" w:rsidP="00230FA4">
      <w:pPr>
        <w:spacing w:after="240"/>
        <w:jc w:val="both"/>
        <w:rPr>
          <w:rFonts w:ascii="Arial" w:hAnsi="Arial" w:cs="Arial"/>
          <w:bCs/>
        </w:rPr>
      </w:pPr>
      <w:r w:rsidRPr="00230FA4">
        <w:rPr>
          <w:rFonts w:ascii="Arial" w:hAnsi="Arial" w:cs="Arial"/>
          <w:bCs/>
        </w:rPr>
        <w:t>The objectives of modernization activities are the repair/replacement of aging building systems and the improvement of the physical condition of existing public housing developments, including the redesign, reconstruction, addition, and reconfiguration of public housing sites, buildings, facilities and/or related appurtenances or improvements (including accessibility improvements).</w:t>
      </w:r>
    </w:p>
    <w:p w14:paraId="0130D425" w14:textId="5F683B61" w:rsidR="00230FA4" w:rsidRPr="00230FA4" w:rsidRDefault="00230FA4" w:rsidP="00230FA4">
      <w:pPr>
        <w:spacing w:after="240"/>
        <w:jc w:val="both"/>
        <w:rPr>
          <w:rFonts w:ascii="Arial" w:hAnsi="Arial" w:cs="Arial"/>
          <w:bCs/>
        </w:rPr>
      </w:pPr>
      <w:r w:rsidRPr="00230FA4">
        <w:rPr>
          <w:rFonts w:ascii="Arial" w:hAnsi="Arial" w:cs="Arial"/>
          <w:bCs/>
        </w:rPr>
        <w:t>The objectives of management improvement activities are to upgrade the operation of public housing developments, sustain physical improvements at those developments, or correct management deficiencies.</w:t>
      </w:r>
    </w:p>
    <w:p w14:paraId="553A0B3A" w14:textId="77777777" w:rsidR="00230FA4" w:rsidRDefault="00230FA4" w:rsidP="00230FA4">
      <w:pPr>
        <w:jc w:val="both"/>
        <w:rPr>
          <w:rFonts w:ascii="Arial" w:hAnsi="Arial" w:cs="Arial"/>
          <w:bCs/>
        </w:rPr>
      </w:pPr>
      <w:r w:rsidRPr="00230FA4">
        <w:rPr>
          <w:rFonts w:ascii="Arial" w:hAnsi="Arial" w:cs="Arial"/>
          <w:bCs/>
        </w:rPr>
        <w:t>The objective of development activities is to provide PHAs with the opportunity to replace, build, or acquire existing units to house low-income families, including costs for planning, financing, land acquisition, demolition, and construction. PHAs are able to build or acquire units up to the Faircloth limits. The Faircloth limits for PHAs are updated annually and posted on the Office of Capital Improvements website here:</w:t>
      </w:r>
    </w:p>
    <w:p w14:paraId="6A3B7DD3" w14:textId="25A1B6D9" w:rsidR="00230FA4" w:rsidRDefault="00666CEC" w:rsidP="00230FA4">
      <w:pPr>
        <w:jc w:val="both"/>
        <w:rPr>
          <w:rFonts w:ascii="Arial" w:hAnsi="Arial" w:cs="Arial"/>
          <w:bCs/>
        </w:rPr>
      </w:pPr>
      <w:hyperlink r:id="rId30" w:history="1">
        <w:r w:rsidR="00230FA4" w:rsidRPr="00230FA4">
          <w:rPr>
            <w:rStyle w:val="Hyperlink"/>
            <w:rFonts w:cs="Arial"/>
            <w:bCs/>
          </w:rPr>
          <w:t>Office of Capital Improvements | HUD.gov / U.S. Department of Housing and Urban Development (HUD)</w:t>
        </w:r>
      </w:hyperlink>
    </w:p>
    <w:p w14:paraId="4C1FACAF" w14:textId="77777777" w:rsidR="00230FA4" w:rsidRPr="00230FA4" w:rsidRDefault="00230FA4" w:rsidP="00230FA4">
      <w:pPr>
        <w:jc w:val="both"/>
        <w:rPr>
          <w:rFonts w:ascii="Arial" w:hAnsi="Arial" w:cs="Arial"/>
          <w:bCs/>
        </w:rPr>
      </w:pPr>
    </w:p>
    <w:p w14:paraId="47FBF2E8" w14:textId="64CC18C6" w:rsidR="009656BB" w:rsidRPr="00F00D94" w:rsidRDefault="00230FA4" w:rsidP="00230FA4">
      <w:pPr>
        <w:spacing w:after="240"/>
        <w:jc w:val="both"/>
        <w:rPr>
          <w:rFonts w:ascii="Arial" w:hAnsi="Arial" w:cs="Arial"/>
          <w:bCs/>
        </w:rPr>
      </w:pPr>
      <w:r w:rsidRPr="00230FA4">
        <w:rPr>
          <w:rFonts w:ascii="Arial" w:hAnsi="Arial" w:cs="Arial"/>
          <w:bCs/>
        </w:rPr>
        <w:t xml:space="preserve">The current Faircloth limits for PHAs are posted here: </w:t>
      </w:r>
      <w:hyperlink r:id="rId31" w:history="1">
        <w:r w:rsidRPr="00B05317">
          <w:rPr>
            <w:rStyle w:val="Hyperlink"/>
            <w:rFonts w:cs="Arial"/>
            <w:bCs/>
          </w:rPr>
          <w:t>https://www.hud.gov/sites/dfiles/PIH/documents/Faircloth%20List_10-15-23_FINAL2.xlsx</w:t>
        </w:r>
      </w:hyperlink>
    </w:p>
    <w:p w14:paraId="27A28DF7" w14:textId="2983A2FB" w:rsidR="009656BB" w:rsidRPr="00230FA4" w:rsidRDefault="00230FA4" w:rsidP="006672EA">
      <w:pPr>
        <w:spacing w:after="240"/>
        <w:jc w:val="both"/>
        <w:rPr>
          <w:rFonts w:ascii="Arial" w:hAnsi="Arial" w:cs="Arial"/>
          <w:bCs/>
          <w:i/>
          <w:iCs/>
        </w:rPr>
      </w:pPr>
      <w:bookmarkStart w:id="17" w:name="_Hlk121591662"/>
      <w:r>
        <w:rPr>
          <w:rFonts w:ascii="Arial" w:hAnsi="Arial" w:cs="Arial"/>
          <w:bCs/>
          <w:i/>
          <w:iCs/>
        </w:rPr>
        <w:t>(Source: 2024 OMB Compliance Supplement, Part 4, HUD, #14.872 Public Housing Capital Fund)</w:t>
      </w:r>
      <w:bookmarkEnd w:id="17"/>
    </w:p>
    <w:p w14:paraId="222D14D9" w14:textId="77777777" w:rsidR="009656BB" w:rsidRPr="00A0464C" w:rsidRDefault="009656BB" w:rsidP="006672EA">
      <w:pPr>
        <w:pStyle w:val="Heading3"/>
        <w:jc w:val="both"/>
        <w:rPr>
          <w:rFonts w:cs="Arial"/>
          <w:sz w:val="24"/>
          <w:szCs w:val="24"/>
        </w:rPr>
      </w:pPr>
      <w:bookmarkStart w:id="18" w:name="_Toc174635342"/>
      <w:r w:rsidRPr="00A0464C">
        <w:rPr>
          <w:rFonts w:cs="Arial"/>
          <w:sz w:val="24"/>
          <w:szCs w:val="24"/>
        </w:rPr>
        <w:t>II. Program Procedures</w:t>
      </w:r>
      <w:bookmarkEnd w:id="18"/>
    </w:p>
    <w:p w14:paraId="05AB41B6" w14:textId="05EABE00" w:rsidR="00230FA4" w:rsidRPr="00230FA4" w:rsidRDefault="00230FA4" w:rsidP="00230FA4">
      <w:pPr>
        <w:spacing w:after="240"/>
        <w:jc w:val="both"/>
        <w:rPr>
          <w:rFonts w:ascii="Arial" w:hAnsi="Arial" w:cs="Arial"/>
          <w:b/>
        </w:rPr>
      </w:pPr>
      <w:r w:rsidRPr="00230FA4">
        <w:rPr>
          <w:rFonts w:ascii="Arial" w:hAnsi="Arial" w:cs="Arial"/>
          <w:b/>
        </w:rPr>
        <w:t>1.</w:t>
      </w:r>
      <w:r w:rsidRPr="00230FA4">
        <w:rPr>
          <w:rFonts w:ascii="Arial" w:hAnsi="Arial" w:cs="Arial"/>
          <w:b/>
        </w:rPr>
        <w:tab/>
        <w:t>Overview</w:t>
      </w:r>
    </w:p>
    <w:p w14:paraId="4BAA1904" w14:textId="67F7E35E" w:rsidR="00230FA4" w:rsidRPr="00230FA4" w:rsidRDefault="00230FA4" w:rsidP="00230FA4">
      <w:pPr>
        <w:spacing w:after="240"/>
        <w:ind w:left="720"/>
        <w:jc w:val="both"/>
        <w:rPr>
          <w:rFonts w:ascii="Arial" w:hAnsi="Arial" w:cs="Arial"/>
          <w:bCs/>
        </w:rPr>
      </w:pPr>
      <w:r w:rsidRPr="00230FA4">
        <w:rPr>
          <w:rFonts w:ascii="Arial" w:hAnsi="Arial" w:cs="Arial"/>
          <w:bCs/>
        </w:rPr>
        <w:t xml:space="preserve">The CFP awards formula grants and several set aside specialty grants. CFP formula grants account for over 95 percent of CFP annual awards. CFP formula grants are made available to all PHAs that administer public housing units, based on a complex formula, which </w:t>
      </w:r>
      <w:proofErr w:type="gramStart"/>
      <w:r w:rsidRPr="00230FA4">
        <w:rPr>
          <w:rFonts w:ascii="Arial" w:hAnsi="Arial" w:cs="Arial"/>
          <w:bCs/>
        </w:rPr>
        <w:t>takes into account</w:t>
      </w:r>
      <w:proofErr w:type="gramEnd"/>
      <w:r w:rsidRPr="00230FA4">
        <w:rPr>
          <w:rFonts w:ascii="Arial" w:hAnsi="Arial" w:cs="Arial"/>
          <w:bCs/>
        </w:rPr>
        <w:t xml:space="preserve"> a number of variables related to unit characteristics and, ultimately, multiplies a per-unit amount by the number of units in the PHA. PHAs can use formula grants for any eligible Capital Fund activity.</w:t>
      </w:r>
    </w:p>
    <w:p w14:paraId="4CCCBF07" w14:textId="3B21DE39" w:rsidR="00230FA4" w:rsidRPr="00230FA4" w:rsidRDefault="00230FA4" w:rsidP="00230FA4">
      <w:pPr>
        <w:spacing w:after="240"/>
        <w:ind w:left="720"/>
        <w:jc w:val="both"/>
        <w:rPr>
          <w:rFonts w:ascii="Arial" w:hAnsi="Arial" w:cs="Arial"/>
          <w:bCs/>
        </w:rPr>
      </w:pPr>
      <w:r w:rsidRPr="00230FA4">
        <w:rPr>
          <w:rFonts w:ascii="Arial" w:hAnsi="Arial" w:cs="Arial"/>
          <w:bCs/>
        </w:rPr>
        <w:t>The CFP also awards several set-aside specialty grants including Emergency/Disaster, Emergency/Disaster-Safety and Security, Emergency/Disaster-Carbon Monoxide, Emergency/Disaster-Receivership (if under federal monitor/receivership), Housing-related Hazards, and Lead- Based Paint grants. The CFP also contains the Capital Fund Financing Program (CFFP), and this financing program is described below.</w:t>
      </w:r>
    </w:p>
    <w:p w14:paraId="7952A0C4" w14:textId="75BF3081" w:rsidR="00230FA4" w:rsidRPr="00230FA4" w:rsidRDefault="00230FA4" w:rsidP="00230FA4">
      <w:pPr>
        <w:tabs>
          <w:tab w:val="left" w:pos="270"/>
        </w:tabs>
        <w:spacing w:after="240"/>
        <w:ind w:left="720"/>
        <w:jc w:val="both"/>
        <w:rPr>
          <w:rFonts w:ascii="Arial" w:hAnsi="Arial" w:cs="Arial"/>
          <w:bCs/>
        </w:rPr>
      </w:pPr>
      <w:r w:rsidRPr="00230FA4">
        <w:rPr>
          <w:rFonts w:ascii="Arial" w:hAnsi="Arial" w:cs="Arial"/>
          <w:bCs/>
        </w:rPr>
        <w:t xml:space="preserve">For Emergency/Disaster grants, Congress has set aside an annual average of $20 million within the Capital Fund account to assist PHAs that have incurred damage to their public housing units as a result of an emergency or non-presidentially declared natural disaster. PHAs </w:t>
      </w:r>
      <w:proofErr w:type="gramStart"/>
      <w:r w:rsidRPr="00230FA4">
        <w:rPr>
          <w:rFonts w:ascii="Arial" w:hAnsi="Arial" w:cs="Arial"/>
          <w:bCs/>
        </w:rPr>
        <w:t>submit an application</w:t>
      </w:r>
      <w:proofErr w:type="gramEnd"/>
      <w:r w:rsidRPr="00230FA4">
        <w:rPr>
          <w:rFonts w:ascii="Arial" w:hAnsi="Arial" w:cs="Arial"/>
          <w:bCs/>
        </w:rPr>
        <w:t xml:space="preserve"> for this funding. The funding is allocated based on the order in which the Department of Housing and Urban Development (HUD) receives approvable applications.</w:t>
      </w:r>
    </w:p>
    <w:p w14:paraId="64A91564" w14:textId="73800662" w:rsidR="00230FA4" w:rsidRPr="00230FA4" w:rsidRDefault="00230FA4" w:rsidP="00230FA4">
      <w:pPr>
        <w:tabs>
          <w:tab w:val="left" w:pos="270"/>
        </w:tabs>
        <w:spacing w:after="240"/>
        <w:ind w:left="720"/>
        <w:jc w:val="both"/>
        <w:rPr>
          <w:rFonts w:ascii="Arial" w:hAnsi="Arial" w:cs="Arial"/>
          <w:bCs/>
        </w:rPr>
      </w:pPr>
      <w:r w:rsidRPr="00230FA4">
        <w:rPr>
          <w:rFonts w:ascii="Arial" w:hAnsi="Arial" w:cs="Arial"/>
          <w:bCs/>
        </w:rPr>
        <w:t xml:space="preserve">For Emergency/Disaster - Safety and Security grants, Congress has set aside $10 million. These grants support PHAs as they address the safety of public housing residents. These grants may be used to install, repair, or replace capital needs items including security systems/surveillance cameras, fencing, lighting systems, emergency alarm systems, window bars, deadbolt locks and </w:t>
      </w:r>
      <w:r w:rsidRPr="00230FA4">
        <w:rPr>
          <w:rFonts w:ascii="Arial" w:hAnsi="Arial" w:cs="Arial"/>
          <w:bCs/>
        </w:rPr>
        <w:lastRenderedPageBreak/>
        <w:t xml:space="preserve">doors. PHAs </w:t>
      </w:r>
      <w:proofErr w:type="gramStart"/>
      <w:r w:rsidRPr="00230FA4">
        <w:rPr>
          <w:rFonts w:ascii="Arial" w:hAnsi="Arial" w:cs="Arial"/>
          <w:bCs/>
        </w:rPr>
        <w:t>submit an application</w:t>
      </w:r>
      <w:proofErr w:type="gramEnd"/>
      <w:r w:rsidRPr="00230FA4">
        <w:rPr>
          <w:rFonts w:ascii="Arial" w:hAnsi="Arial" w:cs="Arial"/>
          <w:bCs/>
        </w:rPr>
        <w:t xml:space="preserve"> for this funding. The funding is allocated based on a lottery in which the Department of Housing and Urban Development (HUD) reviews approvable applications and enters the approvable applications in the lottery.</w:t>
      </w:r>
    </w:p>
    <w:p w14:paraId="1F55F15D" w14:textId="032ED5AC" w:rsidR="00230FA4" w:rsidRPr="00230FA4" w:rsidRDefault="00230FA4" w:rsidP="00230FA4">
      <w:pPr>
        <w:tabs>
          <w:tab w:val="left" w:pos="270"/>
        </w:tabs>
        <w:spacing w:after="240"/>
        <w:ind w:left="720"/>
        <w:jc w:val="both"/>
        <w:rPr>
          <w:rFonts w:ascii="Arial" w:hAnsi="Arial" w:cs="Arial"/>
          <w:bCs/>
        </w:rPr>
      </w:pPr>
      <w:r w:rsidRPr="00230FA4">
        <w:rPr>
          <w:rFonts w:ascii="Arial" w:hAnsi="Arial" w:cs="Arial"/>
          <w:bCs/>
        </w:rPr>
        <w:t>For Emergency/Disaster - Safety and Security Carbon Monoxide grants, the Department has set aside of $10 million as part of the Safety and Security $10 million. These grants support PHAs as they address the safety of public housing residents. These grants may be used to install carbon monoxide detectors in public housing. PHAs submit a competitive application for this funding. The funding is allocated based on application score.</w:t>
      </w:r>
    </w:p>
    <w:p w14:paraId="45C77BB7" w14:textId="5F722CFA" w:rsidR="00230FA4" w:rsidRPr="00230FA4" w:rsidRDefault="00230FA4" w:rsidP="00230FA4">
      <w:pPr>
        <w:tabs>
          <w:tab w:val="left" w:pos="270"/>
        </w:tabs>
        <w:spacing w:after="240"/>
        <w:ind w:left="720"/>
        <w:jc w:val="both"/>
        <w:rPr>
          <w:rFonts w:ascii="Arial" w:hAnsi="Arial" w:cs="Arial"/>
          <w:bCs/>
        </w:rPr>
      </w:pPr>
      <w:r w:rsidRPr="00230FA4">
        <w:rPr>
          <w:rFonts w:ascii="Arial" w:hAnsi="Arial" w:cs="Arial"/>
          <w:bCs/>
        </w:rPr>
        <w:t>For Emergency/Disaster – Receivership grants, the Department has set aside up to $45 million. This appropriation is for “emergency capital needs including safety and security measures necessary to address crime and drug-related activity as well as needs resulting from unforeseen or unpreventable emergencies and natural disasters excluding Presidentially declared emergencies and natural disasters under the Robert T. Stafford Disaster Relief and Emergency Act (42 U.S.C. 5121 et seq.). These grant funds are only for PHAs under administrative and judicial receiverships or under the control of a federal monitor.</w:t>
      </w:r>
    </w:p>
    <w:p w14:paraId="4A27FE75" w14:textId="411C5911" w:rsidR="00230FA4" w:rsidRPr="00230FA4" w:rsidRDefault="00230FA4" w:rsidP="00230FA4">
      <w:pPr>
        <w:tabs>
          <w:tab w:val="left" w:pos="270"/>
        </w:tabs>
        <w:spacing w:after="240"/>
        <w:ind w:left="720"/>
        <w:jc w:val="both"/>
        <w:rPr>
          <w:rFonts w:ascii="Arial" w:hAnsi="Arial" w:cs="Arial"/>
          <w:bCs/>
        </w:rPr>
      </w:pPr>
      <w:r w:rsidRPr="00230FA4">
        <w:rPr>
          <w:rFonts w:ascii="Arial" w:hAnsi="Arial" w:cs="Arial"/>
          <w:bCs/>
        </w:rPr>
        <w:t>Note that Lead-Based Paint and Housing-Related Hazards grants are covered under the Part 4 program section for Assistance Listing 14.888.</w:t>
      </w:r>
    </w:p>
    <w:p w14:paraId="39FDC53F" w14:textId="55C50424" w:rsidR="00230FA4" w:rsidRPr="00230FA4" w:rsidRDefault="00230FA4" w:rsidP="00230FA4">
      <w:pPr>
        <w:tabs>
          <w:tab w:val="left" w:pos="270"/>
        </w:tabs>
        <w:spacing w:after="240"/>
        <w:ind w:left="720"/>
        <w:jc w:val="both"/>
        <w:rPr>
          <w:rFonts w:ascii="Arial" w:hAnsi="Arial" w:cs="Arial"/>
          <w:bCs/>
        </w:rPr>
      </w:pPr>
      <w:r w:rsidRPr="00230FA4">
        <w:rPr>
          <w:rFonts w:ascii="Arial" w:hAnsi="Arial" w:cs="Arial"/>
          <w:bCs/>
        </w:rPr>
        <w:t>For the Capital Fund Financing Program, HUD has permitted PHAs to borrow funding secured to a portion of future Capital Fund grants under the Capital Fund Financing Program (CFFP). PHAs must obtain HUD’s permission prior to borrowing fund securitized by any public housing asset (including real property, other PHA owned property purchased with federal grant funds, and CFP grant funds themselves). HUD reviews each transaction to ensure that PHAs will not be overcommitted to payment of debt service to the detriment of the public housing stock/program, for the reasonableness of the terms of the transaction, and to mitigate risk of default. CFFP transactions continue to be underwritten with the current portfolio of approximately $5 billion impacting close to 300 PHAs nationwide.</w:t>
      </w:r>
    </w:p>
    <w:p w14:paraId="1B1CEC37" w14:textId="77BBF3ED" w:rsidR="00230FA4" w:rsidRPr="00230FA4" w:rsidRDefault="00230FA4" w:rsidP="00230FA4">
      <w:pPr>
        <w:spacing w:after="240"/>
        <w:jc w:val="both"/>
        <w:rPr>
          <w:rFonts w:ascii="Arial" w:hAnsi="Arial" w:cs="Arial"/>
          <w:b/>
        </w:rPr>
      </w:pPr>
      <w:r w:rsidRPr="00230FA4">
        <w:rPr>
          <w:rFonts w:ascii="Arial" w:hAnsi="Arial" w:cs="Arial"/>
          <w:b/>
        </w:rPr>
        <w:t>2.</w:t>
      </w:r>
      <w:r w:rsidRPr="00230FA4">
        <w:rPr>
          <w:rFonts w:ascii="Arial" w:hAnsi="Arial" w:cs="Arial"/>
          <w:b/>
        </w:rPr>
        <w:tab/>
        <w:t>Subprograms/Program Elements</w:t>
      </w:r>
    </w:p>
    <w:p w14:paraId="7DD8AF8C" w14:textId="734C2E1F" w:rsidR="00230FA4" w:rsidRPr="00230FA4" w:rsidRDefault="00230FA4" w:rsidP="00230FA4">
      <w:pPr>
        <w:spacing w:after="240"/>
        <w:ind w:left="720"/>
        <w:jc w:val="both"/>
        <w:rPr>
          <w:rFonts w:ascii="Arial" w:hAnsi="Arial" w:cs="Arial"/>
          <w:bCs/>
        </w:rPr>
      </w:pPr>
      <w:r w:rsidRPr="00230FA4">
        <w:rPr>
          <w:rFonts w:ascii="Arial" w:hAnsi="Arial" w:cs="Arial"/>
          <w:bCs/>
        </w:rPr>
        <w:t>Prior to submitting the 5-Year Action Plan to HUD for review and approval, a PHA must annually conduct a public hearing and consult with the Resident Advisory Board (RAB) of the PHA to discuss the Capital Fund submission. The PHA may elect to conduct a separate</w:t>
      </w:r>
      <w:r>
        <w:rPr>
          <w:rFonts w:ascii="Arial" w:hAnsi="Arial" w:cs="Arial"/>
          <w:bCs/>
        </w:rPr>
        <w:t xml:space="preserve"> </w:t>
      </w:r>
      <w:r w:rsidRPr="00230FA4">
        <w:rPr>
          <w:rFonts w:ascii="Arial" w:hAnsi="Arial" w:cs="Arial"/>
          <w:bCs/>
        </w:rPr>
        <w:t>annual public hearing in order to solicit public comments or to hold the annual public hearing at the same time as the hearing for the Annual PHA Plan, the 5-Year Plan, or the required annual hearing for qualified public housing authorities. The hearing must be conducted at a location that is convenient to the residents served by the PHA.</w:t>
      </w:r>
    </w:p>
    <w:p w14:paraId="599F1D56" w14:textId="0698C090" w:rsidR="00230FA4" w:rsidRPr="00230FA4" w:rsidRDefault="00230FA4" w:rsidP="00230FA4">
      <w:pPr>
        <w:spacing w:after="240"/>
        <w:ind w:left="720"/>
        <w:jc w:val="both"/>
        <w:rPr>
          <w:rFonts w:ascii="Arial" w:hAnsi="Arial" w:cs="Arial"/>
          <w:bCs/>
        </w:rPr>
      </w:pPr>
      <w:r w:rsidRPr="00230FA4">
        <w:rPr>
          <w:rFonts w:ascii="Arial" w:hAnsi="Arial" w:cs="Arial"/>
          <w:bCs/>
        </w:rPr>
        <w:t>In FY 2018, the CFP 5-Year Action Plan and Annual Statement/ Budget submission was moved to an electronic platform called EPIC for submission and approval. A PHA must have an approved 5-Year Action Plan (HUD 50075.2 (OMB No. 2577-0226)) and Document package in EPIC to have access to Capital Funds. Once a PHA submits an Annual Statement/Budget in EPIC (HUD 50075.1), HUD spreads Capital Funds to all of the appropriate budget line items (BLIs) in the Line of Credit Control System (LOCCS) in accordance with the information contained in the 5-Year Action Plan (HUD 50075.2). A PHA may then drawdown funds as needed on a three-day turnaround basis to pay for approved work activities. The three-day turnaround means the PHA expends the funds drawn down from LOCCS within three business days.</w:t>
      </w:r>
    </w:p>
    <w:p w14:paraId="406692F0" w14:textId="0C72CE73" w:rsidR="00230FA4" w:rsidRPr="00230FA4" w:rsidRDefault="00230FA4" w:rsidP="00230FA4">
      <w:pPr>
        <w:spacing w:after="240"/>
        <w:ind w:left="720"/>
        <w:jc w:val="both"/>
        <w:rPr>
          <w:rFonts w:ascii="Arial" w:hAnsi="Arial" w:cs="Arial"/>
          <w:bCs/>
        </w:rPr>
      </w:pPr>
      <w:r w:rsidRPr="00230FA4">
        <w:rPr>
          <w:rFonts w:ascii="Arial" w:hAnsi="Arial" w:cs="Arial"/>
          <w:bCs/>
        </w:rPr>
        <w:t xml:space="preserve">In planning its modernization projects, the PHA is required to consult with residents and local government officials. After grant award, the PHA may select an architect or engineer through competitive negotiation to develop the plans and specifications for the construction work. Construction work as well as management improvements may be carried out through contract labor (competitively procured) or the PHA’s own work force (force account). The PHA or its architect </w:t>
      </w:r>
      <w:r w:rsidRPr="00230FA4">
        <w:rPr>
          <w:rFonts w:ascii="Arial" w:hAnsi="Arial" w:cs="Arial"/>
          <w:bCs/>
        </w:rPr>
        <w:lastRenderedPageBreak/>
        <w:t>monitors the work in progress for compliance with contract requirements and acceptable work quality and submits periodic progress reports to HUD.</w:t>
      </w:r>
    </w:p>
    <w:p w14:paraId="719B7ECD" w14:textId="5DD86DA0" w:rsidR="00230FA4" w:rsidRPr="00230FA4" w:rsidRDefault="00230FA4" w:rsidP="00230FA4">
      <w:pPr>
        <w:spacing w:after="240"/>
        <w:ind w:left="720"/>
        <w:jc w:val="both"/>
        <w:rPr>
          <w:rFonts w:ascii="Arial" w:hAnsi="Arial" w:cs="Arial"/>
          <w:bCs/>
        </w:rPr>
      </w:pPr>
      <w:r w:rsidRPr="00230FA4">
        <w:rPr>
          <w:rFonts w:ascii="Arial" w:hAnsi="Arial" w:cs="Arial"/>
          <w:bCs/>
        </w:rPr>
        <w:t>PHAs may develop public housing in accordance with 24 CFR section 905.600. For development projects, the PHA is responsible for negotiating a local cooperation agreement that establishes what services the locality will provide to the public housing project, for project planning, and for submitting a development proposal (and a site acquisition proposal, if applicable). This includes selecting sites or properties to be acquired, contracting with builders to construct or rehabilitate housing, contracting with developers for the purchase of completed (new or rehabilitated) housing, and purchasing existing housing that may require repairs. In addition, as a developer, the PHA is responsible for selecting and contracting with other parties (e.g., architects and engineers) and for expediting and coordinating the preparation of required HUD submissions.</w:t>
      </w:r>
    </w:p>
    <w:p w14:paraId="76245F3C" w14:textId="49289B39" w:rsidR="00230FA4" w:rsidRPr="00230FA4" w:rsidRDefault="00230FA4" w:rsidP="00230FA4">
      <w:pPr>
        <w:spacing w:after="240"/>
        <w:jc w:val="both"/>
        <w:rPr>
          <w:rFonts w:ascii="Arial" w:hAnsi="Arial" w:cs="Arial"/>
          <w:b/>
        </w:rPr>
      </w:pPr>
      <w:r w:rsidRPr="00230FA4">
        <w:rPr>
          <w:rFonts w:ascii="Arial" w:hAnsi="Arial" w:cs="Arial"/>
          <w:b/>
        </w:rPr>
        <w:t>3.</w:t>
      </w:r>
      <w:r w:rsidRPr="00230FA4">
        <w:rPr>
          <w:rFonts w:ascii="Arial" w:hAnsi="Arial" w:cs="Arial"/>
          <w:b/>
        </w:rPr>
        <w:tab/>
        <w:t>Other</w:t>
      </w:r>
    </w:p>
    <w:p w14:paraId="2F6A9D0C" w14:textId="03F8DD34" w:rsidR="00230FA4" w:rsidRPr="00230FA4" w:rsidRDefault="00230FA4" w:rsidP="00230FA4">
      <w:pPr>
        <w:spacing w:after="240"/>
        <w:ind w:left="720"/>
        <w:jc w:val="both"/>
        <w:rPr>
          <w:rFonts w:ascii="Arial" w:hAnsi="Arial" w:cs="Arial"/>
          <w:bCs/>
        </w:rPr>
      </w:pPr>
      <w:r w:rsidRPr="00230FA4">
        <w:rPr>
          <w:rFonts w:ascii="Arial" w:hAnsi="Arial" w:cs="Arial"/>
          <w:bCs/>
        </w:rPr>
        <w:t>In accordance with HUD’s Uniform Financial Reporting Standards rule, annually, a PHA is required to submit financial statements, prepared in accordance with generally accepted accounting principles (GAAP), in the electronic format specified by HUD. The unaudited financial statement is due two months after the PHA’s fiscal year end (FYE) and the audited financial statement is due nine months after its FYE (24 CFR section 5.801). The financial statement must include the financial activities of this program.</w:t>
      </w:r>
    </w:p>
    <w:p w14:paraId="368593B0" w14:textId="2817A0F7" w:rsidR="001A2761" w:rsidRPr="00F00D94" w:rsidRDefault="00230FA4" w:rsidP="00230FA4">
      <w:pPr>
        <w:spacing w:after="240"/>
        <w:ind w:left="720"/>
        <w:jc w:val="both"/>
        <w:rPr>
          <w:rFonts w:ascii="Arial" w:hAnsi="Arial" w:cs="Arial"/>
          <w:bCs/>
        </w:rPr>
      </w:pPr>
      <w:r w:rsidRPr="00230FA4">
        <w:rPr>
          <w:rFonts w:ascii="Arial" w:hAnsi="Arial" w:cs="Arial"/>
          <w:bCs/>
        </w:rPr>
        <w:t>PHAs submit actual modernization cost certificates (AMCC) form HUD-53001 and actual development cost certificates (ADCC) form HUD -52427 with the local HUD Field Office for approval when they complete a modernization or development project. The AMCC or ADCC is required for CFP grant closeout.</w:t>
      </w:r>
    </w:p>
    <w:p w14:paraId="3D7F8C06" w14:textId="4D484B02" w:rsidR="009656BB" w:rsidRPr="00230FA4" w:rsidRDefault="00230FA4" w:rsidP="00740C6F">
      <w:pPr>
        <w:spacing w:after="240"/>
        <w:jc w:val="both"/>
        <w:rPr>
          <w:rFonts w:ascii="Arial" w:hAnsi="Arial" w:cs="Arial"/>
          <w:bCs/>
          <w:i/>
          <w:iCs/>
        </w:rPr>
      </w:pPr>
      <w:r>
        <w:rPr>
          <w:rFonts w:ascii="Arial" w:hAnsi="Arial" w:cs="Arial"/>
          <w:bCs/>
          <w:i/>
          <w:iCs/>
        </w:rPr>
        <w:t>(Source: 2024 OMB Compliance Supplement, Part 4, HUD, #14.872 Public Housing Capital Fund)</w:t>
      </w:r>
    </w:p>
    <w:p w14:paraId="612B87C9" w14:textId="77777777" w:rsidR="009656BB" w:rsidRPr="00A0464C" w:rsidRDefault="009656BB" w:rsidP="006672EA">
      <w:pPr>
        <w:pStyle w:val="Heading3"/>
        <w:jc w:val="both"/>
        <w:rPr>
          <w:rFonts w:cs="Arial"/>
          <w:sz w:val="24"/>
          <w:szCs w:val="24"/>
        </w:rPr>
      </w:pPr>
      <w:bookmarkStart w:id="19" w:name="_Toc174635343"/>
      <w:r w:rsidRPr="00A0464C">
        <w:rPr>
          <w:rFonts w:cs="Arial"/>
          <w:sz w:val="24"/>
          <w:szCs w:val="24"/>
        </w:rPr>
        <w:t>III. Source of Governing Requirements</w:t>
      </w:r>
      <w:bookmarkEnd w:id="19"/>
    </w:p>
    <w:p w14:paraId="5E052068" w14:textId="471C5D37" w:rsidR="006F570B" w:rsidRPr="00F00D94" w:rsidRDefault="00230FA4" w:rsidP="006672EA">
      <w:pPr>
        <w:spacing w:after="240"/>
        <w:jc w:val="both"/>
        <w:rPr>
          <w:rFonts w:ascii="Arial" w:hAnsi="Arial" w:cs="Arial"/>
          <w:bCs/>
        </w:rPr>
      </w:pPr>
      <w:r w:rsidRPr="00230FA4">
        <w:rPr>
          <w:rFonts w:ascii="Arial" w:hAnsi="Arial" w:cs="Arial"/>
          <w:bCs/>
        </w:rPr>
        <w:t>The programs are authorized under 42 USC 1437g. The program implementing regulation is 24 CFR Part 905.</w:t>
      </w:r>
    </w:p>
    <w:p w14:paraId="05B90F53" w14:textId="29C4AC90" w:rsidR="006F570B" w:rsidRPr="00230FA4" w:rsidRDefault="00230FA4" w:rsidP="006672EA">
      <w:pPr>
        <w:spacing w:after="240"/>
        <w:jc w:val="both"/>
        <w:rPr>
          <w:rFonts w:ascii="Arial" w:hAnsi="Arial" w:cs="Arial"/>
          <w:bCs/>
          <w:i/>
          <w:iCs/>
        </w:rPr>
      </w:pPr>
      <w:r>
        <w:rPr>
          <w:rFonts w:ascii="Arial" w:hAnsi="Arial" w:cs="Arial"/>
          <w:bCs/>
          <w:i/>
          <w:iCs/>
        </w:rPr>
        <w:t>(Source: 2024 OMB Compliance Supplement, Part 4, HUD, #14.872 Public Housing Capital Fund)</w:t>
      </w:r>
    </w:p>
    <w:p w14:paraId="278D98F4" w14:textId="77777777" w:rsidR="006F570B" w:rsidRPr="00A0464C" w:rsidRDefault="00386445" w:rsidP="006672EA">
      <w:pPr>
        <w:pStyle w:val="Heading3"/>
        <w:jc w:val="both"/>
        <w:rPr>
          <w:rFonts w:cs="Arial"/>
          <w:sz w:val="24"/>
          <w:szCs w:val="24"/>
        </w:rPr>
      </w:pPr>
      <w:bookmarkStart w:id="20" w:name="_Toc174635344"/>
      <w:r w:rsidRPr="00A0464C">
        <w:rPr>
          <w:rFonts w:cs="Arial"/>
          <w:sz w:val="24"/>
          <w:szCs w:val="24"/>
        </w:rPr>
        <w:t xml:space="preserve">IV. </w:t>
      </w:r>
      <w:r w:rsidR="009C1FCD" w:rsidRPr="00A0464C">
        <w:rPr>
          <w:rFonts w:cs="Arial"/>
          <w:sz w:val="24"/>
          <w:szCs w:val="24"/>
        </w:rPr>
        <w:t>Other Information</w:t>
      </w:r>
      <w:bookmarkEnd w:id="20"/>
    </w:p>
    <w:p w14:paraId="687C7F64" w14:textId="6E626F8B" w:rsidR="00BE348D" w:rsidRPr="00BE348D" w:rsidRDefault="00BE348D" w:rsidP="00BE348D">
      <w:pPr>
        <w:spacing w:after="240"/>
        <w:jc w:val="both"/>
        <w:rPr>
          <w:rFonts w:ascii="Arial" w:hAnsi="Arial" w:cs="Arial"/>
          <w:bCs/>
        </w:rPr>
      </w:pPr>
      <w:r w:rsidRPr="00BE348D">
        <w:rPr>
          <w:rFonts w:ascii="Arial" w:hAnsi="Arial" w:cs="Arial"/>
          <w:bCs/>
        </w:rPr>
        <w:t>The Moving to Work (MTW) demonstration program (Assistance Listing 14.881) allows selected PHAs the flexibility to design and test various approaches to providing and administering housing assistance consistent with the MTW Agreement executed by the PHA and HUD. An MTW agency may combine funds from the following three programs:</w:t>
      </w:r>
    </w:p>
    <w:p w14:paraId="4FB23C07" w14:textId="27985F84" w:rsidR="00BE348D" w:rsidRPr="00BE348D" w:rsidRDefault="00BE348D" w:rsidP="00BE348D">
      <w:pPr>
        <w:spacing w:after="240"/>
        <w:jc w:val="both"/>
        <w:rPr>
          <w:rFonts w:ascii="Arial" w:hAnsi="Arial" w:cs="Arial"/>
          <w:bCs/>
        </w:rPr>
      </w:pPr>
      <w:r w:rsidRPr="00BE348D">
        <w:rPr>
          <w:rFonts w:ascii="Arial" w:hAnsi="Arial" w:cs="Arial"/>
          <w:bCs/>
        </w:rPr>
        <w:t>1.</w:t>
      </w:r>
      <w:r w:rsidRPr="00BE348D">
        <w:rPr>
          <w:rFonts w:ascii="Arial" w:hAnsi="Arial" w:cs="Arial"/>
          <w:bCs/>
        </w:rPr>
        <w:tab/>
        <w:t>Section 8 Housing Choice Vouchers (Assistance Listing 14.871)</w:t>
      </w:r>
    </w:p>
    <w:p w14:paraId="6C21AFED" w14:textId="73BA7DF8" w:rsidR="00BE348D" w:rsidRPr="00BE348D" w:rsidRDefault="00BE348D" w:rsidP="00BE348D">
      <w:pPr>
        <w:spacing w:after="240"/>
        <w:jc w:val="both"/>
        <w:rPr>
          <w:rFonts w:ascii="Arial" w:hAnsi="Arial" w:cs="Arial"/>
          <w:bCs/>
        </w:rPr>
      </w:pPr>
      <w:r w:rsidRPr="00BE348D">
        <w:rPr>
          <w:rFonts w:ascii="Arial" w:hAnsi="Arial" w:cs="Arial"/>
          <w:bCs/>
        </w:rPr>
        <w:t>2.</w:t>
      </w:r>
      <w:r w:rsidRPr="00BE348D">
        <w:rPr>
          <w:rFonts w:ascii="Arial" w:hAnsi="Arial" w:cs="Arial"/>
          <w:bCs/>
        </w:rPr>
        <w:tab/>
        <w:t>Public Housing Capital Fund (Assistance Listing 14.872)</w:t>
      </w:r>
    </w:p>
    <w:p w14:paraId="0421004B" w14:textId="49720017" w:rsidR="00BE348D" w:rsidRPr="00BE348D" w:rsidRDefault="00BE348D" w:rsidP="00BE348D">
      <w:pPr>
        <w:spacing w:after="240"/>
        <w:jc w:val="both"/>
        <w:rPr>
          <w:rFonts w:ascii="Arial" w:hAnsi="Arial" w:cs="Arial"/>
          <w:bCs/>
        </w:rPr>
      </w:pPr>
      <w:r w:rsidRPr="00BE348D">
        <w:rPr>
          <w:rFonts w:ascii="Arial" w:hAnsi="Arial" w:cs="Arial"/>
          <w:bCs/>
        </w:rPr>
        <w:t>3.</w:t>
      </w:r>
      <w:r w:rsidRPr="00BE348D">
        <w:rPr>
          <w:rFonts w:ascii="Arial" w:hAnsi="Arial" w:cs="Arial"/>
          <w:bCs/>
        </w:rPr>
        <w:tab/>
        <w:t>Public and Indian Housing (Assistance Listing 14.850)</w:t>
      </w:r>
    </w:p>
    <w:p w14:paraId="34DB1BC9" w14:textId="1381C4A4" w:rsidR="00BE348D" w:rsidRPr="00BE348D" w:rsidRDefault="00BE348D" w:rsidP="00BE348D">
      <w:pPr>
        <w:spacing w:after="240"/>
        <w:jc w:val="both"/>
        <w:rPr>
          <w:rFonts w:ascii="Arial" w:hAnsi="Arial" w:cs="Arial"/>
          <w:bCs/>
        </w:rPr>
      </w:pPr>
      <w:r w:rsidRPr="00BE348D">
        <w:rPr>
          <w:rFonts w:ascii="Arial" w:hAnsi="Arial" w:cs="Arial"/>
          <w:bCs/>
        </w:rPr>
        <w:t xml:space="preserve">If a PHA is operating under an MTW Agreement, the auditor should look to the MTW Agreement to determine which funds are included in the MTW Agreement. If CFP funds are transferred out of CFP, pursuant to an MTW Agreement, they are subject to the requirements of the MTW Agreement and should not be included in the audit universe and total expenditures for CFP when determining Type A programs. On the Schedule of Expenditures of Federal Awards, the amounts transferred out should not be shown as CFP expenditures but should be shown as expenditures for the MTW Demonstration program. Also, if other </w:t>
      </w:r>
      <w:r w:rsidRPr="00BE348D">
        <w:rPr>
          <w:rFonts w:ascii="Arial" w:hAnsi="Arial" w:cs="Arial"/>
          <w:bCs/>
        </w:rPr>
        <w:lastRenderedPageBreak/>
        <w:t>program funds are transferred into the CFP account pursuant to an MTW Agreement, all of the CFP funds would then be considered MTW funds.</w:t>
      </w:r>
    </w:p>
    <w:p w14:paraId="6326DC8F" w14:textId="54C5BAE5" w:rsidR="00BE348D" w:rsidRPr="00BE348D" w:rsidRDefault="00BE348D" w:rsidP="00BE348D">
      <w:pPr>
        <w:spacing w:after="240"/>
        <w:jc w:val="both"/>
        <w:rPr>
          <w:rFonts w:ascii="Arial" w:hAnsi="Arial" w:cs="Arial"/>
          <w:bCs/>
        </w:rPr>
      </w:pPr>
      <w:r w:rsidRPr="00BE348D">
        <w:rPr>
          <w:rFonts w:ascii="Arial" w:hAnsi="Arial" w:cs="Arial"/>
          <w:bCs/>
        </w:rPr>
        <w:t>Where the MTW agency does not transfer all the funds from the CFP into the MTW account or another of the authorized program, those funds would be considered, and audited, under the CFP.</w:t>
      </w:r>
    </w:p>
    <w:p w14:paraId="6E73424B" w14:textId="34A96F7D" w:rsidR="00230FA4" w:rsidRPr="00230FA4" w:rsidRDefault="00230FA4" w:rsidP="00230FA4">
      <w:pPr>
        <w:spacing w:after="240"/>
        <w:jc w:val="both"/>
        <w:rPr>
          <w:rFonts w:ascii="Arial" w:hAnsi="Arial" w:cs="Arial"/>
          <w:b/>
        </w:rPr>
      </w:pPr>
      <w:r w:rsidRPr="00230FA4">
        <w:rPr>
          <w:rFonts w:ascii="Arial" w:hAnsi="Arial" w:cs="Arial"/>
          <w:b/>
        </w:rPr>
        <w:t>Availability of Other Program Information</w:t>
      </w:r>
    </w:p>
    <w:p w14:paraId="16C6500C" w14:textId="77BD71B2" w:rsidR="00230FA4" w:rsidRPr="00230FA4" w:rsidRDefault="00230FA4" w:rsidP="00230FA4">
      <w:pPr>
        <w:spacing w:after="240"/>
        <w:jc w:val="both"/>
        <w:rPr>
          <w:rFonts w:ascii="Arial" w:hAnsi="Arial" w:cs="Arial"/>
          <w:bCs/>
        </w:rPr>
      </w:pPr>
      <w:r w:rsidRPr="00230FA4">
        <w:rPr>
          <w:rFonts w:ascii="Arial" w:hAnsi="Arial" w:cs="Arial"/>
          <w:bCs/>
        </w:rPr>
        <w:t>HUD posts guidance on the CFP to its Office of Capital Improvements Home Page that provides grantees with information on timelines, budgets, financial instructions, and other program guidance. Information regarding the financial reporting requirements of the PHAs is provided by HUD on the Real Estate Assessment Center (REAC) website.</w:t>
      </w:r>
    </w:p>
    <w:p w14:paraId="11B96EC9" w14:textId="65C71D1A" w:rsidR="00230FA4" w:rsidRPr="00230FA4" w:rsidRDefault="00230FA4" w:rsidP="00230FA4">
      <w:pPr>
        <w:spacing w:after="240"/>
        <w:jc w:val="both"/>
        <w:rPr>
          <w:rFonts w:ascii="Arial" w:hAnsi="Arial" w:cs="Arial"/>
          <w:bCs/>
        </w:rPr>
      </w:pPr>
      <w:r w:rsidRPr="00230FA4">
        <w:rPr>
          <w:rFonts w:ascii="Arial" w:hAnsi="Arial" w:cs="Arial"/>
          <w:bCs/>
        </w:rPr>
        <w:t>Here are some helpful links:</w:t>
      </w:r>
    </w:p>
    <w:p w14:paraId="3B64B6BE" w14:textId="7FF1001F" w:rsidR="00230FA4" w:rsidRDefault="00230FA4" w:rsidP="00230FA4">
      <w:pPr>
        <w:jc w:val="both"/>
        <w:rPr>
          <w:rFonts w:ascii="Arial" w:hAnsi="Arial" w:cs="Arial"/>
          <w:bCs/>
        </w:rPr>
      </w:pPr>
      <w:r w:rsidRPr="00230FA4">
        <w:rPr>
          <w:rFonts w:ascii="Arial" w:hAnsi="Arial" w:cs="Arial"/>
          <w:bCs/>
        </w:rPr>
        <w:t xml:space="preserve">Office of Capital Improvements web page: </w:t>
      </w:r>
      <w:hyperlink r:id="rId32" w:history="1">
        <w:r w:rsidRPr="00B05317">
          <w:rPr>
            <w:rStyle w:val="Hyperlink"/>
            <w:rFonts w:cs="Arial"/>
            <w:bCs/>
          </w:rPr>
          <w:t>https://www.hud.gov/program_offices/public_indian_housing/programs/ph/capfund</w:t>
        </w:r>
      </w:hyperlink>
      <w:r>
        <w:rPr>
          <w:rFonts w:ascii="Arial" w:hAnsi="Arial" w:cs="Arial"/>
          <w:bCs/>
        </w:rPr>
        <w:t xml:space="preserve"> </w:t>
      </w:r>
    </w:p>
    <w:p w14:paraId="06CECAF1" w14:textId="77777777" w:rsidR="00230FA4" w:rsidRPr="00230FA4" w:rsidRDefault="00230FA4" w:rsidP="00230FA4">
      <w:pPr>
        <w:jc w:val="both"/>
        <w:rPr>
          <w:rFonts w:ascii="Arial" w:hAnsi="Arial" w:cs="Arial"/>
          <w:bCs/>
        </w:rPr>
      </w:pPr>
    </w:p>
    <w:p w14:paraId="49DB198A" w14:textId="77777777" w:rsidR="00230FA4" w:rsidRDefault="00230FA4" w:rsidP="00230FA4">
      <w:pPr>
        <w:jc w:val="both"/>
        <w:rPr>
          <w:rFonts w:ascii="Arial" w:hAnsi="Arial" w:cs="Arial"/>
          <w:bCs/>
        </w:rPr>
      </w:pPr>
      <w:r w:rsidRPr="00230FA4">
        <w:rPr>
          <w:rFonts w:ascii="Arial" w:hAnsi="Arial" w:cs="Arial"/>
          <w:bCs/>
        </w:rPr>
        <w:t xml:space="preserve">REAC web pages: </w:t>
      </w:r>
    </w:p>
    <w:p w14:paraId="34AEFFAE" w14:textId="3F1C131B" w:rsidR="00230FA4" w:rsidRDefault="00666CEC" w:rsidP="00230FA4">
      <w:pPr>
        <w:jc w:val="both"/>
        <w:rPr>
          <w:rFonts w:ascii="Arial" w:hAnsi="Arial" w:cs="Arial"/>
          <w:bCs/>
        </w:rPr>
      </w:pPr>
      <w:hyperlink r:id="rId33" w:history="1">
        <w:r w:rsidR="00230FA4" w:rsidRPr="00B05317">
          <w:rPr>
            <w:rStyle w:val="Hyperlink"/>
            <w:rFonts w:cs="Arial"/>
            <w:bCs/>
          </w:rPr>
          <w:t>https://www.hud.gov/program_offices/public_indian_housing/reac</w:t>
        </w:r>
      </w:hyperlink>
    </w:p>
    <w:p w14:paraId="21C3792F" w14:textId="78767E12" w:rsidR="00230FA4" w:rsidRPr="00230FA4" w:rsidRDefault="00666CEC" w:rsidP="00230FA4">
      <w:pPr>
        <w:jc w:val="both"/>
        <w:rPr>
          <w:rFonts w:ascii="Arial" w:hAnsi="Arial" w:cs="Arial"/>
          <w:bCs/>
        </w:rPr>
      </w:pPr>
      <w:hyperlink r:id="rId34" w:history="1">
        <w:r w:rsidR="00230FA4" w:rsidRPr="00B05317">
          <w:rPr>
            <w:rStyle w:val="Hyperlink"/>
            <w:rFonts w:cs="Arial"/>
            <w:bCs/>
          </w:rPr>
          <w:t>https://www.hud.gov/program_offices/public_indian_housing/reac/products/prodpha</w:t>
        </w:r>
      </w:hyperlink>
      <w:r w:rsidR="00230FA4">
        <w:rPr>
          <w:rFonts w:ascii="Arial" w:hAnsi="Arial" w:cs="Arial"/>
          <w:bCs/>
        </w:rPr>
        <w:t xml:space="preserve"> </w:t>
      </w:r>
    </w:p>
    <w:p w14:paraId="7E318C26" w14:textId="1182E6F0" w:rsidR="008148E3" w:rsidRDefault="00666CEC" w:rsidP="00230FA4">
      <w:pPr>
        <w:jc w:val="both"/>
        <w:rPr>
          <w:rFonts w:ascii="Arial" w:hAnsi="Arial" w:cs="Arial"/>
          <w:bCs/>
        </w:rPr>
      </w:pPr>
      <w:hyperlink r:id="rId35" w:history="1">
        <w:r w:rsidR="00230FA4" w:rsidRPr="00B05317">
          <w:rPr>
            <w:rStyle w:val="Hyperlink"/>
            <w:rFonts w:cs="Arial"/>
            <w:bCs/>
          </w:rPr>
          <w:t>https://www.hud.gov/program_offices/public_indian_housing/reac/products/prodphasintrule</w:t>
        </w:r>
      </w:hyperlink>
      <w:r w:rsidR="00230FA4">
        <w:rPr>
          <w:rFonts w:ascii="Arial" w:hAnsi="Arial" w:cs="Arial"/>
          <w:bCs/>
        </w:rPr>
        <w:t xml:space="preserve"> </w:t>
      </w:r>
    </w:p>
    <w:p w14:paraId="22FCB5E9" w14:textId="77777777" w:rsidR="00230FA4" w:rsidRDefault="00230FA4" w:rsidP="00230FA4">
      <w:pPr>
        <w:jc w:val="both"/>
        <w:rPr>
          <w:rFonts w:ascii="Arial" w:hAnsi="Arial" w:cs="Arial"/>
          <w:bCs/>
        </w:rPr>
      </w:pPr>
    </w:p>
    <w:p w14:paraId="715B58CD" w14:textId="1CB1EB42" w:rsidR="00230FA4" w:rsidRPr="00230FA4" w:rsidRDefault="00230FA4" w:rsidP="006672EA">
      <w:pPr>
        <w:spacing w:after="240"/>
        <w:jc w:val="both"/>
        <w:rPr>
          <w:rFonts w:ascii="Arial" w:hAnsi="Arial" w:cs="Arial"/>
          <w:bCs/>
          <w:i/>
          <w:iCs/>
        </w:rPr>
      </w:pPr>
      <w:r>
        <w:rPr>
          <w:rFonts w:ascii="Arial" w:hAnsi="Arial" w:cs="Arial"/>
          <w:bCs/>
          <w:i/>
          <w:iCs/>
        </w:rPr>
        <w:t>(Source: 2024 OMB Compliance Supplement, Part 4, HUD, #14.872 Public Housing Capital Fund)</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6"/>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74635345"/>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3" w:name="_Toc174635346"/>
      <w:r w:rsidRPr="00A0464C">
        <w:rPr>
          <w:rFonts w:cs="Arial"/>
          <w:sz w:val="24"/>
          <w:szCs w:val="24"/>
        </w:rPr>
        <w:t>Program Overview</w:t>
      </w:r>
      <w:bookmarkEnd w:id="23"/>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4" w:name="_Toc174635347"/>
      <w:r w:rsidRPr="00A0464C">
        <w:rPr>
          <w:rFonts w:cs="Arial"/>
          <w:sz w:val="24"/>
          <w:szCs w:val="24"/>
        </w:rPr>
        <w:t>Testing Considerations</w:t>
      </w:r>
      <w:bookmarkEnd w:id="24"/>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5" w:name="_Toc174635348"/>
      <w:r w:rsidRPr="00A0464C">
        <w:rPr>
          <w:rFonts w:cs="Arial"/>
          <w:sz w:val="24"/>
          <w:szCs w:val="24"/>
        </w:rPr>
        <w:t>Reporting</w:t>
      </w:r>
      <w:bookmarkEnd w:id="25"/>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37"/>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8"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74635349"/>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74635350"/>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74635351"/>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40D20F8F" w14:textId="33197470" w:rsidR="00230FA4" w:rsidRPr="00230FA4" w:rsidRDefault="00230FA4" w:rsidP="00230FA4">
      <w:pPr>
        <w:spacing w:after="240"/>
        <w:jc w:val="both"/>
        <w:rPr>
          <w:rFonts w:ascii="Arial" w:hAnsi="Arial" w:cs="Arial"/>
          <w:b/>
        </w:rPr>
      </w:pPr>
      <w:r w:rsidRPr="00230FA4">
        <w:rPr>
          <w:rFonts w:ascii="Arial" w:hAnsi="Arial" w:cs="Arial"/>
          <w:b/>
        </w:rPr>
        <w:t>1.</w:t>
      </w:r>
      <w:r w:rsidRPr="00230FA4">
        <w:rPr>
          <w:rFonts w:ascii="Arial" w:hAnsi="Arial" w:cs="Arial"/>
          <w:b/>
        </w:rPr>
        <w:tab/>
        <w:t>Activities Allowed</w:t>
      </w:r>
    </w:p>
    <w:p w14:paraId="39C4B690" w14:textId="020D451D" w:rsidR="00230FA4" w:rsidRPr="00230FA4" w:rsidRDefault="00230FA4" w:rsidP="00230FA4">
      <w:pPr>
        <w:spacing w:after="240"/>
        <w:ind w:left="1440" w:hanging="720"/>
        <w:jc w:val="both"/>
        <w:rPr>
          <w:rFonts w:ascii="Arial" w:hAnsi="Arial" w:cs="Arial"/>
          <w:bCs/>
        </w:rPr>
      </w:pPr>
      <w:r w:rsidRPr="00230FA4">
        <w:rPr>
          <w:rFonts w:ascii="Arial" w:hAnsi="Arial" w:cs="Arial"/>
          <w:bCs/>
        </w:rPr>
        <w:t>a.</w:t>
      </w:r>
      <w:r w:rsidRPr="00230FA4">
        <w:rPr>
          <w:rFonts w:ascii="Arial" w:hAnsi="Arial" w:cs="Arial"/>
          <w:bCs/>
        </w:rPr>
        <w:tab/>
        <w:t>For Capital Fund formula grants and grants from the set-aside for emergencies and natural disasters, allowed Capital Fund activities include the following: (1) developing, financing, or modernizing public housing; (2) vacancy reduction; (3) deferred maintenance; (4) replacement of obsolete utility systems and dwelling equipment; (5) code compliance; (6) management improvements; (7) demolition and replacement; (8) resident relocation; (9) resident economic empowerment/economic self- sufficiency; and (10) security; and homeownership (42 USC 1437g(d): Annual contributions for operation of low-income housing (house.gov); 24 CFR section 905.200). A PHA with fewer than 250 units that is not designated as troubled under the Public Housing Assessment System (PHAS) may use up to 100 percent of its annual Capital Fund grant for activities that are eligible under the Operating Fund at 24 CFR part 990 (see Assistance Listing 14.850, III.A, “Activities Allowed or Unallowed”), except that the PHA must have determined that there are no debt service payments, significant Capital Fund needs, or emergency needs that must be met prior to transferring 100 percent of its funds to operating expenses 24 CFR section 905.314(l).</w:t>
      </w:r>
    </w:p>
    <w:p w14:paraId="70947E8A" w14:textId="3AEC07B5" w:rsidR="00230FA4" w:rsidRPr="00230FA4" w:rsidRDefault="00230FA4" w:rsidP="00230FA4">
      <w:pPr>
        <w:spacing w:after="240"/>
        <w:ind w:left="1440" w:hanging="720"/>
        <w:jc w:val="both"/>
        <w:rPr>
          <w:rFonts w:ascii="Arial" w:hAnsi="Arial" w:cs="Arial"/>
          <w:bCs/>
        </w:rPr>
      </w:pPr>
      <w:r w:rsidRPr="00230FA4">
        <w:rPr>
          <w:rFonts w:ascii="Arial" w:hAnsi="Arial" w:cs="Arial"/>
          <w:bCs/>
        </w:rPr>
        <w:lastRenderedPageBreak/>
        <w:t>b.</w:t>
      </w:r>
      <w:r w:rsidRPr="00230FA4">
        <w:rPr>
          <w:rFonts w:ascii="Arial" w:hAnsi="Arial" w:cs="Arial"/>
          <w:bCs/>
        </w:rPr>
        <w:tab/>
        <w:t>For Capital Fund Replacement Housing Factor (RHF) grants, activities are limited to the development of replacement housing (24 CFR section 905.400(i)).</w:t>
      </w:r>
    </w:p>
    <w:p w14:paraId="7AEF99C8" w14:textId="504FAB92" w:rsidR="00230FA4" w:rsidRPr="00230FA4" w:rsidRDefault="00230FA4" w:rsidP="00230FA4">
      <w:pPr>
        <w:spacing w:after="240"/>
        <w:jc w:val="both"/>
        <w:rPr>
          <w:rFonts w:ascii="Arial" w:hAnsi="Arial" w:cs="Arial"/>
          <w:b/>
        </w:rPr>
      </w:pPr>
      <w:r w:rsidRPr="00230FA4">
        <w:rPr>
          <w:rFonts w:ascii="Arial" w:hAnsi="Arial" w:cs="Arial"/>
          <w:b/>
        </w:rPr>
        <w:t>2.</w:t>
      </w:r>
      <w:r w:rsidRPr="00230FA4">
        <w:rPr>
          <w:rFonts w:ascii="Arial" w:hAnsi="Arial" w:cs="Arial"/>
          <w:b/>
        </w:rPr>
        <w:tab/>
        <w:t>Activities Unallowed</w:t>
      </w:r>
    </w:p>
    <w:p w14:paraId="68F941E9" w14:textId="7531735C" w:rsidR="00230FA4" w:rsidRPr="00230FA4" w:rsidRDefault="00230FA4" w:rsidP="00230FA4">
      <w:pPr>
        <w:spacing w:after="240"/>
        <w:ind w:left="720"/>
        <w:jc w:val="both"/>
        <w:rPr>
          <w:rFonts w:ascii="Arial" w:hAnsi="Arial" w:cs="Arial"/>
          <w:bCs/>
        </w:rPr>
      </w:pPr>
      <w:r w:rsidRPr="00230FA4">
        <w:rPr>
          <w:rFonts w:ascii="Arial" w:hAnsi="Arial" w:cs="Arial"/>
          <w:bCs/>
        </w:rPr>
        <w:t>A PHA must not incur any cost in excess of the total HUD-approved PHA - Annual Statement/Budget. Budget revisions must be submitted in EPIC for deviations from the originally approved program. A PHA must not incur any cost on behalf of any development that is not covered by its current approved 5-Year Action Plan (24 CFR section 905.200(a)).</w:t>
      </w:r>
    </w:p>
    <w:p w14:paraId="03A433D1" w14:textId="2ADF1347" w:rsidR="00230FA4" w:rsidRPr="00230FA4" w:rsidRDefault="00230FA4" w:rsidP="00230FA4">
      <w:pPr>
        <w:spacing w:after="240"/>
        <w:ind w:left="720"/>
        <w:jc w:val="both"/>
        <w:rPr>
          <w:rFonts w:ascii="Arial" w:hAnsi="Arial" w:cs="Arial"/>
          <w:bCs/>
        </w:rPr>
      </w:pPr>
      <w:r w:rsidRPr="00230FA4">
        <w:rPr>
          <w:rFonts w:ascii="Arial" w:hAnsi="Arial" w:cs="Arial"/>
          <w:bCs/>
        </w:rPr>
        <w:t>The ineligible activities and costs for the Capital Fund Program are located at 24 CFR 905.202 (</w:t>
      </w:r>
      <w:hyperlink r:id="rId39" w:history="1">
        <w:r w:rsidRPr="00B05317">
          <w:rPr>
            <w:rStyle w:val="Hyperlink"/>
            <w:rFonts w:cs="Arial"/>
            <w:bCs/>
          </w:rPr>
          <w:t>https://www.ecfr.gov/current/title-24/subtitle-B/chapter-IX/part-905</w:t>
        </w:r>
      </w:hyperlink>
      <w:r w:rsidRPr="00230FA4">
        <w:rPr>
          <w:rFonts w:ascii="Arial" w:hAnsi="Arial" w:cs="Arial"/>
          <w:bCs/>
        </w:rPr>
        <w:t>). The following list describes ineligible activities and costs for the Capital Fund Program:</w:t>
      </w:r>
    </w:p>
    <w:p w14:paraId="24208BF7" w14:textId="33FF188B" w:rsidR="00230FA4" w:rsidRPr="00230FA4" w:rsidRDefault="00230FA4" w:rsidP="00230FA4">
      <w:pPr>
        <w:spacing w:after="240"/>
        <w:ind w:left="1440" w:hanging="720"/>
        <w:jc w:val="both"/>
        <w:rPr>
          <w:rFonts w:ascii="Arial" w:hAnsi="Arial" w:cs="Arial"/>
          <w:bCs/>
        </w:rPr>
      </w:pPr>
      <w:r w:rsidRPr="00230FA4">
        <w:rPr>
          <w:rFonts w:ascii="Arial" w:hAnsi="Arial" w:cs="Arial"/>
          <w:bCs/>
        </w:rPr>
        <w:t>a.</w:t>
      </w:r>
      <w:r w:rsidRPr="00230FA4">
        <w:rPr>
          <w:rFonts w:ascii="Arial" w:hAnsi="Arial" w:cs="Arial"/>
          <w:bCs/>
        </w:rPr>
        <w:tab/>
        <w:t>Not Related to Public Housing. PHAs may not spend Capital Funds on costs that are not associated with a Public Housing Development or Modernization Project.</w:t>
      </w:r>
    </w:p>
    <w:p w14:paraId="78716A4A" w14:textId="6F6BADEB" w:rsidR="00230FA4" w:rsidRPr="00230FA4" w:rsidRDefault="00230FA4" w:rsidP="00230FA4">
      <w:pPr>
        <w:spacing w:after="240"/>
        <w:ind w:left="1440" w:hanging="720"/>
        <w:jc w:val="both"/>
        <w:rPr>
          <w:rFonts w:ascii="Arial" w:hAnsi="Arial" w:cs="Arial"/>
          <w:bCs/>
        </w:rPr>
      </w:pPr>
      <w:r w:rsidRPr="00230FA4">
        <w:rPr>
          <w:rFonts w:ascii="Arial" w:hAnsi="Arial" w:cs="Arial"/>
          <w:bCs/>
        </w:rPr>
        <w:t>b.</w:t>
      </w:r>
      <w:r w:rsidRPr="00230FA4">
        <w:rPr>
          <w:rFonts w:ascii="Arial" w:hAnsi="Arial" w:cs="Arial"/>
          <w:bCs/>
        </w:rPr>
        <w:tab/>
        <w:t>Not in 5-Year Action Plan. PHAs may not spend Capital Funds on activities and costs that are not included in the PHA’s 5-Year Action Plan (Note: Emergency Work or Non-Presidentially Declared Natural Disaster assistance that is not identified in the 5-Year Action Plan is an eligible cost).</w:t>
      </w:r>
    </w:p>
    <w:p w14:paraId="5484304C" w14:textId="7294AAA7" w:rsidR="00230FA4" w:rsidRPr="00230FA4" w:rsidRDefault="00230FA4" w:rsidP="00230FA4">
      <w:pPr>
        <w:spacing w:after="240"/>
        <w:ind w:left="1440" w:hanging="720"/>
        <w:jc w:val="both"/>
        <w:rPr>
          <w:rFonts w:ascii="Arial" w:hAnsi="Arial" w:cs="Arial"/>
          <w:bCs/>
        </w:rPr>
      </w:pPr>
      <w:r w:rsidRPr="00230FA4">
        <w:rPr>
          <w:rFonts w:ascii="Arial" w:hAnsi="Arial" w:cs="Arial"/>
          <w:bCs/>
        </w:rPr>
        <w:t>c.</w:t>
      </w:r>
      <w:r w:rsidRPr="00230FA4">
        <w:rPr>
          <w:rFonts w:ascii="Arial" w:hAnsi="Arial" w:cs="Arial"/>
          <w:bCs/>
        </w:rPr>
        <w:tab/>
        <w:t xml:space="preserve">Not Modest Design. PHAs may not spend Capital Funds on improvements or purchases that are not considered modest in design and cost because they include amenities, materials, and design in excess of what is customary for the locality, as determined by the PHA and field office. These include, but are not limited to, granite counter tops, dishwashers, microwaves, swimming pools, saunas, whirlpool baths, and hot tubs. Modernization and development activities require Field Office review and approval of the PHA’s annual and five-year plans detailing the activities. These activities must be within the total development costs (TDC) limits. The TDC limits for PHAs are updated annually and posted on the Office of Capital Improvements website. The current TDC limits are posted here: </w:t>
      </w:r>
      <w:hyperlink r:id="rId40" w:history="1">
        <w:r w:rsidRPr="00B05317">
          <w:rPr>
            <w:rStyle w:val="Hyperlink"/>
            <w:rFonts w:cs="Arial"/>
            <w:bCs/>
          </w:rPr>
          <w:t>https://www.hud.gov/sites/dfiles/PIH/documents/2023_Units_TDC_Limits.pdf</w:t>
        </w:r>
      </w:hyperlink>
      <w:r>
        <w:rPr>
          <w:rFonts w:ascii="Arial" w:hAnsi="Arial" w:cs="Arial"/>
          <w:bCs/>
        </w:rPr>
        <w:t xml:space="preserve"> </w:t>
      </w:r>
    </w:p>
    <w:p w14:paraId="4EBE0BC0" w14:textId="79537E1C" w:rsidR="00230FA4" w:rsidRPr="00230FA4" w:rsidRDefault="00230FA4" w:rsidP="00230FA4">
      <w:pPr>
        <w:spacing w:after="240"/>
        <w:ind w:left="1440" w:hanging="720"/>
        <w:jc w:val="both"/>
        <w:rPr>
          <w:rFonts w:ascii="Arial" w:hAnsi="Arial" w:cs="Arial"/>
          <w:bCs/>
        </w:rPr>
      </w:pPr>
      <w:r w:rsidRPr="00230FA4">
        <w:rPr>
          <w:rFonts w:ascii="Arial" w:hAnsi="Arial" w:cs="Arial"/>
          <w:bCs/>
        </w:rPr>
        <w:t>d.</w:t>
      </w:r>
      <w:r w:rsidRPr="00230FA4">
        <w:rPr>
          <w:rFonts w:ascii="Arial" w:hAnsi="Arial" w:cs="Arial"/>
          <w:bCs/>
        </w:rPr>
        <w:tab/>
        <w:t>Not Eligible based on OMB Regulatory and Circular Guidance. PHAs may not spend Capital Funds on any costs not authorized in 2 CFR Part 200 (formerly OMB Circular A-87 and 2 CFR Part 225), including indirect Administrative Costs, indemnification, and capitalizing reserves.</w:t>
      </w:r>
    </w:p>
    <w:p w14:paraId="6BD5ADB9" w14:textId="77777777" w:rsidR="00230FA4" w:rsidRPr="00230FA4" w:rsidRDefault="00230FA4" w:rsidP="00230FA4">
      <w:pPr>
        <w:spacing w:after="240"/>
        <w:ind w:left="1440" w:hanging="720"/>
        <w:jc w:val="both"/>
        <w:rPr>
          <w:rFonts w:ascii="Arial" w:hAnsi="Arial" w:cs="Arial"/>
          <w:bCs/>
        </w:rPr>
      </w:pPr>
      <w:r w:rsidRPr="00230FA4">
        <w:rPr>
          <w:rFonts w:ascii="Arial" w:hAnsi="Arial" w:cs="Arial"/>
          <w:bCs/>
        </w:rPr>
        <w:t>e.</w:t>
      </w:r>
      <w:r w:rsidRPr="00230FA4">
        <w:rPr>
          <w:rFonts w:ascii="Arial" w:hAnsi="Arial" w:cs="Arial"/>
          <w:bCs/>
        </w:rPr>
        <w:tab/>
        <w:t>Operating Assistance. PHAs may not spend Capital Funds on Public Housing operating assistance, except as provided through transfers to BLI 1406.</w:t>
      </w:r>
    </w:p>
    <w:p w14:paraId="7FDC1A58" w14:textId="005FC393" w:rsidR="00230FA4" w:rsidRPr="00230FA4" w:rsidRDefault="00230FA4" w:rsidP="00230FA4">
      <w:pPr>
        <w:spacing w:after="240"/>
        <w:ind w:left="1440" w:hanging="720"/>
        <w:jc w:val="both"/>
        <w:rPr>
          <w:rFonts w:ascii="Arial" w:hAnsi="Arial" w:cs="Arial"/>
          <w:bCs/>
        </w:rPr>
      </w:pPr>
      <w:r w:rsidRPr="00230FA4">
        <w:rPr>
          <w:rFonts w:ascii="Arial" w:hAnsi="Arial" w:cs="Arial"/>
          <w:bCs/>
        </w:rPr>
        <w:t>f.</w:t>
      </w:r>
      <w:r w:rsidRPr="00230FA4">
        <w:rPr>
          <w:rFonts w:ascii="Arial" w:hAnsi="Arial" w:cs="Arial"/>
          <w:bCs/>
        </w:rPr>
        <w:tab/>
        <w:t>Benefitting Other Programs. Eligible costs that exceed the amount directly attributable to the public housing units when the physical or management improvements, including salaries and employee benefits and contributions, will benefit programs other than public housing, such as Section 8 Housing Choice Voucher, or local revitalization programs. For example, the annual audit covers all of the PHA’s activities such as the Operating Fund, Capital Fund, Housing Choice Vouchers, and non- federally funded activities. Only a pro-rata share of the Audit cost attributable to the Capital Fund may be charged to the Capital Fund.</w:t>
      </w:r>
    </w:p>
    <w:p w14:paraId="1DD65976" w14:textId="6255D732" w:rsidR="00230FA4" w:rsidRPr="00230FA4" w:rsidRDefault="00230FA4" w:rsidP="00230FA4">
      <w:pPr>
        <w:spacing w:after="240"/>
        <w:ind w:left="720"/>
        <w:jc w:val="both"/>
        <w:rPr>
          <w:rFonts w:ascii="Arial" w:hAnsi="Arial" w:cs="Arial"/>
          <w:bCs/>
        </w:rPr>
      </w:pPr>
      <w:r w:rsidRPr="00230FA4">
        <w:rPr>
          <w:rFonts w:ascii="Arial" w:hAnsi="Arial" w:cs="Arial"/>
          <w:bCs/>
        </w:rPr>
        <w:t>g.</w:t>
      </w:r>
      <w:r w:rsidRPr="00230FA4">
        <w:rPr>
          <w:rFonts w:ascii="Arial" w:hAnsi="Arial" w:cs="Arial"/>
          <w:bCs/>
        </w:rPr>
        <w:tab/>
        <w:t>Security Services. Ongoing security services, including:</w:t>
      </w:r>
    </w:p>
    <w:p w14:paraId="0CEF8E4A" w14:textId="17FFBC4E" w:rsidR="00230FA4" w:rsidRPr="00230FA4" w:rsidRDefault="00230FA4" w:rsidP="00230FA4">
      <w:pPr>
        <w:spacing w:after="240"/>
        <w:ind w:left="2160" w:hanging="720"/>
        <w:jc w:val="both"/>
        <w:rPr>
          <w:rFonts w:ascii="Arial" w:hAnsi="Arial" w:cs="Arial"/>
          <w:bCs/>
        </w:rPr>
      </w:pPr>
      <w:r w:rsidRPr="00230FA4">
        <w:rPr>
          <w:rFonts w:ascii="Arial" w:hAnsi="Arial" w:cs="Arial"/>
          <w:bCs/>
        </w:rPr>
        <w:t>(1)</w:t>
      </w:r>
      <w:r w:rsidRPr="00230FA4">
        <w:rPr>
          <w:rFonts w:ascii="Arial" w:hAnsi="Arial" w:cs="Arial"/>
          <w:bCs/>
        </w:rPr>
        <w:tab/>
        <w:t>Contracts with local police departments including above baseline police services except where permitted by HUD FY Appropriations Acts;</w:t>
      </w:r>
    </w:p>
    <w:p w14:paraId="710656D3" w14:textId="4F049460" w:rsidR="00230FA4" w:rsidRPr="00230FA4" w:rsidRDefault="00230FA4" w:rsidP="00230FA4">
      <w:pPr>
        <w:spacing w:after="240"/>
        <w:ind w:left="2160" w:hanging="720"/>
        <w:jc w:val="both"/>
        <w:rPr>
          <w:rFonts w:ascii="Arial" w:hAnsi="Arial" w:cs="Arial"/>
          <w:bCs/>
        </w:rPr>
      </w:pPr>
      <w:r w:rsidRPr="00230FA4">
        <w:rPr>
          <w:rFonts w:ascii="Arial" w:hAnsi="Arial" w:cs="Arial"/>
          <w:bCs/>
        </w:rPr>
        <w:lastRenderedPageBreak/>
        <w:t>(2)</w:t>
      </w:r>
      <w:r w:rsidRPr="00230FA4">
        <w:rPr>
          <w:rFonts w:ascii="Arial" w:hAnsi="Arial" w:cs="Arial"/>
          <w:bCs/>
        </w:rPr>
        <w:tab/>
        <w:t>The salaries and benefits for security guards, patrols, or police officers (full-time, part-time, or after hours); and</w:t>
      </w:r>
    </w:p>
    <w:p w14:paraId="2C1B543D" w14:textId="210152B3" w:rsidR="00230FA4" w:rsidRPr="00230FA4" w:rsidRDefault="00230FA4" w:rsidP="00230FA4">
      <w:pPr>
        <w:spacing w:after="240"/>
        <w:ind w:left="1440"/>
        <w:jc w:val="both"/>
        <w:rPr>
          <w:rFonts w:ascii="Arial" w:hAnsi="Arial" w:cs="Arial"/>
          <w:bCs/>
        </w:rPr>
      </w:pPr>
      <w:r w:rsidRPr="00230FA4">
        <w:rPr>
          <w:rFonts w:ascii="Arial" w:hAnsi="Arial" w:cs="Arial"/>
          <w:bCs/>
        </w:rPr>
        <w:t>(3)</w:t>
      </w:r>
      <w:r w:rsidRPr="00230FA4">
        <w:rPr>
          <w:rFonts w:ascii="Arial" w:hAnsi="Arial" w:cs="Arial"/>
          <w:bCs/>
        </w:rPr>
        <w:tab/>
        <w:t>The purchase or leasing of vehicles for security personnel.</w:t>
      </w:r>
    </w:p>
    <w:p w14:paraId="30062DDF" w14:textId="149BF223" w:rsidR="00230FA4" w:rsidRPr="00230FA4" w:rsidRDefault="00230FA4" w:rsidP="00230FA4">
      <w:pPr>
        <w:spacing w:after="240"/>
        <w:ind w:left="1440" w:hanging="720"/>
        <w:jc w:val="both"/>
        <w:rPr>
          <w:rFonts w:ascii="Arial" w:hAnsi="Arial" w:cs="Arial"/>
          <w:bCs/>
        </w:rPr>
      </w:pPr>
      <w:r w:rsidRPr="00230FA4">
        <w:rPr>
          <w:rFonts w:ascii="Arial" w:hAnsi="Arial" w:cs="Arial"/>
          <w:bCs/>
        </w:rPr>
        <w:t>h.</w:t>
      </w:r>
      <w:r w:rsidRPr="00230FA4">
        <w:rPr>
          <w:rFonts w:ascii="Arial" w:hAnsi="Arial" w:cs="Arial"/>
          <w:bCs/>
        </w:rPr>
        <w:tab/>
        <w:t>Supportive Services. The provision of supportive services to public housing residents, including:</w:t>
      </w:r>
    </w:p>
    <w:p w14:paraId="2F157228" w14:textId="6D4CEC1A" w:rsidR="00230FA4" w:rsidRPr="00230FA4" w:rsidRDefault="00230FA4" w:rsidP="00230FA4">
      <w:pPr>
        <w:spacing w:after="240"/>
        <w:ind w:left="2160" w:hanging="720"/>
        <w:jc w:val="both"/>
        <w:rPr>
          <w:rFonts w:ascii="Arial" w:hAnsi="Arial" w:cs="Arial"/>
          <w:bCs/>
        </w:rPr>
      </w:pPr>
      <w:r w:rsidRPr="00230FA4">
        <w:rPr>
          <w:rFonts w:ascii="Arial" w:hAnsi="Arial" w:cs="Arial"/>
          <w:bCs/>
        </w:rPr>
        <w:t>(1)</w:t>
      </w:r>
      <w:r w:rsidRPr="00230FA4">
        <w:rPr>
          <w:rFonts w:ascii="Arial" w:hAnsi="Arial" w:cs="Arial"/>
          <w:bCs/>
        </w:rPr>
        <w:tab/>
        <w:t>The salaries and benefits or contract costs for service providers, including resident coordinators, case managers, social workers, nurses, chore service providers, supplemental police or probation services providers, and tutors;</w:t>
      </w:r>
    </w:p>
    <w:p w14:paraId="6371ABEA" w14:textId="0300DD5F" w:rsidR="00230FA4" w:rsidRPr="00230FA4" w:rsidRDefault="00230FA4" w:rsidP="00230FA4">
      <w:pPr>
        <w:spacing w:after="240"/>
        <w:ind w:left="1440"/>
        <w:jc w:val="both"/>
        <w:rPr>
          <w:rFonts w:ascii="Arial" w:hAnsi="Arial" w:cs="Arial"/>
          <w:bCs/>
        </w:rPr>
      </w:pPr>
      <w:r w:rsidRPr="00230FA4">
        <w:rPr>
          <w:rFonts w:ascii="Arial" w:hAnsi="Arial" w:cs="Arial"/>
          <w:bCs/>
        </w:rPr>
        <w:t>(2)</w:t>
      </w:r>
      <w:r w:rsidRPr="00230FA4">
        <w:rPr>
          <w:rFonts w:ascii="Arial" w:hAnsi="Arial" w:cs="Arial"/>
          <w:bCs/>
        </w:rPr>
        <w:tab/>
        <w:t>Health and wellness activities;</w:t>
      </w:r>
    </w:p>
    <w:p w14:paraId="2F6A7D80" w14:textId="6BCDE2DE" w:rsidR="00230FA4" w:rsidRPr="00230FA4" w:rsidRDefault="00230FA4" w:rsidP="00230FA4">
      <w:pPr>
        <w:spacing w:after="240"/>
        <w:ind w:left="2160" w:hanging="720"/>
        <w:jc w:val="both"/>
        <w:rPr>
          <w:rFonts w:ascii="Arial" w:hAnsi="Arial" w:cs="Arial"/>
          <w:bCs/>
        </w:rPr>
      </w:pPr>
      <w:r w:rsidRPr="00230FA4">
        <w:rPr>
          <w:rFonts w:ascii="Arial" w:hAnsi="Arial" w:cs="Arial"/>
          <w:bCs/>
        </w:rPr>
        <w:t>(3)</w:t>
      </w:r>
      <w:r w:rsidRPr="00230FA4">
        <w:rPr>
          <w:rFonts w:ascii="Arial" w:hAnsi="Arial" w:cs="Arial"/>
          <w:bCs/>
        </w:rPr>
        <w:tab/>
        <w:t>Educational enrichment and recreational activities, including social organizations; and</w:t>
      </w:r>
    </w:p>
    <w:p w14:paraId="5333A3E1" w14:textId="1E5E12D1" w:rsidR="00230FA4" w:rsidRPr="00230FA4" w:rsidRDefault="00230FA4" w:rsidP="00230FA4">
      <w:pPr>
        <w:spacing w:after="240"/>
        <w:ind w:left="2160" w:hanging="720"/>
        <w:jc w:val="both"/>
        <w:rPr>
          <w:rFonts w:ascii="Arial" w:hAnsi="Arial" w:cs="Arial"/>
          <w:bCs/>
        </w:rPr>
      </w:pPr>
      <w:r w:rsidRPr="00230FA4">
        <w:rPr>
          <w:rFonts w:ascii="Arial" w:hAnsi="Arial" w:cs="Arial"/>
          <w:bCs/>
        </w:rPr>
        <w:t>(4)</w:t>
      </w:r>
      <w:r w:rsidRPr="00230FA4">
        <w:rPr>
          <w:rFonts w:ascii="Arial" w:hAnsi="Arial" w:cs="Arial"/>
          <w:bCs/>
        </w:rPr>
        <w:tab/>
        <w:t>Job development and placement services, including the cost of professional licenses, certifications and exams, and transportation assistance.</w:t>
      </w:r>
    </w:p>
    <w:p w14:paraId="76641131" w14:textId="12C4C1FF" w:rsidR="00230FA4" w:rsidRPr="00230FA4" w:rsidRDefault="00230FA4" w:rsidP="00230FA4">
      <w:pPr>
        <w:spacing w:after="240"/>
        <w:ind w:left="1440" w:hanging="720"/>
        <w:jc w:val="both"/>
        <w:rPr>
          <w:rFonts w:ascii="Arial" w:hAnsi="Arial" w:cs="Arial"/>
          <w:bCs/>
        </w:rPr>
      </w:pPr>
      <w:r w:rsidRPr="00230FA4">
        <w:rPr>
          <w:rFonts w:ascii="Arial" w:hAnsi="Arial" w:cs="Arial"/>
          <w:bCs/>
        </w:rPr>
        <w:t>i.</w:t>
      </w:r>
      <w:r w:rsidRPr="00230FA4">
        <w:rPr>
          <w:rFonts w:ascii="Arial" w:hAnsi="Arial" w:cs="Arial"/>
          <w:bCs/>
        </w:rPr>
        <w:tab/>
        <w:t>Duplicate Funding. An otherwise eligible cost that is funded by another source and would result in duplicate funding; and</w:t>
      </w:r>
    </w:p>
    <w:p w14:paraId="5F90B84A" w14:textId="77F4726B" w:rsidR="00230FA4" w:rsidRDefault="00230FA4" w:rsidP="00230FA4">
      <w:pPr>
        <w:spacing w:after="240"/>
        <w:ind w:left="1440" w:hanging="720"/>
        <w:jc w:val="both"/>
        <w:rPr>
          <w:rFonts w:ascii="Arial" w:hAnsi="Arial" w:cs="Arial"/>
          <w:bCs/>
        </w:rPr>
      </w:pPr>
      <w:r w:rsidRPr="00230FA4">
        <w:rPr>
          <w:rFonts w:ascii="Arial" w:hAnsi="Arial" w:cs="Arial"/>
          <w:bCs/>
        </w:rPr>
        <w:t>j.</w:t>
      </w:r>
      <w:r w:rsidRPr="00230FA4">
        <w:rPr>
          <w:rFonts w:ascii="Arial" w:hAnsi="Arial" w:cs="Arial"/>
          <w:bCs/>
        </w:rPr>
        <w:tab/>
        <w:t>Other Activities. Any other activities and costs that HUD may determine are ineligible on a case-by-case basis, consistent with the 1937 Act and its regulations.</w:t>
      </w:r>
    </w:p>
    <w:p w14:paraId="3E46BBEA" w14:textId="7EE18127" w:rsidR="00230FA4" w:rsidRPr="00230FA4" w:rsidRDefault="00230FA4" w:rsidP="00230FA4">
      <w:pPr>
        <w:spacing w:after="240"/>
        <w:jc w:val="both"/>
        <w:rPr>
          <w:rFonts w:ascii="Arial" w:hAnsi="Arial" w:cs="Arial"/>
          <w:bCs/>
          <w:i/>
          <w:iCs/>
        </w:rPr>
      </w:pPr>
      <w:r>
        <w:rPr>
          <w:rFonts w:ascii="Arial" w:hAnsi="Arial" w:cs="Arial"/>
          <w:bCs/>
          <w:i/>
          <w:iCs/>
        </w:rPr>
        <w:t>(Source: 2024 OMB Compliance Supplement, Part 4, HUD, #14.872 Public Housing Capital Fund)</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74635352"/>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67A4055E" w14:textId="7EDE926D" w:rsidR="00AA5B05" w:rsidRPr="00230FA4" w:rsidRDefault="00AA5B05" w:rsidP="00230FA4">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230FA4">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4" w:name="_Toc174635353"/>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74635354"/>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74635355"/>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2"/>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74635356"/>
      <w:r w:rsidRPr="00A0464C">
        <w:rPr>
          <w:rFonts w:cs="Arial"/>
          <w:sz w:val="24"/>
        </w:rPr>
        <w:lastRenderedPageBreak/>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3"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4"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9" w:name="B___ALLOWABLE_COSTS_COST_PRINCIPLES"/>
      <w:bookmarkStart w:id="40" w:name="_Toc174635357"/>
      <w:bookmarkEnd w:id="39"/>
      <w:r w:rsidRPr="009365AA">
        <w:rPr>
          <w:rFonts w:cs="Arial"/>
          <w:sz w:val="24"/>
          <w:szCs w:val="24"/>
        </w:rPr>
        <w:t>Applicability of Cost Principles</w:t>
      </w:r>
      <w:bookmarkEnd w:id="40"/>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5"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666CEC" w:rsidP="006672EA">
      <w:pPr>
        <w:spacing w:after="240"/>
        <w:jc w:val="both"/>
        <w:rPr>
          <w:rFonts w:ascii="Arial" w:hAnsi="Arial" w:cs="Arial"/>
        </w:rPr>
      </w:pPr>
      <w:hyperlink r:id="rId46"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1DAD4FF4" w14:textId="3CAF4BAC" w:rsidR="00230FA4" w:rsidRPr="00230FA4" w:rsidRDefault="00230FA4" w:rsidP="00230FA4">
      <w:pPr>
        <w:spacing w:after="240"/>
        <w:jc w:val="both"/>
        <w:rPr>
          <w:rFonts w:ascii="Arial" w:hAnsi="Arial" w:cs="Arial"/>
          <w:bCs/>
        </w:rPr>
      </w:pPr>
      <w:r w:rsidRPr="00230FA4">
        <w:rPr>
          <w:rFonts w:ascii="Arial" w:hAnsi="Arial" w:cs="Arial"/>
          <w:bCs/>
        </w:rPr>
        <w:t xml:space="preserve">Allocation of Costs with Other Programs. Where the physical or management improvement costs will benefit programs other than public housing, such as the Housing Choice Voucher program or local revitalization programs, Capital Fund-eligible costs are limited to the amount directly attributable to the public housing program. The amount of salary, including bonuses, of PHA chief executive officers, other officers, and employees paid with Section 8 Housing Choice Vouchers administrative fees and Section 9 Capital and Operating funds may not exceed the annual rate of basic pay payable for a federal position at Level IV of the Executive Schedule 1 (Section 227 of Pub. L. No. 113-235, 128 Stat. 2756, December 16, 2014, and carried forward in each subsequent appropriations act). Implementing guidance has been issued in </w:t>
      </w:r>
      <w:hyperlink r:id="rId47" w:history="1">
        <w:r w:rsidRPr="00230FA4">
          <w:rPr>
            <w:rStyle w:val="Hyperlink"/>
            <w:rFonts w:cs="Arial"/>
            <w:bCs/>
          </w:rPr>
          <w:t>PIH Notice 2016-14</w:t>
        </w:r>
      </w:hyperlink>
      <w:r w:rsidRPr="00230FA4">
        <w:rPr>
          <w:rFonts w:ascii="Arial" w:hAnsi="Arial" w:cs="Arial"/>
          <w:bCs/>
        </w:rPr>
        <w:t xml:space="preserve">, “Guidance on Public Housing Agency (PHA) salary restriction in HUD’s annual appropriations.” The Executive Pay Schedule may be obtained at </w:t>
      </w:r>
      <w:hyperlink r:id="rId48" w:history="1">
        <w:r w:rsidRPr="00B05317">
          <w:rPr>
            <w:rStyle w:val="Hyperlink"/>
            <w:rFonts w:cs="Arial"/>
            <w:bCs/>
          </w:rPr>
          <w:t>https://www.opm.gov/policy-data-oversight/pay-leave/salaries-wages/salary-tables/pdf/2023/EX.pdf</w:t>
        </w:r>
      </w:hyperlink>
      <w:r>
        <w:rPr>
          <w:rFonts w:ascii="Arial" w:hAnsi="Arial" w:cs="Arial"/>
          <w:bCs/>
        </w:rPr>
        <w:t xml:space="preserve"> </w:t>
      </w:r>
      <w:r w:rsidRPr="00230FA4">
        <w:rPr>
          <w:rFonts w:ascii="Arial" w:hAnsi="Arial" w:cs="Arial"/>
          <w:bCs/>
        </w:rPr>
        <w:t>(24 CFR section 1006.370(b)).</w:t>
      </w:r>
    </w:p>
    <w:p w14:paraId="7FB111D5" w14:textId="43E3B91D" w:rsidR="00230FA4" w:rsidRPr="00230FA4" w:rsidRDefault="00230FA4" w:rsidP="00230FA4">
      <w:pPr>
        <w:spacing w:after="240"/>
        <w:jc w:val="both"/>
        <w:rPr>
          <w:rFonts w:ascii="Arial" w:hAnsi="Arial" w:cs="Arial"/>
          <w:b/>
        </w:rPr>
      </w:pPr>
      <w:r w:rsidRPr="00230FA4">
        <w:rPr>
          <w:rFonts w:ascii="Arial" w:hAnsi="Arial" w:cs="Arial"/>
          <w:b/>
        </w:rPr>
        <w:t>1.</w:t>
      </w:r>
      <w:r w:rsidRPr="00230FA4">
        <w:rPr>
          <w:rFonts w:ascii="Arial" w:hAnsi="Arial" w:cs="Arial"/>
          <w:b/>
        </w:rPr>
        <w:tab/>
        <w:t>Insurance Proceeds</w:t>
      </w:r>
    </w:p>
    <w:p w14:paraId="4DADD789" w14:textId="5DC92389" w:rsidR="00230FA4" w:rsidRPr="00230FA4" w:rsidRDefault="00230FA4" w:rsidP="00230FA4">
      <w:pPr>
        <w:spacing w:after="240"/>
        <w:ind w:left="720"/>
        <w:jc w:val="both"/>
        <w:rPr>
          <w:rFonts w:ascii="Arial" w:hAnsi="Arial" w:cs="Arial"/>
          <w:bCs/>
        </w:rPr>
      </w:pPr>
      <w:r w:rsidRPr="00230FA4">
        <w:rPr>
          <w:rFonts w:ascii="Arial" w:hAnsi="Arial" w:cs="Arial"/>
          <w:bCs/>
        </w:rPr>
        <w:t>PHAs are required to use insurance proceeds to promptly restore, reconstruct, and/or repair any damaged or destroyed property of a project, except when a written approval of HUD instructs a PHA to do otherwise. Unspent insurance proceeds are normally recorded as cash- restricted modernization and development, FDS line 112, up to the amount of the repair (Section 13 of Part A of ACC).</w:t>
      </w:r>
    </w:p>
    <w:p w14:paraId="63AC200F" w14:textId="05850178" w:rsidR="00230FA4" w:rsidRPr="00230FA4" w:rsidRDefault="00230FA4" w:rsidP="00230FA4">
      <w:pPr>
        <w:spacing w:after="240"/>
        <w:ind w:left="720"/>
        <w:jc w:val="both"/>
        <w:rPr>
          <w:rFonts w:ascii="Arial" w:hAnsi="Arial" w:cs="Arial"/>
          <w:bCs/>
        </w:rPr>
      </w:pPr>
      <w:r w:rsidRPr="00230FA4">
        <w:rPr>
          <w:rFonts w:ascii="Arial" w:hAnsi="Arial" w:cs="Arial"/>
          <w:bCs/>
          <w:i/>
          <w:iCs/>
        </w:rPr>
        <w:t>Emergency and Natural Disaster Reserve</w:t>
      </w:r>
      <w:r w:rsidRPr="00230FA4">
        <w:rPr>
          <w:rFonts w:ascii="Arial" w:hAnsi="Arial" w:cs="Arial"/>
          <w:bCs/>
        </w:rPr>
        <w:t xml:space="preserve"> – In cases of unforeseeable and unpreventable emergencies that include damages to the physical structure of the housing stock, PHAs may request funding from the Emergency and Natural Disaster Reserve of the Capital Fund, an appropriated set-aside of the Capital Fund. Such grants would have a “D” or an “E” as the fifth character in the grant number. The approval for these grants requires that the PHA pay first from any insurance proceeds, but while the PHA’s warranty or insurance policy may cover the damages fully or partially, it usually takes time for the PHA to receive the insurance proceeds. These grant funds may be used to cover any costs not met with insurance proceeds, but any remaining funds must be returned to HUD. If these grant funds are used before insurance proceeds are received, the PHA must pay back the Emergency and Natural Disaster Reserve.</w:t>
      </w:r>
    </w:p>
    <w:p w14:paraId="6434505D" w14:textId="219C7575" w:rsidR="00230FA4" w:rsidRPr="00230FA4" w:rsidRDefault="00230FA4" w:rsidP="00230FA4">
      <w:pPr>
        <w:spacing w:after="240"/>
        <w:jc w:val="both"/>
        <w:rPr>
          <w:rFonts w:ascii="Arial" w:hAnsi="Arial" w:cs="Arial"/>
          <w:b/>
        </w:rPr>
      </w:pPr>
      <w:r w:rsidRPr="00230FA4">
        <w:rPr>
          <w:rFonts w:ascii="Arial" w:hAnsi="Arial" w:cs="Arial"/>
          <w:b/>
        </w:rPr>
        <w:t>2.</w:t>
      </w:r>
      <w:r w:rsidRPr="00230FA4">
        <w:rPr>
          <w:rFonts w:ascii="Arial" w:hAnsi="Arial" w:cs="Arial"/>
          <w:b/>
        </w:rPr>
        <w:tab/>
        <w:t>Debt Secured to Public Housing Asset</w:t>
      </w:r>
    </w:p>
    <w:p w14:paraId="377C4447" w14:textId="45FBDAD3" w:rsidR="00230FA4" w:rsidRPr="00230FA4" w:rsidRDefault="00230FA4" w:rsidP="00230FA4">
      <w:pPr>
        <w:spacing w:after="240"/>
        <w:ind w:left="720"/>
        <w:jc w:val="both"/>
        <w:rPr>
          <w:rFonts w:ascii="Arial" w:hAnsi="Arial" w:cs="Arial"/>
          <w:bCs/>
          <w:highlight w:val="yellow"/>
        </w:rPr>
      </w:pPr>
      <w:r w:rsidRPr="00230FA4">
        <w:rPr>
          <w:rFonts w:ascii="Arial" w:hAnsi="Arial" w:cs="Arial"/>
          <w:bCs/>
        </w:rPr>
        <w:t>PHAs are only permitted to borrow funds secured to public housing assets (including real property, other PHA owned property purchased with federal grant funds and CFP grant funds themselves) if they have obtained HUD’s authorization prior to creating a security interest in public housing assets. This requirement does not prohibit a PHA from borrowing funds that are unsecured or that are not secured to public housing assets. In granting the required authorization, HUD will issue both an approval letter as well as a CFFP ACC Amendment (42 USC 1437z-2).</w:t>
      </w:r>
    </w:p>
    <w:p w14:paraId="299A789A" w14:textId="1A0A4DBE" w:rsidR="00230FA4" w:rsidRPr="00230FA4" w:rsidRDefault="00230FA4" w:rsidP="005C6C7A">
      <w:pPr>
        <w:spacing w:after="240"/>
        <w:jc w:val="both"/>
        <w:rPr>
          <w:rFonts w:ascii="Arial" w:hAnsi="Arial" w:cs="Arial"/>
          <w:bCs/>
          <w:i/>
          <w:iCs/>
        </w:rPr>
      </w:pPr>
      <w:r>
        <w:rPr>
          <w:rFonts w:ascii="Arial" w:hAnsi="Arial" w:cs="Arial"/>
          <w:bCs/>
          <w:i/>
          <w:iCs/>
        </w:rPr>
        <w:t>(Source: 2024 OMB Compliance Supplement, Part 4, HUD, #14.872 Public Housing Capital Fund)</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1" w:name="_Toc174635358"/>
      <w:r w:rsidRPr="00FA4759">
        <w:rPr>
          <w:rFonts w:cs="Arial"/>
          <w:sz w:val="24"/>
          <w:szCs w:val="24"/>
        </w:rPr>
        <w:t>Additional Program Specific Information</w:t>
      </w:r>
      <w:bookmarkEnd w:id="41"/>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38470BCF" w:rsidR="00CD5DC7" w:rsidRPr="00230FA4" w:rsidRDefault="00CD5DC7" w:rsidP="00230FA4">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230FA4">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2" w:name="_Toc174635359"/>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2"/>
    </w:p>
    <w:p w14:paraId="2C5C23C1" w14:textId="77777777" w:rsidR="00B01E70" w:rsidRPr="00A0464C" w:rsidRDefault="00B01E70" w:rsidP="00B01E70">
      <w:pPr>
        <w:pStyle w:val="Heading3"/>
        <w:jc w:val="both"/>
        <w:rPr>
          <w:rFonts w:cs="Arial"/>
          <w:sz w:val="24"/>
          <w:szCs w:val="24"/>
        </w:rPr>
      </w:pPr>
      <w:bookmarkStart w:id="43" w:name="_Toc174635360"/>
      <w:r w:rsidRPr="00A0464C">
        <w:rPr>
          <w:rFonts w:cs="Arial"/>
          <w:sz w:val="24"/>
          <w:szCs w:val="24"/>
        </w:rPr>
        <w:t>OMB Compliance Requirements</w:t>
      </w:r>
      <w:bookmarkEnd w:id="43"/>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lastRenderedPageBreak/>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lastRenderedPageBreak/>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lastRenderedPageBreak/>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4" w:name="_Hlk135059089"/>
      <w:r w:rsidRPr="00BF0246">
        <w:rPr>
          <w:rStyle w:val="Hyperlink"/>
          <w:rFonts w:cs="Arial"/>
          <w:b/>
          <w:i/>
          <w:iCs/>
          <w:color w:val="002060"/>
        </w:rPr>
        <w:t>Additional Control Test Objectives for Written Procedures</w:t>
      </w:r>
    </w:p>
    <w:bookmarkEnd w:id="44"/>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lastRenderedPageBreak/>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5"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6"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6"/>
          </w:p>
          <w:bookmarkEnd w:id="45"/>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9"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w:t>
            </w:r>
            <w:r w:rsidRPr="00F00D94">
              <w:rPr>
                <w:rFonts w:ascii="Arial" w:hAnsi="Arial" w:cs="Arial"/>
                <w:sz w:val="20"/>
              </w:rPr>
              <w:lastRenderedPageBreak/>
              <w:t xml:space="preserve">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For an ICRP using the multiple allocation base method, test statistical data (e.g., square footage, audit hours, salaries and wages) to ascertain if the proposed allocation or rate bases are </w:t>
            </w:r>
            <w:r w:rsidRPr="00F00D94">
              <w:rPr>
                <w:rFonts w:ascii="Arial" w:hAnsi="Arial" w:cs="Arial"/>
                <w:sz w:val="20"/>
              </w:rPr>
              <w:lastRenderedPageBreak/>
              <w:t>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7" w:name="_Toc174635361"/>
      <w:r w:rsidRPr="00FA4759">
        <w:rPr>
          <w:rFonts w:cs="Arial"/>
          <w:sz w:val="24"/>
          <w:szCs w:val="24"/>
        </w:rPr>
        <w:t>Audit Implications Summary</w:t>
      </w:r>
      <w:bookmarkEnd w:id="47"/>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w:t>
            </w:r>
            <w:r w:rsidRPr="00F00D94">
              <w:rPr>
                <w:rFonts w:ascii="Arial" w:hAnsi="Arial" w:cs="Arial"/>
                <w:b/>
                <w:sz w:val="20"/>
              </w:rPr>
              <w:lastRenderedPageBreak/>
              <w:t>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1"/>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8" w:name="B__LIST_OF_SELECTED_ITEMS"/>
      <w:bookmarkStart w:id="49" w:name="C___CASH_MANAGEMENT"/>
      <w:bookmarkStart w:id="50" w:name="_Toc442267690"/>
      <w:bookmarkStart w:id="51" w:name="_Toc174635362"/>
      <w:bookmarkEnd w:id="48"/>
      <w:bookmarkEnd w:id="49"/>
      <w:r w:rsidRPr="00C95501">
        <w:rPr>
          <w:rFonts w:cs="Arial"/>
          <w:sz w:val="24"/>
        </w:rPr>
        <w:lastRenderedPageBreak/>
        <w:t xml:space="preserve">C. </w:t>
      </w:r>
      <w:r w:rsidR="00341FBE" w:rsidRPr="00C95501">
        <w:rPr>
          <w:rFonts w:cs="Arial"/>
          <w:sz w:val="24"/>
        </w:rPr>
        <w:t>CASH MANAGEMENT</w:t>
      </w:r>
      <w:bookmarkEnd w:id="50"/>
      <w:bookmarkEnd w:id="51"/>
    </w:p>
    <w:p w14:paraId="2DD0D478" w14:textId="77777777" w:rsidR="00341FBE" w:rsidRPr="00C95501" w:rsidRDefault="006A15E5" w:rsidP="006672EA">
      <w:pPr>
        <w:pStyle w:val="Heading3"/>
        <w:jc w:val="both"/>
        <w:rPr>
          <w:rFonts w:cs="Arial"/>
          <w:sz w:val="24"/>
          <w:szCs w:val="24"/>
        </w:rPr>
      </w:pPr>
      <w:bookmarkStart w:id="52" w:name="_Toc442267691"/>
      <w:bookmarkStart w:id="53" w:name="_Toc174635363"/>
      <w:r w:rsidRPr="00C95501">
        <w:rPr>
          <w:rFonts w:cs="Arial"/>
          <w:sz w:val="24"/>
          <w:szCs w:val="24"/>
        </w:rPr>
        <w:t xml:space="preserve">OMB </w:t>
      </w:r>
      <w:r w:rsidR="00341FBE" w:rsidRPr="00C95501">
        <w:rPr>
          <w:rFonts w:cs="Arial"/>
          <w:sz w:val="24"/>
          <w:szCs w:val="24"/>
        </w:rPr>
        <w:t>Compliance Requirements</w:t>
      </w:r>
      <w:bookmarkEnd w:id="52"/>
      <w:bookmarkEnd w:id="53"/>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0E776A1"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52" w:history="1">
        <w:r w:rsidR="003C0E2D" w:rsidRPr="00F00D94">
          <w:rPr>
            <w:rStyle w:val="Hyperlink"/>
            <w:rFonts w:cs="Arial"/>
          </w:rPr>
          <w:t>31 CFR Part 205</w:t>
        </w:r>
      </w:hyperlink>
      <w:r w:rsidRPr="00F00D94">
        <w:rPr>
          <w:rFonts w:ascii="Arial" w:hAnsi="Arial" w:cs="Arial"/>
        </w:rPr>
        <w:t xml:space="preserve">, </w:t>
      </w:r>
      <w:hyperlink r:id="rId53" w:history="1">
        <w:r w:rsidR="00203D3E" w:rsidRPr="00F00D94">
          <w:rPr>
            <w:rStyle w:val="Hyperlink"/>
            <w:rFonts w:cs="Arial"/>
          </w:rPr>
          <w:t>48 CFR 52.216-7(b)</w:t>
        </w:r>
      </w:hyperlink>
      <w:r w:rsidRPr="00F00D94">
        <w:rPr>
          <w:rFonts w:ascii="Arial" w:hAnsi="Arial" w:cs="Arial"/>
        </w:rPr>
        <w:t xml:space="preserve"> and </w:t>
      </w:r>
      <w:hyperlink r:id="rId54"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34182BE7"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5"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6"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7"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267341FE" w14:textId="4020BF03" w:rsidR="00230FA4" w:rsidRPr="00230FA4" w:rsidRDefault="00230FA4" w:rsidP="00230FA4">
      <w:pPr>
        <w:spacing w:after="240"/>
        <w:jc w:val="both"/>
        <w:rPr>
          <w:rFonts w:ascii="Arial" w:hAnsi="Arial" w:cs="Arial"/>
          <w:bCs/>
        </w:rPr>
      </w:pPr>
      <w:r w:rsidRPr="00230FA4">
        <w:rPr>
          <w:rFonts w:ascii="Arial" w:hAnsi="Arial" w:cs="Arial"/>
          <w:bCs/>
        </w:rPr>
        <w:t xml:space="preserve">Congress provides funding for the Public Housing programs through annual appropriation acts. HUD then allocates and awards funding to PHAs in accordance with the appropriations acts. PHAs that have public </w:t>
      </w:r>
      <w:r w:rsidRPr="00230FA4">
        <w:rPr>
          <w:rFonts w:ascii="Arial" w:hAnsi="Arial" w:cs="Arial"/>
          <w:bCs/>
        </w:rPr>
        <w:lastRenderedPageBreak/>
        <w:t xml:space="preserve">housing units under an Annual Contributions Contract (ACC,) as described in </w:t>
      </w:r>
      <w:hyperlink r:id="rId58" w:history="1">
        <w:r w:rsidRPr="00730B4D">
          <w:rPr>
            <w:rStyle w:val="Hyperlink"/>
            <w:rFonts w:cs="Arial"/>
            <w:bCs/>
          </w:rPr>
          <w:t>24 CFR 5.403</w:t>
        </w:r>
      </w:hyperlink>
      <w:r w:rsidRPr="00230FA4">
        <w:rPr>
          <w:rFonts w:ascii="Arial" w:hAnsi="Arial" w:cs="Arial"/>
          <w:bCs/>
        </w:rPr>
        <w:t xml:space="preserve"> are subject to </w:t>
      </w:r>
      <w:hyperlink r:id="rId59" w:history="1">
        <w:r w:rsidRPr="00730B4D">
          <w:rPr>
            <w:rStyle w:val="Hyperlink"/>
            <w:rFonts w:cs="Arial"/>
            <w:bCs/>
          </w:rPr>
          <w:t>24 CFR Part 905</w:t>
        </w:r>
      </w:hyperlink>
      <w:r w:rsidRPr="00230FA4">
        <w:rPr>
          <w:rFonts w:ascii="Arial" w:hAnsi="Arial" w:cs="Arial"/>
          <w:bCs/>
        </w:rPr>
        <w:t xml:space="preserve"> and </w:t>
      </w:r>
      <w:hyperlink r:id="rId60" w:history="1">
        <w:r w:rsidRPr="00730B4D">
          <w:rPr>
            <w:rStyle w:val="Hyperlink"/>
            <w:rFonts w:cs="Arial"/>
            <w:bCs/>
          </w:rPr>
          <w:t>24 CFR Part 990</w:t>
        </w:r>
      </w:hyperlink>
      <w:r w:rsidRPr="00230FA4">
        <w:rPr>
          <w:rFonts w:ascii="Arial" w:hAnsi="Arial" w:cs="Arial"/>
          <w:bCs/>
        </w:rPr>
        <w:t>. PHAs are to comply with all HUD and Treasury fiscal requirements.</w:t>
      </w:r>
    </w:p>
    <w:p w14:paraId="2FE8A8D2" w14:textId="5A692624" w:rsidR="00230FA4" w:rsidRPr="00230FA4" w:rsidRDefault="00230FA4" w:rsidP="00230FA4">
      <w:pPr>
        <w:spacing w:after="240"/>
        <w:jc w:val="both"/>
        <w:rPr>
          <w:rFonts w:ascii="Arial" w:hAnsi="Arial" w:cs="Arial"/>
          <w:bCs/>
          <w:highlight w:val="yellow"/>
        </w:rPr>
      </w:pPr>
      <w:r w:rsidRPr="00230FA4">
        <w:rPr>
          <w:rFonts w:ascii="Arial" w:hAnsi="Arial" w:cs="Arial"/>
          <w:bCs/>
        </w:rPr>
        <w:t xml:space="preserve">2 CFR 200.305 for Federal Payments and </w:t>
      </w:r>
      <w:hyperlink r:id="rId61" w:history="1">
        <w:r w:rsidRPr="00730B4D">
          <w:rPr>
            <w:rStyle w:val="Hyperlink"/>
            <w:rFonts w:cs="Arial"/>
            <w:bCs/>
          </w:rPr>
          <w:t>24 CFR 905.310</w:t>
        </w:r>
      </w:hyperlink>
      <w:r w:rsidRPr="00230FA4">
        <w:rPr>
          <w:rFonts w:ascii="Arial" w:hAnsi="Arial" w:cs="Arial"/>
          <w:bCs/>
        </w:rPr>
        <w:t xml:space="preserve"> for Disbursements from HUD establish the cash management procedures for controlled disbursement of federal funds. 2 CFR 200.305 requires PHAs to minimize the time federal funds are drawn down to expenditure. The Capital Fund Program provides guidelines of three business days from draw down to expenditure to minimize the interest accrued by the PHA. </w:t>
      </w:r>
      <w:hyperlink r:id="rId62" w:history="1">
        <w:r w:rsidRPr="00730B4D">
          <w:rPr>
            <w:rStyle w:val="Hyperlink"/>
            <w:rFonts w:cs="Arial"/>
            <w:bCs/>
          </w:rPr>
          <w:t>24 CFR 905.310</w:t>
        </w:r>
      </w:hyperlink>
      <w:r w:rsidRPr="00230FA4">
        <w:rPr>
          <w:rFonts w:ascii="Arial" w:hAnsi="Arial" w:cs="Arial"/>
          <w:bCs/>
        </w:rPr>
        <w:t xml:space="preserve"> states the PHA shall initiate a fund requisition from HUD only when funds are due and payable, unless HUD approves another payment schedule as authorized by 2 CFR 200.305.</w:t>
      </w:r>
    </w:p>
    <w:p w14:paraId="63DF674C" w14:textId="474040C3" w:rsidR="00230FA4" w:rsidRPr="00230FA4" w:rsidRDefault="00230FA4" w:rsidP="00D74E6A">
      <w:pPr>
        <w:spacing w:after="240"/>
        <w:jc w:val="both"/>
        <w:rPr>
          <w:rFonts w:ascii="Arial" w:hAnsi="Arial" w:cs="Arial"/>
          <w:bCs/>
          <w:i/>
          <w:iCs/>
        </w:rPr>
      </w:pPr>
      <w:r>
        <w:rPr>
          <w:rFonts w:ascii="Arial" w:hAnsi="Arial" w:cs="Arial"/>
          <w:bCs/>
          <w:i/>
          <w:iCs/>
        </w:rPr>
        <w:t>(Source: 2024 OMB Compliance Supplement, Part 4, HUD, #14.872 Public Housing Capital Fund)</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4" w:name="_Toc174635364"/>
      <w:r w:rsidRPr="00C95501">
        <w:rPr>
          <w:rFonts w:cs="Arial"/>
          <w:sz w:val="24"/>
          <w:szCs w:val="24"/>
        </w:rPr>
        <w:t>Additional Program Specific Information</w:t>
      </w:r>
      <w:bookmarkEnd w:id="54"/>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34EFF99" w14:textId="6E00A669" w:rsidR="00CD5DC7" w:rsidRPr="00230FA4" w:rsidRDefault="00CD5DC7" w:rsidP="00230FA4">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230FA4">
        <w:rPr>
          <w:rFonts w:ascii="Arial" w:hAnsi="Arial" w:cs="Arial"/>
          <w:b/>
          <w:highlight w:val="yellow"/>
        </w:rPr>
        <w:t xml:space="preserve">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55" w:name="_Toc442267692"/>
      <w:bookmarkStart w:id="56" w:name="_Toc174635365"/>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5"/>
      <w:bookmarkEnd w:id="56"/>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10F0DFE0"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63"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lastRenderedPageBreak/>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lastRenderedPageBreak/>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7" w:name="_Toc442267693"/>
      <w:bookmarkStart w:id="58" w:name="_Toc174635366"/>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7"/>
      <w:r w:rsidR="00CC4452">
        <w:rPr>
          <w:rFonts w:cs="Arial"/>
          <w:sz w:val="24"/>
          <w:szCs w:val="24"/>
        </w:rPr>
        <w:t xml:space="preserve"> – Compliance</w:t>
      </w:r>
      <w:bookmarkEnd w:id="58"/>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027A9FF3"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 xml:space="preserve">Perform tests to ascertain if the non-Federal entity requesting reimbursement (a) disbursed funds prior to the date of the request, or (b) meets the conditions allowing for the request for </w:t>
            </w:r>
            <w:r w:rsidRPr="006516C2">
              <w:rPr>
                <w:rFonts w:ascii="Arial" w:hAnsi="Arial" w:cs="Arial"/>
                <w:sz w:val="20"/>
                <w:szCs w:val="20"/>
              </w:rPr>
              <w:lastRenderedPageBreak/>
              <w:t>costs incurred, but not necessarily paid for, i.e., ordinarily within 30 days of the request (</w:t>
            </w:r>
            <w:hyperlink r:id="rId64"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9" w:name="_Toc438816465"/>
      <w:bookmarkStart w:id="60" w:name="_Toc442267694"/>
    </w:p>
    <w:p w14:paraId="5F477BA8" w14:textId="40F9D9C2" w:rsidR="00FF7307" w:rsidRPr="00220BD0" w:rsidRDefault="002A3BB7" w:rsidP="006672EA">
      <w:pPr>
        <w:pStyle w:val="Heading3"/>
        <w:jc w:val="both"/>
        <w:rPr>
          <w:rFonts w:cs="Arial"/>
          <w:b w:val="0"/>
          <w:sz w:val="24"/>
          <w:szCs w:val="24"/>
        </w:rPr>
      </w:pPr>
      <w:bookmarkStart w:id="61" w:name="_Toc174635367"/>
      <w:r w:rsidRPr="00220BD0">
        <w:rPr>
          <w:rFonts w:cs="Arial"/>
          <w:sz w:val="24"/>
          <w:szCs w:val="24"/>
        </w:rPr>
        <w:t>Audit Implications Summary</w:t>
      </w:r>
      <w:bookmarkEnd w:id="59"/>
      <w:bookmarkEnd w:id="60"/>
      <w:bookmarkEnd w:id="61"/>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3556E4C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6"/>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2" w:name="_Toc442267698"/>
      <w:bookmarkStart w:id="63" w:name="_Toc174635368"/>
      <w:r w:rsidRPr="00220BD0">
        <w:rPr>
          <w:rFonts w:cs="Arial"/>
          <w:sz w:val="24"/>
        </w:rPr>
        <w:lastRenderedPageBreak/>
        <w:t xml:space="preserve">H.  PERIOD </w:t>
      </w:r>
      <w:r w:rsidR="00F12052" w:rsidRPr="00220BD0">
        <w:rPr>
          <w:rFonts w:cs="Arial"/>
          <w:sz w:val="24"/>
        </w:rPr>
        <w:t>OF PERFORMANCE</w:t>
      </w:r>
      <w:bookmarkEnd w:id="62"/>
      <w:bookmarkEnd w:id="63"/>
    </w:p>
    <w:p w14:paraId="07D5A30C" w14:textId="635B47C0" w:rsidR="007E5B12" w:rsidRPr="00220BD0" w:rsidRDefault="004655E0" w:rsidP="006672EA">
      <w:pPr>
        <w:pStyle w:val="Heading3"/>
        <w:jc w:val="both"/>
        <w:rPr>
          <w:rFonts w:cs="Arial"/>
          <w:sz w:val="24"/>
          <w:szCs w:val="24"/>
        </w:rPr>
      </w:pPr>
      <w:bookmarkStart w:id="64" w:name="_Toc174635369"/>
      <w:r w:rsidRPr="00220BD0">
        <w:rPr>
          <w:rFonts w:cs="Arial"/>
          <w:sz w:val="24"/>
          <w:szCs w:val="24"/>
        </w:rPr>
        <w:t xml:space="preserve">OMB </w:t>
      </w:r>
      <w:r w:rsidR="007E5B12" w:rsidRPr="00220BD0">
        <w:rPr>
          <w:rFonts w:cs="Arial"/>
          <w:sz w:val="24"/>
          <w:szCs w:val="24"/>
        </w:rPr>
        <w:t>Compliance Requirements</w:t>
      </w:r>
      <w:bookmarkEnd w:id="64"/>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6279A6C" w14:textId="46308BE9" w:rsidR="00230FA4" w:rsidRPr="00230FA4" w:rsidRDefault="00230FA4" w:rsidP="00230FA4">
      <w:pPr>
        <w:spacing w:after="240"/>
        <w:jc w:val="both"/>
        <w:rPr>
          <w:rFonts w:ascii="Arial" w:hAnsi="Arial" w:cs="Arial"/>
          <w:b/>
        </w:rPr>
      </w:pPr>
      <w:r w:rsidRPr="00230FA4">
        <w:rPr>
          <w:rFonts w:ascii="Arial" w:hAnsi="Arial" w:cs="Arial"/>
          <w:b/>
        </w:rPr>
        <w:t>1.</w:t>
      </w:r>
      <w:r w:rsidRPr="00230FA4">
        <w:rPr>
          <w:rFonts w:ascii="Arial" w:hAnsi="Arial" w:cs="Arial"/>
          <w:b/>
        </w:rPr>
        <w:tab/>
        <w:t>Obligations.</w:t>
      </w:r>
    </w:p>
    <w:p w14:paraId="7C936FDF" w14:textId="542B5E4F" w:rsidR="00230FA4" w:rsidRPr="00230FA4" w:rsidRDefault="00230FA4" w:rsidP="00230FA4">
      <w:pPr>
        <w:spacing w:after="240"/>
        <w:ind w:left="720"/>
        <w:jc w:val="both"/>
        <w:rPr>
          <w:rFonts w:ascii="Arial" w:hAnsi="Arial" w:cs="Arial"/>
          <w:bCs/>
        </w:rPr>
      </w:pPr>
      <w:r w:rsidRPr="00230FA4">
        <w:rPr>
          <w:rFonts w:ascii="Arial" w:hAnsi="Arial" w:cs="Arial"/>
          <w:bCs/>
        </w:rPr>
        <w:t>Unless an extension is approved by HUD, a PHA must obligate at least 90 percent of each Capital Fund grant, including formula grants, non-accumulating RHF, natural disaster, and lead-based paint grants within 24 months of the funds becoming available to the PHA for obligation. For emergency grants, safety and security grants and safety and security-carbon monoxide grants, the PHA must obligate at least 90 percent within twelve months of the funds becoming available. The funds become available when HUD executes the Annual Contributions Contract (ACC) Amendment (24 CFR section 905.306).</w:t>
      </w:r>
    </w:p>
    <w:p w14:paraId="58275A20" w14:textId="1A663A71" w:rsidR="00230FA4" w:rsidRPr="00230FA4" w:rsidRDefault="00230FA4" w:rsidP="00230FA4">
      <w:pPr>
        <w:spacing w:after="240"/>
        <w:ind w:left="720"/>
        <w:jc w:val="both"/>
        <w:rPr>
          <w:rFonts w:ascii="Arial" w:hAnsi="Arial" w:cs="Arial"/>
          <w:bCs/>
        </w:rPr>
      </w:pPr>
      <w:r w:rsidRPr="00230FA4">
        <w:rPr>
          <w:rFonts w:ascii="Arial" w:hAnsi="Arial" w:cs="Arial"/>
          <w:bCs/>
        </w:rPr>
        <w:t>Obligation means a binding agreement for work or financing that will result in outlays, immediately or in the future. All obligations must be incorporated within the CFP 5-Year Action Plan that has been approved by the PHA Board of Commissioners and HUD. This includes funds obligated by the PHA for work to be performed by contract labor (i.e., contract award), or by force account labor (i.e., work actually started by PHA employees). Capital Funds identified in the PHA's CFP 5-Year Action Plan to be transferred to operations are obligated by the PHA once the funds have been budgeted and drawn down by the PHA. Once these funds are drawn down they are subject to the requirements of 24 CFR part 990.</w:t>
      </w:r>
    </w:p>
    <w:p w14:paraId="1C4843EF" w14:textId="24845701" w:rsidR="00230FA4" w:rsidRPr="00230FA4" w:rsidRDefault="00230FA4" w:rsidP="00230FA4">
      <w:pPr>
        <w:spacing w:after="240"/>
        <w:ind w:left="720"/>
        <w:jc w:val="both"/>
        <w:rPr>
          <w:rFonts w:ascii="Arial" w:hAnsi="Arial" w:cs="Arial"/>
          <w:bCs/>
        </w:rPr>
      </w:pPr>
      <w:r w:rsidRPr="00230FA4">
        <w:rPr>
          <w:rFonts w:ascii="Arial" w:hAnsi="Arial" w:cs="Arial"/>
          <w:bCs/>
        </w:rPr>
        <w:t>The date of the contract signing is the obligation date. If the parties sign the contract at different times, the date of the last signature is the obligation date. In some instances, a purchase order would constitute an obligation (e.g., large items such as stoves or refrigerators). All obligations should reflect work items detailed in the approved 5-year action plan.</w:t>
      </w:r>
    </w:p>
    <w:p w14:paraId="3AA38939" w14:textId="57F55A4E" w:rsidR="00230FA4" w:rsidRPr="00230FA4" w:rsidRDefault="00230FA4" w:rsidP="00230FA4">
      <w:pPr>
        <w:spacing w:after="240"/>
        <w:jc w:val="both"/>
        <w:rPr>
          <w:rFonts w:ascii="Arial" w:hAnsi="Arial" w:cs="Arial"/>
          <w:b/>
        </w:rPr>
      </w:pPr>
      <w:r w:rsidRPr="00230FA4">
        <w:rPr>
          <w:rFonts w:ascii="Arial" w:hAnsi="Arial" w:cs="Arial"/>
          <w:b/>
        </w:rPr>
        <w:lastRenderedPageBreak/>
        <w:t>2.</w:t>
      </w:r>
      <w:r w:rsidRPr="00230FA4">
        <w:rPr>
          <w:rFonts w:ascii="Arial" w:hAnsi="Arial" w:cs="Arial"/>
          <w:b/>
        </w:rPr>
        <w:tab/>
        <w:t>Expenditures</w:t>
      </w:r>
    </w:p>
    <w:p w14:paraId="1B2E1E56" w14:textId="3749E676" w:rsidR="00230FA4" w:rsidRPr="00230FA4" w:rsidRDefault="00230FA4" w:rsidP="00230FA4">
      <w:pPr>
        <w:spacing w:after="240"/>
        <w:ind w:left="720"/>
        <w:jc w:val="both"/>
        <w:rPr>
          <w:rFonts w:ascii="Arial" w:hAnsi="Arial" w:cs="Arial"/>
          <w:bCs/>
        </w:rPr>
      </w:pPr>
      <w:r w:rsidRPr="00230FA4">
        <w:rPr>
          <w:rFonts w:ascii="Arial" w:hAnsi="Arial" w:cs="Arial"/>
          <w:bCs/>
        </w:rPr>
        <w:t>For Capital Fund formula, RHF, natural disaster, and lead-based paint grants, unless HUD approves an extension, a PHA must expend all grant funds no later than 48 months after HUD executes the ACC Amendment (24 CFR section 905.306(f)). However, for emergency grants, safety and security grants and safety and security-carbon monoxide grants, a PHA must expend all grant funds no later than 24 months after HUD executes the ACC Amendment if such a requirement is contained in the ACC Amendment.</w:t>
      </w:r>
    </w:p>
    <w:p w14:paraId="08A86744" w14:textId="2113ECF3" w:rsidR="00230FA4" w:rsidRPr="00230FA4" w:rsidRDefault="00230FA4" w:rsidP="00230FA4">
      <w:pPr>
        <w:spacing w:after="240"/>
        <w:ind w:left="720"/>
        <w:jc w:val="both"/>
        <w:rPr>
          <w:rFonts w:ascii="Arial" w:hAnsi="Arial" w:cs="Arial"/>
          <w:bCs/>
        </w:rPr>
      </w:pPr>
      <w:r w:rsidRPr="00230FA4">
        <w:rPr>
          <w:rFonts w:ascii="Arial" w:hAnsi="Arial" w:cs="Arial"/>
          <w:bCs/>
        </w:rPr>
        <w:t>A PHA must also expend 100% percent of the authorized amount of a Capital Fund grant within 48 months of the date that funds are made available, or the obligation start date. (24 CFR section 905.306).</w:t>
      </w:r>
    </w:p>
    <w:p w14:paraId="4FE55BE0" w14:textId="0859BA1A" w:rsidR="00230FA4" w:rsidRPr="00230FA4" w:rsidRDefault="00230FA4" w:rsidP="00230FA4">
      <w:pPr>
        <w:spacing w:after="240"/>
        <w:jc w:val="both"/>
        <w:rPr>
          <w:rFonts w:ascii="Arial" w:hAnsi="Arial" w:cs="Arial"/>
          <w:b/>
        </w:rPr>
      </w:pPr>
      <w:r w:rsidRPr="00230FA4">
        <w:rPr>
          <w:rFonts w:ascii="Arial" w:hAnsi="Arial" w:cs="Arial"/>
          <w:b/>
        </w:rPr>
        <w:t>3.</w:t>
      </w:r>
      <w:r w:rsidRPr="00230FA4">
        <w:rPr>
          <w:rFonts w:ascii="Arial" w:hAnsi="Arial" w:cs="Arial"/>
          <w:b/>
        </w:rPr>
        <w:tab/>
        <w:t>Capital Funds for Operating Costs</w:t>
      </w:r>
    </w:p>
    <w:p w14:paraId="2EA3774A" w14:textId="2D0287A1" w:rsidR="00230FA4" w:rsidRPr="00230FA4" w:rsidRDefault="00230FA4" w:rsidP="00230FA4">
      <w:pPr>
        <w:spacing w:after="240"/>
        <w:ind w:left="720"/>
        <w:jc w:val="both"/>
        <w:rPr>
          <w:rFonts w:ascii="Arial" w:hAnsi="Arial" w:cs="Arial"/>
          <w:bCs/>
          <w:highlight w:val="yellow"/>
        </w:rPr>
      </w:pPr>
      <w:r w:rsidRPr="00230FA4">
        <w:rPr>
          <w:rFonts w:ascii="Arial" w:hAnsi="Arial" w:cs="Arial"/>
          <w:bCs/>
        </w:rPr>
        <w:t>Capital Funds transferred to operations (BLI 1406) are not considered obligated until the PHA has budgeted and drawn down the funds. To meet this requirement, the funds must be budgeted in line BLI 1406 (Operations) and the PHA must submit the voucher request in LOCCS. The PHA’s reported obligation amount in LOCCS must be the same amount in the PHA’s accounting system since the date of the voucher request in LOCCS is the point of obligation for funds in BLI 1406. The voucher request date must occur before those funds are reported as obligated in LOCCS under the Obligation &amp; Expenditure tab (24 CFR section 905.314(l)).</w:t>
      </w:r>
    </w:p>
    <w:p w14:paraId="15257491" w14:textId="62254AD8" w:rsidR="00230FA4" w:rsidRPr="00230FA4" w:rsidRDefault="00230FA4" w:rsidP="00D74E6A">
      <w:pPr>
        <w:spacing w:after="240"/>
        <w:jc w:val="both"/>
        <w:rPr>
          <w:rFonts w:ascii="Arial" w:hAnsi="Arial" w:cs="Arial"/>
          <w:bCs/>
          <w:i/>
          <w:iCs/>
        </w:rPr>
      </w:pPr>
      <w:r>
        <w:rPr>
          <w:rFonts w:ascii="Arial" w:hAnsi="Arial" w:cs="Arial"/>
          <w:bCs/>
          <w:i/>
          <w:iCs/>
        </w:rPr>
        <w:t>(Source: 2024 OMB Compliance Supplement, Part 4, HUD, #14.872 Public Housing Capital Fund)</w:t>
      </w:r>
    </w:p>
    <w:p w14:paraId="620B48E1" w14:textId="77777777" w:rsidR="00FC7102" w:rsidRPr="00220BD0" w:rsidRDefault="00FC7102" w:rsidP="006672EA">
      <w:pPr>
        <w:pStyle w:val="Heading3"/>
        <w:jc w:val="both"/>
        <w:rPr>
          <w:rFonts w:cs="Arial"/>
          <w:sz w:val="24"/>
          <w:szCs w:val="24"/>
        </w:rPr>
      </w:pPr>
      <w:bookmarkStart w:id="65" w:name="_Toc174635370"/>
      <w:r w:rsidRPr="00220BD0">
        <w:rPr>
          <w:rFonts w:cs="Arial"/>
          <w:sz w:val="24"/>
          <w:szCs w:val="24"/>
        </w:rPr>
        <w:t>Additional Program Specific Information</w:t>
      </w:r>
      <w:bookmarkEnd w:id="65"/>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65FB91E" w14:textId="37E0D9A7" w:rsidR="00CD5DC7" w:rsidRPr="00230FA4" w:rsidRDefault="00CD5DC7" w:rsidP="00230FA4">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230FA4">
        <w:rPr>
          <w:rFonts w:ascii="Arial" w:hAnsi="Arial" w:cs="Arial"/>
          <w:b/>
          <w:highlight w:val="yellow"/>
        </w:rPr>
        <w:t xml:space="preserve">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66" w:name="_Toc174635371"/>
      <w:r w:rsidRPr="00220BD0">
        <w:rPr>
          <w:rFonts w:cs="Arial"/>
          <w:sz w:val="24"/>
          <w:szCs w:val="24"/>
        </w:rPr>
        <w:t xml:space="preserve">Audit Objectives </w:t>
      </w:r>
      <w:r w:rsidR="00C30DAB" w:rsidRPr="00220BD0">
        <w:rPr>
          <w:rFonts w:cs="Arial"/>
          <w:sz w:val="24"/>
          <w:szCs w:val="24"/>
        </w:rPr>
        <w:t>and Control Testing</w:t>
      </w:r>
      <w:bookmarkEnd w:id="66"/>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7" w:name="_Toc17463537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7"/>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lastRenderedPageBreak/>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8" w:name="_Toc174635373"/>
      <w:r w:rsidRPr="00220BD0">
        <w:rPr>
          <w:rFonts w:cs="Arial"/>
          <w:sz w:val="24"/>
          <w:szCs w:val="24"/>
        </w:rPr>
        <w:t>Audit Implications Summary</w:t>
      </w:r>
      <w:bookmarkEnd w:id="68"/>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4C7E78C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9" w:name="J___PROGRAM_INCOME"/>
      <w:bookmarkStart w:id="70" w:name="L___REPORTING"/>
      <w:bookmarkStart w:id="71" w:name="_Toc442267701"/>
      <w:bookmarkStart w:id="72" w:name="_Toc174635374"/>
      <w:bookmarkEnd w:id="69"/>
      <w:bookmarkEnd w:id="70"/>
      <w:r w:rsidRPr="000706D1">
        <w:rPr>
          <w:rFonts w:cs="Arial"/>
          <w:sz w:val="24"/>
        </w:rPr>
        <w:lastRenderedPageBreak/>
        <w:t>L.  REPORTING</w:t>
      </w:r>
      <w:bookmarkEnd w:id="71"/>
      <w:bookmarkEnd w:id="72"/>
    </w:p>
    <w:p w14:paraId="13BAAFFB" w14:textId="16BE9FED" w:rsidR="007E5B12" w:rsidRPr="000706D1" w:rsidRDefault="00261D87" w:rsidP="006672EA">
      <w:pPr>
        <w:pStyle w:val="Heading3"/>
        <w:jc w:val="both"/>
        <w:rPr>
          <w:rFonts w:cs="Arial"/>
          <w:sz w:val="24"/>
          <w:szCs w:val="24"/>
        </w:rPr>
      </w:pPr>
      <w:bookmarkStart w:id="73" w:name="_Toc174635375"/>
      <w:r w:rsidRPr="000706D1">
        <w:rPr>
          <w:rFonts w:cs="Arial"/>
          <w:sz w:val="24"/>
          <w:szCs w:val="24"/>
        </w:rPr>
        <w:t xml:space="preserve">OMB </w:t>
      </w:r>
      <w:r w:rsidR="007E5B12" w:rsidRPr="000706D1">
        <w:rPr>
          <w:rFonts w:cs="Arial"/>
          <w:sz w:val="24"/>
          <w:szCs w:val="24"/>
        </w:rPr>
        <w:t>Compliance Requirements</w:t>
      </w:r>
      <w:bookmarkEnd w:id="73"/>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w:t>
      </w:r>
      <w:r w:rsidRPr="00F00D94">
        <w:rPr>
          <w:rFonts w:ascii="Arial" w:hAnsi="Arial" w:cs="Arial"/>
        </w:rPr>
        <w:lastRenderedPageBreak/>
        <w:t>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2B5825A7" w:rsidR="00271D8B" w:rsidRPr="00730B4D"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rPr>
      </w:pPr>
      <w:r w:rsidRPr="00F00D94">
        <w:rPr>
          <w:rFonts w:ascii="Arial" w:hAnsi="Arial" w:cs="Arial"/>
          <w:b/>
          <w:u w:val="single"/>
        </w:rPr>
        <w:t>Federal Funding Accountability and Transparency Act</w:t>
      </w:r>
      <w:r w:rsidR="00730B4D">
        <w:rPr>
          <w:rFonts w:ascii="Arial" w:hAnsi="Arial" w:cs="Arial"/>
          <w:b/>
          <w:u w:val="single"/>
        </w:rPr>
        <w:t xml:space="preserve"> </w:t>
      </w:r>
      <w:r w:rsidR="00730B4D">
        <w:rPr>
          <w:rFonts w:ascii="Arial" w:hAnsi="Arial" w:cs="Arial"/>
          <w:b/>
        </w:rPr>
        <w:t xml:space="preserve">– </w:t>
      </w:r>
      <w:r w:rsidR="00730B4D" w:rsidRPr="00730B4D">
        <w:rPr>
          <w:rFonts w:ascii="Arial" w:hAnsi="Arial" w:cs="Arial"/>
          <w:b/>
          <w:i/>
          <w:iCs/>
        </w:rPr>
        <w:t>Not Applicable per 2024 OMB Compliance Supplement, Part 4, HUD, #14.872 Public Housing Capital Fund</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6C6AD05" w14:textId="3004FBA7" w:rsidR="00A1405D" w:rsidRPr="00A1405D" w:rsidRDefault="00A1405D" w:rsidP="00A1405D">
      <w:pPr>
        <w:spacing w:after="240"/>
        <w:jc w:val="both"/>
        <w:rPr>
          <w:rFonts w:ascii="Arial" w:hAnsi="Arial" w:cs="Arial"/>
          <w:b/>
        </w:rPr>
      </w:pPr>
      <w:r w:rsidRPr="00A1405D">
        <w:rPr>
          <w:rFonts w:ascii="Arial" w:hAnsi="Arial" w:cs="Arial"/>
          <w:b/>
        </w:rPr>
        <w:t>1.</w:t>
      </w:r>
      <w:r w:rsidRPr="00A1405D">
        <w:rPr>
          <w:rFonts w:ascii="Arial" w:hAnsi="Arial" w:cs="Arial"/>
          <w:b/>
        </w:rPr>
        <w:tab/>
        <w:t>Financial Reporting</w:t>
      </w:r>
    </w:p>
    <w:p w14:paraId="2EE86AC8" w14:textId="77777777" w:rsidR="00A1405D" w:rsidRPr="00A1405D" w:rsidRDefault="00A1405D" w:rsidP="00A1405D">
      <w:pPr>
        <w:spacing w:after="240"/>
        <w:ind w:left="720"/>
        <w:jc w:val="both"/>
        <w:rPr>
          <w:rFonts w:ascii="Arial" w:hAnsi="Arial" w:cs="Arial"/>
          <w:bCs/>
        </w:rPr>
      </w:pPr>
      <w:r w:rsidRPr="00A1405D">
        <w:rPr>
          <w:rFonts w:ascii="Arial" w:hAnsi="Arial" w:cs="Arial"/>
          <w:bCs/>
        </w:rPr>
        <w:t>a.</w:t>
      </w:r>
      <w:r w:rsidRPr="00A1405D">
        <w:rPr>
          <w:rFonts w:ascii="Arial" w:hAnsi="Arial" w:cs="Arial"/>
          <w:bCs/>
        </w:rPr>
        <w:tab/>
        <w:t>SF-270, Request for Advance or Reimbursement- Not applicable</w:t>
      </w:r>
    </w:p>
    <w:p w14:paraId="25553A4F" w14:textId="77777777" w:rsidR="00A1405D" w:rsidRPr="00A1405D" w:rsidRDefault="00A1405D" w:rsidP="00A1405D">
      <w:pPr>
        <w:ind w:left="720"/>
        <w:jc w:val="both"/>
        <w:rPr>
          <w:rFonts w:ascii="Arial" w:hAnsi="Arial" w:cs="Arial"/>
          <w:bCs/>
        </w:rPr>
      </w:pPr>
      <w:r w:rsidRPr="00A1405D">
        <w:rPr>
          <w:rFonts w:ascii="Arial" w:hAnsi="Arial" w:cs="Arial"/>
          <w:bCs/>
        </w:rPr>
        <w:t>b.</w:t>
      </w:r>
      <w:r w:rsidRPr="00A1405D">
        <w:rPr>
          <w:rFonts w:ascii="Arial" w:hAnsi="Arial" w:cs="Arial"/>
          <w:bCs/>
        </w:rPr>
        <w:tab/>
        <w:t>SF-271, Outlay Report and Request for Reimbursement for Construction Program –</w:t>
      </w:r>
    </w:p>
    <w:p w14:paraId="51AABB02" w14:textId="77777777" w:rsidR="00A1405D" w:rsidRDefault="00A1405D" w:rsidP="00A1405D">
      <w:pPr>
        <w:ind w:left="720" w:firstLine="720"/>
        <w:jc w:val="both"/>
        <w:rPr>
          <w:rFonts w:ascii="Arial" w:hAnsi="Arial" w:cs="Arial"/>
          <w:bCs/>
        </w:rPr>
      </w:pPr>
      <w:r w:rsidRPr="00A1405D">
        <w:rPr>
          <w:rFonts w:ascii="Arial" w:hAnsi="Arial" w:cs="Arial"/>
          <w:bCs/>
        </w:rPr>
        <w:t>Not applicable</w:t>
      </w:r>
    </w:p>
    <w:p w14:paraId="4C057D97" w14:textId="77777777" w:rsidR="00A1405D" w:rsidRPr="00A1405D" w:rsidRDefault="00A1405D" w:rsidP="00A1405D">
      <w:pPr>
        <w:ind w:left="720" w:firstLine="720"/>
        <w:jc w:val="both"/>
        <w:rPr>
          <w:rFonts w:ascii="Arial" w:hAnsi="Arial" w:cs="Arial"/>
          <w:bCs/>
        </w:rPr>
      </w:pPr>
    </w:p>
    <w:p w14:paraId="1DD516CE" w14:textId="77777777" w:rsidR="00A1405D" w:rsidRPr="00A1405D" w:rsidRDefault="00A1405D" w:rsidP="00A1405D">
      <w:pPr>
        <w:spacing w:after="240"/>
        <w:ind w:left="720"/>
        <w:jc w:val="both"/>
        <w:rPr>
          <w:rFonts w:ascii="Arial" w:hAnsi="Arial" w:cs="Arial"/>
          <w:bCs/>
        </w:rPr>
      </w:pPr>
      <w:r w:rsidRPr="00A1405D">
        <w:rPr>
          <w:rFonts w:ascii="Arial" w:hAnsi="Arial" w:cs="Arial"/>
          <w:bCs/>
        </w:rPr>
        <w:t>c.</w:t>
      </w:r>
      <w:r w:rsidRPr="00A1405D">
        <w:rPr>
          <w:rFonts w:ascii="Arial" w:hAnsi="Arial" w:cs="Arial"/>
          <w:bCs/>
        </w:rPr>
        <w:tab/>
        <w:t>SF-425, Federal Financial Report- Not applicable</w:t>
      </w:r>
    </w:p>
    <w:p w14:paraId="12D89B2E" w14:textId="77777777" w:rsidR="00A1405D" w:rsidRPr="00A1405D" w:rsidRDefault="00A1405D" w:rsidP="00A1405D">
      <w:pPr>
        <w:spacing w:after="240"/>
        <w:ind w:left="1440" w:hanging="720"/>
        <w:jc w:val="both"/>
        <w:rPr>
          <w:rFonts w:ascii="Arial" w:hAnsi="Arial" w:cs="Arial"/>
          <w:bCs/>
        </w:rPr>
      </w:pPr>
      <w:r w:rsidRPr="00A1405D">
        <w:rPr>
          <w:rFonts w:ascii="Arial" w:hAnsi="Arial" w:cs="Arial"/>
          <w:bCs/>
        </w:rPr>
        <w:t>d.</w:t>
      </w:r>
      <w:r w:rsidRPr="00A1405D">
        <w:rPr>
          <w:rFonts w:ascii="Arial" w:hAnsi="Arial" w:cs="Arial"/>
          <w:bCs/>
        </w:rPr>
        <w:tab/>
      </w:r>
      <w:r w:rsidRPr="00A1405D">
        <w:rPr>
          <w:rFonts w:ascii="Arial" w:hAnsi="Arial" w:cs="Arial"/>
          <w:b/>
        </w:rPr>
        <w:t>HUD-53001, Actual Modernization Cost Certificate (AMCC) Capital Fund Program (OMB No. 2577-0157)</w:t>
      </w:r>
    </w:p>
    <w:p w14:paraId="1AC5EBFC" w14:textId="77777777" w:rsidR="00A1405D" w:rsidRPr="00A1405D" w:rsidRDefault="00A1405D" w:rsidP="00A1405D">
      <w:pPr>
        <w:spacing w:after="240"/>
        <w:ind w:left="1440"/>
        <w:jc w:val="both"/>
        <w:rPr>
          <w:rFonts w:ascii="Arial" w:hAnsi="Arial" w:cs="Arial"/>
          <w:bCs/>
        </w:rPr>
      </w:pPr>
      <w:r w:rsidRPr="00A1405D">
        <w:rPr>
          <w:rFonts w:ascii="Arial" w:hAnsi="Arial" w:cs="Arial"/>
          <w:bCs/>
        </w:rPr>
        <w:t>Report authority: 24 CFR 905.324 Data Reporting Requirements</w:t>
      </w:r>
    </w:p>
    <w:p w14:paraId="35FAE5D5" w14:textId="77777777" w:rsidR="00A1405D" w:rsidRPr="00A1405D" w:rsidRDefault="00A1405D" w:rsidP="00A1405D">
      <w:pPr>
        <w:spacing w:after="240"/>
        <w:ind w:left="1440"/>
        <w:jc w:val="both"/>
        <w:rPr>
          <w:rFonts w:ascii="Arial" w:hAnsi="Arial" w:cs="Arial"/>
          <w:bCs/>
        </w:rPr>
      </w:pPr>
      <w:r w:rsidRPr="00A1405D">
        <w:rPr>
          <w:rFonts w:ascii="Arial" w:hAnsi="Arial" w:cs="Arial"/>
          <w:bCs/>
        </w:rPr>
        <w:t xml:space="preserve">For modernization projects, the PHA shall submit the AMCC within 90 days after Expenditure End Date. To initiate the closeout process, the PHA shall submit the AMCC </w:t>
      </w:r>
      <w:r w:rsidRPr="00A1405D">
        <w:rPr>
          <w:rFonts w:ascii="Arial" w:hAnsi="Arial" w:cs="Arial"/>
          <w:bCs/>
        </w:rPr>
        <w:lastRenderedPageBreak/>
        <w:t>which details actual costs incurred between the DOFA date and the completion of the modernization project.</w:t>
      </w:r>
    </w:p>
    <w:p w14:paraId="688AF674" w14:textId="4CF901BD" w:rsidR="00A1405D" w:rsidRPr="00A1405D" w:rsidRDefault="00A1405D" w:rsidP="00A1405D">
      <w:pPr>
        <w:spacing w:after="240"/>
        <w:ind w:left="1440"/>
        <w:jc w:val="both"/>
        <w:rPr>
          <w:rFonts w:ascii="Arial" w:hAnsi="Arial" w:cs="Arial"/>
          <w:bCs/>
        </w:rPr>
      </w:pPr>
      <w:r w:rsidRPr="00A1405D">
        <w:rPr>
          <w:rFonts w:ascii="Arial" w:hAnsi="Arial" w:cs="Arial"/>
          <w:bCs/>
        </w:rPr>
        <w:t>Key line items: The following line items contain critical information</w:t>
      </w:r>
    </w:p>
    <w:p w14:paraId="2A6F2F6C" w14:textId="2CE24C9B" w:rsidR="00A1405D" w:rsidRPr="00A1405D" w:rsidRDefault="00A1405D" w:rsidP="00A1405D">
      <w:pPr>
        <w:spacing w:after="240"/>
        <w:ind w:left="2160" w:hanging="720"/>
        <w:jc w:val="both"/>
        <w:rPr>
          <w:rFonts w:ascii="Arial" w:hAnsi="Arial" w:cs="Arial"/>
          <w:bCs/>
        </w:rPr>
      </w:pPr>
      <w:r w:rsidRPr="00A1405D">
        <w:rPr>
          <w:rFonts w:ascii="Arial" w:hAnsi="Arial" w:cs="Arial"/>
          <w:bCs/>
        </w:rPr>
        <w:t>1.</w:t>
      </w:r>
      <w:r w:rsidRPr="00A1405D">
        <w:rPr>
          <w:rFonts w:ascii="Arial" w:hAnsi="Arial" w:cs="Arial"/>
          <w:bCs/>
        </w:rPr>
        <w:tab/>
      </w:r>
      <w:r w:rsidRPr="00A1405D">
        <w:rPr>
          <w:rFonts w:ascii="Arial" w:hAnsi="Arial" w:cs="Arial"/>
          <w:b/>
        </w:rPr>
        <w:t>Line 1B, Funds Disbursed</w:t>
      </w:r>
      <w:r w:rsidRPr="00A1405D">
        <w:rPr>
          <w:rFonts w:ascii="Arial" w:hAnsi="Arial" w:cs="Arial"/>
          <w:bCs/>
        </w:rPr>
        <w:t xml:space="preserve"> - For the identified grant, enter the total funds disbursed by HUD. This amount may never exceed the amount on line 1A.</w:t>
      </w:r>
    </w:p>
    <w:p w14:paraId="3C07D58A" w14:textId="42A0219F" w:rsidR="00A1405D" w:rsidRPr="00A1405D" w:rsidRDefault="00A1405D" w:rsidP="00A1405D">
      <w:pPr>
        <w:spacing w:after="240"/>
        <w:ind w:left="2160" w:hanging="720"/>
        <w:jc w:val="both"/>
        <w:rPr>
          <w:rFonts w:ascii="Arial" w:hAnsi="Arial" w:cs="Arial"/>
          <w:bCs/>
        </w:rPr>
      </w:pPr>
      <w:r w:rsidRPr="00A1405D">
        <w:rPr>
          <w:rFonts w:ascii="Arial" w:hAnsi="Arial" w:cs="Arial"/>
          <w:bCs/>
        </w:rPr>
        <w:t>2.</w:t>
      </w:r>
      <w:r w:rsidRPr="00A1405D">
        <w:rPr>
          <w:rFonts w:ascii="Arial" w:hAnsi="Arial" w:cs="Arial"/>
          <w:bCs/>
        </w:rPr>
        <w:tab/>
      </w:r>
      <w:r w:rsidRPr="00A1405D">
        <w:rPr>
          <w:rFonts w:ascii="Arial" w:hAnsi="Arial" w:cs="Arial"/>
          <w:b/>
        </w:rPr>
        <w:t>Line 1E, Excess of Funds Disbursed (B minus C)</w:t>
      </w:r>
      <w:r w:rsidRPr="00A1405D">
        <w:rPr>
          <w:rFonts w:ascii="Arial" w:hAnsi="Arial" w:cs="Arial"/>
          <w:bCs/>
        </w:rPr>
        <w:t xml:space="preserve"> - For the identified grant, enter the excess of funds disbursed by subtracting line 1C from line 1B; this is the amount to be remitted by the PHA to HUD. If line 1C is greater than line 1B, enter the figure in brackets; this is the amount of funds owed by HUD to the PHA.</w:t>
      </w:r>
    </w:p>
    <w:p w14:paraId="1397EDEC" w14:textId="77777777" w:rsidR="00A1405D" w:rsidRPr="00A1405D" w:rsidRDefault="00A1405D" w:rsidP="00A1405D">
      <w:pPr>
        <w:spacing w:after="240"/>
        <w:jc w:val="both"/>
        <w:rPr>
          <w:rFonts w:ascii="Arial" w:hAnsi="Arial" w:cs="Arial"/>
          <w:b/>
        </w:rPr>
      </w:pPr>
      <w:r w:rsidRPr="00A1405D">
        <w:rPr>
          <w:rFonts w:ascii="Arial" w:hAnsi="Arial" w:cs="Arial"/>
          <w:b/>
        </w:rPr>
        <w:t>2.</w:t>
      </w:r>
      <w:r w:rsidRPr="00A1405D">
        <w:rPr>
          <w:rFonts w:ascii="Arial" w:hAnsi="Arial" w:cs="Arial"/>
          <w:b/>
        </w:rPr>
        <w:tab/>
        <w:t>Performance Reporting</w:t>
      </w:r>
    </w:p>
    <w:p w14:paraId="27A3F179" w14:textId="77777777" w:rsidR="00730B4D" w:rsidRDefault="00A1405D" w:rsidP="00A1405D">
      <w:pPr>
        <w:spacing w:after="240"/>
        <w:ind w:left="1440" w:hanging="720"/>
        <w:jc w:val="both"/>
        <w:rPr>
          <w:rFonts w:ascii="Arial" w:hAnsi="Arial" w:cs="Arial"/>
          <w:b/>
        </w:rPr>
      </w:pPr>
      <w:r w:rsidRPr="00A1405D">
        <w:rPr>
          <w:rFonts w:ascii="Arial" w:hAnsi="Arial" w:cs="Arial"/>
          <w:bCs/>
        </w:rPr>
        <w:t>a.</w:t>
      </w:r>
      <w:r w:rsidRPr="00A1405D">
        <w:rPr>
          <w:rFonts w:ascii="Arial" w:hAnsi="Arial" w:cs="Arial"/>
          <w:bCs/>
        </w:rPr>
        <w:tab/>
      </w:r>
      <w:r w:rsidRPr="00A1405D">
        <w:rPr>
          <w:rFonts w:ascii="Arial" w:hAnsi="Arial" w:cs="Arial"/>
          <w:b/>
        </w:rPr>
        <w:t xml:space="preserve">Report Title: HUD 50075.1, Annual Statement Performance and Evaluation Report </w:t>
      </w:r>
    </w:p>
    <w:p w14:paraId="468F2198" w14:textId="4D5A98C7" w:rsidR="00A1405D" w:rsidRPr="00730B4D" w:rsidRDefault="00A1405D" w:rsidP="00730B4D">
      <w:pPr>
        <w:spacing w:after="240"/>
        <w:ind w:left="1440"/>
        <w:jc w:val="both"/>
        <w:rPr>
          <w:rFonts w:ascii="Arial" w:hAnsi="Arial" w:cs="Arial"/>
          <w:bCs/>
        </w:rPr>
      </w:pPr>
      <w:r w:rsidRPr="00730B4D">
        <w:rPr>
          <w:rFonts w:ascii="Arial" w:hAnsi="Arial" w:cs="Arial"/>
          <w:bCs/>
        </w:rPr>
        <w:t>OMB PRA Number: (OMB No. 2577-0157)</w:t>
      </w:r>
    </w:p>
    <w:p w14:paraId="7C089A28" w14:textId="77777777" w:rsidR="00A1405D" w:rsidRPr="00A1405D" w:rsidRDefault="00A1405D" w:rsidP="00A1405D">
      <w:pPr>
        <w:spacing w:after="240"/>
        <w:ind w:left="1440"/>
        <w:jc w:val="both"/>
        <w:rPr>
          <w:rFonts w:ascii="Arial" w:hAnsi="Arial" w:cs="Arial"/>
          <w:bCs/>
        </w:rPr>
      </w:pPr>
      <w:r w:rsidRPr="00A1405D">
        <w:rPr>
          <w:rFonts w:ascii="Arial" w:hAnsi="Arial" w:cs="Arial"/>
          <w:bCs/>
        </w:rPr>
        <w:t>Report Authority: 24 CFR 905.324 Data Reporting Requirements</w:t>
      </w:r>
    </w:p>
    <w:p w14:paraId="710EFDD8" w14:textId="022439FD" w:rsidR="00A1405D" w:rsidRPr="00A1405D" w:rsidRDefault="00A1405D" w:rsidP="00A1405D">
      <w:pPr>
        <w:spacing w:after="240"/>
        <w:ind w:left="1440"/>
        <w:jc w:val="both"/>
        <w:rPr>
          <w:rFonts w:ascii="Arial" w:hAnsi="Arial" w:cs="Arial"/>
          <w:bCs/>
        </w:rPr>
      </w:pPr>
      <w:r w:rsidRPr="00A1405D">
        <w:rPr>
          <w:rFonts w:ascii="Arial" w:hAnsi="Arial" w:cs="Arial"/>
          <w:bCs/>
        </w:rPr>
        <w:t xml:space="preserve">Reporting period/submission date/s: Initial estimated report submitted prior to grant being awarded. Final Report submitted within 90 days of the expenditure end date. Link to report and report instructions: </w:t>
      </w:r>
      <w:hyperlink r:id="rId69" w:history="1">
        <w:r w:rsidRPr="00B05317">
          <w:rPr>
            <w:rStyle w:val="Hyperlink"/>
            <w:rFonts w:cs="Arial"/>
            <w:bCs/>
          </w:rPr>
          <w:t>https://www.hud.gov/sites/dfiles/OCHCO/documents/50075.1.pdf</w:t>
        </w:r>
      </w:hyperlink>
      <w:r>
        <w:rPr>
          <w:rFonts w:ascii="Arial" w:hAnsi="Arial" w:cs="Arial"/>
          <w:bCs/>
        </w:rPr>
        <w:t xml:space="preserve"> </w:t>
      </w:r>
    </w:p>
    <w:p w14:paraId="672D377C" w14:textId="77777777" w:rsidR="00A1405D" w:rsidRPr="00A1405D" w:rsidRDefault="00A1405D" w:rsidP="00A1405D">
      <w:pPr>
        <w:spacing w:after="240"/>
        <w:ind w:left="1440"/>
        <w:jc w:val="both"/>
        <w:rPr>
          <w:rFonts w:ascii="Arial" w:hAnsi="Arial" w:cs="Arial"/>
          <w:bCs/>
        </w:rPr>
      </w:pPr>
      <w:r w:rsidRPr="00A1405D">
        <w:rPr>
          <w:rFonts w:ascii="Arial" w:hAnsi="Arial" w:cs="Arial"/>
          <w:bCs/>
        </w:rPr>
        <w:t>Key Line Items - The following line items contain critical information:</w:t>
      </w:r>
    </w:p>
    <w:p w14:paraId="10395669" w14:textId="0E6BE9B7" w:rsidR="00A1405D" w:rsidRPr="00A1405D" w:rsidRDefault="00A1405D" w:rsidP="00A1405D">
      <w:pPr>
        <w:spacing w:after="240"/>
        <w:ind w:left="2160" w:hanging="720"/>
        <w:jc w:val="both"/>
        <w:rPr>
          <w:rFonts w:ascii="Arial" w:hAnsi="Arial" w:cs="Arial"/>
          <w:bCs/>
        </w:rPr>
      </w:pPr>
      <w:r w:rsidRPr="00A1405D">
        <w:rPr>
          <w:rFonts w:ascii="Arial" w:hAnsi="Arial" w:cs="Arial"/>
          <w:bCs/>
        </w:rPr>
        <w:t>1.</w:t>
      </w:r>
      <w:r w:rsidRPr="00A1405D">
        <w:rPr>
          <w:rFonts w:ascii="Arial" w:hAnsi="Arial" w:cs="Arial"/>
          <w:bCs/>
        </w:rPr>
        <w:tab/>
      </w:r>
      <w:r w:rsidRPr="00A1405D">
        <w:rPr>
          <w:rFonts w:ascii="Arial" w:hAnsi="Arial" w:cs="Arial"/>
          <w:b/>
        </w:rPr>
        <w:t>Line 20 Amount of Annual Grant</w:t>
      </w:r>
      <w:r w:rsidRPr="00A1405D">
        <w:rPr>
          <w:rFonts w:ascii="Arial" w:hAnsi="Arial" w:cs="Arial"/>
          <w:bCs/>
        </w:rPr>
        <w:t>. After initial approval by HUD, the sum of lines 2 through 19 in the Revised Total Estimated Cost column may not exceed the annual grant amount.</w:t>
      </w:r>
    </w:p>
    <w:p w14:paraId="6B389E9E" w14:textId="7F4E3C0E" w:rsidR="00A1405D" w:rsidRPr="00A1405D" w:rsidRDefault="00A1405D" w:rsidP="00A1405D">
      <w:pPr>
        <w:spacing w:after="240"/>
        <w:jc w:val="both"/>
        <w:rPr>
          <w:rFonts w:ascii="Arial" w:hAnsi="Arial" w:cs="Arial"/>
          <w:bCs/>
        </w:rPr>
      </w:pPr>
      <w:r w:rsidRPr="00A1405D">
        <w:rPr>
          <w:rFonts w:ascii="Arial" w:hAnsi="Arial" w:cs="Arial"/>
          <w:b/>
        </w:rPr>
        <w:t>3.</w:t>
      </w:r>
      <w:r w:rsidRPr="00A1405D">
        <w:rPr>
          <w:rFonts w:ascii="Arial" w:hAnsi="Arial" w:cs="Arial"/>
          <w:b/>
        </w:rPr>
        <w:tab/>
        <w:t>Special Reporting</w:t>
      </w:r>
      <w:r>
        <w:rPr>
          <w:rFonts w:ascii="Arial" w:hAnsi="Arial" w:cs="Arial"/>
          <w:b/>
        </w:rPr>
        <w:t xml:space="preserve"> </w:t>
      </w:r>
      <w:r>
        <w:rPr>
          <w:rFonts w:ascii="Arial" w:hAnsi="Arial" w:cs="Arial"/>
          <w:bCs/>
        </w:rPr>
        <w:t>– Not Applicable</w:t>
      </w:r>
    </w:p>
    <w:p w14:paraId="03527BFF" w14:textId="73B261A6" w:rsidR="00A1405D" w:rsidRPr="00A1405D" w:rsidRDefault="00A1405D" w:rsidP="00A1405D">
      <w:pPr>
        <w:spacing w:after="240"/>
        <w:jc w:val="both"/>
        <w:rPr>
          <w:rFonts w:ascii="Arial" w:hAnsi="Arial" w:cs="Arial"/>
          <w:bCs/>
        </w:rPr>
      </w:pPr>
      <w:r w:rsidRPr="00A1405D">
        <w:rPr>
          <w:rFonts w:ascii="Arial" w:hAnsi="Arial" w:cs="Arial"/>
          <w:b/>
        </w:rPr>
        <w:t>4.</w:t>
      </w:r>
      <w:r w:rsidRPr="00A1405D">
        <w:rPr>
          <w:rFonts w:ascii="Arial" w:hAnsi="Arial" w:cs="Arial"/>
          <w:b/>
        </w:rPr>
        <w:tab/>
        <w:t>Special Reporting for Federal Funding Accountability and Transparency Act</w:t>
      </w:r>
      <w:r>
        <w:rPr>
          <w:rFonts w:ascii="Arial" w:hAnsi="Arial" w:cs="Arial"/>
          <w:b/>
        </w:rPr>
        <w:t xml:space="preserve"> </w:t>
      </w:r>
      <w:r>
        <w:rPr>
          <w:rFonts w:ascii="Arial" w:hAnsi="Arial" w:cs="Arial"/>
          <w:bCs/>
        </w:rPr>
        <w:t>– Not Applicable</w:t>
      </w:r>
    </w:p>
    <w:p w14:paraId="34609071" w14:textId="6FAFBBDD" w:rsidR="00A1405D" w:rsidRPr="00A1405D" w:rsidRDefault="00A1405D" w:rsidP="00D74E6A">
      <w:pPr>
        <w:spacing w:after="240"/>
        <w:jc w:val="both"/>
        <w:rPr>
          <w:rFonts w:ascii="Arial" w:hAnsi="Arial" w:cs="Arial"/>
          <w:bCs/>
          <w:i/>
          <w:iCs/>
        </w:rPr>
      </w:pPr>
      <w:r>
        <w:rPr>
          <w:rFonts w:ascii="Arial" w:hAnsi="Arial" w:cs="Arial"/>
          <w:bCs/>
          <w:i/>
          <w:iCs/>
        </w:rPr>
        <w:t>(Source: 2024 OMB Compliance Supplement, Part 4, HUD, #14.872 Public Housing Capital Fund)</w:t>
      </w:r>
    </w:p>
    <w:p w14:paraId="5979A865" w14:textId="77777777" w:rsidR="00703F98" w:rsidRPr="000706D1" w:rsidRDefault="00703F98" w:rsidP="006672EA">
      <w:pPr>
        <w:pStyle w:val="Heading3"/>
        <w:jc w:val="both"/>
        <w:rPr>
          <w:rFonts w:cs="Arial"/>
          <w:sz w:val="24"/>
          <w:szCs w:val="24"/>
        </w:rPr>
      </w:pPr>
      <w:bookmarkStart w:id="74" w:name="_Toc174635376"/>
      <w:r w:rsidRPr="000706D1">
        <w:rPr>
          <w:rFonts w:cs="Arial"/>
          <w:sz w:val="24"/>
          <w:szCs w:val="24"/>
        </w:rPr>
        <w:t>Additional Program Specific Information</w:t>
      </w:r>
      <w:bookmarkEnd w:id="74"/>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E6B8088" w14:textId="3BB1530A" w:rsidR="00CD5DC7" w:rsidRPr="00A1405D" w:rsidRDefault="00CD5DC7" w:rsidP="00A1405D">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A1405D">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75" w:name="_Toc174635377"/>
      <w:r w:rsidRPr="000706D1">
        <w:rPr>
          <w:rFonts w:cs="Arial"/>
          <w:sz w:val="24"/>
          <w:szCs w:val="24"/>
        </w:rPr>
        <w:t>Audit Objectives</w:t>
      </w:r>
      <w:r w:rsidR="00F87F25" w:rsidRPr="000706D1">
        <w:rPr>
          <w:rFonts w:cs="Arial"/>
          <w:sz w:val="24"/>
          <w:szCs w:val="24"/>
        </w:rPr>
        <w:t xml:space="preserve"> and Control Testing</w:t>
      </w:r>
      <w:bookmarkEnd w:id="75"/>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6" w:name="_Toc17463537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6"/>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64E7BB4E" w:rsidR="00271D8B" w:rsidRPr="00730B4D"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730B4D">
              <w:rPr>
                <w:rFonts w:ascii="Arial" w:hAnsi="Arial" w:cs="Arial"/>
                <w:i/>
                <w:iCs/>
                <w:color w:val="002060"/>
                <w:sz w:val="20"/>
              </w:rPr>
              <w:t xml:space="preserve"> – </w:t>
            </w:r>
            <w:r w:rsidR="00730B4D">
              <w:rPr>
                <w:rFonts w:ascii="Arial" w:hAnsi="Arial" w:cs="Arial"/>
                <w:i/>
                <w:iCs/>
                <w:sz w:val="20"/>
              </w:rPr>
              <w:t xml:space="preserve">Not Applicable per 2024 OMB Compliance Supplement, Part 4, HUD, </w:t>
            </w:r>
            <w:r w:rsidR="00730B4D" w:rsidRPr="00730B4D">
              <w:rPr>
                <w:rFonts w:ascii="Arial" w:hAnsi="Arial" w:cs="Arial"/>
                <w:i/>
                <w:iCs/>
                <w:sz w:val="20"/>
              </w:rPr>
              <w:t>#14.872 Public Housing Capital Fund</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7" w:name="_Toc174635379"/>
      <w:r w:rsidRPr="000706D1">
        <w:rPr>
          <w:rFonts w:cs="Arial"/>
          <w:sz w:val="24"/>
          <w:szCs w:val="24"/>
        </w:rPr>
        <w:t>Audit Implications Summary</w:t>
      </w:r>
      <w:bookmarkEnd w:id="77"/>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E837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71"/>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78" w:name="M___SUBRECIPIENT_MONITORING__"/>
      <w:bookmarkStart w:id="79" w:name="_Toc442267704"/>
      <w:bookmarkStart w:id="80" w:name="_Toc174635380"/>
      <w:bookmarkEnd w:id="78"/>
      <w:r w:rsidRPr="000706D1">
        <w:rPr>
          <w:rStyle w:val="PageNumber"/>
          <w:rFonts w:cs="Arial"/>
          <w:sz w:val="24"/>
        </w:rPr>
        <w:lastRenderedPageBreak/>
        <w:t>Program Testing Conclusion</w:t>
      </w:r>
      <w:bookmarkEnd w:id="79"/>
      <w:bookmarkEnd w:id="8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72"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72" tgtFrame="&quot;content&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666CEC" w:rsidP="006672EA">
      <w:pPr>
        <w:spacing w:after="240"/>
        <w:jc w:val="both"/>
        <w:rPr>
          <w:rFonts w:ascii="Arial" w:hAnsi="Arial" w:cs="Arial"/>
        </w:rPr>
      </w:pPr>
      <w:hyperlink r:id="rId74"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75"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1" w:name="AICPAIGS:767.2670-1"/>
      <w:bookmarkEnd w:id="8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121D4DFC"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7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48A7B3B8"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230FA4">
      <w:rPr>
        <w:sz w:val="18"/>
      </w:rPr>
      <w:t xml:space="preserve">FACCR #14.872 </w:t>
    </w:r>
    <w:r w:rsidR="00230FA4" w:rsidRPr="00230FA4">
      <w:rPr>
        <w:sz w:val="18"/>
      </w:rPr>
      <w:t>Public Housing Capital Fund</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9" type="#_x0000_t75" style="width:9.6pt;height:9.6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3"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1"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7"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59"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8"/>
  </w:num>
  <w:num w:numId="3" w16cid:durableId="845168209">
    <w:abstractNumId w:val="20"/>
  </w:num>
  <w:num w:numId="4" w16cid:durableId="495266702">
    <w:abstractNumId w:val="27"/>
  </w:num>
  <w:num w:numId="5" w16cid:durableId="1496074526">
    <w:abstractNumId w:val="50"/>
  </w:num>
  <w:num w:numId="6" w16cid:durableId="1894850701">
    <w:abstractNumId w:val="25"/>
  </w:num>
  <w:num w:numId="7" w16cid:durableId="1851287688">
    <w:abstractNumId w:val="59"/>
  </w:num>
  <w:num w:numId="8" w16cid:durableId="169563015">
    <w:abstractNumId w:val="47"/>
  </w:num>
  <w:num w:numId="9" w16cid:durableId="829565744">
    <w:abstractNumId w:val="16"/>
  </w:num>
  <w:num w:numId="10" w16cid:durableId="1649020827">
    <w:abstractNumId w:val="3"/>
  </w:num>
  <w:num w:numId="11" w16cid:durableId="404687173">
    <w:abstractNumId w:val="13"/>
  </w:num>
  <w:num w:numId="12" w16cid:durableId="812450053">
    <w:abstractNumId w:val="56"/>
  </w:num>
  <w:num w:numId="13" w16cid:durableId="208225967">
    <w:abstractNumId w:val="40"/>
  </w:num>
  <w:num w:numId="14" w16cid:durableId="1448885931">
    <w:abstractNumId w:val="35"/>
  </w:num>
  <w:num w:numId="15" w16cid:durableId="652417121">
    <w:abstractNumId w:val="44"/>
  </w:num>
  <w:num w:numId="16" w16cid:durableId="1348169212">
    <w:abstractNumId w:val="32"/>
  </w:num>
  <w:num w:numId="17" w16cid:durableId="1730111816">
    <w:abstractNumId w:val="52"/>
  </w:num>
  <w:num w:numId="18" w16cid:durableId="1262647388">
    <w:abstractNumId w:val="24"/>
  </w:num>
  <w:num w:numId="19" w16cid:durableId="917205237">
    <w:abstractNumId w:val="39"/>
  </w:num>
  <w:num w:numId="20" w16cid:durableId="1467968856">
    <w:abstractNumId w:val="57"/>
  </w:num>
  <w:num w:numId="21" w16cid:durableId="1337074581">
    <w:abstractNumId w:val="55"/>
  </w:num>
  <w:num w:numId="22" w16cid:durableId="1028799297">
    <w:abstractNumId w:val="18"/>
  </w:num>
  <w:num w:numId="23" w16cid:durableId="1386678689">
    <w:abstractNumId w:val="9"/>
  </w:num>
  <w:num w:numId="24" w16cid:durableId="505556187">
    <w:abstractNumId w:val="48"/>
  </w:num>
  <w:num w:numId="25" w16cid:durableId="1151486989">
    <w:abstractNumId w:val="17"/>
  </w:num>
  <w:num w:numId="26" w16cid:durableId="431709311">
    <w:abstractNumId w:val="28"/>
  </w:num>
  <w:num w:numId="27" w16cid:durableId="137292458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1"/>
  </w:num>
  <w:num w:numId="30" w16cid:durableId="1726903200">
    <w:abstractNumId w:val="11"/>
  </w:num>
  <w:num w:numId="31" w16cid:durableId="884410781">
    <w:abstractNumId w:val="6"/>
  </w:num>
  <w:num w:numId="32" w16cid:durableId="810370577">
    <w:abstractNumId w:val="36"/>
  </w:num>
  <w:num w:numId="33" w16cid:durableId="1178009640">
    <w:abstractNumId w:val="2"/>
  </w:num>
  <w:num w:numId="34" w16cid:durableId="1151754974">
    <w:abstractNumId w:val="60"/>
  </w:num>
  <w:num w:numId="35" w16cid:durableId="554588920">
    <w:abstractNumId w:val="51"/>
  </w:num>
  <w:num w:numId="36" w16cid:durableId="2056466201">
    <w:abstractNumId w:val="19"/>
  </w:num>
  <w:num w:numId="37" w16cid:durableId="81878645">
    <w:abstractNumId w:val="29"/>
  </w:num>
  <w:num w:numId="38" w16cid:durableId="754401759">
    <w:abstractNumId w:val="31"/>
  </w:num>
  <w:num w:numId="39" w16cid:durableId="697851989">
    <w:abstractNumId w:val="53"/>
  </w:num>
  <w:num w:numId="40" w16cid:durableId="368649401">
    <w:abstractNumId w:val="1"/>
  </w:num>
  <w:num w:numId="41" w16cid:durableId="1478910963">
    <w:abstractNumId w:val="54"/>
  </w:num>
  <w:num w:numId="42" w16cid:durableId="1939830332">
    <w:abstractNumId w:val="12"/>
  </w:num>
  <w:num w:numId="43" w16cid:durableId="516505364">
    <w:abstractNumId w:val="42"/>
  </w:num>
  <w:num w:numId="44" w16cid:durableId="710107432">
    <w:abstractNumId w:val="33"/>
  </w:num>
  <w:num w:numId="45" w16cid:durableId="629016447">
    <w:abstractNumId w:val="15"/>
  </w:num>
  <w:num w:numId="46" w16cid:durableId="1352143524">
    <w:abstractNumId w:val="22"/>
  </w:num>
  <w:num w:numId="47" w16cid:durableId="2034109230">
    <w:abstractNumId w:val="34"/>
  </w:num>
  <w:num w:numId="48" w16cid:durableId="752432378">
    <w:abstractNumId w:val="30"/>
  </w:num>
  <w:num w:numId="49" w16cid:durableId="1766726706">
    <w:abstractNumId w:val="10"/>
  </w:num>
  <w:num w:numId="50" w16cid:durableId="848107073">
    <w:abstractNumId w:val="23"/>
  </w:num>
  <w:num w:numId="51" w16cid:durableId="1123234674">
    <w:abstractNumId w:val="4"/>
  </w:num>
  <w:num w:numId="52" w16cid:durableId="1056511850">
    <w:abstractNumId w:val="49"/>
  </w:num>
  <w:num w:numId="53" w16cid:durableId="1317146710">
    <w:abstractNumId w:val="45"/>
  </w:num>
  <w:num w:numId="54" w16cid:durableId="1101756761">
    <w:abstractNumId w:val="37"/>
  </w:num>
  <w:num w:numId="55" w16cid:durableId="1244534831">
    <w:abstractNumId w:val="43"/>
  </w:num>
  <w:num w:numId="56" w16cid:durableId="120655483">
    <w:abstractNumId w:val="21"/>
  </w:num>
  <w:num w:numId="57" w16cid:durableId="894855469">
    <w:abstractNumId w:val="14"/>
  </w:num>
  <w:num w:numId="58" w16cid:durableId="667756309">
    <w:abstractNumId w:val="5"/>
  </w:num>
  <w:num w:numId="59" w16cid:durableId="142236087">
    <w:abstractNumId w:val="26"/>
  </w:num>
  <w:num w:numId="60" w16cid:durableId="2005356031">
    <w:abstractNumId w:val="8"/>
  </w:num>
  <w:num w:numId="61" w16cid:durableId="196281328">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0FA4"/>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1E66"/>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4D0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2D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413"/>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5033"/>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6CEC"/>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30D4"/>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0B4D"/>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03FF"/>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A5A"/>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05D"/>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48D"/>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5EB7"/>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25F"/>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B73A0"/>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5A89"/>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9B1"/>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26" Type="http://schemas.openxmlformats.org/officeDocument/2006/relationships/footer" Target="footer3.xml"/><Relationship Id="rId39" Type="http://schemas.openxmlformats.org/officeDocument/2006/relationships/hyperlink" Target="https://www.ecfr.gov/current/title-24/subtitle-B/chapter-IX/part-905" TargetMode="External"/><Relationship Id="rId21" Type="http://schemas.openxmlformats.org/officeDocument/2006/relationships/hyperlink" Target="Agency_Adoption_of_the_UG_and_Example_Citations.pdf" TargetMode="External"/><Relationship Id="rId34" Type="http://schemas.openxmlformats.org/officeDocument/2006/relationships/hyperlink" Target="https://www.hud.gov/program_offices/public_indian_housing/reac/products/prodpha" TargetMode="External"/><Relationship Id="rId42" Type="http://schemas.openxmlformats.org/officeDocument/2006/relationships/header" Target="header7.xml"/><Relationship Id="rId47" Type="http://schemas.openxmlformats.org/officeDocument/2006/relationships/hyperlink" Target="https://www.hud.gov/sites/documents/PIH-2016-14.PDF" TargetMode="External"/><Relationship Id="rId50" Type="http://schemas.openxmlformats.org/officeDocument/2006/relationships/hyperlink" Target="Agency_Adoption_of_the_UG_and_Example_Citations.pdf" TargetMode="External"/><Relationship Id="rId55" Type="http://schemas.openxmlformats.org/officeDocument/2006/relationships/hyperlink" Target="https://fiscal.treasury.gov/cmia/" TargetMode="External"/><Relationship Id="rId63" Type="http://schemas.openxmlformats.org/officeDocument/2006/relationships/hyperlink" Target="48_CFR_Part_52.pdf" TargetMode="External"/><Relationship Id="rId68" Type="http://schemas.openxmlformats.org/officeDocument/2006/relationships/header" Target="header10.xml"/><Relationship Id="rId76" Type="http://schemas.openxmlformats.org/officeDocument/2006/relationships/header" Target="header12.xml"/><Relationship Id="rId7" Type="http://schemas.openxmlformats.org/officeDocument/2006/relationships/settings" Target="settings.xml"/><Relationship Id="rId71"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hyperlink" Target="OMB_Part_6.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hud.gov/program_offices/public_indian_housing/programs/ph/capfund" TargetMode="External"/><Relationship Id="rId37" Type="http://schemas.openxmlformats.org/officeDocument/2006/relationships/header" Target="header6.xml"/><Relationship Id="rId40" Type="http://schemas.openxmlformats.org/officeDocument/2006/relationships/hyperlink" Target="https://www.hud.gov/sites/dfiles/PIH/documents/2023_Units_TDC_Limits.pdf" TargetMode="External"/><Relationship Id="rId45" Type="http://schemas.openxmlformats.org/officeDocument/2006/relationships/hyperlink" Target="45_CFR_Part_75.pdf" TargetMode="External"/><Relationship Id="rId53" Type="http://schemas.openxmlformats.org/officeDocument/2006/relationships/hyperlink" Target="48_CFR_Part_52.pdf" TargetMode="External"/><Relationship Id="rId58" Type="http://schemas.openxmlformats.org/officeDocument/2006/relationships/hyperlink" Target="https://www.ecfr.gov/current/title-24/subtitle-A/part-5/subpart-D/section-5.403" TargetMode="External"/><Relationship Id="rId66" Type="http://schemas.openxmlformats.org/officeDocument/2006/relationships/header" Target="header9.xml"/><Relationship Id="rId74" Type="http://schemas.openxmlformats.org/officeDocument/2006/relationships/hyperlink" Target="2_CFR_Part_200.pdf" TargetMode="External"/><Relationship Id="rId5" Type="http://schemas.openxmlformats.org/officeDocument/2006/relationships/numbering" Target="numbering.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eader" Target="header5.xml"/><Relationship Id="rId49" Type="http://schemas.openxmlformats.org/officeDocument/2006/relationships/hyperlink" Target="Testing_the_ICRP_discussion.pdf" TargetMode="External"/><Relationship Id="rId57" Type="http://schemas.openxmlformats.org/officeDocument/2006/relationships/hyperlink" Target="https://www.fiscal.treasury.gov/ASAP/" TargetMode="External"/><Relationship Id="rId61" Type="http://schemas.openxmlformats.org/officeDocument/2006/relationships/hyperlink" Target="https://www.ecfr.gov/current/title-24/subtitle-B/chapter-IX/part-905/subpart-C/section-905.310" TargetMode="External"/><Relationship Id="rId10" Type="http://schemas.openxmlformats.org/officeDocument/2006/relationships/endnotes" Target="endnotes.xml"/><Relationship Id="rId19" Type="http://schemas.openxmlformats.org/officeDocument/2006/relationships/hyperlink" Target="https://www.cfo.gov/wp-content/uploads/2014/12/Agency-Exceptions.pdf" TargetMode="External"/><Relationship Id="rId31" Type="http://schemas.openxmlformats.org/officeDocument/2006/relationships/hyperlink" Target="https://www.hud.gov/sites/dfiles/PIH/documents/Faircloth%20List_10-15-23_FINAL2.xlsx" TargetMode="External"/><Relationship Id="rId44" Type="http://schemas.openxmlformats.org/officeDocument/2006/relationships/hyperlink" Target="https://ohioauditor.gov/references/practiceaids/faccrs.html" TargetMode="External"/><Relationship Id="rId52" Type="http://schemas.openxmlformats.org/officeDocument/2006/relationships/hyperlink" Target="31_CFR_Part_205.pdf" TargetMode="External"/><Relationship Id="rId60" Type="http://schemas.openxmlformats.org/officeDocument/2006/relationships/hyperlink" Target="https://www.ecfr.gov/current/title-24/subtitle-B/chapter-IX/part-990" TargetMode="External"/><Relationship Id="rId65" Type="http://schemas.openxmlformats.org/officeDocument/2006/relationships/hyperlink" Target="Agency_Adoption_of_the_UG_and_Example_Citations.pdf" TargetMode="External"/><Relationship Id="rId73" Type="http://schemas.openxmlformats.org/officeDocument/2006/relationships/image" Target="media/image2.gif"/><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hud.gov/program_offices/public_indian_housing/programs/ph/capfund" TargetMode="External"/><Relationship Id="rId35" Type="http://schemas.openxmlformats.org/officeDocument/2006/relationships/hyperlink" Target="https://www.hud.gov/program_offices/public_indian_housing/reac/products/prodphasintrule" TargetMode="External"/><Relationship Id="rId43"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48" Type="http://schemas.openxmlformats.org/officeDocument/2006/relationships/hyperlink" Target="https://www.opm.gov/policy-data-oversight/pay-leave/salaries-wages/salary-tables/pdf/2023/EX.pdf" TargetMode="External"/><Relationship Id="rId56" Type="http://schemas.openxmlformats.org/officeDocument/2006/relationships/hyperlink" Target="https://www.hhs.gov/about/agencies/asa/psc/accounting/payment-management/index.html" TargetMode="External"/><Relationship Id="rId64" Type="http://schemas.openxmlformats.org/officeDocument/2006/relationships/hyperlink" Target="48%20CFR%2052.216-7.pdf" TargetMode="External"/><Relationship Id="rId69" Type="http://schemas.openxmlformats.org/officeDocument/2006/relationships/hyperlink" Target="https://www.hud.gov/sites/dfiles/OCHCO/documents/50075.1.pdf"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8.xml"/><Relationship Id="rId72" Type="http://schemas.openxmlformats.org/officeDocument/2006/relationships/hyperlink" Target="https://checkpoint.riag.com/app/view/docPermaLink?DocID=iAICPAIGS:767.2440&amp;docTid=T0AICPAIGS:767.2440-1&amp;feature=ttoc&amp;lastCpReqId=97899&amp;tlltype=AICPAIGS:767.2668"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hud.gov/program_offices/public_indian_housing/reac" TargetMode="External"/><Relationship Id="rId38" Type="http://schemas.openxmlformats.org/officeDocument/2006/relationships/hyperlink" Target="http://www.ohioauditor.gov/references/practiceaids.html" TargetMode="External"/><Relationship Id="rId46" Type="http://schemas.openxmlformats.org/officeDocument/2006/relationships/hyperlink" Target="Selected_Items_of_Cost_Part_3_ComplianceSupplement.pdf" TargetMode="External"/><Relationship Id="rId59" Type="http://schemas.openxmlformats.org/officeDocument/2006/relationships/hyperlink" Target="https://www.ecfr.gov/current/title-24/subtitle-B/chapter-IX/part-905/subpart-C/section-905.310" TargetMode="External"/><Relationship Id="rId67" Type="http://schemas.openxmlformats.org/officeDocument/2006/relationships/hyperlink" Target="Agency_Adoption_of_the_UG_and_Example_Citations.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Agency_Adoption_of_the_UG_and_Example_Citations.pdf" TargetMode="External"/><Relationship Id="rId54" Type="http://schemas.openxmlformats.org/officeDocument/2006/relationships/hyperlink" Target="48_CFR_Part_52.pdf" TargetMode="External"/><Relationship Id="rId62" Type="http://schemas.openxmlformats.org/officeDocument/2006/relationships/hyperlink" Target="https://www.ecfr.gov/current/title-24/subtitle-B/chapter-IX/part-905/subpart-C/section-905.310" TargetMode="External"/><Relationship Id="rId70" Type="http://schemas.openxmlformats.org/officeDocument/2006/relationships/hyperlink" Target="Agency_Adoption_of_the_UG_and_Example_Citations.pdf" TargetMode="External"/><Relationship Id="rId75" Type="http://schemas.openxmlformats.org/officeDocument/2006/relationships/hyperlink" Target="Agency_Adoption_of_the_UG_and_Example_Citations.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51</Pages>
  <Words>18705</Words>
  <Characters>112306</Characters>
  <Application>Microsoft Office Word</Application>
  <DocSecurity>0</DocSecurity>
  <Lines>935</Lines>
  <Paragraphs>261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130750</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17</cp:revision>
  <cp:lastPrinted>2015-07-01T17:39:00Z</cp:lastPrinted>
  <dcterms:created xsi:type="dcterms:W3CDTF">2024-07-16T11:58:00Z</dcterms:created>
  <dcterms:modified xsi:type="dcterms:W3CDTF">2024-12-10T22:37:00Z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