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461844A2" w:rsidR="007814B6" w:rsidRPr="00A0464C" w:rsidRDefault="000E63F5" w:rsidP="006672EA">
            <w:pPr>
              <w:jc w:val="both"/>
              <w:rPr>
                <w:rFonts w:ascii="Arial" w:hAnsi="Arial" w:cs="Arial"/>
                <w:sz w:val="24"/>
                <w:szCs w:val="24"/>
              </w:rPr>
            </w:pPr>
            <w:r>
              <w:rPr>
                <w:rFonts w:ascii="Arial" w:hAnsi="Arial" w:cs="Arial"/>
                <w:sz w:val="24"/>
                <w:szCs w:val="24"/>
              </w:rPr>
              <w:t>Student Financial Assistance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B30BA74"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#84.007 Federal Supplemental Educational Opportunity Grants (FSEOG)</w:t>
            </w:r>
          </w:p>
          <w:p w14:paraId="576DD492"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#84.063 Federal Pell Grant Program</w:t>
            </w:r>
          </w:p>
          <w:p w14:paraId="33E981FC" w14:textId="2B80DC7A" w:rsidR="007814B6" w:rsidRPr="00A0464C" w:rsidRDefault="000E63F5" w:rsidP="000E63F5">
            <w:pPr>
              <w:jc w:val="both"/>
              <w:rPr>
                <w:rFonts w:ascii="Arial" w:hAnsi="Arial" w:cs="Arial"/>
                <w:sz w:val="24"/>
                <w:szCs w:val="24"/>
              </w:rPr>
            </w:pPr>
            <w:r w:rsidRPr="006F45D9">
              <w:rPr>
                <w:rFonts w:ascii="Arial" w:hAnsi="Arial" w:cs="Arial"/>
                <w:sz w:val="24"/>
                <w:szCs w:val="24"/>
              </w:rPr>
              <w:t>#84.268 Federal Direct Student Loans</w:t>
            </w:r>
          </w:p>
        </w:tc>
      </w:tr>
      <w:tr w:rsidR="000E63F5" w:rsidRPr="00F00D94" w14:paraId="5BB2CBB4" w14:textId="77777777" w:rsidTr="00F13178">
        <w:tc>
          <w:tcPr>
            <w:tcW w:w="1560" w:type="pct"/>
            <w:shd w:val="clear" w:color="auto" w:fill="DBE5F1"/>
          </w:tcPr>
          <w:p w14:paraId="5A1FD968" w14:textId="4D67A717" w:rsidR="000E63F5" w:rsidRPr="00A0464C" w:rsidRDefault="000E63F5" w:rsidP="006672EA">
            <w:pPr>
              <w:jc w:val="both"/>
              <w:rPr>
                <w:rFonts w:ascii="Arial" w:hAnsi="Arial" w:cs="Arial"/>
                <w:b/>
                <w:sz w:val="24"/>
                <w:szCs w:val="24"/>
              </w:rPr>
            </w:pPr>
            <w:r>
              <w:rPr>
                <w:rFonts w:ascii="Arial" w:hAnsi="Arial" w:cs="Arial"/>
                <w:b/>
                <w:sz w:val="24"/>
                <w:szCs w:val="24"/>
              </w:rPr>
              <w:t>Note:</w:t>
            </w:r>
          </w:p>
        </w:tc>
        <w:tc>
          <w:tcPr>
            <w:tcW w:w="3440" w:type="pct"/>
          </w:tcPr>
          <w:p w14:paraId="4C8CBA92" w14:textId="50430A13" w:rsidR="000E63F5" w:rsidRPr="006F45D9" w:rsidRDefault="000E63F5" w:rsidP="000E63F5">
            <w:pPr>
              <w:jc w:val="both"/>
              <w:rPr>
                <w:rFonts w:ascii="Arial" w:hAnsi="Arial" w:cs="Arial"/>
                <w:sz w:val="24"/>
                <w:szCs w:val="24"/>
              </w:rPr>
            </w:pPr>
            <w:r w:rsidRPr="006F45D9">
              <w:rPr>
                <w:rFonts w:ascii="Arial" w:hAnsi="Arial" w:cs="Arial"/>
                <w:sz w:val="24"/>
                <w:szCs w:val="24"/>
              </w:rPr>
              <w:t xml:space="preserve">The Student Financial Assistance Cluster also contains the following programs; however, these are not likely to occur at most local schools. If they occur, they are not likely to be material to the cluster. If you need to test one of the following programs, refer to Part 5 of the OMB Compliance Supplement </w:t>
            </w:r>
            <w:r w:rsidR="00354FF7" w:rsidRPr="00354FF7">
              <w:rPr>
                <w:rFonts w:ascii="Arial" w:hAnsi="Arial" w:cs="Arial"/>
                <w:sz w:val="24"/>
                <w:szCs w:val="24"/>
              </w:rPr>
              <w:t>and AOS auditors</w:t>
            </w:r>
            <w:r w:rsidR="00354FF7">
              <w:rPr>
                <w:rFonts w:ascii="Arial" w:hAnsi="Arial" w:cs="Arial"/>
                <w:b/>
                <w:bCs/>
                <w:sz w:val="24"/>
                <w:szCs w:val="24"/>
              </w:rPr>
              <w:t xml:space="preserve"> </w:t>
            </w:r>
            <w:r w:rsidRPr="006F45D9">
              <w:rPr>
                <w:rFonts w:ascii="Arial" w:hAnsi="Arial" w:cs="Arial"/>
                <w:sz w:val="24"/>
                <w:szCs w:val="24"/>
              </w:rPr>
              <w:t>contact the Center for Audit Excellence via the FACCR Specialty in Spiceworks</w:t>
            </w:r>
            <w:r w:rsidR="00354FF7">
              <w:rPr>
                <w:rFonts w:ascii="Arial" w:hAnsi="Arial" w:cs="Arial"/>
                <w:sz w:val="24"/>
                <w:szCs w:val="24"/>
              </w:rPr>
              <w:t xml:space="preserve"> (IPAs use the </w:t>
            </w:r>
            <w:hyperlink r:id="rId11" w:history="1">
              <w:r w:rsidR="00354FF7" w:rsidRPr="00354FF7">
                <w:rPr>
                  <w:rStyle w:val="Hyperlink"/>
                  <w:rFonts w:cs="Arial"/>
                  <w:sz w:val="24"/>
                  <w:szCs w:val="24"/>
                </w:rPr>
                <w:t>AOS Federal Inbox</w:t>
              </w:r>
            </w:hyperlink>
            <w:r w:rsidR="00354FF7">
              <w:rPr>
                <w:rFonts w:ascii="Arial" w:hAnsi="Arial" w:cs="Arial"/>
                <w:sz w:val="24"/>
                <w:szCs w:val="24"/>
              </w:rPr>
              <w:t>).</w:t>
            </w:r>
          </w:p>
          <w:p w14:paraId="4DDE5652"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 xml:space="preserve"> </w:t>
            </w:r>
          </w:p>
          <w:p w14:paraId="65A2551D"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#84.033 Federal Work-Study Program</w:t>
            </w:r>
          </w:p>
          <w:p w14:paraId="1FA824C3"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 xml:space="preserve">#84.038 Federal Perkins Loan Program </w:t>
            </w:r>
          </w:p>
          <w:p w14:paraId="1096FD8C"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#84.379 Teacher Education Assistance for College and Higher Education Grants (TEACH Grants)</w:t>
            </w:r>
          </w:p>
          <w:p w14:paraId="0B8999E3"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#84.408 Postsecondary Education Scholarships for Veteran’s Dependents (Iraq and Afghanistan Service Grant (IASG))</w:t>
            </w:r>
          </w:p>
          <w:p w14:paraId="38E14B85"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#93.264 Nurse Facility Loan Program (NFLP)</w:t>
            </w:r>
          </w:p>
          <w:p w14:paraId="361AEDAE"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#93.342 Health Professions Student Loans, Including Primary Care Loans and Loans for Disadvantaged Students (HPSL/PCL/LDS)</w:t>
            </w:r>
          </w:p>
          <w:p w14:paraId="421D072D" w14:textId="77777777" w:rsidR="000E63F5" w:rsidRPr="006F45D9" w:rsidRDefault="000E63F5" w:rsidP="000E63F5">
            <w:pPr>
              <w:jc w:val="both"/>
              <w:rPr>
                <w:rFonts w:ascii="Arial" w:hAnsi="Arial" w:cs="Arial"/>
                <w:sz w:val="24"/>
                <w:szCs w:val="24"/>
              </w:rPr>
            </w:pPr>
            <w:r w:rsidRPr="006F45D9">
              <w:rPr>
                <w:rFonts w:ascii="Arial" w:hAnsi="Arial" w:cs="Arial"/>
                <w:sz w:val="24"/>
                <w:szCs w:val="24"/>
              </w:rPr>
              <w:t>#93.364 Nursing Student Loans (NSL)</w:t>
            </w:r>
          </w:p>
          <w:p w14:paraId="12E44EE1" w14:textId="6EA91074" w:rsidR="000E63F5" w:rsidRPr="00A0464C" w:rsidRDefault="000E63F5" w:rsidP="000E63F5">
            <w:pPr>
              <w:jc w:val="both"/>
              <w:rPr>
                <w:rFonts w:ascii="Arial" w:hAnsi="Arial" w:cs="Arial"/>
                <w:sz w:val="24"/>
                <w:szCs w:val="24"/>
              </w:rPr>
            </w:pPr>
            <w:r w:rsidRPr="006F45D9">
              <w:rPr>
                <w:rFonts w:ascii="Arial" w:hAnsi="Arial" w:cs="Arial"/>
                <w:sz w:val="24"/>
                <w:szCs w:val="24"/>
              </w:rPr>
              <w:t>#93.925 Scholarships for Health Professions Students from Disadvantaged Backgrounds – Scholarships for Disadvantaged Students (SDS)</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6355379"/>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lastRenderedPageBreak/>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EB6F53"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EB6F53" w:rsidP="006516C2">
      <w:pPr>
        <w:pStyle w:val="BodyText"/>
        <w:widowControl w:val="0"/>
        <w:numPr>
          <w:ilvl w:val="0"/>
          <w:numId w:val="47"/>
        </w:numPr>
        <w:autoSpaceDE w:val="0"/>
        <w:autoSpaceDN w:val="0"/>
        <w:spacing w:after="0"/>
        <w:rPr>
          <w:rFonts w:ascii="Arial" w:hAnsi="Arial" w:cs="Arial"/>
          <w:szCs w:val="20"/>
        </w:rPr>
      </w:pPr>
      <w:hyperlink r:id="rId15" w:history="1">
        <w:r w:rsidR="004717CE" w:rsidRPr="00F00D94">
          <w:rPr>
            <w:rStyle w:val="Hyperlink"/>
            <w:rFonts w:cs="Arial"/>
            <w:szCs w:val="20"/>
          </w:rPr>
          <w:t>2013 COSO</w:t>
        </w:r>
      </w:hyperlink>
    </w:p>
    <w:p w14:paraId="7786A02D" w14:textId="5FE57B1B" w:rsidR="004717CE" w:rsidRPr="004717CE" w:rsidRDefault="00EB6F53"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F00D94">
          <w:rPr>
            <w:rStyle w:val="Hyperlink"/>
            <w:rFonts w:cs="Arial"/>
            <w:szCs w:val="20"/>
          </w:rPr>
          <w:t>GAO’s 2014 Green Book</w:t>
        </w:r>
      </w:hyperlink>
    </w:p>
    <w:p w14:paraId="47FC5089" w14:textId="01B0B386" w:rsidR="00DF7D32" w:rsidRPr="00F00D94" w:rsidRDefault="00EB6F53" w:rsidP="006516C2">
      <w:pPr>
        <w:pStyle w:val="BodyText"/>
        <w:widowControl w:val="0"/>
        <w:numPr>
          <w:ilvl w:val="0"/>
          <w:numId w:val="47"/>
        </w:numPr>
        <w:autoSpaceDE w:val="0"/>
        <w:autoSpaceDN w:val="0"/>
        <w:spacing w:after="0"/>
        <w:rPr>
          <w:rStyle w:val="Hyperlink"/>
          <w:rFonts w:cs="Arial"/>
          <w:color w:val="auto"/>
          <w:szCs w:val="20"/>
          <w:u w:val="none"/>
        </w:rPr>
      </w:pPr>
      <w:hyperlink r:id="rId17"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6355380"/>
      <w:bookmarkEnd w:id="2"/>
      <w:r w:rsidRPr="00A0464C">
        <w:rPr>
          <w:rFonts w:cs="Arial"/>
          <w:sz w:val="24"/>
        </w:rPr>
        <w:lastRenderedPageBreak/>
        <w:t>A</w:t>
      </w:r>
      <w:r w:rsidR="00A0464C">
        <w:rPr>
          <w:rFonts w:cs="Arial"/>
          <w:sz w:val="24"/>
        </w:rPr>
        <w:t>gency Adoption of the UG and Example Citations</w:t>
      </w:r>
      <w:bookmarkEnd w:id="3"/>
    </w:p>
    <w:p w14:paraId="35D2AAD9" w14:textId="5B059A15" w:rsidR="00EF77DC" w:rsidRDefault="00EB6F53" w:rsidP="006672EA">
      <w:pPr>
        <w:spacing w:after="240"/>
        <w:jc w:val="both"/>
        <w:rPr>
          <w:rFonts w:ascii="Arial" w:hAnsi="Arial" w:cs="Arial"/>
        </w:rPr>
      </w:pPr>
      <w:hyperlink r:id="rId19"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20"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1"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2"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6355381"/>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770742E" w14:textId="0F946EFE" w:rsidR="00F069B8"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6355379" w:history="1">
            <w:r w:rsidR="00F069B8" w:rsidRPr="009C3D98">
              <w:rPr>
                <w:rStyle w:val="Hyperlink"/>
                <w:rFonts w:cs="Arial"/>
                <w:noProof/>
              </w:rPr>
              <w:t>Important Information</w:t>
            </w:r>
            <w:r w:rsidR="00F069B8">
              <w:rPr>
                <w:noProof/>
                <w:webHidden/>
              </w:rPr>
              <w:tab/>
            </w:r>
            <w:r w:rsidR="00F069B8">
              <w:rPr>
                <w:noProof/>
                <w:webHidden/>
              </w:rPr>
              <w:fldChar w:fldCharType="begin"/>
            </w:r>
            <w:r w:rsidR="00F069B8">
              <w:rPr>
                <w:noProof/>
                <w:webHidden/>
              </w:rPr>
              <w:instrText xml:space="preserve"> PAGEREF _Toc176355379 \h </w:instrText>
            </w:r>
            <w:r w:rsidR="00F069B8">
              <w:rPr>
                <w:noProof/>
                <w:webHidden/>
              </w:rPr>
            </w:r>
            <w:r w:rsidR="00F069B8">
              <w:rPr>
                <w:noProof/>
                <w:webHidden/>
              </w:rPr>
              <w:fldChar w:fldCharType="separate"/>
            </w:r>
            <w:r w:rsidR="00EB6F53">
              <w:rPr>
                <w:noProof/>
                <w:webHidden/>
              </w:rPr>
              <w:t>1</w:t>
            </w:r>
            <w:r w:rsidR="00F069B8">
              <w:rPr>
                <w:noProof/>
                <w:webHidden/>
              </w:rPr>
              <w:fldChar w:fldCharType="end"/>
            </w:r>
          </w:hyperlink>
        </w:p>
        <w:p w14:paraId="5025C600" w14:textId="0CE834A1" w:rsidR="00F069B8" w:rsidRDefault="00EB6F53">
          <w:pPr>
            <w:pStyle w:val="TOC1"/>
            <w:rPr>
              <w:rFonts w:asciiTheme="minorHAnsi" w:eastAsiaTheme="minorEastAsia" w:hAnsiTheme="minorHAnsi" w:cstheme="minorBidi"/>
              <w:noProof/>
              <w:kern w:val="2"/>
              <w:sz w:val="24"/>
              <w:szCs w:val="24"/>
              <w14:ligatures w14:val="standardContextual"/>
            </w:rPr>
          </w:pPr>
          <w:hyperlink w:anchor="_Toc176355380" w:history="1">
            <w:r w:rsidR="00F069B8" w:rsidRPr="009C3D98">
              <w:rPr>
                <w:rStyle w:val="Hyperlink"/>
                <w:rFonts w:cs="Arial"/>
                <w:noProof/>
              </w:rPr>
              <w:t>Agency Adoption of the UG and Example Citations</w:t>
            </w:r>
            <w:r w:rsidR="00F069B8">
              <w:rPr>
                <w:noProof/>
                <w:webHidden/>
              </w:rPr>
              <w:tab/>
            </w:r>
            <w:r w:rsidR="00F069B8">
              <w:rPr>
                <w:noProof/>
                <w:webHidden/>
              </w:rPr>
              <w:fldChar w:fldCharType="begin"/>
            </w:r>
            <w:r w:rsidR="00F069B8">
              <w:rPr>
                <w:noProof/>
                <w:webHidden/>
              </w:rPr>
              <w:instrText xml:space="preserve"> PAGEREF _Toc176355380 \h </w:instrText>
            </w:r>
            <w:r w:rsidR="00F069B8">
              <w:rPr>
                <w:noProof/>
                <w:webHidden/>
              </w:rPr>
            </w:r>
            <w:r w:rsidR="00F069B8">
              <w:rPr>
                <w:noProof/>
                <w:webHidden/>
              </w:rPr>
              <w:fldChar w:fldCharType="separate"/>
            </w:r>
            <w:r>
              <w:rPr>
                <w:noProof/>
                <w:webHidden/>
              </w:rPr>
              <w:t>3</w:t>
            </w:r>
            <w:r w:rsidR="00F069B8">
              <w:rPr>
                <w:noProof/>
                <w:webHidden/>
              </w:rPr>
              <w:fldChar w:fldCharType="end"/>
            </w:r>
          </w:hyperlink>
        </w:p>
        <w:p w14:paraId="5429DE2B" w14:textId="5BCDF25B" w:rsidR="00F069B8" w:rsidRDefault="00EB6F53">
          <w:pPr>
            <w:pStyle w:val="TOC1"/>
            <w:rPr>
              <w:rFonts w:asciiTheme="minorHAnsi" w:eastAsiaTheme="minorEastAsia" w:hAnsiTheme="minorHAnsi" w:cstheme="minorBidi"/>
              <w:noProof/>
              <w:kern w:val="2"/>
              <w:sz w:val="24"/>
              <w:szCs w:val="24"/>
              <w14:ligatures w14:val="standardContextual"/>
            </w:rPr>
          </w:pPr>
          <w:hyperlink w:anchor="_Toc176355381" w:history="1">
            <w:r w:rsidR="00F069B8" w:rsidRPr="009C3D98">
              <w:rPr>
                <w:rStyle w:val="Hyperlink"/>
                <w:rFonts w:cs="Arial"/>
                <w:noProof/>
              </w:rPr>
              <w:t>Table of Contents</w:t>
            </w:r>
            <w:r w:rsidR="00F069B8">
              <w:rPr>
                <w:noProof/>
                <w:webHidden/>
              </w:rPr>
              <w:tab/>
            </w:r>
            <w:r w:rsidR="00F069B8">
              <w:rPr>
                <w:noProof/>
                <w:webHidden/>
              </w:rPr>
              <w:fldChar w:fldCharType="begin"/>
            </w:r>
            <w:r w:rsidR="00F069B8">
              <w:rPr>
                <w:noProof/>
                <w:webHidden/>
              </w:rPr>
              <w:instrText xml:space="preserve"> PAGEREF _Toc176355381 \h </w:instrText>
            </w:r>
            <w:r w:rsidR="00F069B8">
              <w:rPr>
                <w:noProof/>
                <w:webHidden/>
              </w:rPr>
            </w:r>
            <w:r w:rsidR="00F069B8">
              <w:rPr>
                <w:noProof/>
                <w:webHidden/>
              </w:rPr>
              <w:fldChar w:fldCharType="separate"/>
            </w:r>
            <w:r>
              <w:rPr>
                <w:noProof/>
                <w:webHidden/>
              </w:rPr>
              <w:t>4</w:t>
            </w:r>
            <w:r w:rsidR="00F069B8">
              <w:rPr>
                <w:noProof/>
                <w:webHidden/>
              </w:rPr>
              <w:fldChar w:fldCharType="end"/>
            </w:r>
          </w:hyperlink>
        </w:p>
        <w:p w14:paraId="653CEE3C" w14:textId="65892EE7" w:rsidR="00F069B8" w:rsidRDefault="00EB6F53">
          <w:pPr>
            <w:pStyle w:val="TOC1"/>
            <w:rPr>
              <w:rFonts w:asciiTheme="minorHAnsi" w:eastAsiaTheme="minorEastAsia" w:hAnsiTheme="minorHAnsi" w:cstheme="minorBidi"/>
              <w:noProof/>
              <w:kern w:val="2"/>
              <w:sz w:val="24"/>
              <w:szCs w:val="24"/>
              <w14:ligatures w14:val="standardContextual"/>
            </w:rPr>
          </w:pPr>
          <w:hyperlink w:anchor="_Toc176355382" w:history="1">
            <w:r w:rsidR="00F069B8" w:rsidRPr="009C3D98">
              <w:rPr>
                <w:rStyle w:val="Hyperlink"/>
                <w:rFonts w:cs="Arial"/>
                <w:noProof/>
              </w:rPr>
              <w:t>Compliance Requirement Matrix</w:t>
            </w:r>
            <w:r w:rsidR="00F069B8">
              <w:rPr>
                <w:noProof/>
                <w:webHidden/>
              </w:rPr>
              <w:tab/>
            </w:r>
            <w:r w:rsidR="00F069B8">
              <w:rPr>
                <w:noProof/>
                <w:webHidden/>
              </w:rPr>
              <w:fldChar w:fldCharType="begin"/>
            </w:r>
            <w:r w:rsidR="00F069B8">
              <w:rPr>
                <w:noProof/>
                <w:webHidden/>
              </w:rPr>
              <w:instrText xml:space="preserve"> PAGEREF _Toc176355382 \h </w:instrText>
            </w:r>
            <w:r w:rsidR="00F069B8">
              <w:rPr>
                <w:noProof/>
                <w:webHidden/>
              </w:rPr>
            </w:r>
            <w:r w:rsidR="00F069B8">
              <w:rPr>
                <w:noProof/>
                <w:webHidden/>
              </w:rPr>
              <w:fldChar w:fldCharType="separate"/>
            </w:r>
            <w:r>
              <w:rPr>
                <w:noProof/>
                <w:webHidden/>
              </w:rPr>
              <w:t>7</w:t>
            </w:r>
            <w:r w:rsidR="00F069B8">
              <w:rPr>
                <w:noProof/>
                <w:webHidden/>
              </w:rPr>
              <w:fldChar w:fldCharType="end"/>
            </w:r>
          </w:hyperlink>
        </w:p>
        <w:p w14:paraId="6D8C7319" w14:textId="579B4BF7" w:rsidR="00F069B8" w:rsidRDefault="00EB6F53">
          <w:pPr>
            <w:pStyle w:val="TOC1"/>
            <w:rPr>
              <w:rFonts w:asciiTheme="minorHAnsi" w:eastAsiaTheme="minorEastAsia" w:hAnsiTheme="minorHAnsi" w:cstheme="minorBidi"/>
              <w:noProof/>
              <w:kern w:val="2"/>
              <w:sz w:val="24"/>
              <w:szCs w:val="24"/>
              <w14:ligatures w14:val="standardContextual"/>
            </w:rPr>
          </w:pPr>
          <w:hyperlink w:anchor="_Toc176355383" w:history="1">
            <w:r w:rsidR="00F069B8" w:rsidRPr="009C3D98">
              <w:rPr>
                <w:rStyle w:val="Hyperlink"/>
                <w:rFonts w:cs="Arial"/>
                <w:noProof/>
              </w:rPr>
              <w:t>Part I – OMB Compliance Supplement Information</w:t>
            </w:r>
            <w:r w:rsidR="00F069B8">
              <w:rPr>
                <w:noProof/>
                <w:webHidden/>
              </w:rPr>
              <w:tab/>
            </w:r>
            <w:r w:rsidR="00F069B8">
              <w:rPr>
                <w:noProof/>
                <w:webHidden/>
              </w:rPr>
              <w:fldChar w:fldCharType="begin"/>
            </w:r>
            <w:r w:rsidR="00F069B8">
              <w:rPr>
                <w:noProof/>
                <w:webHidden/>
              </w:rPr>
              <w:instrText xml:space="preserve"> PAGEREF _Toc176355383 \h </w:instrText>
            </w:r>
            <w:r w:rsidR="00F069B8">
              <w:rPr>
                <w:noProof/>
                <w:webHidden/>
              </w:rPr>
            </w:r>
            <w:r w:rsidR="00F069B8">
              <w:rPr>
                <w:noProof/>
                <w:webHidden/>
              </w:rPr>
              <w:fldChar w:fldCharType="separate"/>
            </w:r>
            <w:r>
              <w:rPr>
                <w:noProof/>
                <w:webHidden/>
              </w:rPr>
              <w:t>12</w:t>
            </w:r>
            <w:r w:rsidR="00F069B8">
              <w:rPr>
                <w:noProof/>
                <w:webHidden/>
              </w:rPr>
              <w:fldChar w:fldCharType="end"/>
            </w:r>
          </w:hyperlink>
        </w:p>
        <w:p w14:paraId="40287739" w14:textId="2639699B"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84" w:history="1">
            <w:r w:rsidR="00F069B8" w:rsidRPr="009C3D98">
              <w:rPr>
                <w:rStyle w:val="Hyperlink"/>
                <w:rFonts w:cs="Arial"/>
                <w:noProof/>
              </w:rPr>
              <w:t>I. Program Objectives</w:t>
            </w:r>
            <w:r w:rsidR="00F069B8">
              <w:rPr>
                <w:noProof/>
                <w:webHidden/>
              </w:rPr>
              <w:tab/>
            </w:r>
            <w:r w:rsidR="00F069B8">
              <w:rPr>
                <w:noProof/>
                <w:webHidden/>
              </w:rPr>
              <w:fldChar w:fldCharType="begin"/>
            </w:r>
            <w:r w:rsidR="00F069B8">
              <w:rPr>
                <w:noProof/>
                <w:webHidden/>
              </w:rPr>
              <w:instrText xml:space="preserve"> PAGEREF _Toc176355384 \h </w:instrText>
            </w:r>
            <w:r w:rsidR="00F069B8">
              <w:rPr>
                <w:noProof/>
                <w:webHidden/>
              </w:rPr>
            </w:r>
            <w:r w:rsidR="00F069B8">
              <w:rPr>
                <w:noProof/>
                <w:webHidden/>
              </w:rPr>
              <w:fldChar w:fldCharType="separate"/>
            </w:r>
            <w:r>
              <w:rPr>
                <w:noProof/>
                <w:webHidden/>
              </w:rPr>
              <w:t>12</w:t>
            </w:r>
            <w:r w:rsidR="00F069B8">
              <w:rPr>
                <w:noProof/>
                <w:webHidden/>
              </w:rPr>
              <w:fldChar w:fldCharType="end"/>
            </w:r>
          </w:hyperlink>
        </w:p>
        <w:p w14:paraId="6B72AA55" w14:textId="2FCD6F5A"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85" w:history="1">
            <w:r w:rsidR="00F069B8" w:rsidRPr="009C3D98">
              <w:rPr>
                <w:rStyle w:val="Hyperlink"/>
                <w:rFonts w:cs="Arial"/>
                <w:noProof/>
              </w:rPr>
              <w:t>II. Program Procedures</w:t>
            </w:r>
            <w:r w:rsidR="00F069B8">
              <w:rPr>
                <w:noProof/>
                <w:webHidden/>
              </w:rPr>
              <w:tab/>
            </w:r>
            <w:r w:rsidR="00F069B8">
              <w:rPr>
                <w:noProof/>
                <w:webHidden/>
              </w:rPr>
              <w:fldChar w:fldCharType="begin"/>
            </w:r>
            <w:r w:rsidR="00F069B8">
              <w:rPr>
                <w:noProof/>
                <w:webHidden/>
              </w:rPr>
              <w:instrText xml:space="preserve"> PAGEREF _Toc176355385 \h </w:instrText>
            </w:r>
            <w:r w:rsidR="00F069B8">
              <w:rPr>
                <w:noProof/>
                <w:webHidden/>
              </w:rPr>
            </w:r>
            <w:r w:rsidR="00F069B8">
              <w:rPr>
                <w:noProof/>
                <w:webHidden/>
              </w:rPr>
              <w:fldChar w:fldCharType="separate"/>
            </w:r>
            <w:r>
              <w:rPr>
                <w:noProof/>
                <w:webHidden/>
              </w:rPr>
              <w:t>12</w:t>
            </w:r>
            <w:r w:rsidR="00F069B8">
              <w:rPr>
                <w:noProof/>
                <w:webHidden/>
              </w:rPr>
              <w:fldChar w:fldCharType="end"/>
            </w:r>
          </w:hyperlink>
        </w:p>
        <w:p w14:paraId="28FD7CE9" w14:textId="05EBC7AB"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86" w:history="1">
            <w:r w:rsidR="00F069B8" w:rsidRPr="009C3D98">
              <w:rPr>
                <w:rStyle w:val="Hyperlink"/>
                <w:rFonts w:cs="Arial"/>
                <w:noProof/>
              </w:rPr>
              <w:t>III. Source of Governing Requirements</w:t>
            </w:r>
            <w:r w:rsidR="00F069B8">
              <w:rPr>
                <w:noProof/>
                <w:webHidden/>
              </w:rPr>
              <w:tab/>
            </w:r>
            <w:r w:rsidR="00F069B8">
              <w:rPr>
                <w:noProof/>
                <w:webHidden/>
              </w:rPr>
              <w:fldChar w:fldCharType="begin"/>
            </w:r>
            <w:r w:rsidR="00F069B8">
              <w:rPr>
                <w:noProof/>
                <w:webHidden/>
              </w:rPr>
              <w:instrText xml:space="preserve"> PAGEREF _Toc176355386 \h </w:instrText>
            </w:r>
            <w:r w:rsidR="00F069B8">
              <w:rPr>
                <w:noProof/>
                <w:webHidden/>
              </w:rPr>
            </w:r>
            <w:r w:rsidR="00F069B8">
              <w:rPr>
                <w:noProof/>
                <w:webHidden/>
              </w:rPr>
              <w:fldChar w:fldCharType="separate"/>
            </w:r>
            <w:r>
              <w:rPr>
                <w:noProof/>
                <w:webHidden/>
              </w:rPr>
              <w:t>13</w:t>
            </w:r>
            <w:r w:rsidR="00F069B8">
              <w:rPr>
                <w:noProof/>
                <w:webHidden/>
              </w:rPr>
              <w:fldChar w:fldCharType="end"/>
            </w:r>
          </w:hyperlink>
        </w:p>
        <w:p w14:paraId="1FADBE34" w14:textId="0B870EC4"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87" w:history="1">
            <w:r w:rsidR="00F069B8" w:rsidRPr="009C3D98">
              <w:rPr>
                <w:rStyle w:val="Hyperlink"/>
                <w:rFonts w:cs="Arial"/>
                <w:noProof/>
              </w:rPr>
              <w:t>IV. Other Information</w:t>
            </w:r>
            <w:r w:rsidR="00F069B8">
              <w:rPr>
                <w:noProof/>
                <w:webHidden/>
              </w:rPr>
              <w:tab/>
            </w:r>
            <w:r w:rsidR="00F069B8">
              <w:rPr>
                <w:noProof/>
                <w:webHidden/>
              </w:rPr>
              <w:fldChar w:fldCharType="begin"/>
            </w:r>
            <w:r w:rsidR="00F069B8">
              <w:rPr>
                <w:noProof/>
                <w:webHidden/>
              </w:rPr>
              <w:instrText xml:space="preserve"> PAGEREF _Toc176355387 \h </w:instrText>
            </w:r>
            <w:r w:rsidR="00F069B8">
              <w:rPr>
                <w:noProof/>
                <w:webHidden/>
              </w:rPr>
            </w:r>
            <w:r w:rsidR="00F069B8">
              <w:rPr>
                <w:noProof/>
                <w:webHidden/>
              </w:rPr>
              <w:fldChar w:fldCharType="separate"/>
            </w:r>
            <w:r>
              <w:rPr>
                <w:noProof/>
                <w:webHidden/>
              </w:rPr>
              <w:t>13</w:t>
            </w:r>
            <w:r w:rsidR="00F069B8">
              <w:rPr>
                <w:noProof/>
                <w:webHidden/>
              </w:rPr>
              <w:fldChar w:fldCharType="end"/>
            </w:r>
          </w:hyperlink>
        </w:p>
        <w:p w14:paraId="67669646" w14:textId="49BABE69" w:rsidR="00F069B8" w:rsidRDefault="00EB6F53">
          <w:pPr>
            <w:pStyle w:val="TOC1"/>
            <w:rPr>
              <w:rFonts w:asciiTheme="minorHAnsi" w:eastAsiaTheme="minorEastAsia" w:hAnsiTheme="minorHAnsi" w:cstheme="minorBidi"/>
              <w:noProof/>
              <w:kern w:val="2"/>
              <w:sz w:val="24"/>
              <w:szCs w:val="24"/>
              <w14:ligatures w14:val="standardContextual"/>
            </w:rPr>
          </w:pPr>
          <w:hyperlink w:anchor="_Toc176355388" w:history="1">
            <w:r w:rsidR="00F069B8" w:rsidRPr="009C3D98">
              <w:rPr>
                <w:rStyle w:val="Hyperlink"/>
                <w:rFonts w:cs="Arial"/>
                <w:noProof/>
              </w:rPr>
              <w:t>Part II – Pass through Agency and Grant Specific Information</w:t>
            </w:r>
            <w:r w:rsidR="00F069B8">
              <w:rPr>
                <w:noProof/>
                <w:webHidden/>
              </w:rPr>
              <w:tab/>
            </w:r>
            <w:r w:rsidR="00F069B8">
              <w:rPr>
                <w:noProof/>
                <w:webHidden/>
              </w:rPr>
              <w:fldChar w:fldCharType="begin"/>
            </w:r>
            <w:r w:rsidR="00F069B8">
              <w:rPr>
                <w:noProof/>
                <w:webHidden/>
              </w:rPr>
              <w:instrText xml:space="preserve"> PAGEREF _Toc176355388 \h </w:instrText>
            </w:r>
            <w:r w:rsidR="00F069B8">
              <w:rPr>
                <w:noProof/>
                <w:webHidden/>
              </w:rPr>
            </w:r>
            <w:r w:rsidR="00F069B8">
              <w:rPr>
                <w:noProof/>
                <w:webHidden/>
              </w:rPr>
              <w:fldChar w:fldCharType="separate"/>
            </w:r>
            <w:r>
              <w:rPr>
                <w:noProof/>
                <w:webHidden/>
              </w:rPr>
              <w:t>19</w:t>
            </w:r>
            <w:r w:rsidR="00F069B8">
              <w:rPr>
                <w:noProof/>
                <w:webHidden/>
              </w:rPr>
              <w:fldChar w:fldCharType="end"/>
            </w:r>
          </w:hyperlink>
        </w:p>
        <w:p w14:paraId="659FDCE9" w14:textId="3F691821"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89" w:history="1">
            <w:r w:rsidR="00F069B8" w:rsidRPr="009C3D98">
              <w:rPr>
                <w:rStyle w:val="Hyperlink"/>
                <w:rFonts w:cs="Arial"/>
                <w:noProof/>
              </w:rPr>
              <w:t>Program Overview</w:t>
            </w:r>
            <w:r w:rsidR="00F069B8">
              <w:rPr>
                <w:noProof/>
                <w:webHidden/>
              </w:rPr>
              <w:tab/>
            </w:r>
            <w:r w:rsidR="00F069B8">
              <w:rPr>
                <w:noProof/>
                <w:webHidden/>
              </w:rPr>
              <w:fldChar w:fldCharType="begin"/>
            </w:r>
            <w:r w:rsidR="00F069B8">
              <w:rPr>
                <w:noProof/>
                <w:webHidden/>
              </w:rPr>
              <w:instrText xml:space="preserve"> PAGEREF _Toc176355389 \h </w:instrText>
            </w:r>
            <w:r w:rsidR="00F069B8">
              <w:rPr>
                <w:noProof/>
                <w:webHidden/>
              </w:rPr>
            </w:r>
            <w:r w:rsidR="00F069B8">
              <w:rPr>
                <w:noProof/>
                <w:webHidden/>
              </w:rPr>
              <w:fldChar w:fldCharType="separate"/>
            </w:r>
            <w:r>
              <w:rPr>
                <w:noProof/>
                <w:webHidden/>
              </w:rPr>
              <w:t>19</w:t>
            </w:r>
            <w:r w:rsidR="00F069B8">
              <w:rPr>
                <w:noProof/>
                <w:webHidden/>
              </w:rPr>
              <w:fldChar w:fldCharType="end"/>
            </w:r>
          </w:hyperlink>
        </w:p>
        <w:p w14:paraId="40EABC8C" w14:textId="1D81C3D9"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90" w:history="1">
            <w:r w:rsidR="00F069B8" w:rsidRPr="009C3D98">
              <w:rPr>
                <w:rStyle w:val="Hyperlink"/>
                <w:rFonts w:cs="Arial"/>
                <w:noProof/>
              </w:rPr>
              <w:t>Testing Considerations</w:t>
            </w:r>
            <w:r w:rsidR="00F069B8">
              <w:rPr>
                <w:noProof/>
                <w:webHidden/>
              </w:rPr>
              <w:tab/>
            </w:r>
            <w:r w:rsidR="00F069B8">
              <w:rPr>
                <w:noProof/>
                <w:webHidden/>
              </w:rPr>
              <w:fldChar w:fldCharType="begin"/>
            </w:r>
            <w:r w:rsidR="00F069B8">
              <w:rPr>
                <w:noProof/>
                <w:webHidden/>
              </w:rPr>
              <w:instrText xml:space="preserve"> PAGEREF _Toc176355390 \h </w:instrText>
            </w:r>
            <w:r w:rsidR="00F069B8">
              <w:rPr>
                <w:noProof/>
                <w:webHidden/>
              </w:rPr>
            </w:r>
            <w:r w:rsidR="00F069B8">
              <w:rPr>
                <w:noProof/>
                <w:webHidden/>
              </w:rPr>
              <w:fldChar w:fldCharType="separate"/>
            </w:r>
            <w:r>
              <w:rPr>
                <w:noProof/>
                <w:webHidden/>
              </w:rPr>
              <w:t>19</w:t>
            </w:r>
            <w:r w:rsidR="00F069B8">
              <w:rPr>
                <w:noProof/>
                <w:webHidden/>
              </w:rPr>
              <w:fldChar w:fldCharType="end"/>
            </w:r>
          </w:hyperlink>
        </w:p>
        <w:p w14:paraId="085021E7" w14:textId="7BD906B9"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91" w:history="1">
            <w:r w:rsidR="00F069B8" w:rsidRPr="009C3D98">
              <w:rPr>
                <w:rStyle w:val="Hyperlink"/>
                <w:rFonts w:cs="Arial"/>
                <w:noProof/>
              </w:rPr>
              <w:t>Reporting</w:t>
            </w:r>
            <w:r w:rsidR="00F069B8">
              <w:rPr>
                <w:noProof/>
                <w:webHidden/>
              </w:rPr>
              <w:tab/>
            </w:r>
            <w:r w:rsidR="00F069B8">
              <w:rPr>
                <w:noProof/>
                <w:webHidden/>
              </w:rPr>
              <w:fldChar w:fldCharType="begin"/>
            </w:r>
            <w:r w:rsidR="00F069B8">
              <w:rPr>
                <w:noProof/>
                <w:webHidden/>
              </w:rPr>
              <w:instrText xml:space="preserve"> PAGEREF _Toc176355391 \h </w:instrText>
            </w:r>
            <w:r w:rsidR="00F069B8">
              <w:rPr>
                <w:noProof/>
                <w:webHidden/>
              </w:rPr>
            </w:r>
            <w:r w:rsidR="00F069B8">
              <w:rPr>
                <w:noProof/>
                <w:webHidden/>
              </w:rPr>
              <w:fldChar w:fldCharType="separate"/>
            </w:r>
            <w:r>
              <w:rPr>
                <w:noProof/>
                <w:webHidden/>
              </w:rPr>
              <w:t>19</w:t>
            </w:r>
            <w:r w:rsidR="00F069B8">
              <w:rPr>
                <w:noProof/>
                <w:webHidden/>
              </w:rPr>
              <w:fldChar w:fldCharType="end"/>
            </w:r>
          </w:hyperlink>
        </w:p>
        <w:p w14:paraId="053142A2" w14:textId="3D5C11FC" w:rsidR="00F069B8" w:rsidRDefault="00EB6F53">
          <w:pPr>
            <w:pStyle w:val="TOC1"/>
            <w:rPr>
              <w:rFonts w:asciiTheme="minorHAnsi" w:eastAsiaTheme="minorEastAsia" w:hAnsiTheme="minorHAnsi" w:cstheme="minorBidi"/>
              <w:noProof/>
              <w:kern w:val="2"/>
              <w:sz w:val="24"/>
              <w:szCs w:val="24"/>
              <w14:ligatures w14:val="standardContextual"/>
            </w:rPr>
          </w:pPr>
          <w:hyperlink w:anchor="_Toc176355392" w:history="1">
            <w:r w:rsidR="00F069B8" w:rsidRPr="009C3D98">
              <w:rPr>
                <w:rStyle w:val="Hyperlink"/>
                <w:rFonts w:cs="Arial"/>
                <w:noProof/>
              </w:rPr>
              <w:t>Part III – Applicable Compliance Requirements</w:t>
            </w:r>
            <w:r w:rsidR="00F069B8">
              <w:rPr>
                <w:noProof/>
                <w:webHidden/>
              </w:rPr>
              <w:tab/>
            </w:r>
            <w:r w:rsidR="00F069B8">
              <w:rPr>
                <w:noProof/>
                <w:webHidden/>
              </w:rPr>
              <w:fldChar w:fldCharType="begin"/>
            </w:r>
            <w:r w:rsidR="00F069B8">
              <w:rPr>
                <w:noProof/>
                <w:webHidden/>
              </w:rPr>
              <w:instrText xml:space="preserve"> PAGEREF _Toc176355392 \h </w:instrText>
            </w:r>
            <w:r w:rsidR="00F069B8">
              <w:rPr>
                <w:noProof/>
                <w:webHidden/>
              </w:rPr>
            </w:r>
            <w:r w:rsidR="00F069B8">
              <w:rPr>
                <w:noProof/>
                <w:webHidden/>
              </w:rPr>
              <w:fldChar w:fldCharType="separate"/>
            </w:r>
            <w:r>
              <w:rPr>
                <w:noProof/>
                <w:webHidden/>
              </w:rPr>
              <w:t>20</w:t>
            </w:r>
            <w:r w:rsidR="00F069B8">
              <w:rPr>
                <w:noProof/>
                <w:webHidden/>
              </w:rPr>
              <w:fldChar w:fldCharType="end"/>
            </w:r>
          </w:hyperlink>
        </w:p>
        <w:p w14:paraId="4DD5FEAB" w14:textId="0844884B" w:rsidR="00F069B8" w:rsidRDefault="00EB6F53">
          <w:pPr>
            <w:pStyle w:val="TOC2"/>
            <w:rPr>
              <w:rFonts w:asciiTheme="minorHAnsi" w:eastAsiaTheme="minorEastAsia" w:hAnsiTheme="minorHAnsi" w:cstheme="minorBidi"/>
              <w:bCs w:val="0"/>
              <w:kern w:val="2"/>
              <w:sz w:val="24"/>
              <w14:ligatures w14:val="standardContextual"/>
            </w:rPr>
          </w:pPr>
          <w:hyperlink w:anchor="_Toc176355393" w:history="1">
            <w:r w:rsidR="00F069B8" w:rsidRPr="009C3D98">
              <w:rPr>
                <w:rStyle w:val="Hyperlink"/>
              </w:rPr>
              <w:t>C. CASH MANAGEMENT</w:t>
            </w:r>
            <w:r w:rsidR="00F069B8">
              <w:rPr>
                <w:webHidden/>
              </w:rPr>
              <w:tab/>
            </w:r>
            <w:r w:rsidR="00F069B8">
              <w:rPr>
                <w:webHidden/>
              </w:rPr>
              <w:fldChar w:fldCharType="begin"/>
            </w:r>
            <w:r w:rsidR="00F069B8">
              <w:rPr>
                <w:webHidden/>
              </w:rPr>
              <w:instrText xml:space="preserve"> PAGEREF _Toc176355393 \h </w:instrText>
            </w:r>
            <w:r w:rsidR="00F069B8">
              <w:rPr>
                <w:webHidden/>
              </w:rPr>
            </w:r>
            <w:r w:rsidR="00F069B8">
              <w:rPr>
                <w:webHidden/>
              </w:rPr>
              <w:fldChar w:fldCharType="separate"/>
            </w:r>
            <w:r>
              <w:rPr>
                <w:webHidden/>
              </w:rPr>
              <w:t>20</w:t>
            </w:r>
            <w:r w:rsidR="00F069B8">
              <w:rPr>
                <w:webHidden/>
              </w:rPr>
              <w:fldChar w:fldCharType="end"/>
            </w:r>
          </w:hyperlink>
        </w:p>
        <w:p w14:paraId="2597BA58" w14:textId="1D22F172"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94"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_Toc176355394 \h </w:instrText>
            </w:r>
            <w:r w:rsidR="00F069B8">
              <w:rPr>
                <w:noProof/>
                <w:webHidden/>
              </w:rPr>
            </w:r>
            <w:r w:rsidR="00F069B8">
              <w:rPr>
                <w:noProof/>
                <w:webHidden/>
              </w:rPr>
              <w:fldChar w:fldCharType="separate"/>
            </w:r>
            <w:r>
              <w:rPr>
                <w:noProof/>
                <w:webHidden/>
              </w:rPr>
              <w:t>20</w:t>
            </w:r>
            <w:r w:rsidR="00F069B8">
              <w:rPr>
                <w:noProof/>
                <w:webHidden/>
              </w:rPr>
              <w:fldChar w:fldCharType="end"/>
            </w:r>
          </w:hyperlink>
        </w:p>
        <w:p w14:paraId="48D47BBD" w14:textId="7B35F9B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95"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_Toc176355395 \h </w:instrText>
            </w:r>
            <w:r w:rsidR="00F069B8">
              <w:rPr>
                <w:noProof/>
                <w:webHidden/>
              </w:rPr>
            </w:r>
            <w:r w:rsidR="00F069B8">
              <w:rPr>
                <w:noProof/>
                <w:webHidden/>
              </w:rPr>
              <w:fldChar w:fldCharType="separate"/>
            </w:r>
            <w:r>
              <w:rPr>
                <w:noProof/>
                <w:webHidden/>
              </w:rPr>
              <w:t>23</w:t>
            </w:r>
            <w:r w:rsidR="00F069B8">
              <w:rPr>
                <w:noProof/>
                <w:webHidden/>
              </w:rPr>
              <w:fldChar w:fldCharType="end"/>
            </w:r>
          </w:hyperlink>
        </w:p>
        <w:p w14:paraId="1A9BDD3A" w14:textId="36C6E383"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96"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_Toc176355396 \h </w:instrText>
            </w:r>
            <w:r w:rsidR="00F069B8">
              <w:rPr>
                <w:noProof/>
                <w:webHidden/>
              </w:rPr>
            </w:r>
            <w:r w:rsidR="00F069B8">
              <w:rPr>
                <w:noProof/>
                <w:webHidden/>
              </w:rPr>
              <w:fldChar w:fldCharType="separate"/>
            </w:r>
            <w:r>
              <w:rPr>
                <w:noProof/>
                <w:webHidden/>
              </w:rPr>
              <w:t>23</w:t>
            </w:r>
            <w:r w:rsidR="00F069B8">
              <w:rPr>
                <w:noProof/>
                <w:webHidden/>
              </w:rPr>
              <w:fldChar w:fldCharType="end"/>
            </w:r>
          </w:hyperlink>
        </w:p>
        <w:p w14:paraId="6882AC32" w14:textId="011D2C90"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97"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_Toc176355397 \h </w:instrText>
            </w:r>
            <w:r w:rsidR="00F069B8">
              <w:rPr>
                <w:noProof/>
                <w:webHidden/>
              </w:rPr>
            </w:r>
            <w:r w:rsidR="00F069B8">
              <w:rPr>
                <w:noProof/>
                <w:webHidden/>
              </w:rPr>
              <w:fldChar w:fldCharType="separate"/>
            </w:r>
            <w:r>
              <w:rPr>
                <w:noProof/>
                <w:webHidden/>
              </w:rPr>
              <w:t>25</w:t>
            </w:r>
            <w:r w:rsidR="00F069B8">
              <w:rPr>
                <w:noProof/>
                <w:webHidden/>
              </w:rPr>
              <w:fldChar w:fldCharType="end"/>
            </w:r>
          </w:hyperlink>
        </w:p>
        <w:p w14:paraId="7814E7DB" w14:textId="29FAEE06"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398"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_Toc176355398 \h </w:instrText>
            </w:r>
            <w:r w:rsidR="00F069B8">
              <w:rPr>
                <w:noProof/>
                <w:webHidden/>
              </w:rPr>
            </w:r>
            <w:r w:rsidR="00F069B8">
              <w:rPr>
                <w:noProof/>
                <w:webHidden/>
              </w:rPr>
              <w:fldChar w:fldCharType="separate"/>
            </w:r>
            <w:r>
              <w:rPr>
                <w:noProof/>
                <w:webHidden/>
              </w:rPr>
              <w:t>26</w:t>
            </w:r>
            <w:r w:rsidR="00F069B8">
              <w:rPr>
                <w:noProof/>
                <w:webHidden/>
              </w:rPr>
              <w:fldChar w:fldCharType="end"/>
            </w:r>
          </w:hyperlink>
        </w:p>
        <w:p w14:paraId="550FB9C3" w14:textId="234F3B5C" w:rsidR="00F069B8" w:rsidRDefault="00EB6F53">
          <w:pPr>
            <w:pStyle w:val="TOC2"/>
            <w:rPr>
              <w:rFonts w:asciiTheme="minorHAnsi" w:eastAsiaTheme="minorEastAsia" w:hAnsiTheme="minorHAnsi" w:cstheme="minorBidi"/>
              <w:bCs w:val="0"/>
              <w:kern w:val="2"/>
              <w:sz w:val="24"/>
              <w14:ligatures w14:val="standardContextual"/>
            </w:rPr>
          </w:pPr>
          <w:hyperlink w:anchor="_Toc176355399" w:history="1">
            <w:r w:rsidR="00F069B8" w:rsidRPr="009C3D98">
              <w:rPr>
                <w:rStyle w:val="Hyperlink"/>
              </w:rPr>
              <w:t>E.  ELIGIBILITY</w:t>
            </w:r>
            <w:r w:rsidR="00F069B8">
              <w:rPr>
                <w:webHidden/>
              </w:rPr>
              <w:tab/>
            </w:r>
            <w:r w:rsidR="00F069B8">
              <w:rPr>
                <w:webHidden/>
              </w:rPr>
              <w:fldChar w:fldCharType="begin"/>
            </w:r>
            <w:r w:rsidR="00F069B8">
              <w:rPr>
                <w:webHidden/>
              </w:rPr>
              <w:instrText xml:space="preserve"> PAGEREF _Toc176355399 \h </w:instrText>
            </w:r>
            <w:r w:rsidR="00F069B8">
              <w:rPr>
                <w:webHidden/>
              </w:rPr>
            </w:r>
            <w:r w:rsidR="00F069B8">
              <w:rPr>
                <w:webHidden/>
              </w:rPr>
              <w:fldChar w:fldCharType="separate"/>
            </w:r>
            <w:r>
              <w:rPr>
                <w:webHidden/>
              </w:rPr>
              <w:t>28</w:t>
            </w:r>
            <w:r w:rsidR="00F069B8">
              <w:rPr>
                <w:webHidden/>
              </w:rPr>
              <w:fldChar w:fldCharType="end"/>
            </w:r>
          </w:hyperlink>
        </w:p>
        <w:p w14:paraId="57565BC2" w14:textId="69091F6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0"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_Toc176355400 \h </w:instrText>
            </w:r>
            <w:r w:rsidR="00F069B8">
              <w:rPr>
                <w:noProof/>
                <w:webHidden/>
              </w:rPr>
            </w:r>
            <w:r w:rsidR="00F069B8">
              <w:rPr>
                <w:noProof/>
                <w:webHidden/>
              </w:rPr>
              <w:fldChar w:fldCharType="separate"/>
            </w:r>
            <w:r>
              <w:rPr>
                <w:noProof/>
                <w:webHidden/>
              </w:rPr>
              <w:t>28</w:t>
            </w:r>
            <w:r w:rsidR="00F069B8">
              <w:rPr>
                <w:noProof/>
                <w:webHidden/>
              </w:rPr>
              <w:fldChar w:fldCharType="end"/>
            </w:r>
          </w:hyperlink>
        </w:p>
        <w:p w14:paraId="270B0D3A" w14:textId="499C900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1"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_Toc176355401 \h </w:instrText>
            </w:r>
            <w:r w:rsidR="00F069B8">
              <w:rPr>
                <w:noProof/>
                <w:webHidden/>
              </w:rPr>
            </w:r>
            <w:r w:rsidR="00F069B8">
              <w:rPr>
                <w:noProof/>
                <w:webHidden/>
              </w:rPr>
              <w:fldChar w:fldCharType="separate"/>
            </w:r>
            <w:r>
              <w:rPr>
                <w:noProof/>
                <w:webHidden/>
              </w:rPr>
              <w:t>35</w:t>
            </w:r>
            <w:r w:rsidR="00F069B8">
              <w:rPr>
                <w:noProof/>
                <w:webHidden/>
              </w:rPr>
              <w:fldChar w:fldCharType="end"/>
            </w:r>
          </w:hyperlink>
        </w:p>
        <w:p w14:paraId="6E072530" w14:textId="4CDCBBBD"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2"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_Toc176355402 \h </w:instrText>
            </w:r>
            <w:r w:rsidR="00F069B8">
              <w:rPr>
                <w:noProof/>
                <w:webHidden/>
              </w:rPr>
            </w:r>
            <w:r w:rsidR="00F069B8">
              <w:rPr>
                <w:noProof/>
                <w:webHidden/>
              </w:rPr>
              <w:fldChar w:fldCharType="separate"/>
            </w:r>
            <w:r>
              <w:rPr>
                <w:noProof/>
                <w:webHidden/>
              </w:rPr>
              <w:t>35</w:t>
            </w:r>
            <w:r w:rsidR="00F069B8">
              <w:rPr>
                <w:noProof/>
                <w:webHidden/>
              </w:rPr>
              <w:fldChar w:fldCharType="end"/>
            </w:r>
          </w:hyperlink>
        </w:p>
        <w:p w14:paraId="232A8858" w14:textId="0BC342E0"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3"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_Toc176355403 \h </w:instrText>
            </w:r>
            <w:r w:rsidR="00F069B8">
              <w:rPr>
                <w:noProof/>
                <w:webHidden/>
              </w:rPr>
            </w:r>
            <w:r w:rsidR="00F069B8">
              <w:rPr>
                <w:noProof/>
                <w:webHidden/>
              </w:rPr>
              <w:fldChar w:fldCharType="separate"/>
            </w:r>
            <w:r>
              <w:rPr>
                <w:noProof/>
                <w:webHidden/>
              </w:rPr>
              <w:t>36</w:t>
            </w:r>
            <w:r w:rsidR="00F069B8">
              <w:rPr>
                <w:noProof/>
                <w:webHidden/>
              </w:rPr>
              <w:fldChar w:fldCharType="end"/>
            </w:r>
          </w:hyperlink>
        </w:p>
        <w:p w14:paraId="31BD4CA5" w14:textId="26AE9958"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4"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_Toc176355404 \h </w:instrText>
            </w:r>
            <w:r w:rsidR="00F069B8">
              <w:rPr>
                <w:noProof/>
                <w:webHidden/>
              </w:rPr>
            </w:r>
            <w:r w:rsidR="00F069B8">
              <w:rPr>
                <w:noProof/>
                <w:webHidden/>
              </w:rPr>
              <w:fldChar w:fldCharType="separate"/>
            </w:r>
            <w:r>
              <w:rPr>
                <w:noProof/>
                <w:webHidden/>
              </w:rPr>
              <w:t>38</w:t>
            </w:r>
            <w:r w:rsidR="00F069B8">
              <w:rPr>
                <w:noProof/>
                <w:webHidden/>
              </w:rPr>
              <w:fldChar w:fldCharType="end"/>
            </w:r>
          </w:hyperlink>
        </w:p>
        <w:p w14:paraId="46322404" w14:textId="1A2ED0D6" w:rsidR="00F069B8" w:rsidRDefault="00EB6F53">
          <w:pPr>
            <w:pStyle w:val="TOC2"/>
            <w:rPr>
              <w:rFonts w:asciiTheme="minorHAnsi" w:eastAsiaTheme="minorEastAsia" w:hAnsiTheme="minorHAnsi" w:cstheme="minorBidi"/>
              <w:bCs w:val="0"/>
              <w:kern w:val="2"/>
              <w:sz w:val="24"/>
              <w14:ligatures w14:val="standardContextual"/>
            </w:rPr>
          </w:pPr>
          <w:hyperlink w:anchor="_Toc176355405" w:history="1">
            <w:r w:rsidR="00F069B8" w:rsidRPr="009C3D98">
              <w:rPr>
                <w:rStyle w:val="Hyperlink"/>
              </w:rPr>
              <w:t>L.  REPORTING</w:t>
            </w:r>
            <w:r w:rsidR="00F069B8">
              <w:rPr>
                <w:webHidden/>
              </w:rPr>
              <w:tab/>
            </w:r>
            <w:r w:rsidR="00F069B8">
              <w:rPr>
                <w:webHidden/>
              </w:rPr>
              <w:fldChar w:fldCharType="begin"/>
            </w:r>
            <w:r w:rsidR="00F069B8">
              <w:rPr>
                <w:webHidden/>
              </w:rPr>
              <w:instrText xml:space="preserve"> PAGEREF _Toc176355405 \h </w:instrText>
            </w:r>
            <w:r w:rsidR="00F069B8">
              <w:rPr>
                <w:webHidden/>
              </w:rPr>
            </w:r>
            <w:r w:rsidR="00F069B8">
              <w:rPr>
                <w:webHidden/>
              </w:rPr>
              <w:fldChar w:fldCharType="separate"/>
            </w:r>
            <w:r>
              <w:rPr>
                <w:webHidden/>
              </w:rPr>
              <w:t>39</w:t>
            </w:r>
            <w:r w:rsidR="00F069B8">
              <w:rPr>
                <w:webHidden/>
              </w:rPr>
              <w:fldChar w:fldCharType="end"/>
            </w:r>
          </w:hyperlink>
        </w:p>
        <w:p w14:paraId="0C9C91A3" w14:textId="33F7CD62"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6"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_Toc176355406 \h </w:instrText>
            </w:r>
            <w:r w:rsidR="00F069B8">
              <w:rPr>
                <w:noProof/>
                <w:webHidden/>
              </w:rPr>
            </w:r>
            <w:r w:rsidR="00F069B8">
              <w:rPr>
                <w:noProof/>
                <w:webHidden/>
              </w:rPr>
              <w:fldChar w:fldCharType="separate"/>
            </w:r>
            <w:r>
              <w:rPr>
                <w:noProof/>
                <w:webHidden/>
              </w:rPr>
              <w:t>39</w:t>
            </w:r>
            <w:r w:rsidR="00F069B8">
              <w:rPr>
                <w:noProof/>
                <w:webHidden/>
              </w:rPr>
              <w:fldChar w:fldCharType="end"/>
            </w:r>
          </w:hyperlink>
        </w:p>
        <w:p w14:paraId="6D8BC812" w14:textId="3AE6C127"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7"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_Toc176355407 \h </w:instrText>
            </w:r>
            <w:r w:rsidR="00F069B8">
              <w:rPr>
                <w:noProof/>
                <w:webHidden/>
              </w:rPr>
            </w:r>
            <w:r w:rsidR="00F069B8">
              <w:rPr>
                <w:noProof/>
                <w:webHidden/>
              </w:rPr>
              <w:fldChar w:fldCharType="separate"/>
            </w:r>
            <w:r>
              <w:rPr>
                <w:noProof/>
                <w:webHidden/>
              </w:rPr>
              <w:t>42</w:t>
            </w:r>
            <w:r w:rsidR="00F069B8">
              <w:rPr>
                <w:noProof/>
                <w:webHidden/>
              </w:rPr>
              <w:fldChar w:fldCharType="end"/>
            </w:r>
          </w:hyperlink>
        </w:p>
        <w:p w14:paraId="26873AAD" w14:textId="53008670"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8"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_Toc176355408 \h </w:instrText>
            </w:r>
            <w:r w:rsidR="00F069B8">
              <w:rPr>
                <w:noProof/>
                <w:webHidden/>
              </w:rPr>
            </w:r>
            <w:r w:rsidR="00F069B8">
              <w:rPr>
                <w:noProof/>
                <w:webHidden/>
              </w:rPr>
              <w:fldChar w:fldCharType="separate"/>
            </w:r>
            <w:r>
              <w:rPr>
                <w:noProof/>
                <w:webHidden/>
              </w:rPr>
              <w:t>42</w:t>
            </w:r>
            <w:r w:rsidR="00F069B8">
              <w:rPr>
                <w:noProof/>
                <w:webHidden/>
              </w:rPr>
              <w:fldChar w:fldCharType="end"/>
            </w:r>
          </w:hyperlink>
        </w:p>
        <w:p w14:paraId="2CE2B420" w14:textId="364F19A6"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09"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_Toc176355409 \h </w:instrText>
            </w:r>
            <w:r w:rsidR="00F069B8">
              <w:rPr>
                <w:noProof/>
                <w:webHidden/>
              </w:rPr>
            </w:r>
            <w:r w:rsidR="00F069B8">
              <w:rPr>
                <w:noProof/>
                <w:webHidden/>
              </w:rPr>
              <w:fldChar w:fldCharType="separate"/>
            </w:r>
            <w:r>
              <w:rPr>
                <w:noProof/>
                <w:webHidden/>
              </w:rPr>
              <w:t>43</w:t>
            </w:r>
            <w:r w:rsidR="00F069B8">
              <w:rPr>
                <w:noProof/>
                <w:webHidden/>
              </w:rPr>
              <w:fldChar w:fldCharType="end"/>
            </w:r>
          </w:hyperlink>
        </w:p>
        <w:p w14:paraId="1024E8B9" w14:textId="7DC83352"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0"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_Toc176355410 \h </w:instrText>
            </w:r>
            <w:r w:rsidR="00F069B8">
              <w:rPr>
                <w:noProof/>
                <w:webHidden/>
              </w:rPr>
            </w:r>
            <w:r w:rsidR="00F069B8">
              <w:rPr>
                <w:noProof/>
                <w:webHidden/>
              </w:rPr>
              <w:fldChar w:fldCharType="separate"/>
            </w:r>
            <w:r>
              <w:rPr>
                <w:noProof/>
                <w:webHidden/>
              </w:rPr>
              <w:t>45</w:t>
            </w:r>
            <w:r w:rsidR="00F069B8">
              <w:rPr>
                <w:noProof/>
                <w:webHidden/>
              </w:rPr>
              <w:fldChar w:fldCharType="end"/>
            </w:r>
          </w:hyperlink>
        </w:p>
        <w:p w14:paraId="7300C46A" w14:textId="0A13D5EA" w:rsidR="00F069B8" w:rsidRDefault="00EB6F53">
          <w:pPr>
            <w:pStyle w:val="TOC2"/>
            <w:rPr>
              <w:rFonts w:asciiTheme="minorHAnsi" w:eastAsiaTheme="minorEastAsia" w:hAnsiTheme="minorHAnsi" w:cstheme="minorBidi"/>
              <w:bCs w:val="0"/>
              <w:kern w:val="2"/>
              <w:sz w:val="24"/>
              <w14:ligatures w14:val="standardContextual"/>
            </w:rPr>
          </w:pPr>
          <w:hyperlink w:anchor="_Toc176355411" w:history="1">
            <w:r w:rsidR="00F069B8" w:rsidRPr="009C3D98">
              <w:rPr>
                <w:rStyle w:val="Hyperlink"/>
              </w:rPr>
              <w:t>N1.  SPECIAL TESTS AND PROVISIONS – Institutional Eligibility</w:t>
            </w:r>
            <w:r w:rsidR="00F069B8">
              <w:rPr>
                <w:webHidden/>
              </w:rPr>
              <w:tab/>
            </w:r>
            <w:r w:rsidR="00F069B8">
              <w:rPr>
                <w:webHidden/>
              </w:rPr>
              <w:fldChar w:fldCharType="begin"/>
            </w:r>
            <w:r w:rsidR="00F069B8">
              <w:rPr>
                <w:webHidden/>
              </w:rPr>
              <w:instrText xml:space="preserve"> PAGEREF _Toc176355411 \h </w:instrText>
            </w:r>
            <w:r w:rsidR="00F069B8">
              <w:rPr>
                <w:webHidden/>
              </w:rPr>
            </w:r>
            <w:r w:rsidR="00F069B8">
              <w:rPr>
                <w:webHidden/>
              </w:rPr>
              <w:fldChar w:fldCharType="separate"/>
            </w:r>
            <w:r>
              <w:rPr>
                <w:webHidden/>
              </w:rPr>
              <w:t>46</w:t>
            </w:r>
            <w:r w:rsidR="00F069B8">
              <w:rPr>
                <w:webHidden/>
              </w:rPr>
              <w:fldChar w:fldCharType="end"/>
            </w:r>
          </w:hyperlink>
        </w:p>
        <w:p w14:paraId="7F7C1416" w14:textId="1FEC852A"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2"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_Toc176355412 \h </w:instrText>
            </w:r>
            <w:r w:rsidR="00F069B8">
              <w:rPr>
                <w:noProof/>
                <w:webHidden/>
              </w:rPr>
            </w:r>
            <w:r w:rsidR="00F069B8">
              <w:rPr>
                <w:noProof/>
                <w:webHidden/>
              </w:rPr>
              <w:fldChar w:fldCharType="separate"/>
            </w:r>
            <w:r>
              <w:rPr>
                <w:noProof/>
                <w:webHidden/>
              </w:rPr>
              <w:t>46</w:t>
            </w:r>
            <w:r w:rsidR="00F069B8">
              <w:rPr>
                <w:noProof/>
                <w:webHidden/>
              </w:rPr>
              <w:fldChar w:fldCharType="end"/>
            </w:r>
          </w:hyperlink>
        </w:p>
        <w:p w14:paraId="561B7A50" w14:textId="1474B66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3"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_Toc176355413 \h </w:instrText>
            </w:r>
            <w:r w:rsidR="00F069B8">
              <w:rPr>
                <w:noProof/>
                <w:webHidden/>
              </w:rPr>
            </w:r>
            <w:r w:rsidR="00F069B8">
              <w:rPr>
                <w:noProof/>
                <w:webHidden/>
              </w:rPr>
              <w:fldChar w:fldCharType="separate"/>
            </w:r>
            <w:r>
              <w:rPr>
                <w:noProof/>
                <w:webHidden/>
              </w:rPr>
              <w:t>50</w:t>
            </w:r>
            <w:r w:rsidR="00F069B8">
              <w:rPr>
                <w:noProof/>
                <w:webHidden/>
              </w:rPr>
              <w:fldChar w:fldCharType="end"/>
            </w:r>
          </w:hyperlink>
        </w:p>
        <w:p w14:paraId="773045AC" w14:textId="37E8E64A"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4"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_Toc176355414 \h </w:instrText>
            </w:r>
            <w:r w:rsidR="00F069B8">
              <w:rPr>
                <w:noProof/>
                <w:webHidden/>
              </w:rPr>
            </w:r>
            <w:r w:rsidR="00F069B8">
              <w:rPr>
                <w:noProof/>
                <w:webHidden/>
              </w:rPr>
              <w:fldChar w:fldCharType="separate"/>
            </w:r>
            <w:r>
              <w:rPr>
                <w:noProof/>
                <w:webHidden/>
              </w:rPr>
              <w:t>50</w:t>
            </w:r>
            <w:r w:rsidR="00F069B8">
              <w:rPr>
                <w:noProof/>
                <w:webHidden/>
              </w:rPr>
              <w:fldChar w:fldCharType="end"/>
            </w:r>
          </w:hyperlink>
        </w:p>
        <w:p w14:paraId="11EDC5EF" w14:textId="320FA471"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5"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_Toc176355415 \h </w:instrText>
            </w:r>
            <w:r w:rsidR="00F069B8">
              <w:rPr>
                <w:noProof/>
                <w:webHidden/>
              </w:rPr>
            </w:r>
            <w:r w:rsidR="00F069B8">
              <w:rPr>
                <w:noProof/>
                <w:webHidden/>
              </w:rPr>
              <w:fldChar w:fldCharType="separate"/>
            </w:r>
            <w:r>
              <w:rPr>
                <w:noProof/>
                <w:webHidden/>
              </w:rPr>
              <w:t>51</w:t>
            </w:r>
            <w:r w:rsidR="00F069B8">
              <w:rPr>
                <w:noProof/>
                <w:webHidden/>
              </w:rPr>
              <w:fldChar w:fldCharType="end"/>
            </w:r>
          </w:hyperlink>
        </w:p>
        <w:p w14:paraId="69CF0B68" w14:textId="489DB82A"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6"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_Toc176355416 \h </w:instrText>
            </w:r>
            <w:r w:rsidR="00F069B8">
              <w:rPr>
                <w:noProof/>
                <w:webHidden/>
              </w:rPr>
            </w:r>
            <w:r w:rsidR="00F069B8">
              <w:rPr>
                <w:noProof/>
                <w:webHidden/>
              </w:rPr>
              <w:fldChar w:fldCharType="separate"/>
            </w:r>
            <w:r>
              <w:rPr>
                <w:noProof/>
                <w:webHidden/>
              </w:rPr>
              <w:t>52</w:t>
            </w:r>
            <w:r w:rsidR="00F069B8">
              <w:rPr>
                <w:noProof/>
                <w:webHidden/>
              </w:rPr>
              <w:fldChar w:fldCharType="end"/>
            </w:r>
          </w:hyperlink>
        </w:p>
        <w:p w14:paraId="46F58DB7" w14:textId="06BF98B9" w:rsidR="00F069B8" w:rsidRDefault="00EB6F53">
          <w:pPr>
            <w:pStyle w:val="TOC2"/>
            <w:rPr>
              <w:rFonts w:asciiTheme="minorHAnsi" w:eastAsiaTheme="minorEastAsia" w:hAnsiTheme="minorHAnsi" w:cstheme="minorBidi"/>
              <w:bCs w:val="0"/>
              <w:kern w:val="2"/>
              <w:sz w:val="24"/>
              <w14:ligatures w14:val="standardContextual"/>
            </w:rPr>
          </w:pPr>
          <w:hyperlink w:anchor="_Toc176355417" w:history="1">
            <w:r w:rsidR="00F069B8" w:rsidRPr="009C3D98">
              <w:rPr>
                <w:rStyle w:val="Hyperlink"/>
              </w:rPr>
              <w:t>N2.  SPECIAL TESTS AND PROVISIONS - Verification</w:t>
            </w:r>
            <w:r w:rsidR="00F069B8">
              <w:rPr>
                <w:webHidden/>
              </w:rPr>
              <w:tab/>
            </w:r>
            <w:r w:rsidR="00F069B8">
              <w:rPr>
                <w:webHidden/>
              </w:rPr>
              <w:fldChar w:fldCharType="begin"/>
            </w:r>
            <w:r w:rsidR="00F069B8">
              <w:rPr>
                <w:webHidden/>
              </w:rPr>
              <w:instrText xml:space="preserve"> PAGEREF _Toc176355417 \h </w:instrText>
            </w:r>
            <w:r w:rsidR="00F069B8">
              <w:rPr>
                <w:webHidden/>
              </w:rPr>
            </w:r>
            <w:r w:rsidR="00F069B8">
              <w:rPr>
                <w:webHidden/>
              </w:rPr>
              <w:fldChar w:fldCharType="separate"/>
            </w:r>
            <w:r>
              <w:rPr>
                <w:webHidden/>
              </w:rPr>
              <w:t>53</w:t>
            </w:r>
            <w:r w:rsidR="00F069B8">
              <w:rPr>
                <w:webHidden/>
              </w:rPr>
              <w:fldChar w:fldCharType="end"/>
            </w:r>
          </w:hyperlink>
        </w:p>
        <w:p w14:paraId="554A85C3" w14:textId="5C2C5304"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8"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_Toc176355418 \h </w:instrText>
            </w:r>
            <w:r w:rsidR="00F069B8">
              <w:rPr>
                <w:noProof/>
                <w:webHidden/>
              </w:rPr>
            </w:r>
            <w:r w:rsidR="00F069B8">
              <w:rPr>
                <w:noProof/>
                <w:webHidden/>
              </w:rPr>
              <w:fldChar w:fldCharType="separate"/>
            </w:r>
            <w:r>
              <w:rPr>
                <w:noProof/>
                <w:webHidden/>
              </w:rPr>
              <w:t>53</w:t>
            </w:r>
            <w:r w:rsidR="00F069B8">
              <w:rPr>
                <w:noProof/>
                <w:webHidden/>
              </w:rPr>
              <w:fldChar w:fldCharType="end"/>
            </w:r>
          </w:hyperlink>
        </w:p>
        <w:p w14:paraId="26FA7357" w14:textId="57B95597"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19"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_Toc176355419 \h </w:instrText>
            </w:r>
            <w:r w:rsidR="00F069B8">
              <w:rPr>
                <w:noProof/>
                <w:webHidden/>
              </w:rPr>
            </w:r>
            <w:r w:rsidR="00F069B8">
              <w:rPr>
                <w:noProof/>
                <w:webHidden/>
              </w:rPr>
              <w:fldChar w:fldCharType="separate"/>
            </w:r>
            <w:r>
              <w:rPr>
                <w:noProof/>
                <w:webHidden/>
              </w:rPr>
              <w:t>53</w:t>
            </w:r>
            <w:r w:rsidR="00F069B8">
              <w:rPr>
                <w:noProof/>
                <w:webHidden/>
              </w:rPr>
              <w:fldChar w:fldCharType="end"/>
            </w:r>
          </w:hyperlink>
        </w:p>
        <w:p w14:paraId="7127A0DA" w14:textId="57992783"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0"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_Toc176355420 \h </w:instrText>
            </w:r>
            <w:r w:rsidR="00F069B8">
              <w:rPr>
                <w:noProof/>
                <w:webHidden/>
              </w:rPr>
            </w:r>
            <w:r w:rsidR="00F069B8">
              <w:rPr>
                <w:noProof/>
                <w:webHidden/>
              </w:rPr>
              <w:fldChar w:fldCharType="separate"/>
            </w:r>
            <w:r>
              <w:rPr>
                <w:noProof/>
                <w:webHidden/>
              </w:rPr>
              <w:t>54</w:t>
            </w:r>
            <w:r w:rsidR="00F069B8">
              <w:rPr>
                <w:noProof/>
                <w:webHidden/>
              </w:rPr>
              <w:fldChar w:fldCharType="end"/>
            </w:r>
          </w:hyperlink>
        </w:p>
        <w:p w14:paraId="1852B9A4" w14:textId="41599457"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1"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_Toc176355421 \h </w:instrText>
            </w:r>
            <w:r w:rsidR="00F069B8">
              <w:rPr>
                <w:noProof/>
                <w:webHidden/>
              </w:rPr>
            </w:r>
            <w:r w:rsidR="00F069B8">
              <w:rPr>
                <w:noProof/>
                <w:webHidden/>
              </w:rPr>
              <w:fldChar w:fldCharType="separate"/>
            </w:r>
            <w:r>
              <w:rPr>
                <w:noProof/>
                <w:webHidden/>
              </w:rPr>
              <w:t>54</w:t>
            </w:r>
            <w:r w:rsidR="00F069B8">
              <w:rPr>
                <w:noProof/>
                <w:webHidden/>
              </w:rPr>
              <w:fldChar w:fldCharType="end"/>
            </w:r>
          </w:hyperlink>
        </w:p>
        <w:p w14:paraId="38A89887" w14:textId="45D698E6"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2"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_Toc176355422 \h </w:instrText>
            </w:r>
            <w:r w:rsidR="00F069B8">
              <w:rPr>
                <w:noProof/>
                <w:webHidden/>
              </w:rPr>
            </w:r>
            <w:r w:rsidR="00F069B8">
              <w:rPr>
                <w:noProof/>
                <w:webHidden/>
              </w:rPr>
              <w:fldChar w:fldCharType="separate"/>
            </w:r>
            <w:r>
              <w:rPr>
                <w:noProof/>
                <w:webHidden/>
              </w:rPr>
              <w:t>55</w:t>
            </w:r>
            <w:r w:rsidR="00F069B8">
              <w:rPr>
                <w:noProof/>
                <w:webHidden/>
              </w:rPr>
              <w:fldChar w:fldCharType="end"/>
            </w:r>
          </w:hyperlink>
        </w:p>
        <w:p w14:paraId="36F0459D" w14:textId="143C62D6" w:rsidR="00F069B8" w:rsidRDefault="00EB6F53">
          <w:pPr>
            <w:pStyle w:val="TOC2"/>
            <w:rPr>
              <w:rFonts w:asciiTheme="minorHAnsi" w:eastAsiaTheme="minorEastAsia" w:hAnsiTheme="minorHAnsi" w:cstheme="minorBidi"/>
              <w:bCs w:val="0"/>
              <w:kern w:val="2"/>
              <w:sz w:val="24"/>
              <w14:ligatures w14:val="standardContextual"/>
            </w:rPr>
          </w:pPr>
          <w:hyperlink w:anchor="_Toc176355423" w:history="1">
            <w:r w:rsidR="00F069B8" w:rsidRPr="009C3D98">
              <w:rPr>
                <w:rStyle w:val="Hyperlink"/>
              </w:rPr>
              <w:t>N3.  SPECIAL TESTS AND PROVISIONS – Disbursements to or on Behalf of Students</w:t>
            </w:r>
            <w:r w:rsidR="00F069B8">
              <w:rPr>
                <w:webHidden/>
              </w:rPr>
              <w:tab/>
            </w:r>
            <w:r w:rsidR="00F069B8">
              <w:rPr>
                <w:webHidden/>
              </w:rPr>
              <w:fldChar w:fldCharType="begin"/>
            </w:r>
            <w:r w:rsidR="00F069B8">
              <w:rPr>
                <w:webHidden/>
              </w:rPr>
              <w:instrText xml:space="preserve"> PAGEREF _Toc176355423 \h </w:instrText>
            </w:r>
            <w:r w:rsidR="00F069B8">
              <w:rPr>
                <w:webHidden/>
              </w:rPr>
            </w:r>
            <w:r w:rsidR="00F069B8">
              <w:rPr>
                <w:webHidden/>
              </w:rPr>
              <w:fldChar w:fldCharType="separate"/>
            </w:r>
            <w:r>
              <w:rPr>
                <w:webHidden/>
              </w:rPr>
              <w:t>56</w:t>
            </w:r>
            <w:r w:rsidR="00F069B8">
              <w:rPr>
                <w:webHidden/>
              </w:rPr>
              <w:fldChar w:fldCharType="end"/>
            </w:r>
          </w:hyperlink>
        </w:p>
        <w:p w14:paraId="3AAB7852" w14:textId="2B386164"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4"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_Toc176355424 \h </w:instrText>
            </w:r>
            <w:r w:rsidR="00F069B8">
              <w:rPr>
                <w:noProof/>
                <w:webHidden/>
              </w:rPr>
            </w:r>
            <w:r w:rsidR="00F069B8">
              <w:rPr>
                <w:noProof/>
                <w:webHidden/>
              </w:rPr>
              <w:fldChar w:fldCharType="separate"/>
            </w:r>
            <w:r>
              <w:rPr>
                <w:noProof/>
                <w:webHidden/>
              </w:rPr>
              <w:t>56</w:t>
            </w:r>
            <w:r w:rsidR="00F069B8">
              <w:rPr>
                <w:noProof/>
                <w:webHidden/>
              </w:rPr>
              <w:fldChar w:fldCharType="end"/>
            </w:r>
          </w:hyperlink>
        </w:p>
        <w:p w14:paraId="5F33A4EC" w14:textId="7DFE97DD"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5"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_Toc176355425 \h </w:instrText>
            </w:r>
            <w:r w:rsidR="00F069B8">
              <w:rPr>
                <w:noProof/>
                <w:webHidden/>
              </w:rPr>
            </w:r>
            <w:r w:rsidR="00F069B8">
              <w:rPr>
                <w:noProof/>
                <w:webHidden/>
              </w:rPr>
              <w:fldChar w:fldCharType="separate"/>
            </w:r>
            <w:r>
              <w:rPr>
                <w:noProof/>
                <w:webHidden/>
              </w:rPr>
              <w:t>61</w:t>
            </w:r>
            <w:r w:rsidR="00F069B8">
              <w:rPr>
                <w:noProof/>
                <w:webHidden/>
              </w:rPr>
              <w:fldChar w:fldCharType="end"/>
            </w:r>
          </w:hyperlink>
        </w:p>
        <w:p w14:paraId="5B4AE858" w14:textId="0CDA296D"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6"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_Toc176355426 \h </w:instrText>
            </w:r>
            <w:r w:rsidR="00F069B8">
              <w:rPr>
                <w:noProof/>
                <w:webHidden/>
              </w:rPr>
            </w:r>
            <w:r w:rsidR="00F069B8">
              <w:rPr>
                <w:noProof/>
                <w:webHidden/>
              </w:rPr>
              <w:fldChar w:fldCharType="separate"/>
            </w:r>
            <w:r>
              <w:rPr>
                <w:noProof/>
                <w:webHidden/>
              </w:rPr>
              <w:t>62</w:t>
            </w:r>
            <w:r w:rsidR="00F069B8">
              <w:rPr>
                <w:noProof/>
                <w:webHidden/>
              </w:rPr>
              <w:fldChar w:fldCharType="end"/>
            </w:r>
          </w:hyperlink>
        </w:p>
        <w:p w14:paraId="63C06669" w14:textId="116EC620"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7"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_Toc176355427 \h </w:instrText>
            </w:r>
            <w:r w:rsidR="00F069B8">
              <w:rPr>
                <w:noProof/>
                <w:webHidden/>
              </w:rPr>
            </w:r>
            <w:r w:rsidR="00F069B8">
              <w:rPr>
                <w:noProof/>
                <w:webHidden/>
              </w:rPr>
              <w:fldChar w:fldCharType="separate"/>
            </w:r>
            <w:r>
              <w:rPr>
                <w:noProof/>
                <w:webHidden/>
              </w:rPr>
              <w:t>63</w:t>
            </w:r>
            <w:r w:rsidR="00F069B8">
              <w:rPr>
                <w:noProof/>
                <w:webHidden/>
              </w:rPr>
              <w:fldChar w:fldCharType="end"/>
            </w:r>
          </w:hyperlink>
        </w:p>
        <w:p w14:paraId="6725C04E" w14:textId="68C4EAA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28"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_Toc176355428 \h </w:instrText>
            </w:r>
            <w:r w:rsidR="00F069B8">
              <w:rPr>
                <w:noProof/>
                <w:webHidden/>
              </w:rPr>
            </w:r>
            <w:r w:rsidR="00F069B8">
              <w:rPr>
                <w:noProof/>
                <w:webHidden/>
              </w:rPr>
              <w:fldChar w:fldCharType="separate"/>
            </w:r>
            <w:r>
              <w:rPr>
                <w:noProof/>
                <w:webHidden/>
              </w:rPr>
              <w:t>63</w:t>
            </w:r>
            <w:r w:rsidR="00F069B8">
              <w:rPr>
                <w:noProof/>
                <w:webHidden/>
              </w:rPr>
              <w:fldChar w:fldCharType="end"/>
            </w:r>
          </w:hyperlink>
        </w:p>
        <w:p w14:paraId="2E4F5B56" w14:textId="6E970B89" w:rsidR="00F069B8" w:rsidRDefault="00EB6F53">
          <w:pPr>
            <w:pStyle w:val="TOC2"/>
            <w:rPr>
              <w:rFonts w:asciiTheme="minorHAnsi" w:eastAsiaTheme="minorEastAsia" w:hAnsiTheme="minorHAnsi" w:cstheme="minorBidi"/>
              <w:bCs w:val="0"/>
              <w:kern w:val="2"/>
              <w:sz w:val="24"/>
              <w14:ligatures w14:val="standardContextual"/>
            </w:rPr>
          </w:pPr>
          <w:hyperlink w:anchor="_Toc176355429" w:history="1">
            <w:r w:rsidR="00F069B8" w:rsidRPr="009C3D98">
              <w:rPr>
                <w:rStyle w:val="Hyperlink"/>
              </w:rPr>
              <w:t>N4.  SPECIAL TESTS AND PROVISIONS – Using a Servicer or Financial Institution to Deliver Title IV Credit Balances to a Card or Other Access Device</w:t>
            </w:r>
            <w:r w:rsidR="00F069B8">
              <w:rPr>
                <w:webHidden/>
              </w:rPr>
              <w:tab/>
            </w:r>
            <w:r w:rsidR="00F069B8">
              <w:rPr>
                <w:webHidden/>
              </w:rPr>
              <w:fldChar w:fldCharType="begin"/>
            </w:r>
            <w:r w:rsidR="00F069B8">
              <w:rPr>
                <w:webHidden/>
              </w:rPr>
              <w:instrText xml:space="preserve"> PAGEREF _Toc176355429 \h </w:instrText>
            </w:r>
            <w:r w:rsidR="00F069B8">
              <w:rPr>
                <w:webHidden/>
              </w:rPr>
            </w:r>
            <w:r w:rsidR="00F069B8">
              <w:rPr>
                <w:webHidden/>
              </w:rPr>
              <w:fldChar w:fldCharType="separate"/>
            </w:r>
            <w:r>
              <w:rPr>
                <w:webHidden/>
              </w:rPr>
              <w:t>65</w:t>
            </w:r>
            <w:r w:rsidR="00F069B8">
              <w:rPr>
                <w:webHidden/>
              </w:rPr>
              <w:fldChar w:fldCharType="end"/>
            </w:r>
          </w:hyperlink>
        </w:p>
        <w:p w14:paraId="356FB468" w14:textId="1D02EDD3"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0"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_Toc176355430 \h </w:instrText>
            </w:r>
            <w:r w:rsidR="00F069B8">
              <w:rPr>
                <w:noProof/>
                <w:webHidden/>
              </w:rPr>
            </w:r>
            <w:r w:rsidR="00F069B8">
              <w:rPr>
                <w:noProof/>
                <w:webHidden/>
              </w:rPr>
              <w:fldChar w:fldCharType="separate"/>
            </w:r>
            <w:r>
              <w:rPr>
                <w:noProof/>
                <w:webHidden/>
              </w:rPr>
              <w:t>65</w:t>
            </w:r>
            <w:r w:rsidR="00F069B8">
              <w:rPr>
                <w:noProof/>
                <w:webHidden/>
              </w:rPr>
              <w:fldChar w:fldCharType="end"/>
            </w:r>
          </w:hyperlink>
        </w:p>
        <w:p w14:paraId="1968BC2C" w14:textId="65B2462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1"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_Toc176355431 \h </w:instrText>
            </w:r>
            <w:r w:rsidR="00F069B8">
              <w:rPr>
                <w:noProof/>
                <w:webHidden/>
              </w:rPr>
            </w:r>
            <w:r w:rsidR="00F069B8">
              <w:rPr>
                <w:noProof/>
                <w:webHidden/>
              </w:rPr>
              <w:fldChar w:fldCharType="separate"/>
            </w:r>
            <w:r>
              <w:rPr>
                <w:noProof/>
                <w:webHidden/>
              </w:rPr>
              <w:t>68</w:t>
            </w:r>
            <w:r w:rsidR="00F069B8">
              <w:rPr>
                <w:noProof/>
                <w:webHidden/>
              </w:rPr>
              <w:fldChar w:fldCharType="end"/>
            </w:r>
          </w:hyperlink>
        </w:p>
        <w:p w14:paraId="620794E9" w14:textId="62B25A07"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2"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_Toc176355432 \h </w:instrText>
            </w:r>
            <w:r w:rsidR="00F069B8">
              <w:rPr>
                <w:noProof/>
                <w:webHidden/>
              </w:rPr>
            </w:r>
            <w:r w:rsidR="00F069B8">
              <w:rPr>
                <w:noProof/>
                <w:webHidden/>
              </w:rPr>
              <w:fldChar w:fldCharType="separate"/>
            </w:r>
            <w:r>
              <w:rPr>
                <w:noProof/>
                <w:webHidden/>
              </w:rPr>
              <w:t>68</w:t>
            </w:r>
            <w:r w:rsidR="00F069B8">
              <w:rPr>
                <w:noProof/>
                <w:webHidden/>
              </w:rPr>
              <w:fldChar w:fldCharType="end"/>
            </w:r>
          </w:hyperlink>
        </w:p>
        <w:p w14:paraId="57E89FEF" w14:textId="6EC6C15E"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3"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_Toc176355433 \h </w:instrText>
            </w:r>
            <w:r w:rsidR="00F069B8">
              <w:rPr>
                <w:noProof/>
                <w:webHidden/>
              </w:rPr>
            </w:r>
            <w:r w:rsidR="00F069B8">
              <w:rPr>
                <w:noProof/>
                <w:webHidden/>
              </w:rPr>
              <w:fldChar w:fldCharType="separate"/>
            </w:r>
            <w:r>
              <w:rPr>
                <w:noProof/>
                <w:webHidden/>
              </w:rPr>
              <w:t>69</w:t>
            </w:r>
            <w:r w:rsidR="00F069B8">
              <w:rPr>
                <w:noProof/>
                <w:webHidden/>
              </w:rPr>
              <w:fldChar w:fldCharType="end"/>
            </w:r>
          </w:hyperlink>
        </w:p>
        <w:p w14:paraId="124C863E" w14:textId="78B5C3FF"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4"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_Toc176355434 \h </w:instrText>
            </w:r>
            <w:r w:rsidR="00F069B8">
              <w:rPr>
                <w:noProof/>
                <w:webHidden/>
              </w:rPr>
            </w:r>
            <w:r w:rsidR="00F069B8">
              <w:rPr>
                <w:noProof/>
                <w:webHidden/>
              </w:rPr>
              <w:fldChar w:fldCharType="separate"/>
            </w:r>
            <w:r>
              <w:rPr>
                <w:noProof/>
                <w:webHidden/>
              </w:rPr>
              <w:t>70</w:t>
            </w:r>
            <w:r w:rsidR="00F069B8">
              <w:rPr>
                <w:noProof/>
                <w:webHidden/>
              </w:rPr>
              <w:fldChar w:fldCharType="end"/>
            </w:r>
          </w:hyperlink>
        </w:p>
        <w:p w14:paraId="1CC6BA03" w14:textId="7107D283" w:rsidR="00F069B8" w:rsidRDefault="00EB6F53">
          <w:pPr>
            <w:pStyle w:val="TOC2"/>
            <w:rPr>
              <w:rFonts w:asciiTheme="minorHAnsi" w:eastAsiaTheme="minorEastAsia" w:hAnsiTheme="minorHAnsi" w:cstheme="minorBidi"/>
              <w:bCs w:val="0"/>
              <w:kern w:val="2"/>
              <w:sz w:val="24"/>
              <w14:ligatures w14:val="standardContextual"/>
            </w:rPr>
          </w:pPr>
          <w:hyperlink w:anchor="_Toc176355435" w:history="1">
            <w:r w:rsidR="00F069B8" w:rsidRPr="009C3D98">
              <w:rPr>
                <w:rStyle w:val="Hyperlink"/>
              </w:rPr>
              <w:t>N5.  SPECIAL TESTS AND PROVISIONS – Return of Title IV Funds</w:t>
            </w:r>
            <w:r w:rsidR="00F069B8">
              <w:rPr>
                <w:webHidden/>
              </w:rPr>
              <w:tab/>
            </w:r>
            <w:r w:rsidR="00F069B8">
              <w:rPr>
                <w:webHidden/>
              </w:rPr>
              <w:fldChar w:fldCharType="begin"/>
            </w:r>
            <w:r w:rsidR="00F069B8">
              <w:rPr>
                <w:webHidden/>
              </w:rPr>
              <w:instrText xml:space="preserve"> PAGEREF _Toc176355435 \h </w:instrText>
            </w:r>
            <w:r w:rsidR="00F069B8">
              <w:rPr>
                <w:webHidden/>
              </w:rPr>
            </w:r>
            <w:r w:rsidR="00F069B8">
              <w:rPr>
                <w:webHidden/>
              </w:rPr>
              <w:fldChar w:fldCharType="separate"/>
            </w:r>
            <w:r>
              <w:rPr>
                <w:webHidden/>
              </w:rPr>
              <w:t>72</w:t>
            </w:r>
            <w:r w:rsidR="00F069B8">
              <w:rPr>
                <w:webHidden/>
              </w:rPr>
              <w:fldChar w:fldCharType="end"/>
            </w:r>
          </w:hyperlink>
        </w:p>
        <w:p w14:paraId="0EDAD57E" w14:textId="1E3DBCE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6"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_Toc176355436 \h </w:instrText>
            </w:r>
            <w:r w:rsidR="00F069B8">
              <w:rPr>
                <w:noProof/>
                <w:webHidden/>
              </w:rPr>
            </w:r>
            <w:r w:rsidR="00F069B8">
              <w:rPr>
                <w:noProof/>
                <w:webHidden/>
              </w:rPr>
              <w:fldChar w:fldCharType="separate"/>
            </w:r>
            <w:r>
              <w:rPr>
                <w:noProof/>
                <w:webHidden/>
              </w:rPr>
              <w:t>72</w:t>
            </w:r>
            <w:r w:rsidR="00F069B8">
              <w:rPr>
                <w:noProof/>
                <w:webHidden/>
              </w:rPr>
              <w:fldChar w:fldCharType="end"/>
            </w:r>
          </w:hyperlink>
        </w:p>
        <w:p w14:paraId="7C3CF26D" w14:textId="262FB58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7"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_Toc176355437 \h </w:instrText>
            </w:r>
            <w:r w:rsidR="00F069B8">
              <w:rPr>
                <w:noProof/>
                <w:webHidden/>
              </w:rPr>
            </w:r>
            <w:r w:rsidR="00F069B8">
              <w:rPr>
                <w:noProof/>
                <w:webHidden/>
              </w:rPr>
              <w:fldChar w:fldCharType="separate"/>
            </w:r>
            <w:r>
              <w:rPr>
                <w:noProof/>
                <w:webHidden/>
              </w:rPr>
              <w:t>80</w:t>
            </w:r>
            <w:r w:rsidR="00F069B8">
              <w:rPr>
                <w:noProof/>
                <w:webHidden/>
              </w:rPr>
              <w:fldChar w:fldCharType="end"/>
            </w:r>
          </w:hyperlink>
        </w:p>
        <w:p w14:paraId="492D2D84" w14:textId="683177E9"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8"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_Toc176355438 \h </w:instrText>
            </w:r>
            <w:r w:rsidR="00F069B8">
              <w:rPr>
                <w:noProof/>
                <w:webHidden/>
              </w:rPr>
            </w:r>
            <w:r w:rsidR="00F069B8">
              <w:rPr>
                <w:noProof/>
                <w:webHidden/>
              </w:rPr>
              <w:fldChar w:fldCharType="separate"/>
            </w:r>
            <w:r>
              <w:rPr>
                <w:noProof/>
                <w:webHidden/>
              </w:rPr>
              <w:t>80</w:t>
            </w:r>
            <w:r w:rsidR="00F069B8">
              <w:rPr>
                <w:noProof/>
                <w:webHidden/>
              </w:rPr>
              <w:fldChar w:fldCharType="end"/>
            </w:r>
          </w:hyperlink>
        </w:p>
        <w:p w14:paraId="65380CC6" w14:textId="58C63977"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39"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_Toc176355439 \h </w:instrText>
            </w:r>
            <w:r w:rsidR="00F069B8">
              <w:rPr>
                <w:noProof/>
                <w:webHidden/>
              </w:rPr>
            </w:r>
            <w:r w:rsidR="00F069B8">
              <w:rPr>
                <w:noProof/>
                <w:webHidden/>
              </w:rPr>
              <w:fldChar w:fldCharType="separate"/>
            </w:r>
            <w:r>
              <w:rPr>
                <w:noProof/>
                <w:webHidden/>
              </w:rPr>
              <w:t>81</w:t>
            </w:r>
            <w:r w:rsidR="00F069B8">
              <w:rPr>
                <w:noProof/>
                <w:webHidden/>
              </w:rPr>
              <w:fldChar w:fldCharType="end"/>
            </w:r>
          </w:hyperlink>
        </w:p>
        <w:p w14:paraId="324EF062" w14:textId="78CD7A45"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0"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_Toc176355440 \h </w:instrText>
            </w:r>
            <w:r w:rsidR="00F069B8">
              <w:rPr>
                <w:noProof/>
                <w:webHidden/>
              </w:rPr>
            </w:r>
            <w:r w:rsidR="00F069B8">
              <w:rPr>
                <w:noProof/>
                <w:webHidden/>
              </w:rPr>
              <w:fldChar w:fldCharType="separate"/>
            </w:r>
            <w:r>
              <w:rPr>
                <w:noProof/>
                <w:webHidden/>
              </w:rPr>
              <w:t>82</w:t>
            </w:r>
            <w:r w:rsidR="00F069B8">
              <w:rPr>
                <w:noProof/>
                <w:webHidden/>
              </w:rPr>
              <w:fldChar w:fldCharType="end"/>
            </w:r>
          </w:hyperlink>
        </w:p>
        <w:p w14:paraId="19689B06" w14:textId="14CF50E0" w:rsidR="00F069B8" w:rsidRDefault="00EB6F53">
          <w:pPr>
            <w:pStyle w:val="TOC2"/>
            <w:rPr>
              <w:rFonts w:asciiTheme="minorHAnsi" w:eastAsiaTheme="minorEastAsia" w:hAnsiTheme="minorHAnsi" w:cstheme="minorBidi"/>
              <w:bCs w:val="0"/>
              <w:kern w:val="2"/>
              <w:sz w:val="24"/>
              <w14:ligatures w14:val="standardContextual"/>
            </w:rPr>
          </w:pPr>
          <w:hyperlink w:anchor="_Toc176355441" w:history="1">
            <w:r w:rsidR="00F069B8" w:rsidRPr="009C3D98">
              <w:rPr>
                <w:rStyle w:val="Hyperlink"/>
              </w:rPr>
              <w:t>N6.  SPECIAL TESTS AND PROVISIONS – Enrollment Reporting</w:t>
            </w:r>
            <w:r w:rsidR="00F069B8">
              <w:rPr>
                <w:webHidden/>
              </w:rPr>
              <w:tab/>
            </w:r>
            <w:r w:rsidR="00F069B8">
              <w:rPr>
                <w:webHidden/>
              </w:rPr>
              <w:fldChar w:fldCharType="begin"/>
            </w:r>
            <w:r w:rsidR="00F069B8">
              <w:rPr>
                <w:webHidden/>
              </w:rPr>
              <w:instrText xml:space="preserve"> PAGEREF _Toc176355441 \h </w:instrText>
            </w:r>
            <w:r w:rsidR="00F069B8">
              <w:rPr>
                <w:webHidden/>
              </w:rPr>
            </w:r>
            <w:r w:rsidR="00F069B8">
              <w:rPr>
                <w:webHidden/>
              </w:rPr>
              <w:fldChar w:fldCharType="separate"/>
            </w:r>
            <w:r>
              <w:rPr>
                <w:webHidden/>
              </w:rPr>
              <w:t>84</w:t>
            </w:r>
            <w:r w:rsidR="00F069B8">
              <w:rPr>
                <w:webHidden/>
              </w:rPr>
              <w:fldChar w:fldCharType="end"/>
            </w:r>
          </w:hyperlink>
        </w:p>
        <w:p w14:paraId="5D0FEA3A" w14:textId="00EF5573"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2"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_Toc176355442 \h </w:instrText>
            </w:r>
            <w:r w:rsidR="00F069B8">
              <w:rPr>
                <w:noProof/>
                <w:webHidden/>
              </w:rPr>
            </w:r>
            <w:r w:rsidR="00F069B8">
              <w:rPr>
                <w:noProof/>
                <w:webHidden/>
              </w:rPr>
              <w:fldChar w:fldCharType="separate"/>
            </w:r>
            <w:r>
              <w:rPr>
                <w:noProof/>
                <w:webHidden/>
              </w:rPr>
              <w:t>84</w:t>
            </w:r>
            <w:r w:rsidR="00F069B8">
              <w:rPr>
                <w:noProof/>
                <w:webHidden/>
              </w:rPr>
              <w:fldChar w:fldCharType="end"/>
            </w:r>
          </w:hyperlink>
        </w:p>
        <w:p w14:paraId="4699A3FD" w14:textId="57F4D3D4"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3"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_Toc176355443 \h </w:instrText>
            </w:r>
            <w:r w:rsidR="00F069B8">
              <w:rPr>
                <w:noProof/>
                <w:webHidden/>
              </w:rPr>
            </w:r>
            <w:r w:rsidR="00F069B8">
              <w:rPr>
                <w:noProof/>
                <w:webHidden/>
              </w:rPr>
              <w:fldChar w:fldCharType="separate"/>
            </w:r>
            <w:r>
              <w:rPr>
                <w:noProof/>
                <w:webHidden/>
              </w:rPr>
              <w:t>86</w:t>
            </w:r>
            <w:r w:rsidR="00F069B8">
              <w:rPr>
                <w:noProof/>
                <w:webHidden/>
              </w:rPr>
              <w:fldChar w:fldCharType="end"/>
            </w:r>
          </w:hyperlink>
        </w:p>
        <w:p w14:paraId="0F34F07D" w14:textId="551F3C3B"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4"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_Toc176355444 \h </w:instrText>
            </w:r>
            <w:r w:rsidR="00F069B8">
              <w:rPr>
                <w:noProof/>
                <w:webHidden/>
              </w:rPr>
            </w:r>
            <w:r w:rsidR="00F069B8">
              <w:rPr>
                <w:noProof/>
                <w:webHidden/>
              </w:rPr>
              <w:fldChar w:fldCharType="separate"/>
            </w:r>
            <w:r>
              <w:rPr>
                <w:noProof/>
                <w:webHidden/>
              </w:rPr>
              <w:t>86</w:t>
            </w:r>
            <w:r w:rsidR="00F069B8">
              <w:rPr>
                <w:noProof/>
                <w:webHidden/>
              </w:rPr>
              <w:fldChar w:fldCharType="end"/>
            </w:r>
          </w:hyperlink>
        </w:p>
        <w:p w14:paraId="7CFA9B23" w14:textId="038D5112"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5"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_Toc176355445 \h </w:instrText>
            </w:r>
            <w:r w:rsidR="00F069B8">
              <w:rPr>
                <w:noProof/>
                <w:webHidden/>
              </w:rPr>
            </w:r>
            <w:r w:rsidR="00F069B8">
              <w:rPr>
                <w:noProof/>
                <w:webHidden/>
              </w:rPr>
              <w:fldChar w:fldCharType="separate"/>
            </w:r>
            <w:r>
              <w:rPr>
                <w:noProof/>
                <w:webHidden/>
              </w:rPr>
              <w:t>87</w:t>
            </w:r>
            <w:r w:rsidR="00F069B8">
              <w:rPr>
                <w:noProof/>
                <w:webHidden/>
              </w:rPr>
              <w:fldChar w:fldCharType="end"/>
            </w:r>
          </w:hyperlink>
        </w:p>
        <w:p w14:paraId="351E829B" w14:textId="401F46C5"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6"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_Toc176355446 \h </w:instrText>
            </w:r>
            <w:r w:rsidR="00F069B8">
              <w:rPr>
                <w:noProof/>
                <w:webHidden/>
              </w:rPr>
            </w:r>
            <w:r w:rsidR="00F069B8">
              <w:rPr>
                <w:noProof/>
                <w:webHidden/>
              </w:rPr>
              <w:fldChar w:fldCharType="separate"/>
            </w:r>
            <w:r>
              <w:rPr>
                <w:noProof/>
                <w:webHidden/>
              </w:rPr>
              <w:t>87</w:t>
            </w:r>
            <w:r w:rsidR="00F069B8">
              <w:rPr>
                <w:noProof/>
                <w:webHidden/>
              </w:rPr>
              <w:fldChar w:fldCharType="end"/>
            </w:r>
          </w:hyperlink>
        </w:p>
        <w:p w14:paraId="6E853592" w14:textId="0A39CC7F" w:rsidR="00F069B8" w:rsidRDefault="00EB6F53">
          <w:pPr>
            <w:pStyle w:val="TOC2"/>
            <w:rPr>
              <w:rFonts w:asciiTheme="minorHAnsi" w:eastAsiaTheme="minorEastAsia" w:hAnsiTheme="minorHAnsi" w:cstheme="minorBidi"/>
              <w:bCs w:val="0"/>
              <w:kern w:val="2"/>
              <w:sz w:val="24"/>
              <w14:ligatures w14:val="standardContextual"/>
            </w:rPr>
          </w:pPr>
          <w:hyperlink w:anchor="_Toc176355447" w:history="1">
            <w:r w:rsidR="00F069B8" w:rsidRPr="009C3D98">
              <w:rPr>
                <w:rStyle w:val="Hyperlink"/>
              </w:rPr>
              <w:t>N9.  SPECIAL TESTS AND PROVISIONS – Incentive Compensation</w:t>
            </w:r>
            <w:r w:rsidR="00F069B8">
              <w:rPr>
                <w:webHidden/>
              </w:rPr>
              <w:tab/>
            </w:r>
            <w:r w:rsidR="00F069B8">
              <w:rPr>
                <w:webHidden/>
              </w:rPr>
              <w:fldChar w:fldCharType="begin"/>
            </w:r>
            <w:r w:rsidR="00F069B8">
              <w:rPr>
                <w:webHidden/>
              </w:rPr>
              <w:instrText xml:space="preserve"> PAGEREF _Toc176355447 \h </w:instrText>
            </w:r>
            <w:r w:rsidR="00F069B8">
              <w:rPr>
                <w:webHidden/>
              </w:rPr>
            </w:r>
            <w:r w:rsidR="00F069B8">
              <w:rPr>
                <w:webHidden/>
              </w:rPr>
              <w:fldChar w:fldCharType="separate"/>
            </w:r>
            <w:r>
              <w:rPr>
                <w:webHidden/>
              </w:rPr>
              <w:t>89</w:t>
            </w:r>
            <w:r w:rsidR="00F069B8">
              <w:rPr>
                <w:webHidden/>
              </w:rPr>
              <w:fldChar w:fldCharType="end"/>
            </w:r>
          </w:hyperlink>
        </w:p>
        <w:p w14:paraId="076503E6" w14:textId="0760E515"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8"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_Toc176355448 \h </w:instrText>
            </w:r>
            <w:r w:rsidR="00F069B8">
              <w:rPr>
                <w:noProof/>
                <w:webHidden/>
              </w:rPr>
            </w:r>
            <w:r w:rsidR="00F069B8">
              <w:rPr>
                <w:noProof/>
                <w:webHidden/>
              </w:rPr>
              <w:fldChar w:fldCharType="separate"/>
            </w:r>
            <w:r>
              <w:rPr>
                <w:noProof/>
                <w:webHidden/>
              </w:rPr>
              <w:t>89</w:t>
            </w:r>
            <w:r w:rsidR="00F069B8">
              <w:rPr>
                <w:noProof/>
                <w:webHidden/>
              </w:rPr>
              <w:fldChar w:fldCharType="end"/>
            </w:r>
          </w:hyperlink>
        </w:p>
        <w:p w14:paraId="49534AB9" w14:textId="595A3AE7"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49"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_Toc176355449 \h </w:instrText>
            </w:r>
            <w:r w:rsidR="00F069B8">
              <w:rPr>
                <w:noProof/>
                <w:webHidden/>
              </w:rPr>
            </w:r>
            <w:r w:rsidR="00F069B8">
              <w:rPr>
                <w:noProof/>
                <w:webHidden/>
              </w:rPr>
              <w:fldChar w:fldCharType="separate"/>
            </w:r>
            <w:r>
              <w:rPr>
                <w:noProof/>
                <w:webHidden/>
              </w:rPr>
              <w:t>91</w:t>
            </w:r>
            <w:r w:rsidR="00F069B8">
              <w:rPr>
                <w:noProof/>
                <w:webHidden/>
              </w:rPr>
              <w:fldChar w:fldCharType="end"/>
            </w:r>
          </w:hyperlink>
        </w:p>
        <w:p w14:paraId="1B666F94" w14:textId="50E4B49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0"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_Toc176355450 \h </w:instrText>
            </w:r>
            <w:r w:rsidR="00F069B8">
              <w:rPr>
                <w:noProof/>
                <w:webHidden/>
              </w:rPr>
            </w:r>
            <w:r w:rsidR="00F069B8">
              <w:rPr>
                <w:noProof/>
                <w:webHidden/>
              </w:rPr>
              <w:fldChar w:fldCharType="separate"/>
            </w:r>
            <w:r>
              <w:rPr>
                <w:noProof/>
                <w:webHidden/>
              </w:rPr>
              <w:t>91</w:t>
            </w:r>
            <w:r w:rsidR="00F069B8">
              <w:rPr>
                <w:noProof/>
                <w:webHidden/>
              </w:rPr>
              <w:fldChar w:fldCharType="end"/>
            </w:r>
          </w:hyperlink>
        </w:p>
        <w:p w14:paraId="43D34879" w14:textId="4C13C6AB"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1"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_Toc176355451 \h </w:instrText>
            </w:r>
            <w:r w:rsidR="00F069B8">
              <w:rPr>
                <w:noProof/>
                <w:webHidden/>
              </w:rPr>
            </w:r>
            <w:r w:rsidR="00F069B8">
              <w:rPr>
                <w:noProof/>
                <w:webHidden/>
              </w:rPr>
              <w:fldChar w:fldCharType="separate"/>
            </w:r>
            <w:r>
              <w:rPr>
                <w:noProof/>
                <w:webHidden/>
              </w:rPr>
              <w:t>92</w:t>
            </w:r>
            <w:r w:rsidR="00F069B8">
              <w:rPr>
                <w:noProof/>
                <w:webHidden/>
              </w:rPr>
              <w:fldChar w:fldCharType="end"/>
            </w:r>
          </w:hyperlink>
        </w:p>
        <w:p w14:paraId="1B901D48" w14:textId="23927911"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2"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_Toc176355452 \h </w:instrText>
            </w:r>
            <w:r w:rsidR="00F069B8">
              <w:rPr>
                <w:noProof/>
                <w:webHidden/>
              </w:rPr>
            </w:r>
            <w:r w:rsidR="00F069B8">
              <w:rPr>
                <w:noProof/>
                <w:webHidden/>
              </w:rPr>
              <w:fldChar w:fldCharType="separate"/>
            </w:r>
            <w:r>
              <w:rPr>
                <w:noProof/>
                <w:webHidden/>
              </w:rPr>
              <w:t>92</w:t>
            </w:r>
            <w:r w:rsidR="00F069B8">
              <w:rPr>
                <w:noProof/>
                <w:webHidden/>
              </w:rPr>
              <w:fldChar w:fldCharType="end"/>
            </w:r>
          </w:hyperlink>
        </w:p>
        <w:p w14:paraId="02C00609" w14:textId="3E1B2B82" w:rsidR="00F069B8" w:rsidRDefault="00EB6F53">
          <w:pPr>
            <w:pStyle w:val="TOC2"/>
            <w:rPr>
              <w:rFonts w:asciiTheme="minorHAnsi" w:eastAsiaTheme="minorEastAsia" w:hAnsiTheme="minorHAnsi" w:cstheme="minorBidi"/>
              <w:bCs w:val="0"/>
              <w:kern w:val="2"/>
              <w:sz w:val="24"/>
              <w14:ligatures w14:val="standardContextual"/>
            </w:rPr>
          </w:pPr>
          <w:hyperlink w:anchor="_Toc176355453" w:history="1">
            <w:r w:rsidR="00F069B8" w:rsidRPr="009C3D98">
              <w:rPr>
                <w:rStyle w:val="Hyperlink"/>
              </w:rPr>
              <w:t>N10.  SPECIAL TESTS AND PROVISIONS – Program Eligibility</w:t>
            </w:r>
            <w:r w:rsidR="00F069B8">
              <w:rPr>
                <w:webHidden/>
              </w:rPr>
              <w:tab/>
            </w:r>
            <w:r w:rsidR="00F069B8">
              <w:rPr>
                <w:webHidden/>
              </w:rPr>
              <w:fldChar w:fldCharType="begin"/>
            </w:r>
            <w:r w:rsidR="00F069B8">
              <w:rPr>
                <w:webHidden/>
              </w:rPr>
              <w:instrText xml:space="preserve"> PAGEREF _Toc176355453 \h </w:instrText>
            </w:r>
            <w:r w:rsidR="00F069B8">
              <w:rPr>
                <w:webHidden/>
              </w:rPr>
            </w:r>
            <w:r w:rsidR="00F069B8">
              <w:rPr>
                <w:webHidden/>
              </w:rPr>
              <w:fldChar w:fldCharType="separate"/>
            </w:r>
            <w:r>
              <w:rPr>
                <w:webHidden/>
              </w:rPr>
              <w:t>94</w:t>
            </w:r>
            <w:r w:rsidR="00F069B8">
              <w:rPr>
                <w:webHidden/>
              </w:rPr>
              <w:fldChar w:fldCharType="end"/>
            </w:r>
          </w:hyperlink>
        </w:p>
        <w:p w14:paraId="1BB44790" w14:textId="1466C8BA"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4"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_Toc176355454 \h </w:instrText>
            </w:r>
            <w:r w:rsidR="00F069B8">
              <w:rPr>
                <w:noProof/>
                <w:webHidden/>
              </w:rPr>
            </w:r>
            <w:r w:rsidR="00F069B8">
              <w:rPr>
                <w:noProof/>
                <w:webHidden/>
              </w:rPr>
              <w:fldChar w:fldCharType="separate"/>
            </w:r>
            <w:r>
              <w:rPr>
                <w:noProof/>
                <w:webHidden/>
              </w:rPr>
              <w:t>94</w:t>
            </w:r>
            <w:r w:rsidR="00F069B8">
              <w:rPr>
                <w:noProof/>
                <w:webHidden/>
              </w:rPr>
              <w:fldChar w:fldCharType="end"/>
            </w:r>
          </w:hyperlink>
        </w:p>
        <w:p w14:paraId="6E2A0CF2" w14:textId="401DC891"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5"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_Toc176355455 \h </w:instrText>
            </w:r>
            <w:r w:rsidR="00F069B8">
              <w:rPr>
                <w:noProof/>
                <w:webHidden/>
              </w:rPr>
            </w:r>
            <w:r w:rsidR="00F069B8">
              <w:rPr>
                <w:noProof/>
                <w:webHidden/>
              </w:rPr>
              <w:fldChar w:fldCharType="separate"/>
            </w:r>
            <w:r>
              <w:rPr>
                <w:noProof/>
                <w:webHidden/>
              </w:rPr>
              <w:t>98</w:t>
            </w:r>
            <w:r w:rsidR="00F069B8">
              <w:rPr>
                <w:noProof/>
                <w:webHidden/>
              </w:rPr>
              <w:fldChar w:fldCharType="end"/>
            </w:r>
          </w:hyperlink>
        </w:p>
        <w:p w14:paraId="5E3F8225" w14:textId="5442BA03"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6"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_Toc176355456 \h </w:instrText>
            </w:r>
            <w:r w:rsidR="00F069B8">
              <w:rPr>
                <w:noProof/>
                <w:webHidden/>
              </w:rPr>
            </w:r>
            <w:r w:rsidR="00F069B8">
              <w:rPr>
                <w:noProof/>
                <w:webHidden/>
              </w:rPr>
              <w:fldChar w:fldCharType="separate"/>
            </w:r>
            <w:r>
              <w:rPr>
                <w:noProof/>
                <w:webHidden/>
              </w:rPr>
              <w:t>98</w:t>
            </w:r>
            <w:r w:rsidR="00F069B8">
              <w:rPr>
                <w:noProof/>
                <w:webHidden/>
              </w:rPr>
              <w:fldChar w:fldCharType="end"/>
            </w:r>
          </w:hyperlink>
        </w:p>
        <w:p w14:paraId="4570A460" w14:textId="29B2ED2A"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7"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_Toc176355457 \h </w:instrText>
            </w:r>
            <w:r w:rsidR="00F069B8">
              <w:rPr>
                <w:noProof/>
                <w:webHidden/>
              </w:rPr>
            </w:r>
            <w:r w:rsidR="00F069B8">
              <w:rPr>
                <w:noProof/>
                <w:webHidden/>
              </w:rPr>
              <w:fldChar w:fldCharType="separate"/>
            </w:r>
            <w:r>
              <w:rPr>
                <w:noProof/>
                <w:webHidden/>
              </w:rPr>
              <w:t>99</w:t>
            </w:r>
            <w:r w:rsidR="00F069B8">
              <w:rPr>
                <w:noProof/>
                <w:webHidden/>
              </w:rPr>
              <w:fldChar w:fldCharType="end"/>
            </w:r>
          </w:hyperlink>
        </w:p>
        <w:p w14:paraId="0D5ED60A" w14:textId="58973D63"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58"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_Toc176355458 \h </w:instrText>
            </w:r>
            <w:r w:rsidR="00F069B8">
              <w:rPr>
                <w:noProof/>
                <w:webHidden/>
              </w:rPr>
            </w:r>
            <w:r w:rsidR="00F069B8">
              <w:rPr>
                <w:noProof/>
                <w:webHidden/>
              </w:rPr>
              <w:fldChar w:fldCharType="separate"/>
            </w:r>
            <w:r>
              <w:rPr>
                <w:noProof/>
                <w:webHidden/>
              </w:rPr>
              <w:t>100</w:t>
            </w:r>
            <w:r w:rsidR="00F069B8">
              <w:rPr>
                <w:noProof/>
                <w:webHidden/>
              </w:rPr>
              <w:fldChar w:fldCharType="end"/>
            </w:r>
          </w:hyperlink>
        </w:p>
        <w:p w14:paraId="0A45E4F9" w14:textId="0C00A958" w:rsidR="00F069B8" w:rsidRDefault="00EB6F53">
          <w:pPr>
            <w:pStyle w:val="TOC2"/>
            <w:rPr>
              <w:rFonts w:asciiTheme="minorHAnsi" w:eastAsiaTheme="minorEastAsia" w:hAnsiTheme="minorHAnsi" w:cstheme="minorBidi"/>
              <w:bCs w:val="0"/>
              <w:kern w:val="2"/>
              <w:sz w:val="24"/>
              <w14:ligatures w14:val="standardContextual"/>
            </w:rPr>
          </w:pPr>
          <w:hyperlink w:anchor="_Toc176355459" w:history="1">
            <w:r w:rsidR="00F069B8" w:rsidRPr="009C3D98">
              <w:rPr>
                <w:rStyle w:val="Hyperlink"/>
              </w:rPr>
              <w:t>N11.  SPECIAL TESTS AND PROVISIONS – Gramm-Leach-Bliley – Student Information Security</w:t>
            </w:r>
            <w:r w:rsidR="00F069B8">
              <w:rPr>
                <w:webHidden/>
              </w:rPr>
              <w:tab/>
            </w:r>
            <w:r w:rsidR="00F069B8">
              <w:rPr>
                <w:webHidden/>
              </w:rPr>
              <w:fldChar w:fldCharType="begin"/>
            </w:r>
            <w:r w:rsidR="00F069B8">
              <w:rPr>
                <w:webHidden/>
              </w:rPr>
              <w:instrText xml:space="preserve"> PAGEREF _Toc176355459 \h </w:instrText>
            </w:r>
            <w:r w:rsidR="00F069B8">
              <w:rPr>
                <w:webHidden/>
              </w:rPr>
            </w:r>
            <w:r w:rsidR="00F069B8">
              <w:rPr>
                <w:webHidden/>
              </w:rPr>
              <w:fldChar w:fldCharType="separate"/>
            </w:r>
            <w:r>
              <w:rPr>
                <w:webHidden/>
              </w:rPr>
              <w:t>101</w:t>
            </w:r>
            <w:r w:rsidR="00F069B8">
              <w:rPr>
                <w:webHidden/>
              </w:rPr>
              <w:fldChar w:fldCharType="end"/>
            </w:r>
          </w:hyperlink>
        </w:p>
        <w:p w14:paraId="366DE5CC" w14:textId="65614B75"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60" w:history="1">
            <w:r w:rsidR="00F069B8" w:rsidRPr="009C3D98">
              <w:rPr>
                <w:rStyle w:val="Hyperlink"/>
                <w:rFonts w:cs="Arial"/>
                <w:noProof/>
              </w:rPr>
              <w:t>OMB Compliance Requirements</w:t>
            </w:r>
            <w:r w:rsidR="00F069B8">
              <w:rPr>
                <w:noProof/>
                <w:webHidden/>
              </w:rPr>
              <w:tab/>
            </w:r>
            <w:r w:rsidR="00F069B8">
              <w:rPr>
                <w:noProof/>
                <w:webHidden/>
              </w:rPr>
              <w:fldChar w:fldCharType="begin"/>
            </w:r>
            <w:r w:rsidR="00F069B8">
              <w:rPr>
                <w:noProof/>
                <w:webHidden/>
              </w:rPr>
              <w:instrText xml:space="preserve"> PAGEREF _Toc176355460 \h </w:instrText>
            </w:r>
            <w:r w:rsidR="00F069B8">
              <w:rPr>
                <w:noProof/>
                <w:webHidden/>
              </w:rPr>
            </w:r>
            <w:r w:rsidR="00F069B8">
              <w:rPr>
                <w:noProof/>
                <w:webHidden/>
              </w:rPr>
              <w:fldChar w:fldCharType="separate"/>
            </w:r>
            <w:r>
              <w:rPr>
                <w:noProof/>
                <w:webHidden/>
              </w:rPr>
              <w:t>101</w:t>
            </w:r>
            <w:r w:rsidR="00F069B8">
              <w:rPr>
                <w:noProof/>
                <w:webHidden/>
              </w:rPr>
              <w:fldChar w:fldCharType="end"/>
            </w:r>
          </w:hyperlink>
        </w:p>
        <w:p w14:paraId="31158592" w14:textId="192A8A10"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61" w:history="1">
            <w:r w:rsidR="00F069B8" w:rsidRPr="009C3D98">
              <w:rPr>
                <w:rStyle w:val="Hyperlink"/>
                <w:rFonts w:cs="Arial"/>
                <w:noProof/>
              </w:rPr>
              <w:t>Additional Program Specific Information</w:t>
            </w:r>
            <w:r w:rsidR="00F069B8">
              <w:rPr>
                <w:noProof/>
                <w:webHidden/>
              </w:rPr>
              <w:tab/>
            </w:r>
            <w:r w:rsidR="00F069B8">
              <w:rPr>
                <w:noProof/>
                <w:webHidden/>
              </w:rPr>
              <w:fldChar w:fldCharType="begin"/>
            </w:r>
            <w:r w:rsidR="00F069B8">
              <w:rPr>
                <w:noProof/>
                <w:webHidden/>
              </w:rPr>
              <w:instrText xml:space="preserve"> PAGEREF _Toc176355461 \h </w:instrText>
            </w:r>
            <w:r w:rsidR="00F069B8">
              <w:rPr>
                <w:noProof/>
                <w:webHidden/>
              </w:rPr>
            </w:r>
            <w:r w:rsidR="00F069B8">
              <w:rPr>
                <w:noProof/>
                <w:webHidden/>
              </w:rPr>
              <w:fldChar w:fldCharType="separate"/>
            </w:r>
            <w:r>
              <w:rPr>
                <w:noProof/>
                <w:webHidden/>
              </w:rPr>
              <w:t>103</w:t>
            </w:r>
            <w:r w:rsidR="00F069B8">
              <w:rPr>
                <w:noProof/>
                <w:webHidden/>
              </w:rPr>
              <w:fldChar w:fldCharType="end"/>
            </w:r>
          </w:hyperlink>
        </w:p>
        <w:p w14:paraId="21B2104D" w14:textId="1C3FF68E"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62" w:history="1">
            <w:r w:rsidR="00F069B8" w:rsidRPr="009C3D98">
              <w:rPr>
                <w:rStyle w:val="Hyperlink"/>
                <w:rFonts w:cs="Arial"/>
                <w:noProof/>
              </w:rPr>
              <w:t>Audit Objectives and Control Testing</w:t>
            </w:r>
            <w:r w:rsidR="00F069B8">
              <w:rPr>
                <w:noProof/>
                <w:webHidden/>
              </w:rPr>
              <w:tab/>
            </w:r>
            <w:r w:rsidR="00F069B8">
              <w:rPr>
                <w:noProof/>
                <w:webHidden/>
              </w:rPr>
              <w:fldChar w:fldCharType="begin"/>
            </w:r>
            <w:r w:rsidR="00F069B8">
              <w:rPr>
                <w:noProof/>
                <w:webHidden/>
              </w:rPr>
              <w:instrText xml:space="preserve"> PAGEREF _Toc176355462 \h </w:instrText>
            </w:r>
            <w:r w:rsidR="00F069B8">
              <w:rPr>
                <w:noProof/>
                <w:webHidden/>
              </w:rPr>
            </w:r>
            <w:r w:rsidR="00F069B8">
              <w:rPr>
                <w:noProof/>
                <w:webHidden/>
              </w:rPr>
              <w:fldChar w:fldCharType="separate"/>
            </w:r>
            <w:r>
              <w:rPr>
                <w:noProof/>
                <w:webHidden/>
              </w:rPr>
              <w:t>103</w:t>
            </w:r>
            <w:r w:rsidR="00F069B8">
              <w:rPr>
                <w:noProof/>
                <w:webHidden/>
              </w:rPr>
              <w:fldChar w:fldCharType="end"/>
            </w:r>
          </w:hyperlink>
        </w:p>
        <w:p w14:paraId="472820C8" w14:textId="18416F55"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63" w:history="1">
            <w:r w:rsidR="00F069B8" w:rsidRPr="009C3D98">
              <w:rPr>
                <w:rStyle w:val="Hyperlink"/>
                <w:rFonts w:cs="Arial"/>
                <w:noProof/>
              </w:rPr>
              <w:t>Suggested Substantive Audit Procedures – Compliance</w:t>
            </w:r>
            <w:r w:rsidR="00F069B8">
              <w:rPr>
                <w:noProof/>
                <w:webHidden/>
              </w:rPr>
              <w:tab/>
            </w:r>
            <w:r w:rsidR="00F069B8">
              <w:rPr>
                <w:noProof/>
                <w:webHidden/>
              </w:rPr>
              <w:fldChar w:fldCharType="begin"/>
            </w:r>
            <w:r w:rsidR="00F069B8">
              <w:rPr>
                <w:noProof/>
                <w:webHidden/>
              </w:rPr>
              <w:instrText xml:space="preserve"> PAGEREF _Toc176355463 \h </w:instrText>
            </w:r>
            <w:r w:rsidR="00F069B8">
              <w:rPr>
                <w:noProof/>
                <w:webHidden/>
              </w:rPr>
            </w:r>
            <w:r w:rsidR="00F069B8">
              <w:rPr>
                <w:noProof/>
                <w:webHidden/>
              </w:rPr>
              <w:fldChar w:fldCharType="separate"/>
            </w:r>
            <w:r>
              <w:rPr>
                <w:noProof/>
                <w:webHidden/>
              </w:rPr>
              <w:t>104</w:t>
            </w:r>
            <w:r w:rsidR="00F069B8">
              <w:rPr>
                <w:noProof/>
                <w:webHidden/>
              </w:rPr>
              <w:fldChar w:fldCharType="end"/>
            </w:r>
          </w:hyperlink>
        </w:p>
        <w:p w14:paraId="697E6515" w14:textId="05074A7C" w:rsidR="00F069B8" w:rsidRDefault="00EB6F53">
          <w:pPr>
            <w:pStyle w:val="TOC3"/>
            <w:rPr>
              <w:rFonts w:asciiTheme="minorHAnsi" w:eastAsiaTheme="minorEastAsia" w:hAnsiTheme="minorHAnsi" w:cstheme="minorBidi"/>
              <w:b w:val="0"/>
              <w:noProof/>
              <w:kern w:val="2"/>
              <w:sz w:val="24"/>
              <w:szCs w:val="24"/>
              <w14:ligatures w14:val="standardContextual"/>
            </w:rPr>
          </w:pPr>
          <w:hyperlink w:anchor="_Toc176355464" w:history="1">
            <w:r w:rsidR="00F069B8" w:rsidRPr="009C3D98">
              <w:rPr>
                <w:rStyle w:val="Hyperlink"/>
                <w:rFonts w:cs="Arial"/>
                <w:noProof/>
              </w:rPr>
              <w:t>Audit Implications Summary</w:t>
            </w:r>
            <w:r w:rsidR="00F069B8">
              <w:rPr>
                <w:noProof/>
                <w:webHidden/>
              </w:rPr>
              <w:tab/>
            </w:r>
            <w:r w:rsidR="00F069B8">
              <w:rPr>
                <w:noProof/>
                <w:webHidden/>
              </w:rPr>
              <w:fldChar w:fldCharType="begin"/>
            </w:r>
            <w:r w:rsidR="00F069B8">
              <w:rPr>
                <w:noProof/>
                <w:webHidden/>
              </w:rPr>
              <w:instrText xml:space="preserve"> PAGEREF _Toc176355464 \h </w:instrText>
            </w:r>
            <w:r w:rsidR="00F069B8">
              <w:rPr>
                <w:noProof/>
                <w:webHidden/>
              </w:rPr>
            </w:r>
            <w:r w:rsidR="00F069B8">
              <w:rPr>
                <w:noProof/>
                <w:webHidden/>
              </w:rPr>
              <w:fldChar w:fldCharType="separate"/>
            </w:r>
            <w:r>
              <w:rPr>
                <w:noProof/>
                <w:webHidden/>
              </w:rPr>
              <w:t>104</w:t>
            </w:r>
            <w:r w:rsidR="00F069B8">
              <w:rPr>
                <w:noProof/>
                <w:webHidden/>
              </w:rPr>
              <w:fldChar w:fldCharType="end"/>
            </w:r>
          </w:hyperlink>
        </w:p>
        <w:p w14:paraId="30F8BAF6" w14:textId="30ADE97D" w:rsidR="00F069B8" w:rsidRDefault="00EB6F53">
          <w:pPr>
            <w:pStyle w:val="TOC2"/>
            <w:rPr>
              <w:rFonts w:asciiTheme="minorHAnsi" w:eastAsiaTheme="minorEastAsia" w:hAnsiTheme="minorHAnsi" w:cstheme="minorBidi"/>
              <w:bCs w:val="0"/>
              <w:kern w:val="2"/>
              <w:sz w:val="24"/>
              <w14:ligatures w14:val="standardContextual"/>
            </w:rPr>
          </w:pPr>
          <w:hyperlink w:anchor="_Toc176355465" w:history="1">
            <w:r w:rsidR="00F069B8" w:rsidRPr="009C3D98">
              <w:rPr>
                <w:rStyle w:val="Hyperlink"/>
              </w:rPr>
              <w:t>Program Testing Conclusion</w:t>
            </w:r>
            <w:r w:rsidR="00F069B8">
              <w:rPr>
                <w:webHidden/>
              </w:rPr>
              <w:tab/>
            </w:r>
            <w:r w:rsidR="00F069B8">
              <w:rPr>
                <w:webHidden/>
              </w:rPr>
              <w:fldChar w:fldCharType="begin"/>
            </w:r>
            <w:r w:rsidR="00F069B8">
              <w:rPr>
                <w:webHidden/>
              </w:rPr>
              <w:instrText xml:space="preserve"> PAGEREF _Toc176355465 \h </w:instrText>
            </w:r>
            <w:r w:rsidR="00F069B8">
              <w:rPr>
                <w:webHidden/>
              </w:rPr>
            </w:r>
            <w:r w:rsidR="00F069B8">
              <w:rPr>
                <w:webHidden/>
              </w:rPr>
              <w:fldChar w:fldCharType="separate"/>
            </w:r>
            <w:r>
              <w:rPr>
                <w:webHidden/>
              </w:rPr>
              <w:t>106</w:t>
            </w:r>
            <w:r w:rsidR="00F069B8">
              <w:rPr>
                <w:webHidden/>
              </w:rPr>
              <w:fldChar w:fldCharType="end"/>
            </w:r>
          </w:hyperlink>
        </w:p>
        <w:p w14:paraId="03C2BB18" w14:textId="51292B2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6355382"/>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1C1E0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6F6C260B" w:rsidR="00A3491E" w:rsidRPr="00F00D94" w:rsidRDefault="000E63F5" w:rsidP="006672EA">
            <w:pPr>
              <w:jc w:val="center"/>
              <w:rPr>
                <w:rFonts w:ascii="Arial" w:hAnsi="Arial" w:cs="Arial"/>
              </w:rPr>
            </w:pPr>
            <w:r>
              <w:rPr>
                <w:rFonts w:ascii="Arial" w:hAnsi="Arial" w:cs="Arial"/>
              </w:rPr>
              <w:t>No</w:t>
            </w: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shd w:val="clear" w:color="auto" w:fill="7F7F7F" w:themeFill="text1" w:themeFillTint="80"/>
          </w:tcPr>
          <w:p w14:paraId="6447218E" w14:textId="18CA3242" w:rsidR="00A3491E" w:rsidRPr="007C0A04" w:rsidRDefault="00A3491E" w:rsidP="006672EA">
            <w:pPr>
              <w:jc w:val="center"/>
              <w:rPr>
                <w:rFonts w:ascii="Arial" w:hAnsi="Arial" w:cs="Arial"/>
              </w:rPr>
            </w:pPr>
          </w:p>
        </w:tc>
        <w:tc>
          <w:tcPr>
            <w:tcW w:w="43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shd w:val="clear" w:color="auto" w:fill="7F7F7F" w:themeFill="text1" w:themeFillTint="80"/>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shd w:val="clear" w:color="auto" w:fill="7F7F7F" w:themeFill="text1" w:themeFillTint="80"/>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shd w:val="clear" w:color="auto" w:fill="7F7F7F" w:themeFill="text1" w:themeFillTint="80"/>
          </w:tcPr>
          <w:p w14:paraId="2B892B72" w14:textId="1FF6CB1F" w:rsidR="00A3491E" w:rsidRPr="007C0A04" w:rsidRDefault="00A3491E" w:rsidP="006672EA">
            <w:pPr>
              <w:jc w:val="center"/>
              <w:rPr>
                <w:rFonts w:ascii="Arial" w:hAnsi="Arial" w:cs="Arial"/>
              </w:rPr>
            </w:pPr>
          </w:p>
        </w:tc>
      </w:tr>
      <w:tr w:rsidR="00A3491E" w:rsidRPr="00F00D94" w14:paraId="57F383BA" w14:textId="77777777" w:rsidTr="001C1E0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359B67E6" w:rsidR="00A3491E" w:rsidRPr="00F00D94" w:rsidRDefault="000E63F5" w:rsidP="006672EA">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86DACF0" w14:textId="59DB2021" w:rsidR="00A3491E" w:rsidRPr="007C0A04" w:rsidRDefault="00A3491E" w:rsidP="006672EA">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E160E77" w14:textId="466C70D9" w:rsidR="00A3491E" w:rsidRPr="00F00D94" w:rsidRDefault="00A3491E" w:rsidP="006672EA">
            <w:pPr>
              <w:jc w:val="center"/>
              <w:rPr>
                <w:rFonts w:ascii="Arial" w:hAnsi="Arial" w:cs="Arial"/>
                <w:i/>
                <w:iCs/>
              </w:rPr>
            </w:pP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18E17781" w:rsidR="007C67FD" w:rsidRPr="00F00D94" w:rsidRDefault="000E63F5"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4C280150" w:rsidR="007C67FD" w:rsidRPr="00F00D94" w:rsidRDefault="000E63F5"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1C1E0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21D9747A" w:rsidR="007C67FD" w:rsidRPr="00F00D94" w:rsidRDefault="000E63F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49320D0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202A7101" w:rsidR="007C67FD" w:rsidRPr="00F00D94" w:rsidRDefault="007C67FD" w:rsidP="007C67FD">
            <w:pPr>
              <w:jc w:val="center"/>
              <w:rPr>
                <w:rFonts w:ascii="Arial" w:hAnsi="Arial" w:cs="Arial"/>
                <w:i/>
                <w:iCs/>
              </w:rPr>
            </w:pPr>
          </w:p>
        </w:tc>
      </w:tr>
      <w:tr w:rsidR="007C67FD" w:rsidRPr="00F00D94" w14:paraId="43A8818F" w14:textId="77777777" w:rsidTr="001C1E0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6129B6A0" w:rsidR="007C67FD" w:rsidRPr="00F00D94" w:rsidRDefault="000E63F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173DF45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3ED30080" w:rsidR="007C67FD" w:rsidRPr="00F00D94" w:rsidRDefault="007C67FD" w:rsidP="007C67FD">
            <w:pPr>
              <w:jc w:val="center"/>
              <w:rPr>
                <w:rFonts w:ascii="Arial" w:hAnsi="Arial" w:cs="Arial"/>
                <w:i/>
                <w:iCs/>
              </w:rPr>
            </w:pPr>
          </w:p>
        </w:tc>
      </w:tr>
      <w:tr w:rsidR="007C67FD" w:rsidRPr="00F00D94" w14:paraId="5338A1D8" w14:textId="77777777" w:rsidTr="001C1E0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2531B2F6" w:rsidR="007C67FD" w:rsidRPr="00F00D94" w:rsidRDefault="000E63F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3FC6FB0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4F981A4C" w:rsidR="007C67FD" w:rsidRPr="00F00D94" w:rsidRDefault="007C67FD" w:rsidP="007C67FD">
            <w:pPr>
              <w:jc w:val="center"/>
              <w:rPr>
                <w:rFonts w:ascii="Arial" w:hAnsi="Arial" w:cs="Arial"/>
                <w:i/>
                <w:iCs/>
              </w:rPr>
            </w:pPr>
          </w:p>
        </w:tc>
      </w:tr>
      <w:tr w:rsidR="007C67FD" w:rsidRPr="00F00D94" w14:paraId="61F61491" w14:textId="77777777" w:rsidTr="001C1E0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181D874" w:rsidR="007C67FD" w:rsidRPr="00F00D94" w:rsidRDefault="000E63F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1935B3A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3C399935" w:rsidR="007C67FD" w:rsidRPr="00F00D94" w:rsidRDefault="007C67FD" w:rsidP="007C67FD">
            <w:pPr>
              <w:jc w:val="center"/>
              <w:rPr>
                <w:rFonts w:ascii="Arial" w:hAnsi="Arial" w:cs="Arial"/>
                <w:i/>
                <w:iCs/>
              </w:rPr>
            </w:pPr>
          </w:p>
        </w:tc>
      </w:tr>
      <w:tr w:rsidR="007C67FD" w:rsidRPr="00F00D94" w14:paraId="16987E1E" w14:textId="77777777" w:rsidTr="001C1E0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33F6AB24" w:rsidR="007C67FD" w:rsidRPr="00F00D94" w:rsidRDefault="000E63F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08B75F0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7DC60C33"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60332AC4" w:rsidR="007C67FD" w:rsidRPr="00F00D94" w:rsidRDefault="000E63F5"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0E63F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CDED9F4" w:rsidR="007C67FD" w:rsidRPr="00F00D94" w:rsidRDefault="000E63F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31CEED4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6A70794E" w:rsidR="007C67FD" w:rsidRPr="00F00D94" w:rsidRDefault="007C67FD" w:rsidP="007C67FD">
            <w:pPr>
              <w:jc w:val="center"/>
              <w:rPr>
                <w:rFonts w:ascii="Arial" w:hAnsi="Arial" w:cs="Arial"/>
                <w:i/>
                <w:iCs/>
              </w:rPr>
            </w:pPr>
          </w:p>
        </w:tc>
      </w:tr>
      <w:tr w:rsidR="00113513" w:rsidRPr="00F00D94" w14:paraId="1F3DB22F" w14:textId="77777777" w:rsidTr="00113513">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2DF14B08" w14:textId="10CC7A5C" w:rsidR="00113513" w:rsidRPr="00F00D94" w:rsidRDefault="00113513" w:rsidP="007C67FD">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1CD838B7" w14:textId="77777777" w:rsidR="00113513" w:rsidRPr="00F00D94" w:rsidRDefault="00113513"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4B34725F" w14:textId="4DA9360E" w:rsidR="00113513" w:rsidRDefault="00113513" w:rsidP="007C67FD">
            <w:pPr>
              <w:jc w:val="both"/>
              <w:rPr>
                <w:rFonts w:ascii="Arial" w:hAnsi="Arial" w:cs="Arial"/>
                <w:b/>
                <w:bCs/>
              </w:rPr>
            </w:pPr>
            <w:r>
              <w:rPr>
                <w:rFonts w:ascii="Arial" w:hAnsi="Arial" w:cs="Arial"/>
                <w:b/>
                <w:bCs/>
              </w:rPr>
              <w:t>Special Tests &amp; Provisions –</w:t>
            </w:r>
          </w:p>
          <w:p w14:paraId="2E0490E9" w14:textId="43A3F821" w:rsidR="00113513" w:rsidRPr="00F00D94" w:rsidRDefault="00113513" w:rsidP="007C67FD">
            <w:pPr>
              <w:jc w:val="both"/>
              <w:rPr>
                <w:rFonts w:ascii="Arial" w:hAnsi="Arial" w:cs="Arial"/>
                <w:b/>
                <w:bCs/>
              </w:rPr>
            </w:pPr>
            <w:r>
              <w:rPr>
                <w:rFonts w:ascii="Arial" w:hAnsi="Arial" w:cs="Arial"/>
                <w:b/>
                <w:bCs/>
              </w:rPr>
              <w:t>Institutional Eligibility</w:t>
            </w:r>
          </w:p>
        </w:tc>
        <w:tc>
          <w:tcPr>
            <w:tcW w:w="410" w:type="pct"/>
            <w:tcBorders>
              <w:top w:val="nil"/>
              <w:left w:val="nil"/>
              <w:bottom w:val="single" w:sz="4" w:space="0" w:color="auto"/>
              <w:right w:val="single" w:sz="4" w:space="0" w:color="auto"/>
            </w:tcBorders>
          </w:tcPr>
          <w:p w14:paraId="0037F89D" w14:textId="3EDAC0AB" w:rsidR="00113513" w:rsidRDefault="0011351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7E495AD3" w14:textId="77777777" w:rsidR="00113513" w:rsidRPr="00F00D94" w:rsidRDefault="00113513"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5F2E4EE8" w14:textId="00E9E96D" w:rsidR="00113513" w:rsidRPr="007C0A04" w:rsidDel="000E63F5" w:rsidRDefault="00113513"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E96050F" w14:textId="77777777" w:rsidR="00113513" w:rsidRPr="00F00D94" w:rsidRDefault="00113513"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2C4CBDB5" w14:textId="77777777" w:rsidR="00113513" w:rsidRPr="00F00D94" w:rsidRDefault="00113513"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17169782" w14:textId="77777777" w:rsidR="00113513" w:rsidRPr="00F00D94" w:rsidRDefault="00113513"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58BF0608" w14:textId="77777777" w:rsidR="00113513" w:rsidRPr="00F00D94" w:rsidRDefault="00113513"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33573667" w14:textId="77777777" w:rsidR="00113513" w:rsidRPr="00F00D94" w:rsidRDefault="00113513"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33CECA8F" w14:textId="5B619353" w:rsidR="00113513" w:rsidRPr="007C0A04" w:rsidDel="000E63F5" w:rsidRDefault="00113513" w:rsidP="007C67FD">
            <w:pPr>
              <w:jc w:val="center"/>
              <w:rPr>
                <w:rFonts w:ascii="Arial" w:hAnsi="Arial" w:cs="Arial"/>
              </w:rPr>
            </w:pPr>
            <w:r w:rsidRPr="007C0A04">
              <w:rPr>
                <w:rFonts w:ascii="Arial" w:hAnsi="Arial" w:cs="Arial"/>
              </w:rPr>
              <w:t>5%</w:t>
            </w:r>
          </w:p>
        </w:tc>
      </w:tr>
      <w:tr w:rsidR="00113513" w:rsidRPr="00F00D94" w14:paraId="7EB91813" w14:textId="77777777" w:rsidTr="00113513">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2A0DABD" w14:textId="1EA0668D" w:rsidR="00113513" w:rsidRPr="00F00D94" w:rsidRDefault="00113513" w:rsidP="007C67FD">
            <w:pPr>
              <w:jc w:val="both"/>
              <w:rPr>
                <w:rFonts w:ascii="Arial" w:hAnsi="Arial" w:cs="Arial"/>
                <w:b/>
                <w:bCs/>
              </w:rPr>
            </w:pPr>
            <w:r>
              <w:rPr>
                <w:rFonts w:ascii="Arial" w:hAnsi="Arial" w:cs="Arial"/>
                <w:b/>
                <w:bCs/>
              </w:rPr>
              <w:t>N2</w:t>
            </w:r>
          </w:p>
        </w:tc>
        <w:tc>
          <w:tcPr>
            <w:tcW w:w="73" w:type="pct"/>
            <w:tcBorders>
              <w:top w:val="nil"/>
              <w:left w:val="nil"/>
              <w:bottom w:val="single" w:sz="4" w:space="0" w:color="auto"/>
              <w:right w:val="nil"/>
            </w:tcBorders>
            <w:shd w:val="clear" w:color="auto" w:fill="auto"/>
            <w:noWrap/>
          </w:tcPr>
          <w:p w14:paraId="5FF4526F" w14:textId="77777777" w:rsidR="00113513" w:rsidRPr="00F00D94" w:rsidRDefault="00113513"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3E384203" w14:textId="0683E90C" w:rsidR="00113513" w:rsidRDefault="00113513" w:rsidP="007C67FD">
            <w:pPr>
              <w:jc w:val="both"/>
              <w:rPr>
                <w:rFonts w:ascii="Arial" w:hAnsi="Arial" w:cs="Arial"/>
                <w:b/>
                <w:bCs/>
              </w:rPr>
            </w:pPr>
            <w:r>
              <w:rPr>
                <w:rFonts w:ascii="Arial" w:hAnsi="Arial" w:cs="Arial"/>
                <w:b/>
                <w:bCs/>
              </w:rPr>
              <w:t xml:space="preserve">Special Tests &amp; Provisions – </w:t>
            </w:r>
          </w:p>
          <w:p w14:paraId="3B0B5AFE" w14:textId="1DEEBC59" w:rsidR="00113513" w:rsidRPr="00F00D94" w:rsidRDefault="00113513" w:rsidP="007C67FD">
            <w:pPr>
              <w:jc w:val="both"/>
              <w:rPr>
                <w:rFonts w:ascii="Arial" w:hAnsi="Arial" w:cs="Arial"/>
                <w:b/>
                <w:bCs/>
              </w:rPr>
            </w:pPr>
            <w:r>
              <w:rPr>
                <w:rFonts w:ascii="Arial" w:hAnsi="Arial" w:cs="Arial"/>
                <w:b/>
                <w:bCs/>
              </w:rPr>
              <w:t>Verification</w:t>
            </w:r>
          </w:p>
        </w:tc>
        <w:tc>
          <w:tcPr>
            <w:tcW w:w="410" w:type="pct"/>
            <w:tcBorders>
              <w:top w:val="nil"/>
              <w:left w:val="nil"/>
              <w:bottom w:val="single" w:sz="4" w:space="0" w:color="auto"/>
              <w:right w:val="single" w:sz="4" w:space="0" w:color="auto"/>
            </w:tcBorders>
          </w:tcPr>
          <w:p w14:paraId="3DAEA6FA" w14:textId="6C513F95" w:rsidR="00113513" w:rsidRDefault="0011351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7048A374" w14:textId="77777777" w:rsidR="00113513" w:rsidRPr="00F00D94" w:rsidRDefault="00113513"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2DB382CA" w14:textId="7B09C774" w:rsidR="00113513" w:rsidRPr="007C0A04" w:rsidDel="000E63F5" w:rsidRDefault="00113513"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AAD5DB7" w14:textId="77777777" w:rsidR="00113513" w:rsidRPr="00F00D94" w:rsidRDefault="00113513"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47F1299F" w14:textId="77777777" w:rsidR="00113513" w:rsidRPr="00F00D94" w:rsidRDefault="00113513"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09D68112" w14:textId="77777777" w:rsidR="00113513" w:rsidRPr="00F00D94" w:rsidRDefault="00113513"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05224DE2" w14:textId="77777777" w:rsidR="00113513" w:rsidRPr="00F00D94" w:rsidRDefault="00113513"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10128F60" w14:textId="77777777" w:rsidR="00113513" w:rsidRPr="00F00D94" w:rsidRDefault="00113513"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33131929" w14:textId="5C9128B2" w:rsidR="00113513" w:rsidRPr="007C0A04" w:rsidDel="000E63F5" w:rsidRDefault="00113513" w:rsidP="007C67FD">
            <w:pPr>
              <w:jc w:val="center"/>
              <w:rPr>
                <w:rFonts w:ascii="Arial" w:hAnsi="Arial" w:cs="Arial"/>
              </w:rPr>
            </w:pPr>
            <w:r w:rsidRPr="007C0A04">
              <w:rPr>
                <w:rFonts w:ascii="Arial" w:hAnsi="Arial" w:cs="Arial"/>
              </w:rPr>
              <w:t>5%</w:t>
            </w:r>
          </w:p>
        </w:tc>
      </w:tr>
      <w:tr w:rsidR="00113513" w:rsidRPr="00F00D94" w14:paraId="212E19BF" w14:textId="77777777" w:rsidTr="00113513">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EE6EC6C" w14:textId="121BD8E4" w:rsidR="00113513" w:rsidRDefault="00113513" w:rsidP="007C67FD">
            <w:pPr>
              <w:jc w:val="both"/>
              <w:rPr>
                <w:rFonts w:ascii="Arial" w:hAnsi="Arial" w:cs="Arial"/>
                <w:b/>
                <w:bCs/>
              </w:rPr>
            </w:pPr>
            <w:r>
              <w:rPr>
                <w:rFonts w:ascii="Arial" w:hAnsi="Arial" w:cs="Arial"/>
                <w:b/>
                <w:bCs/>
              </w:rPr>
              <w:t>N3</w:t>
            </w:r>
          </w:p>
        </w:tc>
        <w:tc>
          <w:tcPr>
            <w:tcW w:w="73" w:type="pct"/>
            <w:tcBorders>
              <w:top w:val="nil"/>
              <w:left w:val="nil"/>
              <w:bottom w:val="single" w:sz="4" w:space="0" w:color="auto"/>
              <w:right w:val="nil"/>
            </w:tcBorders>
            <w:shd w:val="clear" w:color="auto" w:fill="auto"/>
            <w:noWrap/>
          </w:tcPr>
          <w:p w14:paraId="0C08D0FE" w14:textId="77777777" w:rsidR="00113513" w:rsidRPr="00F00D94" w:rsidRDefault="00113513"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5E8E9D4A" w14:textId="2CFAED42" w:rsidR="00113513" w:rsidRDefault="00113513" w:rsidP="007C67FD">
            <w:pPr>
              <w:jc w:val="both"/>
              <w:rPr>
                <w:rFonts w:ascii="Arial" w:hAnsi="Arial" w:cs="Arial"/>
                <w:b/>
                <w:bCs/>
              </w:rPr>
            </w:pPr>
            <w:r>
              <w:rPr>
                <w:rFonts w:ascii="Arial" w:hAnsi="Arial" w:cs="Arial"/>
                <w:b/>
                <w:bCs/>
              </w:rPr>
              <w:t>Special Tests &amp; Provisions –</w:t>
            </w:r>
          </w:p>
          <w:p w14:paraId="49464703" w14:textId="1802FA73" w:rsidR="00113513" w:rsidRDefault="00113513" w:rsidP="007C67FD">
            <w:pPr>
              <w:jc w:val="both"/>
              <w:rPr>
                <w:rFonts w:ascii="Arial" w:hAnsi="Arial" w:cs="Arial"/>
                <w:b/>
                <w:bCs/>
              </w:rPr>
            </w:pPr>
            <w:r>
              <w:rPr>
                <w:rFonts w:ascii="Arial" w:hAnsi="Arial" w:cs="Arial"/>
                <w:b/>
                <w:bCs/>
              </w:rPr>
              <w:t>Disbursements to or on Behalf of Students</w:t>
            </w:r>
          </w:p>
        </w:tc>
        <w:tc>
          <w:tcPr>
            <w:tcW w:w="410" w:type="pct"/>
            <w:tcBorders>
              <w:top w:val="nil"/>
              <w:left w:val="nil"/>
              <w:bottom w:val="single" w:sz="4" w:space="0" w:color="auto"/>
              <w:right w:val="single" w:sz="4" w:space="0" w:color="auto"/>
            </w:tcBorders>
          </w:tcPr>
          <w:p w14:paraId="281F1469" w14:textId="66751F68" w:rsidR="00113513" w:rsidRDefault="0011351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4B5EBD36" w14:textId="77777777" w:rsidR="00113513" w:rsidRPr="00F00D94" w:rsidRDefault="00113513"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0C8D9BE2" w14:textId="266AA6B9" w:rsidR="00113513" w:rsidRPr="007C0A04" w:rsidDel="000E63F5" w:rsidRDefault="00113513"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FA1E9B8" w14:textId="77777777" w:rsidR="00113513" w:rsidRPr="00F00D94" w:rsidRDefault="00113513"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1900FA8" w14:textId="77777777" w:rsidR="00113513" w:rsidRPr="00F00D94" w:rsidRDefault="00113513"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3EB59BBD" w14:textId="77777777" w:rsidR="00113513" w:rsidRPr="00F00D94" w:rsidRDefault="00113513"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5824774D" w14:textId="77777777" w:rsidR="00113513" w:rsidRPr="00F00D94" w:rsidRDefault="00113513"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0A01B66B" w14:textId="77777777" w:rsidR="00113513" w:rsidRPr="00F00D94" w:rsidRDefault="00113513"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7EBFDA7E" w14:textId="04BE8124" w:rsidR="00113513" w:rsidRPr="007C0A04" w:rsidDel="000E63F5" w:rsidRDefault="00113513" w:rsidP="007C67FD">
            <w:pPr>
              <w:jc w:val="center"/>
              <w:rPr>
                <w:rFonts w:ascii="Arial" w:hAnsi="Arial" w:cs="Arial"/>
              </w:rPr>
            </w:pPr>
            <w:r w:rsidRPr="007C0A04">
              <w:rPr>
                <w:rFonts w:ascii="Arial" w:hAnsi="Arial" w:cs="Arial"/>
              </w:rPr>
              <w:t>5%</w:t>
            </w:r>
          </w:p>
        </w:tc>
      </w:tr>
      <w:tr w:rsidR="00113513" w:rsidRPr="00F00D94" w14:paraId="69D3F45D" w14:textId="77777777" w:rsidTr="00B96645">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9658BC4" w14:textId="5376A9C7" w:rsidR="00113513" w:rsidRDefault="00113513" w:rsidP="007C67FD">
            <w:pPr>
              <w:jc w:val="both"/>
              <w:rPr>
                <w:rFonts w:ascii="Arial" w:hAnsi="Arial" w:cs="Arial"/>
                <w:b/>
                <w:bCs/>
              </w:rPr>
            </w:pPr>
            <w:r>
              <w:rPr>
                <w:rFonts w:ascii="Arial" w:hAnsi="Arial" w:cs="Arial"/>
                <w:b/>
                <w:bCs/>
              </w:rPr>
              <w:t>N4</w:t>
            </w:r>
          </w:p>
        </w:tc>
        <w:tc>
          <w:tcPr>
            <w:tcW w:w="73" w:type="pct"/>
            <w:tcBorders>
              <w:top w:val="nil"/>
              <w:left w:val="nil"/>
              <w:bottom w:val="single" w:sz="4" w:space="0" w:color="auto"/>
              <w:right w:val="nil"/>
            </w:tcBorders>
            <w:shd w:val="clear" w:color="auto" w:fill="auto"/>
            <w:noWrap/>
          </w:tcPr>
          <w:p w14:paraId="57AFB2F2" w14:textId="77777777" w:rsidR="00113513" w:rsidRPr="00F00D94" w:rsidRDefault="00113513"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681BB904" w14:textId="2B26BCA4" w:rsidR="00113513" w:rsidRDefault="00113513" w:rsidP="007C67FD">
            <w:pPr>
              <w:jc w:val="both"/>
              <w:rPr>
                <w:rFonts w:ascii="Arial" w:hAnsi="Arial" w:cs="Arial"/>
                <w:b/>
                <w:bCs/>
              </w:rPr>
            </w:pPr>
            <w:r>
              <w:rPr>
                <w:rFonts w:ascii="Arial" w:hAnsi="Arial" w:cs="Arial"/>
                <w:b/>
                <w:bCs/>
              </w:rPr>
              <w:t>Special Tests &amp; Provisions –</w:t>
            </w:r>
          </w:p>
          <w:p w14:paraId="0A70D877" w14:textId="0E3E3CF6" w:rsidR="00113513" w:rsidRDefault="00113513" w:rsidP="007C67FD">
            <w:pPr>
              <w:jc w:val="both"/>
              <w:rPr>
                <w:rFonts w:ascii="Arial" w:hAnsi="Arial" w:cs="Arial"/>
                <w:b/>
                <w:bCs/>
              </w:rPr>
            </w:pPr>
            <w:r>
              <w:rPr>
                <w:rFonts w:ascii="Arial" w:hAnsi="Arial" w:cs="Arial"/>
                <w:b/>
                <w:bCs/>
              </w:rPr>
              <w:t>Using a Servicer or Financial Institution to Deliver Title IV Credit Balances to a Card or Other Access Device</w:t>
            </w:r>
          </w:p>
        </w:tc>
        <w:tc>
          <w:tcPr>
            <w:tcW w:w="410" w:type="pct"/>
            <w:tcBorders>
              <w:top w:val="nil"/>
              <w:left w:val="nil"/>
              <w:bottom w:val="single" w:sz="4" w:space="0" w:color="auto"/>
              <w:right w:val="single" w:sz="4" w:space="0" w:color="auto"/>
            </w:tcBorders>
          </w:tcPr>
          <w:p w14:paraId="262D0BF3" w14:textId="5CC33FB1" w:rsidR="00113513" w:rsidRDefault="00113513"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29301E07" w14:textId="77777777" w:rsidR="00113513" w:rsidRPr="00F00D94" w:rsidRDefault="00113513"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35FCC796" w14:textId="1BAB41F2" w:rsidR="00113513" w:rsidRPr="007C0A04" w:rsidDel="000E63F5" w:rsidRDefault="00113513"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3D81A58D" w14:textId="77777777" w:rsidR="00113513" w:rsidRPr="00F00D94" w:rsidRDefault="00113513"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31B8E6D1" w14:textId="77777777" w:rsidR="00113513" w:rsidRPr="00F00D94" w:rsidRDefault="00113513"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1D7BBC8A" w14:textId="77777777" w:rsidR="00113513" w:rsidRPr="00F00D94" w:rsidRDefault="00113513"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2EFCC117" w14:textId="77777777" w:rsidR="00113513" w:rsidRPr="00F00D94" w:rsidRDefault="00113513"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318869B8" w14:textId="77777777" w:rsidR="00113513" w:rsidRPr="00F00D94" w:rsidRDefault="00113513"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594C93EE" w14:textId="283397F7" w:rsidR="00113513" w:rsidRPr="007C0A04" w:rsidDel="000E63F5" w:rsidRDefault="00113513" w:rsidP="007C67FD">
            <w:pPr>
              <w:jc w:val="center"/>
              <w:rPr>
                <w:rFonts w:ascii="Arial" w:hAnsi="Arial" w:cs="Arial"/>
              </w:rPr>
            </w:pPr>
            <w:r w:rsidRPr="007C0A04">
              <w:rPr>
                <w:rFonts w:ascii="Arial" w:hAnsi="Arial" w:cs="Arial"/>
              </w:rPr>
              <w:t>5%</w:t>
            </w:r>
          </w:p>
        </w:tc>
      </w:tr>
      <w:tr w:rsidR="00EC51E9" w:rsidRPr="00F00D94" w14:paraId="126000DE" w14:textId="77777777" w:rsidTr="00B96645">
        <w:trPr>
          <w:trHeight w:val="234"/>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0D74D870" w14:textId="55FB5FFB" w:rsidR="00EC51E9" w:rsidRDefault="00EC51E9" w:rsidP="00EC51E9">
            <w:pPr>
              <w:jc w:val="both"/>
              <w:rPr>
                <w:rFonts w:ascii="Arial" w:hAnsi="Arial" w:cs="Arial"/>
                <w:b/>
                <w:bCs/>
              </w:rPr>
            </w:pPr>
            <w:r>
              <w:rPr>
                <w:rFonts w:ascii="Arial" w:hAnsi="Arial" w:cs="Arial"/>
                <w:b/>
                <w:bCs/>
              </w:rPr>
              <w:t>N5</w:t>
            </w:r>
          </w:p>
        </w:tc>
        <w:tc>
          <w:tcPr>
            <w:tcW w:w="73" w:type="pct"/>
            <w:tcBorders>
              <w:top w:val="single" w:sz="4" w:space="0" w:color="auto"/>
              <w:left w:val="nil"/>
              <w:bottom w:val="single" w:sz="4" w:space="0" w:color="auto"/>
              <w:right w:val="nil"/>
            </w:tcBorders>
            <w:shd w:val="clear" w:color="auto" w:fill="auto"/>
            <w:noWrap/>
          </w:tcPr>
          <w:p w14:paraId="569FF30A" w14:textId="77777777" w:rsidR="00EC51E9" w:rsidRPr="00F00D94" w:rsidRDefault="00EC51E9" w:rsidP="00EC51E9">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noWrap/>
          </w:tcPr>
          <w:p w14:paraId="76337B9C" w14:textId="6FA6DB29" w:rsidR="00EC51E9" w:rsidRDefault="00EC51E9" w:rsidP="00EC51E9">
            <w:pPr>
              <w:jc w:val="both"/>
              <w:rPr>
                <w:rFonts w:ascii="Arial" w:hAnsi="Arial" w:cs="Arial"/>
                <w:b/>
                <w:bCs/>
              </w:rPr>
            </w:pPr>
            <w:r>
              <w:rPr>
                <w:rFonts w:ascii="Arial" w:hAnsi="Arial" w:cs="Arial"/>
                <w:b/>
                <w:bCs/>
              </w:rPr>
              <w:t>Special Tests &amp; Provisions –</w:t>
            </w:r>
          </w:p>
          <w:p w14:paraId="513BA2DE" w14:textId="2BFDD994" w:rsidR="00EC51E9" w:rsidRDefault="00EC51E9" w:rsidP="00EC51E9">
            <w:pPr>
              <w:jc w:val="both"/>
              <w:rPr>
                <w:rFonts w:ascii="Arial" w:hAnsi="Arial" w:cs="Arial"/>
                <w:b/>
                <w:bCs/>
              </w:rPr>
            </w:pPr>
            <w:r>
              <w:rPr>
                <w:rFonts w:ascii="Arial" w:hAnsi="Arial" w:cs="Arial"/>
                <w:b/>
                <w:bCs/>
              </w:rPr>
              <w:t>Return of Title IV Funds</w:t>
            </w:r>
          </w:p>
        </w:tc>
        <w:tc>
          <w:tcPr>
            <w:tcW w:w="410" w:type="pct"/>
            <w:tcBorders>
              <w:top w:val="single" w:sz="4" w:space="0" w:color="auto"/>
              <w:left w:val="nil"/>
              <w:bottom w:val="single" w:sz="4" w:space="0" w:color="auto"/>
              <w:right w:val="single" w:sz="4" w:space="0" w:color="auto"/>
            </w:tcBorders>
          </w:tcPr>
          <w:p w14:paraId="77E40F7D" w14:textId="59138482" w:rsidR="00EC51E9" w:rsidRDefault="00EC51E9" w:rsidP="00EC51E9">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3331D62" w14:textId="77777777" w:rsidR="00EC51E9" w:rsidRPr="00F00D94" w:rsidRDefault="00EC51E9" w:rsidP="00EC51E9">
            <w:pPr>
              <w:jc w:val="center"/>
              <w:rPr>
                <w:rFonts w:ascii="Arial" w:hAnsi="Arial" w:cs="Arial"/>
              </w:rPr>
            </w:pPr>
          </w:p>
        </w:tc>
        <w:tc>
          <w:tcPr>
            <w:tcW w:w="434" w:type="pct"/>
            <w:tcBorders>
              <w:top w:val="single" w:sz="4" w:space="0" w:color="auto"/>
              <w:left w:val="nil"/>
              <w:bottom w:val="single" w:sz="4" w:space="0" w:color="auto"/>
              <w:right w:val="single" w:sz="4" w:space="0" w:color="auto"/>
            </w:tcBorders>
            <w:shd w:val="clear" w:color="auto" w:fill="auto"/>
          </w:tcPr>
          <w:p w14:paraId="5AFAEC87" w14:textId="5CCF544E" w:rsidR="00EC51E9" w:rsidRPr="00430853" w:rsidRDefault="00EC51E9" w:rsidP="00EC51E9">
            <w:pPr>
              <w:jc w:val="center"/>
              <w:rPr>
                <w:rFonts w:ascii="Arial" w:hAnsi="Arial" w:cs="Arial"/>
                <w:highlight w:val="yellow"/>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750CC29" w14:textId="77777777" w:rsidR="00EC51E9" w:rsidRPr="00F00D94" w:rsidRDefault="00EC51E9" w:rsidP="00EC51E9">
            <w:pPr>
              <w:jc w:val="center"/>
              <w:rPr>
                <w:rFonts w:ascii="Arial" w:hAnsi="Arial" w:cs="Arial"/>
              </w:rPr>
            </w:pPr>
          </w:p>
        </w:tc>
        <w:tc>
          <w:tcPr>
            <w:tcW w:w="371" w:type="pct"/>
            <w:tcBorders>
              <w:top w:val="single" w:sz="4" w:space="0" w:color="auto"/>
              <w:left w:val="nil"/>
              <w:bottom w:val="single" w:sz="4" w:space="0" w:color="auto"/>
              <w:right w:val="single" w:sz="4" w:space="0" w:color="auto"/>
            </w:tcBorders>
            <w:shd w:val="clear" w:color="auto" w:fill="auto"/>
          </w:tcPr>
          <w:p w14:paraId="21B53EED" w14:textId="77777777" w:rsidR="00EC51E9" w:rsidRPr="00F00D94" w:rsidRDefault="00EC51E9" w:rsidP="00EC51E9">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13BD181" w14:textId="77777777" w:rsidR="00EC51E9" w:rsidRPr="00F00D94" w:rsidRDefault="00EC51E9" w:rsidP="00EC51E9">
            <w:pPr>
              <w:jc w:val="center"/>
              <w:rPr>
                <w:rFonts w:ascii="Arial" w:hAnsi="Arial" w:cs="Arial"/>
              </w:rPr>
            </w:pPr>
          </w:p>
        </w:tc>
        <w:tc>
          <w:tcPr>
            <w:tcW w:w="367" w:type="pct"/>
            <w:tcBorders>
              <w:top w:val="single" w:sz="4" w:space="0" w:color="auto"/>
              <w:left w:val="nil"/>
              <w:bottom w:val="single" w:sz="4" w:space="0" w:color="auto"/>
              <w:right w:val="single" w:sz="4" w:space="0" w:color="auto"/>
            </w:tcBorders>
            <w:shd w:val="clear" w:color="auto" w:fill="auto"/>
          </w:tcPr>
          <w:p w14:paraId="2EE11FAD" w14:textId="77777777" w:rsidR="00EC51E9" w:rsidRPr="00F00D94" w:rsidRDefault="00EC51E9" w:rsidP="00EC51E9">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D88F336" w14:textId="77777777" w:rsidR="00EC51E9" w:rsidRPr="00F00D94" w:rsidRDefault="00EC51E9" w:rsidP="00EC51E9">
            <w:pPr>
              <w:jc w:val="center"/>
              <w:rPr>
                <w:rFonts w:ascii="Arial" w:hAnsi="Arial" w:cs="Arial"/>
              </w:rPr>
            </w:pPr>
          </w:p>
        </w:tc>
        <w:tc>
          <w:tcPr>
            <w:tcW w:w="497" w:type="pct"/>
            <w:tcBorders>
              <w:top w:val="single" w:sz="4" w:space="0" w:color="auto"/>
              <w:left w:val="nil"/>
              <w:bottom w:val="single" w:sz="4" w:space="0" w:color="auto"/>
              <w:right w:val="single" w:sz="4" w:space="0" w:color="auto"/>
            </w:tcBorders>
            <w:shd w:val="clear" w:color="auto" w:fill="auto"/>
          </w:tcPr>
          <w:p w14:paraId="59E71D68" w14:textId="2DF12483" w:rsidR="00EC51E9" w:rsidRPr="007C0A04" w:rsidRDefault="00EC51E9" w:rsidP="00EC51E9">
            <w:pPr>
              <w:jc w:val="center"/>
              <w:rPr>
                <w:rFonts w:ascii="Arial" w:hAnsi="Arial" w:cs="Arial"/>
              </w:rPr>
            </w:pPr>
            <w:r w:rsidRPr="007C0A04">
              <w:rPr>
                <w:rFonts w:ascii="Arial" w:hAnsi="Arial" w:cs="Arial"/>
              </w:rPr>
              <w:t>5%</w:t>
            </w:r>
          </w:p>
        </w:tc>
      </w:tr>
      <w:tr w:rsidR="00EC51E9" w:rsidRPr="00F00D94" w14:paraId="30197C83" w14:textId="77777777" w:rsidTr="00B96645">
        <w:trPr>
          <w:trHeight w:val="234"/>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643F910B" w14:textId="1B82112E" w:rsidR="00EC51E9" w:rsidRDefault="00EC51E9" w:rsidP="00EC51E9">
            <w:pPr>
              <w:jc w:val="both"/>
              <w:rPr>
                <w:rFonts w:ascii="Arial" w:hAnsi="Arial" w:cs="Arial"/>
                <w:b/>
                <w:bCs/>
              </w:rPr>
            </w:pPr>
            <w:r>
              <w:rPr>
                <w:rFonts w:ascii="Arial" w:hAnsi="Arial" w:cs="Arial"/>
                <w:b/>
                <w:bCs/>
              </w:rPr>
              <w:lastRenderedPageBreak/>
              <w:t>N6</w:t>
            </w:r>
          </w:p>
        </w:tc>
        <w:tc>
          <w:tcPr>
            <w:tcW w:w="73" w:type="pct"/>
            <w:tcBorders>
              <w:top w:val="single" w:sz="4" w:space="0" w:color="auto"/>
              <w:left w:val="nil"/>
              <w:bottom w:val="single" w:sz="4" w:space="0" w:color="auto"/>
              <w:right w:val="nil"/>
            </w:tcBorders>
            <w:shd w:val="clear" w:color="auto" w:fill="auto"/>
            <w:noWrap/>
          </w:tcPr>
          <w:p w14:paraId="75AC3EAA" w14:textId="77777777" w:rsidR="00EC51E9" w:rsidRPr="00F00D94" w:rsidRDefault="00EC51E9" w:rsidP="00EC51E9">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noWrap/>
          </w:tcPr>
          <w:p w14:paraId="68EEDDE2" w14:textId="0BC85B0D" w:rsidR="00EC51E9" w:rsidRDefault="00EC51E9" w:rsidP="00EC51E9">
            <w:pPr>
              <w:jc w:val="both"/>
              <w:rPr>
                <w:rFonts w:ascii="Arial" w:hAnsi="Arial" w:cs="Arial"/>
                <w:b/>
                <w:bCs/>
              </w:rPr>
            </w:pPr>
            <w:r>
              <w:rPr>
                <w:rFonts w:ascii="Arial" w:hAnsi="Arial" w:cs="Arial"/>
                <w:b/>
                <w:bCs/>
              </w:rPr>
              <w:t>Special Tests &amp; Provisions –</w:t>
            </w:r>
          </w:p>
          <w:p w14:paraId="6BED00A2" w14:textId="268C25F4" w:rsidR="00EC51E9" w:rsidRDefault="00EC51E9" w:rsidP="00EC51E9">
            <w:pPr>
              <w:jc w:val="both"/>
              <w:rPr>
                <w:rFonts w:ascii="Arial" w:hAnsi="Arial" w:cs="Arial"/>
                <w:b/>
                <w:bCs/>
              </w:rPr>
            </w:pPr>
            <w:r>
              <w:rPr>
                <w:rFonts w:ascii="Arial" w:hAnsi="Arial" w:cs="Arial"/>
                <w:b/>
                <w:bCs/>
              </w:rPr>
              <w:t>Enrollment Reporting</w:t>
            </w:r>
          </w:p>
        </w:tc>
        <w:tc>
          <w:tcPr>
            <w:tcW w:w="410" w:type="pct"/>
            <w:tcBorders>
              <w:top w:val="single" w:sz="4" w:space="0" w:color="auto"/>
              <w:left w:val="nil"/>
              <w:bottom w:val="single" w:sz="4" w:space="0" w:color="auto"/>
              <w:right w:val="single" w:sz="4" w:space="0" w:color="auto"/>
            </w:tcBorders>
          </w:tcPr>
          <w:p w14:paraId="7E3E30DF" w14:textId="48646D36" w:rsidR="00EC51E9" w:rsidRDefault="00EC51E9" w:rsidP="00EC51E9">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2E5DC1D" w14:textId="77777777" w:rsidR="00EC51E9" w:rsidRPr="00F00D94" w:rsidRDefault="00EC51E9" w:rsidP="00EC51E9">
            <w:pPr>
              <w:jc w:val="center"/>
              <w:rPr>
                <w:rFonts w:ascii="Arial" w:hAnsi="Arial" w:cs="Arial"/>
              </w:rPr>
            </w:pPr>
          </w:p>
        </w:tc>
        <w:tc>
          <w:tcPr>
            <w:tcW w:w="434" w:type="pct"/>
            <w:tcBorders>
              <w:top w:val="single" w:sz="4" w:space="0" w:color="auto"/>
              <w:left w:val="nil"/>
              <w:bottom w:val="single" w:sz="4" w:space="0" w:color="auto"/>
              <w:right w:val="single" w:sz="4" w:space="0" w:color="auto"/>
            </w:tcBorders>
            <w:shd w:val="clear" w:color="auto" w:fill="auto"/>
          </w:tcPr>
          <w:p w14:paraId="373A1D2D" w14:textId="4FBE9120" w:rsidR="00EC51E9" w:rsidRPr="00430853" w:rsidRDefault="00EC51E9" w:rsidP="00EC51E9">
            <w:pPr>
              <w:jc w:val="center"/>
              <w:rPr>
                <w:rFonts w:ascii="Arial" w:hAnsi="Arial" w:cs="Arial"/>
                <w:highlight w:val="yellow"/>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7E1C9E" w14:textId="77777777" w:rsidR="00EC51E9" w:rsidRPr="00F00D94" w:rsidRDefault="00EC51E9" w:rsidP="00EC51E9">
            <w:pPr>
              <w:jc w:val="center"/>
              <w:rPr>
                <w:rFonts w:ascii="Arial" w:hAnsi="Arial" w:cs="Arial"/>
              </w:rPr>
            </w:pPr>
          </w:p>
        </w:tc>
        <w:tc>
          <w:tcPr>
            <w:tcW w:w="371" w:type="pct"/>
            <w:tcBorders>
              <w:top w:val="single" w:sz="4" w:space="0" w:color="auto"/>
              <w:left w:val="nil"/>
              <w:bottom w:val="single" w:sz="4" w:space="0" w:color="auto"/>
              <w:right w:val="single" w:sz="4" w:space="0" w:color="auto"/>
            </w:tcBorders>
            <w:shd w:val="clear" w:color="auto" w:fill="auto"/>
          </w:tcPr>
          <w:p w14:paraId="401CA800" w14:textId="77777777" w:rsidR="00EC51E9" w:rsidRPr="00F00D94" w:rsidRDefault="00EC51E9" w:rsidP="00EC51E9">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665D03C" w14:textId="77777777" w:rsidR="00EC51E9" w:rsidRPr="00F00D94" w:rsidRDefault="00EC51E9" w:rsidP="00EC51E9">
            <w:pPr>
              <w:jc w:val="center"/>
              <w:rPr>
                <w:rFonts w:ascii="Arial" w:hAnsi="Arial" w:cs="Arial"/>
              </w:rPr>
            </w:pPr>
          </w:p>
        </w:tc>
        <w:tc>
          <w:tcPr>
            <w:tcW w:w="367" w:type="pct"/>
            <w:tcBorders>
              <w:top w:val="single" w:sz="4" w:space="0" w:color="auto"/>
              <w:left w:val="nil"/>
              <w:bottom w:val="single" w:sz="4" w:space="0" w:color="auto"/>
              <w:right w:val="single" w:sz="4" w:space="0" w:color="auto"/>
            </w:tcBorders>
            <w:shd w:val="clear" w:color="auto" w:fill="auto"/>
          </w:tcPr>
          <w:p w14:paraId="2AF2452C" w14:textId="77777777" w:rsidR="00EC51E9" w:rsidRPr="00F00D94" w:rsidRDefault="00EC51E9" w:rsidP="00EC51E9">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B546561" w14:textId="77777777" w:rsidR="00EC51E9" w:rsidRPr="00F00D94" w:rsidRDefault="00EC51E9" w:rsidP="00EC51E9">
            <w:pPr>
              <w:jc w:val="center"/>
              <w:rPr>
                <w:rFonts w:ascii="Arial" w:hAnsi="Arial" w:cs="Arial"/>
              </w:rPr>
            </w:pPr>
          </w:p>
        </w:tc>
        <w:tc>
          <w:tcPr>
            <w:tcW w:w="497" w:type="pct"/>
            <w:tcBorders>
              <w:top w:val="single" w:sz="4" w:space="0" w:color="auto"/>
              <w:left w:val="nil"/>
              <w:bottom w:val="single" w:sz="4" w:space="0" w:color="auto"/>
              <w:right w:val="single" w:sz="4" w:space="0" w:color="auto"/>
            </w:tcBorders>
            <w:shd w:val="clear" w:color="auto" w:fill="auto"/>
          </w:tcPr>
          <w:p w14:paraId="5FC1FD26" w14:textId="7B22FE4B" w:rsidR="00EC51E9" w:rsidRPr="007C0A04" w:rsidRDefault="00EC51E9" w:rsidP="00EC51E9">
            <w:pPr>
              <w:jc w:val="center"/>
              <w:rPr>
                <w:rFonts w:ascii="Arial" w:hAnsi="Arial" w:cs="Arial"/>
              </w:rPr>
            </w:pPr>
            <w:r w:rsidRPr="007C0A04">
              <w:rPr>
                <w:rFonts w:ascii="Arial" w:hAnsi="Arial" w:cs="Arial"/>
              </w:rPr>
              <w:t>5%</w:t>
            </w:r>
          </w:p>
        </w:tc>
      </w:tr>
      <w:tr w:rsidR="00B96645" w:rsidRPr="00F00D94" w14:paraId="16227D03" w14:textId="77777777" w:rsidTr="00B96645">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0E87D1E7" w14:textId="3FFA921C" w:rsidR="00B96645" w:rsidRDefault="00B96645" w:rsidP="00B96645">
            <w:pPr>
              <w:jc w:val="both"/>
              <w:rPr>
                <w:rFonts w:ascii="Arial" w:hAnsi="Arial" w:cs="Arial"/>
                <w:b/>
                <w:bCs/>
              </w:rPr>
            </w:pPr>
            <w:r>
              <w:rPr>
                <w:rFonts w:ascii="Arial" w:hAnsi="Arial" w:cs="Arial"/>
                <w:b/>
                <w:bCs/>
              </w:rPr>
              <w:t>N7</w:t>
            </w:r>
          </w:p>
        </w:tc>
        <w:tc>
          <w:tcPr>
            <w:tcW w:w="73" w:type="pct"/>
            <w:tcBorders>
              <w:top w:val="nil"/>
              <w:left w:val="nil"/>
              <w:bottom w:val="single" w:sz="4" w:space="0" w:color="auto"/>
              <w:right w:val="nil"/>
            </w:tcBorders>
            <w:shd w:val="clear" w:color="auto" w:fill="auto"/>
            <w:noWrap/>
          </w:tcPr>
          <w:p w14:paraId="0B8C33E8" w14:textId="77777777" w:rsidR="00B96645" w:rsidRPr="00F00D94" w:rsidRDefault="00B96645" w:rsidP="00B96645">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0AC41ACF" w14:textId="77777777" w:rsidR="00B96645" w:rsidRDefault="00B96645" w:rsidP="00B96645">
            <w:pPr>
              <w:jc w:val="both"/>
              <w:rPr>
                <w:rFonts w:ascii="Arial" w:hAnsi="Arial" w:cs="Arial"/>
                <w:b/>
                <w:bCs/>
              </w:rPr>
            </w:pPr>
            <w:r>
              <w:rPr>
                <w:rFonts w:ascii="Arial" w:hAnsi="Arial" w:cs="Arial"/>
                <w:b/>
                <w:bCs/>
              </w:rPr>
              <w:t>Special Tests &amp; Provisions –</w:t>
            </w:r>
          </w:p>
          <w:p w14:paraId="1CB00C79" w14:textId="7A82A736" w:rsidR="00B96645" w:rsidRDefault="00B96645" w:rsidP="00B96645">
            <w:pPr>
              <w:jc w:val="both"/>
              <w:rPr>
                <w:rFonts w:ascii="Arial" w:hAnsi="Arial" w:cs="Arial"/>
                <w:b/>
                <w:bCs/>
              </w:rPr>
            </w:pPr>
            <w:r>
              <w:rPr>
                <w:rFonts w:ascii="Arial" w:hAnsi="Arial" w:cs="Arial"/>
                <w:b/>
                <w:bCs/>
              </w:rPr>
              <w:t>Student Loan Repayments (HPSL/PCL/LDS and NSL, and NFLP)</w:t>
            </w:r>
          </w:p>
        </w:tc>
        <w:tc>
          <w:tcPr>
            <w:tcW w:w="410" w:type="pct"/>
            <w:tcBorders>
              <w:top w:val="nil"/>
              <w:left w:val="nil"/>
              <w:bottom w:val="single" w:sz="4" w:space="0" w:color="auto"/>
              <w:right w:val="single" w:sz="4" w:space="0" w:color="auto"/>
            </w:tcBorders>
          </w:tcPr>
          <w:p w14:paraId="28DB327C" w14:textId="1AE1853C" w:rsidR="00B96645" w:rsidRDefault="00B96645" w:rsidP="00B9664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7C2C7F2F" w14:textId="6B1F0F6C" w:rsidR="00B96645" w:rsidRPr="00F00D94" w:rsidRDefault="00B96645" w:rsidP="00B96645">
            <w:pPr>
              <w:jc w:val="center"/>
              <w:rPr>
                <w:rFonts w:ascii="Arial" w:hAnsi="Arial" w:cs="Arial"/>
              </w:rPr>
            </w:pPr>
            <w:r>
              <w:rPr>
                <w:rFonts w:ascii="Arial" w:hAnsi="Arial" w:cs="Arial"/>
              </w:rPr>
              <w:t>No*</w:t>
            </w:r>
          </w:p>
        </w:tc>
        <w:tc>
          <w:tcPr>
            <w:tcW w:w="434" w:type="pct"/>
            <w:tcBorders>
              <w:top w:val="nil"/>
              <w:left w:val="nil"/>
              <w:bottom w:val="single" w:sz="4" w:space="0" w:color="auto"/>
              <w:right w:val="single" w:sz="4" w:space="0" w:color="auto"/>
            </w:tcBorders>
            <w:shd w:val="clear" w:color="auto" w:fill="7F7F7F" w:themeFill="text1" w:themeFillTint="80"/>
          </w:tcPr>
          <w:p w14:paraId="52181A7F" w14:textId="61C736F0" w:rsidR="00B96645" w:rsidRPr="00430853" w:rsidRDefault="00B96645" w:rsidP="00B96645">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1BD4DB0" w14:textId="77777777" w:rsidR="00B96645" w:rsidRPr="00F00D94" w:rsidRDefault="00B96645" w:rsidP="00B9664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59FA5B" w14:textId="77777777" w:rsidR="00B96645" w:rsidRPr="00F00D94" w:rsidRDefault="00B96645" w:rsidP="00B9664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4E64F59" w14:textId="77777777" w:rsidR="00B96645" w:rsidRPr="00F00D94" w:rsidRDefault="00B96645" w:rsidP="00B9664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27EF575" w14:textId="77777777" w:rsidR="00B96645" w:rsidRPr="00F00D94" w:rsidRDefault="00B96645" w:rsidP="00B9664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B9B4119" w14:textId="77777777" w:rsidR="00B96645" w:rsidRPr="00F00D94" w:rsidRDefault="00B96645" w:rsidP="00B9664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E1D53BF" w14:textId="3CA00406" w:rsidR="00B96645" w:rsidRPr="007C0A04" w:rsidRDefault="00B96645" w:rsidP="00B96645">
            <w:pPr>
              <w:jc w:val="center"/>
              <w:rPr>
                <w:rFonts w:ascii="Arial" w:hAnsi="Arial" w:cs="Arial"/>
              </w:rPr>
            </w:pPr>
          </w:p>
        </w:tc>
      </w:tr>
      <w:tr w:rsidR="00B96645" w:rsidRPr="00F00D94" w14:paraId="45097ED1" w14:textId="77777777" w:rsidTr="00B96645">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9A6934E" w14:textId="6E9C2F5B" w:rsidR="00B96645" w:rsidRDefault="00B96645" w:rsidP="00B96645">
            <w:pPr>
              <w:jc w:val="both"/>
              <w:rPr>
                <w:rFonts w:ascii="Arial" w:hAnsi="Arial" w:cs="Arial"/>
                <w:b/>
                <w:bCs/>
              </w:rPr>
            </w:pPr>
            <w:r>
              <w:rPr>
                <w:rFonts w:ascii="Arial" w:hAnsi="Arial" w:cs="Arial"/>
                <w:b/>
                <w:bCs/>
              </w:rPr>
              <w:t>N8</w:t>
            </w:r>
          </w:p>
        </w:tc>
        <w:tc>
          <w:tcPr>
            <w:tcW w:w="73" w:type="pct"/>
            <w:tcBorders>
              <w:top w:val="nil"/>
              <w:left w:val="nil"/>
              <w:bottom w:val="single" w:sz="4" w:space="0" w:color="auto"/>
              <w:right w:val="nil"/>
            </w:tcBorders>
            <w:shd w:val="clear" w:color="auto" w:fill="auto"/>
            <w:noWrap/>
          </w:tcPr>
          <w:p w14:paraId="466DF0CD" w14:textId="77777777" w:rsidR="00B96645" w:rsidRPr="00F00D94" w:rsidRDefault="00B96645" w:rsidP="00B96645">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57FB8C52" w14:textId="77777777" w:rsidR="00B96645" w:rsidRDefault="00B96645" w:rsidP="00B96645">
            <w:pPr>
              <w:jc w:val="both"/>
              <w:rPr>
                <w:rFonts w:ascii="Arial" w:hAnsi="Arial" w:cs="Arial"/>
                <w:b/>
                <w:bCs/>
              </w:rPr>
            </w:pPr>
            <w:r>
              <w:rPr>
                <w:rFonts w:ascii="Arial" w:hAnsi="Arial" w:cs="Arial"/>
                <w:b/>
                <w:bCs/>
              </w:rPr>
              <w:t>Special Tests &amp; Provisions –</w:t>
            </w:r>
          </w:p>
          <w:p w14:paraId="02BBBDAC" w14:textId="6C9F9F91" w:rsidR="00B96645" w:rsidRDefault="00B96645" w:rsidP="00B96645">
            <w:pPr>
              <w:jc w:val="both"/>
              <w:rPr>
                <w:rFonts w:ascii="Arial" w:hAnsi="Arial" w:cs="Arial"/>
                <w:b/>
                <w:bCs/>
              </w:rPr>
            </w:pPr>
            <w:r>
              <w:rPr>
                <w:rFonts w:ascii="Arial" w:hAnsi="Arial" w:cs="Arial"/>
                <w:b/>
                <w:bCs/>
              </w:rPr>
              <w:t>Perkins Loan Recordkeeping and Record Retention</w:t>
            </w:r>
          </w:p>
        </w:tc>
        <w:tc>
          <w:tcPr>
            <w:tcW w:w="410" w:type="pct"/>
            <w:tcBorders>
              <w:top w:val="nil"/>
              <w:left w:val="nil"/>
              <w:bottom w:val="single" w:sz="4" w:space="0" w:color="auto"/>
              <w:right w:val="single" w:sz="4" w:space="0" w:color="auto"/>
            </w:tcBorders>
          </w:tcPr>
          <w:p w14:paraId="776810C0" w14:textId="70B9AE1A" w:rsidR="00B96645" w:rsidRDefault="00B96645" w:rsidP="00B9664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6E578877" w14:textId="1E590A44" w:rsidR="00B96645" w:rsidRPr="00F00D94" w:rsidRDefault="00B96645" w:rsidP="00B96645">
            <w:pPr>
              <w:jc w:val="center"/>
              <w:rPr>
                <w:rFonts w:ascii="Arial" w:hAnsi="Arial" w:cs="Arial"/>
              </w:rPr>
            </w:pPr>
            <w:r>
              <w:rPr>
                <w:rFonts w:ascii="Arial" w:hAnsi="Arial" w:cs="Arial"/>
              </w:rPr>
              <w:t>No*</w:t>
            </w:r>
          </w:p>
        </w:tc>
        <w:tc>
          <w:tcPr>
            <w:tcW w:w="434" w:type="pct"/>
            <w:tcBorders>
              <w:top w:val="nil"/>
              <w:left w:val="nil"/>
              <w:bottom w:val="single" w:sz="4" w:space="0" w:color="auto"/>
              <w:right w:val="single" w:sz="4" w:space="0" w:color="auto"/>
            </w:tcBorders>
            <w:shd w:val="clear" w:color="auto" w:fill="7F7F7F" w:themeFill="text1" w:themeFillTint="80"/>
          </w:tcPr>
          <w:p w14:paraId="2F1B3198" w14:textId="77777777" w:rsidR="00B96645" w:rsidRPr="00430853" w:rsidRDefault="00B96645" w:rsidP="00B96645">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14A7181" w14:textId="77777777" w:rsidR="00B96645" w:rsidRPr="00F00D94" w:rsidRDefault="00B96645" w:rsidP="00B9664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FF1412C" w14:textId="77777777" w:rsidR="00B96645" w:rsidRPr="00F00D94" w:rsidRDefault="00B96645" w:rsidP="00B9664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55E109F" w14:textId="77777777" w:rsidR="00B96645" w:rsidRPr="00F00D94" w:rsidRDefault="00B96645" w:rsidP="00B9664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B08338" w14:textId="77777777" w:rsidR="00B96645" w:rsidRPr="00F00D94" w:rsidRDefault="00B96645" w:rsidP="00B9664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A6E4EB" w14:textId="77777777" w:rsidR="00B96645" w:rsidRPr="00F00D94" w:rsidRDefault="00B96645" w:rsidP="00B9664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7A8E297" w14:textId="77777777" w:rsidR="00B96645" w:rsidRPr="007C0A04" w:rsidRDefault="00B96645" w:rsidP="00B96645">
            <w:pPr>
              <w:jc w:val="center"/>
              <w:rPr>
                <w:rFonts w:ascii="Arial" w:hAnsi="Arial" w:cs="Arial"/>
              </w:rPr>
            </w:pPr>
          </w:p>
        </w:tc>
      </w:tr>
      <w:tr w:rsidR="00B96645" w:rsidRPr="00F00D94" w14:paraId="4C0FB1BF" w14:textId="77777777" w:rsidTr="00113513">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DB0A78C" w14:textId="77EA82FE" w:rsidR="00B96645" w:rsidRDefault="00B96645" w:rsidP="00B96645">
            <w:pPr>
              <w:jc w:val="both"/>
              <w:rPr>
                <w:rFonts w:ascii="Arial" w:hAnsi="Arial" w:cs="Arial"/>
                <w:b/>
                <w:bCs/>
              </w:rPr>
            </w:pPr>
            <w:r>
              <w:rPr>
                <w:rFonts w:ascii="Arial" w:hAnsi="Arial" w:cs="Arial"/>
                <w:b/>
                <w:bCs/>
              </w:rPr>
              <w:t>N9</w:t>
            </w:r>
          </w:p>
        </w:tc>
        <w:tc>
          <w:tcPr>
            <w:tcW w:w="73" w:type="pct"/>
            <w:tcBorders>
              <w:top w:val="nil"/>
              <w:left w:val="nil"/>
              <w:bottom w:val="single" w:sz="4" w:space="0" w:color="auto"/>
              <w:right w:val="nil"/>
            </w:tcBorders>
            <w:shd w:val="clear" w:color="auto" w:fill="auto"/>
            <w:noWrap/>
          </w:tcPr>
          <w:p w14:paraId="3D187B47" w14:textId="77777777" w:rsidR="00B96645" w:rsidRPr="00F00D94" w:rsidRDefault="00B96645" w:rsidP="00B96645">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5AA2396E" w14:textId="4754C492" w:rsidR="00B96645" w:rsidRDefault="00B96645" w:rsidP="00B96645">
            <w:pPr>
              <w:jc w:val="both"/>
              <w:rPr>
                <w:rFonts w:ascii="Arial" w:hAnsi="Arial" w:cs="Arial"/>
                <w:b/>
                <w:bCs/>
              </w:rPr>
            </w:pPr>
            <w:r>
              <w:rPr>
                <w:rFonts w:ascii="Arial" w:hAnsi="Arial" w:cs="Arial"/>
                <w:b/>
                <w:bCs/>
              </w:rPr>
              <w:t>Special Tests &amp; Provisions –</w:t>
            </w:r>
          </w:p>
          <w:p w14:paraId="6F3E2F54" w14:textId="6C95EE9E" w:rsidR="00B96645" w:rsidRDefault="00B96645" w:rsidP="00B96645">
            <w:pPr>
              <w:jc w:val="both"/>
              <w:rPr>
                <w:rFonts w:ascii="Arial" w:hAnsi="Arial" w:cs="Arial"/>
                <w:b/>
                <w:bCs/>
              </w:rPr>
            </w:pPr>
            <w:r>
              <w:rPr>
                <w:rFonts w:ascii="Arial" w:hAnsi="Arial" w:cs="Arial"/>
                <w:b/>
                <w:bCs/>
              </w:rPr>
              <w:t>Incentive Compensation</w:t>
            </w:r>
          </w:p>
        </w:tc>
        <w:tc>
          <w:tcPr>
            <w:tcW w:w="410" w:type="pct"/>
            <w:tcBorders>
              <w:top w:val="nil"/>
              <w:left w:val="nil"/>
              <w:bottom w:val="single" w:sz="4" w:space="0" w:color="auto"/>
              <w:right w:val="single" w:sz="4" w:space="0" w:color="auto"/>
            </w:tcBorders>
          </w:tcPr>
          <w:p w14:paraId="3FAA8FDE" w14:textId="4D875C79" w:rsidR="00B96645" w:rsidRDefault="00B96645" w:rsidP="00B9664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0D5E1649" w14:textId="77777777" w:rsidR="00B96645" w:rsidRPr="00F00D94" w:rsidRDefault="00B96645" w:rsidP="00B96645">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6D89B1CD" w14:textId="5CF3670C" w:rsidR="00B96645" w:rsidRPr="00430853" w:rsidRDefault="00B96645" w:rsidP="00B96645">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6770A05" w14:textId="77777777" w:rsidR="00B96645" w:rsidRPr="00F00D94" w:rsidRDefault="00B96645" w:rsidP="00B9664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2FC84818" w14:textId="77777777" w:rsidR="00B96645" w:rsidRPr="00F00D94" w:rsidRDefault="00B96645" w:rsidP="00B9664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3182983C" w14:textId="77777777" w:rsidR="00B96645" w:rsidRPr="00F00D94" w:rsidRDefault="00B96645" w:rsidP="00B9664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7A1715A0" w14:textId="77777777" w:rsidR="00B96645" w:rsidRPr="00F00D94" w:rsidRDefault="00B96645" w:rsidP="00B9664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62A5A78A" w14:textId="77777777" w:rsidR="00B96645" w:rsidRPr="00F00D94" w:rsidRDefault="00B96645" w:rsidP="00B9664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08194243" w14:textId="1E051788" w:rsidR="00B96645" w:rsidRPr="007C0A04" w:rsidRDefault="00B96645" w:rsidP="00B96645">
            <w:pPr>
              <w:jc w:val="center"/>
              <w:rPr>
                <w:rFonts w:ascii="Arial" w:hAnsi="Arial" w:cs="Arial"/>
              </w:rPr>
            </w:pPr>
            <w:r w:rsidRPr="007C0A04">
              <w:rPr>
                <w:rFonts w:ascii="Arial" w:hAnsi="Arial" w:cs="Arial"/>
              </w:rPr>
              <w:t>5%</w:t>
            </w:r>
          </w:p>
        </w:tc>
      </w:tr>
      <w:tr w:rsidR="00B96645" w:rsidRPr="00F00D94" w14:paraId="7C12C092" w14:textId="77777777" w:rsidTr="00113513">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153EA526" w14:textId="7AB04C6C" w:rsidR="00B96645" w:rsidRDefault="00B96645" w:rsidP="00B96645">
            <w:pPr>
              <w:ind w:right="-90"/>
              <w:jc w:val="both"/>
              <w:rPr>
                <w:rFonts w:ascii="Arial" w:hAnsi="Arial" w:cs="Arial"/>
                <w:b/>
                <w:bCs/>
              </w:rPr>
            </w:pPr>
            <w:r>
              <w:rPr>
                <w:rFonts w:ascii="Arial" w:hAnsi="Arial" w:cs="Arial"/>
                <w:b/>
                <w:bCs/>
              </w:rPr>
              <w:t>N10</w:t>
            </w:r>
          </w:p>
        </w:tc>
        <w:tc>
          <w:tcPr>
            <w:tcW w:w="73" w:type="pct"/>
            <w:tcBorders>
              <w:top w:val="nil"/>
              <w:left w:val="nil"/>
              <w:bottom w:val="single" w:sz="4" w:space="0" w:color="auto"/>
              <w:right w:val="nil"/>
            </w:tcBorders>
            <w:shd w:val="clear" w:color="auto" w:fill="auto"/>
            <w:noWrap/>
          </w:tcPr>
          <w:p w14:paraId="1F525E4D" w14:textId="77777777" w:rsidR="00B96645" w:rsidRPr="00F00D94" w:rsidRDefault="00B96645" w:rsidP="00B96645">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454F746C" w14:textId="617FA006" w:rsidR="00B96645" w:rsidRDefault="00B96645" w:rsidP="00B96645">
            <w:pPr>
              <w:jc w:val="both"/>
              <w:rPr>
                <w:rFonts w:ascii="Arial" w:hAnsi="Arial" w:cs="Arial"/>
                <w:b/>
                <w:bCs/>
              </w:rPr>
            </w:pPr>
            <w:r>
              <w:rPr>
                <w:rFonts w:ascii="Arial" w:hAnsi="Arial" w:cs="Arial"/>
                <w:b/>
                <w:bCs/>
              </w:rPr>
              <w:t>Special Tests &amp; Provisions –</w:t>
            </w:r>
          </w:p>
          <w:p w14:paraId="35F86BFE" w14:textId="61DD331F" w:rsidR="00B96645" w:rsidRDefault="00B96645" w:rsidP="00B96645">
            <w:pPr>
              <w:jc w:val="both"/>
              <w:rPr>
                <w:rFonts w:ascii="Arial" w:hAnsi="Arial" w:cs="Arial"/>
                <w:b/>
                <w:bCs/>
              </w:rPr>
            </w:pPr>
            <w:r>
              <w:rPr>
                <w:rFonts w:ascii="Arial" w:hAnsi="Arial" w:cs="Arial"/>
                <w:b/>
                <w:bCs/>
              </w:rPr>
              <w:t>Program Eligibility</w:t>
            </w:r>
          </w:p>
        </w:tc>
        <w:tc>
          <w:tcPr>
            <w:tcW w:w="410" w:type="pct"/>
            <w:tcBorders>
              <w:top w:val="nil"/>
              <w:left w:val="nil"/>
              <w:bottom w:val="single" w:sz="4" w:space="0" w:color="auto"/>
              <w:right w:val="single" w:sz="4" w:space="0" w:color="auto"/>
            </w:tcBorders>
          </w:tcPr>
          <w:p w14:paraId="1653B5B5" w14:textId="202EC1D6" w:rsidR="00B96645" w:rsidRDefault="00B96645" w:rsidP="00B9664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246EB0B4" w14:textId="77777777" w:rsidR="00B96645" w:rsidRPr="00F00D94" w:rsidRDefault="00B96645" w:rsidP="00B96645">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457DBBF6" w14:textId="3CCF0296" w:rsidR="00B96645" w:rsidRPr="00430853" w:rsidRDefault="00B96645" w:rsidP="00B96645">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3A0ACA7" w14:textId="77777777" w:rsidR="00B96645" w:rsidRPr="00F00D94" w:rsidRDefault="00B96645" w:rsidP="00B9664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460C45CE" w14:textId="77777777" w:rsidR="00B96645" w:rsidRPr="00F00D94" w:rsidRDefault="00B96645" w:rsidP="00B9664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5FDEC015" w14:textId="77777777" w:rsidR="00B96645" w:rsidRPr="00F00D94" w:rsidRDefault="00B96645" w:rsidP="00B9664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7F7BD412" w14:textId="77777777" w:rsidR="00B96645" w:rsidRPr="00F00D94" w:rsidRDefault="00B96645" w:rsidP="00B9664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4C83ACB3" w14:textId="77777777" w:rsidR="00B96645" w:rsidRPr="00F00D94" w:rsidRDefault="00B96645" w:rsidP="00B9664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72853A19" w14:textId="62B1FB2C" w:rsidR="00B96645" w:rsidRPr="007C0A04" w:rsidRDefault="00B96645" w:rsidP="00B96645">
            <w:pPr>
              <w:jc w:val="center"/>
              <w:rPr>
                <w:rFonts w:ascii="Arial" w:hAnsi="Arial" w:cs="Arial"/>
              </w:rPr>
            </w:pPr>
            <w:r w:rsidRPr="007C0A04">
              <w:rPr>
                <w:rFonts w:ascii="Arial" w:hAnsi="Arial" w:cs="Arial"/>
              </w:rPr>
              <w:t>5%</w:t>
            </w:r>
          </w:p>
        </w:tc>
      </w:tr>
      <w:tr w:rsidR="00B96645" w:rsidRPr="00F00D94" w14:paraId="1A1ED579" w14:textId="77777777" w:rsidTr="00113513">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1F145939" w14:textId="5870B8B4" w:rsidR="00B96645" w:rsidRDefault="00B96645" w:rsidP="00B96645">
            <w:pPr>
              <w:ind w:right="-90"/>
              <w:jc w:val="both"/>
              <w:rPr>
                <w:rFonts w:ascii="Arial" w:hAnsi="Arial" w:cs="Arial"/>
                <w:b/>
                <w:bCs/>
              </w:rPr>
            </w:pPr>
            <w:r>
              <w:rPr>
                <w:rFonts w:ascii="Arial" w:hAnsi="Arial" w:cs="Arial"/>
                <w:b/>
                <w:bCs/>
              </w:rPr>
              <w:t>N11</w:t>
            </w:r>
          </w:p>
        </w:tc>
        <w:tc>
          <w:tcPr>
            <w:tcW w:w="73" w:type="pct"/>
            <w:tcBorders>
              <w:top w:val="nil"/>
              <w:left w:val="nil"/>
              <w:bottom w:val="single" w:sz="4" w:space="0" w:color="auto"/>
              <w:right w:val="nil"/>
            </w:tcBorders>
            <w:shd w:val="clear" w:color="auto" w:fill="auto"/>
            <w:noWrap/>
          </w:tcPr>
          <w:p w14:paraId="6AAFA8FC" w14:textId="77777777" w:rsidR="00B96645" w:rsidRPr="00F00D94" w:rsidRDefault="00B96645" w:rsidP="00B96645">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507187B2" w14:textId="088FBAA7" w:rsidR="00B96645" w:rsidRDefault="00B96645" w:rsidP="00B96645">
            <w:pPr>
              <w:jc w:val="both"/>
              <w:rPr>
                <w:rFonts w:ascii="Arial" w:hAnsi="Arial" w:cs="Arial"/>
                <w:b/>
                <w:bCs/>
              </w:rPr>
            </w:pPr>
            <w:r>
              <w:rPr>
                <w:rFonts w:ascii="Arial" w:hAnsi="Arial" w:cs="Arial"/>
                <w:b/>
                <w:bCs/>
              </w:rPr>
              <w:t>Special Tests &amp; Provisions –</w:t>
            </w:r>
          </w:p>
          <w:p w14:paraId="6FF2BE1C" w14:textId="038AA86C" w:rsidR="00B96645" w:rsidRDefault="00B96645" w:rsidP="00B96645">
            <w:pPr>
              <w:jc w:val="both"/>
              <w:rPr>
                <w:rFonts w:ascii="Arial" w:hAnsi="Arial" w:cs="Arial"/>
                <w:b/>
                <w:bCs/>
              </w:rPr>
            </w:pPr>
            <w:r>
              <w:rPr>
                <w:rFonts w:ascii="Arial" w:hAnsi="Arial" w:cs="Arial"/>
                <w:b/>
                <w:bCs/>
              </w:rPr>
              <w:t>Gramm-Leach-Bliley – Student Information Security</w:t>
            </w:r>
          </w:p>
        </w:tc>
        <w:tc>
          <w:tcPr>
            <w:tcW w:w="410" w:type="pct"/>
            <w:tcBorders>
              <w:top w:val="nil"/>
              <w:left w:val="nil"/>
              <w:bottom w:val="single" w:sz="4" w:space="0" w:color="auto"/>
              <w:right w:val="single" w:sz="4" w:space="0" w:color="auto"/>
            </w:tcBorders>
          </w:tcPr>
          <w:p w14:paraId="4E742DF5" w14:textId="77B985C6" w:rsidR="00B96645" w:rsidRDefault="00B96645" w:rsidP="00B9664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5A13FE86" w14:textId="77777777" w:rsidR="00B96645" w:rsidRPr="00F00D94" w:rsidRDefault="00B96645" w:rsidP="00B96645">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4C183172" w14:textId="234DE8AE" w:rsidR="00B96645" w:rsidRPr="00430853" w:rsidRDefault="00B96645" w:rsidP="00B96645">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72DC94A" w14:textId="77777777" w:rsidR="00B96645" w:rsidRPr="00F00D94" w:rsidRDefault="00B96645" w:rsidP="00B9664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129004C9" w14:textId="77777777" w:rsidR="00B96645" w:rsidRPr="00F00D94" w:rsidRDefault="00B96645" w:rsidP="00B9664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3A1451E3" w14:textId="77777777" w:rsidR="00B96645" w:rsidRPr="00F00D94" w:rsidRDefault="00B96645" w:rsidP="00B9664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38963427" w14:textId="77777777" w:rsidR="00B96645" w:rsidRPr="00F00D94" w:rsidRDefault="00B96645" w:rsidP="00B9664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755B88F7" w14:textId="77777777" w:rsidR="00B96645" w:rsidRPr="00F00D94" w:rsidRDefault="00B96645" w:rsidP="00B9664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53A272E6" w14:textId="793C28B4" w:rsidR="00B96645" w:rsidRPr="007C0A04" w:rsidRDefault="00B96645" w:rsidP="00B96645">
            <w:pPr>
              <w:jc w:val="center"/>
              <w:rPr>
                <w:rFonts w:ascii="Arial" w:hAnsi="Arial" w:cs="Arial"/>
              </w:rPr>
            </w:pPr>
            <w:r w:rsidRPr="007C0A04">
              <w:rPr>
                <w:rFonts w:ascii="Arial" w:hAnsi="Arial" w:cs="Arial"/>
              </w:rPr>
              <w:t>5%</w:t>
            </w:r>
          </w:p>
        </w:tc>
      </w:tr>
      <w:tr w:rsidR="00B96645" w:rsidRPr="00F00D94" w14:paraId="04C01117" w14:textId="77777777" w:rsidTr="00B96645">
        <w:trPr>
          <w:trHeight w:val="575"/>
        </w:trPr>
        <w:tc>
          <w:tcPr>
            <w:tcW w:w="163" w:type="pct"/>
            <w:tcBorders>
              <w:top w:val="nil"/>
              <w:left w:val="single" w:sz="4" w:space="0" w:color="auto"/>
              <w:bottom w:val="single" w:sz="4" w:space="0" w:color="auto"/>
              <w:right w:val="single" w:sz="4" w:space="0" w:color="auto"/>
            </w:tcBorders>
            <w:shd w:val="clear" w:color="auto" w:fill="auto"/>
            <w:noWrap/>
          </w:tcPr>
          <w:p w14:paraId="35E35394" w14:textId="7794D10E" w:rsidR="00B96645" w:rsidRDefault="00B96645" w:rsidP="00B96645">
            <w:pPr>
              <w:ind w:right="-90"/>
              <w:jc w:val="both"/>
              <w:rPr>
                <w:rFonts w:ascii="Arial" w:hAnsi="Arial" w:cs="Arial"/>
                <w:b/>
                <w:bCs/>
              </w:rPr>
            </w:pPr>
            <w:r>
              <w:rPr>
                <w:rFonts w:ascii="Arial" w:hAnsi="Arial" w:cs="Arial"/>
                <w:b/>
                <w:bCs/>
              </w:rPr>
              <w:t>N12</w:t>
            </w:r>
          </w:p>
        </w:tc>
        <w:tc>
          <w:tcPr>
            <w:tcW w:w="73" w:type="pct"/>
            <w:tcBorders>
              <w:top w:val="nil"/>
              <w:left w:val="nil"/>
              <w:bottom w:val="single" w:sz="4" w:space="0" w:color="auto"/>
              <w:right w:val="nil"/>
            </w:tcBorders>
            <w:shd w:val="clear" w:color="auto" w:fill="auto"/>
            <w:noWrap/>
          </w:tcPr>
          <w:p w14:paraId="6D0A20F7" w14:textId="77777777" w:rsidR="00B96645" w:rsidRPr="00F00D94" w:rsidRDefault="00B96645" w:rsidP="00B96645">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436FA043" w14:textId="77777777" w:rsidR="00B96645" w:rsidRDefault="00B96645" w:rsidP="00B96645">
            <w:pPr>
              <w:jc w:val="both"/>
              <w:rPr>
                <w:rFonts w:ascii="Arial" w:hAnsi="Arial" w:cs="Arial"/>
                <w:b/>
                <w:bCs/>
              </w:rPr>
            </w:pPr>
            <w:r>
              <w:rPr>
                <w:rFonts w:ascii="Arial" w:hAnsi="Arial" w:cs="Arial"/>
                <w:b/>
                <w:bCs/>
              </w:rPr>
              <w:t>Special Tests &amp; Provisions –</w:t>
            </w:r>
          </w:p>
          <w:p w14:paraId="389F9985" w14:textId="40993BB6" w:rsidR="00B96645" w:rsidRDefault="00B96645" w:rsidP="00B96645">
            <w:pPr>
              <w:jc w:val="both"/>
              <w:rPr>
                <w:rFonts w:ascii="Arial" w:hAnsi="Arial" w:cs="Arial"/>
                <w:b/>
                <w:bCs/>
              </w:rPr>
            </w:pPr>
            <w:r>
              <w:rPr>
                <w:rFonts w:ascii="Arial" w:hAnsi="Arial" w:cs="Arial"/>
                <w:b/>
                <w:bCs/>
              </w:rPr>
              <w:t>Federal Perkins Loan Liquidation</w:t>
            </w:r>
          </w:p>
        </w:tc>
        <w:tc>
          <w:tcPr>
            <w:tcW w:w="410" w:type="pct"/>
            <w:tcBorders>
              <w:top w:val="nil"/>
              <w:left w:val="nil"/>
              <w:bottom w:val="single" w:sz="4" w:space="0" w:color="auto"/>
              <w:right w:val="single" w:sz="4" w:space="0" w:color="auto"/>
            </w:tcBorders>
          </w:tcPr>
          <w:p w14:paraId="5DD14B79" w14:textId="14B9221C" w:rsidR="00B96645" w:rsidRDefault="00B96645" w:rsidP="00B9664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414937B9" w14:textId="14689A76" w:rsidR="00B96645" w:rsidRPr="00F00D94" w:rsidRDefault="00B96645" w:rsidP="00B96645">
            <w:pPr>
              <w:jc w:val="center"/>
              <w:rPr>
                <w:rFonts w:ascii="Arial" w:hAnsi="Arial" w:cs="Arial"/>
              </w:rPr>
            </w:pPr>
            <w:r>
              <w:rPr>
                <w:rFonts w:ascii="Arial" w:hAnsi="Arial" w:cs="Arial"/>
              </w:rPr>
              <w:t>No*</w:t>
            </w:r>
          </w:p>
        </w:tc>
        <w:tc>
          <w:tcPr>
            <w:tcW w:w="434" w:type="pct"/>
            <w:tcBorders>
              <w:top w:val="nil"/>
              <w:left w:val="nil"/>
              <w:bottom w:val="single" w:sz="4" w:space="0" w:color="auto"/>
              <w:right w:val="single" w:sz="4" w:space="0" w:color="auto"/>
            </w:tcBorders>
            <w:shd w:val="clear" w:color="auto" w:fill="7F7F7F" w:themeFill="text1" w:themeFillTint="80"/>
          </w:tcPr>
          <w:p w14:paraId="30EB9B16" w14:textId="76E65483" w:rsidR="00B96645" w:rsidRPr="00430853" w:rsidRDefault="00B96645" w:rsidP="00B96645">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9A95D87" w14:textId="77777777" w:rsidR="00B96645" w:rsidRPr="00F00D94" w:rsidRDefault="00B96645" w:rsidP="00B9664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175E945" w14:textId="77777777" w:rsidR="00B96645" w:rsidRPr="00F00D94" w:rsidRDefault="00B96645" w:rsidP="00B9664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382E51E" w14:textId="77777777" w:rsidR="00B96645" w:rsidRPr="00F00D94" w:rsidRDefault="00B96645" w:rsidP="00B9664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F9C7CB3" w14:textId="77777777" w:rsidR="00B96645" w:rsidRPr="00F00D94" w:rsidRDefault="00B96645" w:rsidP="00B9664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168BFD5" w14:textId="77777777" w:rsidR="00B96645" w:rsidRPr="00F00D94" w:rsidRDefault="00B96645" w:rsidP="00B9664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A94424B" w14:textId="71F8F545" w:rsidR="00B96645" w:rsidRPr="007C0A04" w:rsidRDefault="00B96645" w:rsidP="00B96645">
            <w:pPr>
              <w:jc w:val="center"/>
              <w:rPr>
                <w:rFonts w:ascii="Arial" w:hAnsi="Arial" w:cs="Arial"/>
              </w:rPr>
            </w:pPr>
          </w:p>
        </w:tc>
      </w:tr>
    </w:tbl>
    <w:p w14:paraId="68478A29" w14:textId="77777777" w:rsidR="007C0A04" w:rsidRDefault="007C0A04" w:rsidP="00D76F2F">
      <w:pPr>
        <w:spacing w:after="240"/>
        <w:jc w:val="both"/>
        <w:rPr>
          <w:rFonts w:ascii="Arial" w:hAnsi="Arial" w:cs="Arial"/>
          <w:b/>
        </w:rPr>
      </w:pPr>
    </w:p>
    <w:p w14:paraId="707FE227" w14:textId="1D9F1225" w:rsidR="00B96645" w:rsidRPr="007E4875" w:rsidRDefault="00B96645" w:rsidP="00B96645">
      <w:pPr>
        <w:spacing w:after="240"/>
        <w:jc w:val="both"/>
        <w:rPr>
          <w:rFonts w:ascii="Arial" w:hAnsi="Arial" w:cs="Arial"/>
          <w:i/>
          <w:color w:val="002060"/>
        </w:rPr>
      </w:pPr>
      <w:r>
        <w:rPr>
          <w:rFonts w:ascii="Arial" w:hAnsi="Arial" w:cs="Arial"/>
          <w:i/>
          <w:color w:val="002060"/>
        </w:rPr>
        <w:t xml:space="preserve">* These Special Tests and Provisions are applicable per the 2024 OMB Compliance Supplement; however, they are not included in this FACCR as they relate to programs other than the three programs this FACCR was written for as noted on page 1 (AL #84.007, AL #84.063, and AL #84.268). </w:t>
      </w: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8"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lastRenderedPageBreak/>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9"/>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EB6F53" w:rsidP="000104D2">
      <w:pPr>
        <w:pStyle w:val="BodyText"/>
        <w:ind w:right="115"/>
        <w:jc w:val="both"/>
        <w:rPr>
          <w:rFonts w:ascii="Arial" w:hAnsi="Arial" w:cs="Arial"/>
          <w:szCs w:val="20"/>
        </w:rPr>
      </w:pPr>
      <w:hyperlink r:id="rId30"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6355383"/>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240AA8D7" w14:textId="77777777" w:rsidR="009656BB" w:rsidRPr="00A0464C" w:rsidRDefault="009656BB" w:rsidP="006672EA">
      <w:pPr>
        <w:pStyle w:val="Heading3"/>
        <w:jc w:val="both"/>
        <w:rPr>
          <w:rFonts w:cs="Arial"/>
          <w:sz w:val="24"/>
          <w:szCs w:val="24"/>
        </w:rPr>
      </w:pPr>
      <w:bookmarkStart w:id="16" w:name="_Toc176355384"/>
      <w:r w:rsidRPr="00A0464C">
        <w:rPr>
          <w:rFonts w:cs="Arial"/>
          <w:sz w:val="24"/>
          <w:szCs w:val="24"/>
        </w:rPr>
        <w:t>I. Program Objectives</w:t>
      </w:r>
      <w:bookmarkEnd w:id="16"/>
    </w:p>
    <w:p w14:paraId="47FBF2E8" w14:textId="1FBC1D30" w:rsidR="009656BB" w:rsidRPr="00F00D94" w:rsidRDefault="000E63F5" w:rsidP="006672EA">
      <w:pPr>
        <w:spacing w:after="240"/>
        <w:jc w:val="both"/>
        <w:rPr>
          <w:rFonts w:ascii="Arial" w:hAnsi="Arial" w:cs="Arial"/>
          <w:bCs/>
        </w:rPr>
      </w:pPr>
      <w:r w:rsidRPr="000E63F5">
        <w:rPr>
          <w:rFonts w:ascii="Arial" w:hAnsi="Arial" w:cs="Arial"/>
          <w:bCs/>
        </w:rPr>
        <w:t>The objective of the student financial assistance (SFA) programs is to provide financial assistance to eligible students attending eligible institutions of postsecondary education.</w:t>
      </w:r>
    </w:p>
    <w:p w14:paraId="27A28DF7" w14:textId="45F4C773" w:rsidR="009656BB" w:rsidRPr="00F00D94" w:rsidRDefault="000E63F5" w:rsidP="006672EA">
      <w:pPr>
        <w:spacing w:after="240"/>
        <w:jc w:val="both"/>
        <w:rPr>
          <w:rFonts w:ascii="Arial" w:hAnsi="Arial" w:cs="Arial"/>
          <w:bCs/>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222D14D9" w14:textId="77777777" w:rsidR="009656BB" w:rsidRPr="00A0464C" w:rsidRDefault="009656BB" w:rsidP="006672EA">
      <w:pPr>
        <w:pStyle w:val="Heading3"/>
        <w:jc w:val="both"/>
        <w:rPr>
          <w:rFonts w:cs="Arial"/>
          <w:sz w:val="24"/>
          <w:szCs w:val="24"/>
        </w:rPr>
      </w:pPr>
      <w:bookmarkStart w:id="17" w:name="_Toc176355385"/>
      <w:r w:rsidRPr="00A0464C">
        <w:rPr>
          <w:rFonts w:cs="Arial"/>
          <w:sz w:val="24"/>
          <w:szCs w:val="24"/>
        </w:rPr>
        <w:t>II. Program Procedures</w:t>
      </w:r>
      <w:bookmarkEnd w:id="17"/>
    </w:p>
    <w:p w14:paraId="517B455A" w14:textId="6172FB2F" w:rsidR="000E63F5" w:rsidRPr="000E63F5" w:rsidRDefault="000E63F5" w:rsidP="000E63F5">
      <w:pPr>
        <w:spacing w:after="240"/>
        <w:jc w:val="both"/>
        <w:rPr>
          <w:rFonts w:ascii="Arial" w:hAnsi="Arial" w:cs="Arial"/>
          <w:b/>
        </w:rPr>
      </w:pPr>
      <w:r w:rsidRPr="000E63F5">
        <w:rPr>
          <w:rFonts w:ascii="Arial" w:hAnsi="Arial" w:cs="Arial"/>
          <w:b/>
        </w:rPr>
        <w:t>A.</w:t>
      </w:r>
      <w:r w:rsidRPr="000E63F5">
        <w:rPr>
          <w:rFonts w:ascii="Arial" w:hAnsi="Arial" w:cs="Arial"/>
          <w:b/>
        </w:rPr>
        <w:tab/>
        <w:t>Overview</w:t>
      </w:r>
    </w:p>
    <w:p w14:paraId="05DDE5EE" w14:textId="47B76355" w:rsidR="000E63F5" w:rsidRPr="000E63F5" w:rsidRDefault="000E63F5" w:rsidP="000E63F5">
      <w:pPr>
        <w:spacing w:after="240"/>
        <w:ind w:left="720"/>
        <w:jc w:val="both"/>
        <w:rPr>
          <w:rFonts w:ascii="Arial" w:hAnsi="Arial" w:cs="Arial"/>
          <w:bCs/>
        </w:rPr>
      </w:pPr>
      <w:r w:rsidRPr="000E63F5">
        <w:rPr>
          <w:rFonts w:ascii="Arial" w:hAnsi="Arial" w:cs="Arial"/>
          <w:bCs/>
        </w:rPr>
        <w:t>Institutions must apply to either the Secretary of Education (ED) or Secretary of Health and Human Services (HHS) to participate in their particular SFA programs. Some applications must be filed annually, others upon initial entry and once approved,</w:t>
      </w:r>
      <w:r>
        <w:rPr>
          <w:rFonts w:ascii="Arial" w:hAnsi="Arial" w:cs="Arial"/>
          <w:bCs/>
        </w:rPr>
        <w:t xml:space="preserve"> </w:t>
      </w:r>
      <w:r w:rsidRPr="000E63F5">
        <w:rPr>
          <w:rFonts w:ascii="Arial" w:hAnsi="Arial" w:cs="Arial"/>
          <w:bCs/>
        </w:rPr>
        <w:t>periodically thereafter. Institutions may be approved to participate in only one program or a combination of programs. Institutions are responsible for: (1) determining student eligibility; (2) verifying student data (when required); (3) calculating, as required, the amount of financial aid a student can receive;(4) drawing funds from the federal government and disbursing SFA funds to students directly or by crediting students’ accounts; (5) making borrowers aware of loan repayment responsibilities; (6) submitting, as requested, data on borrowers listed on National Student Loan Data System (NSLDS®) roster; (7) returning funds to students and Title IV programs, as appropriate, if students withdraw, drop out, or are expelled from their course of study; (8) collecting SFA overpayments; (9) establishing, maintaining, and managing (including collecting loan repayments) a revolving loan fund for applicable programs; and (10) reporting the use of funds. Institutions may contract with third-party servicers to perform many of these functions.</w:t>
      </w:r>
    </w:p>
    <w:p w14:paraId="71C91FA2" w14:textId="1DEFB9FF" w:rsidR="000E63F5" w:rsidRPr="000E63F5" w:rsidRDefault="000E63F5" w:rsidP="000E63F5">
      <w:pPr>
        <w:spacing w:after="240"/>
        <w:jc w:val="both"/>
        <w:rPr>
          <w:rFonts w:ascii="Arial" w:hAnsi="Arial" w:cs="Arial"/>
          <w:b/>
        </w:rPr>
      </w:pPr>
      <w:r w:rsidRPr="000E63F5">
        <w:rPr>
          <w:rFonts w:ascii="Arial" w:hAnsi="Arial" w:cs="Arial"/>
          <w:b/>
        </w:rPr>
        <w:t>B.</w:t>
      </w:r>
      <w:r w:rsidRPr="000E63F5">
        <w:rPr>
          <w:rFonts w:ascii="Arial" w:hAnsi="Arial" w:cs="Arial"/>
          <w:b/>
        </w:rPr>
        <w:tab/>
        <w:t>Title IV Programs - General</w:t>
      </w:r>
    </w:p>
    <w:p w14:paraId="71D3A525" w14:textId="59B9AB58" w:rsidR="000E63F5" w:rsidRPr="000E63F5" w:rsidRDefault="000E63F5" w:rsidP="000E63F5">
      <w:pPr>
        <w:spacing w:after="240"/>
        <w:ind w:left="720"/>
        <w:jc w:val="both"/>
        <w:rPr>
          <w:rFonts w:ascii="Arial" w:hAnsi="Arial" w:cs="Arial"/>
          <w:bCs/>
        </w:rPr>
      </w:pPr>
      <w:r w:rsidRPr="000E63F5">
        <w:rPr>
          <w:rFonts w:ascii="Arial" w:hAnsi="Arial" w:cs="Arial"/>
          <w:bCs/>
        </w:rPr>
        <w:t>The Title IV programs cited in this cluster that are administered by the Department of Education (ED) (those with Assistance Listings beginning with 84) are authorized by Title IV of the Higher Education Act of 1965, as amended (HEA), and collectively are referred to as the “Title IV programs.” Because they are administered at the institutional level, the Federal Perkins Loan Program, the Federal Work-Study Program, and Federal Supplemental Educational Opportunity Grant Program are referred to collectively as the “campus-based programs.”</w:t>
      </w:r>
    </w:p>
    <w:p w14:paraId="68DB61CB" w14:textId="0EA30AB5" w:rsidR="000E63F5" w:rsidRPr="000E63F5" w:rsidRDefault="000E63F5" w:rsidP="000E63F5">
      <w:pPr>
        <w:spacing w:after="240"/>
        <w:ind w:left="720"/>
        <w:jc w:val="both"/>
        <w:rPr>
          <w:rFonts w:ascii="Arial" w:hAnsi="Arial" w:cs="Arial"/>
          <w:bCs/>
        </w:rPr>
      </w:pPr>
      <w:r w:rsidRPr="000E63F5">
        <w:rPr>
          <w:rFonts w:ascii="Arial" w:hAnsi="Arial" w:cs="Arial"/>
          <w:bCs/>
        </w:rPr>
        <w:t>To participate in the Title IV programs, an institution must be an eligible institution. Public and non-profit institutions can qualify as an eligible institution of higher education (34 CFR 600.4) and/or an eligible postsecondary vocational institution (34 CFR 600.6). Depending on the programs offered by an institution, it can be considered both an institution of higher education and a postsecondary vocational institution and must meet the program eligibility requirements for the programs offered by a postsecondary vocational institution.</w:t>
      </w:r>
    </w:p>
    <w:p w14:paraId="4B6443E7" w14:textId="27C7EE3F" w:rsidR="000E63F5" w:rsidRPr="000E63F5" w:rsidRDefault="000E63F5" w:rsidP="000E63F5">
      <w:pPr>
        <w:spacing w:after="240"/>
        <w:ind w:left="720"/>
        <w:jc w:val="both"/>
        <w:rPr>
          <w:rFonts w:ascii="Arial" w:hAnsi="Arial" w:cs="Arial"/>
          <w:bCs/>
        </w:rPr>
      </w:pPr>
      <w:r w:rsidRPr="000E63F5">
        <w:rPr>
          <w:rFonts w:ascii="Arial" w:hAnsi="Arial" w:cs="Arial"/>
          <w:bCs/>
        </w:rPr>
        <w:t>For Title IV programs, students complete a paper or electronic application (Free Application for Federal Student Aid (FAFSA®) and send it to a central processor (a contractor of ED that administers the Federal Processing System). The central processor provides Student Aid Reports (SARs) to applicants and provides Institutional Student Information Records (ISIRs) to institutions. Among other things, the SAR contains the applicant’s Expected Family Contribution (EFC). The institution uses the ISIR or the SAR provided by the student to help determine student eligibility, award amounts, and disbursements. (Note: The central processor is a service organization of ED, not of the institution. Therefore, AU-C Section 402</w:t>
      </w:r>
      <w:r w:rsidRPr="00B129FA">
        <w:rPr>
          <w:rFonts w:ascii="Arial" w:hAnsi="Arial" w:cs="Arial"/>
          <w:bCs/>
          <w:i/>
          <w:iCs/>
        </w:rPr>
        <w:t>, Audit Considerations Relating to an Entity Using a Service Organization</w:t>
      </w:r>
      <w:r w:rsidRPr="000E63F5">
        <w:rPr>
          <w:rFonts w:ascii="Arial" w:hAnsi="Arial" w:cs="Arial"/>
          <w:bCs/>
        </w:rPr>
        <w:t>, does not apply when auditing the institution.)</w:t>
      </w:r>
    </w:p>
    <w:p w14:paraId="608DD7F9" w14:textId="77777777" w:rsidR="000E63F5" w:rsidRPr="000E63F5" w:rsidRDefault="000E63F5" w:rsidP="000E63F5">
      <w:pPr>
        <w:spacing w:after="240"/>
        <w:jc w:val="both"/>
        <w:rPr>
          <w:rFonts w:ascii="Arial" w:hAnsi="Arial" w:cs="Arial"/>
          <w:b/>
        </w:rPr>
      </w:pPr>
      <w:r w:rsidRPr="000E63F5">
        <w:rPr>
          <w:rFonts w:ascii="Arial" w:hAnsi="Arial" w:cs="Arial"/>
          <w:b/>
        </w:rPr>
        <w:t>C.</w:t>
      </w:r>
      <w:r w:rsidRPr="000E63F5">
        <w:rPr>
          <w:rFonts w:ascii="Arial" w:hAnsi="Arial" w:cs="Arial"/>
          <w:b/>
        </w:rPr>
        <w:tab/>
        <w:t>Federal Supplemental Educational Opportunity Grants (FSEOG) (Assistance Listing 84.007)</w:t>
      </w:r>
    </w:p>
    <w:p w14:paraId="3CA358A1" w14:textId="77777777" w:rsidR="000E63F5" w:rsidRPr="000E63F5" w:rsidRDefault="000E63F5" w:rsidP="000E63F5">
      <w:pPr>
        <w:spacing w:after="240"/>
        <w:jc w:val="both"/>
        <w:rPr>
          <w:rFonts w:ascii="Arial" w:hAnsi="Arial" w:cs="Arial"/>
          <w:bCs/>
        </w:rPr>
      </w:pPr>
    </w:p>
    <w:p w14:paraId="618BE4EA" w14:textId="77777777" w:rsidR="000E63F5" w:rsidRPr="000E63F5" w:rsidRDefault="000E63F5" w:rsidP="000E63F5">
      <w:pPr>
        <w:spacing w:after="240"/>
        <w:ind w:left="720"/>
        <w:jc w:val="both"/>
        <w:rPr>
          <w:rFonts w:ascii="Arial" w:hAnsi="Arial" w:cs="Arial"/>
          <w:bCs/>
        </w:rPr>
      </w:pPr>
      <w:r w:rsidRPr="000E63F5">
        <w:rPr>
          <w:rFonts w:ascii="Arial" w:hAnsi="Arial" w:cs="Arial"/>
          <w:bCs/>
        </w:rPr>
        <w:t>The FSEOG program provides grants to eligible undergraduate students. Priority is given to Pell recipients who have the lowest expected family contributions. Federal funds are matched with institutional funds (34 CFR 676.21(a) and (c Title III and Title V institutions may obtain a waiver of the matching requirement under 34 CFR 676.21(b) of the FSEOG regulations.</w:t>
      </w:r>
    </w:p>
    <w:p w14:paraId="15A680B8" w14:textId="43B5B637" w:rsidR="000E63F5" w:rsidRPr="000E63F5" w:rsidRDefault="000E63F5" w:rsidP="000E63F5">
      <w:pPr>
        <w:spacing w:after="240"/>
        <w:jc w:val="both"/>
        <w:rPr>
          <w:rFonts w:ascii="Arial" w:hAnsi="Arial" w:cs="Arial"/>
          <w:bCs/>
          <w:i/>
          <w:iCs/>
          <w:color w:val="002060"/>
        </w:rPr>
      </w:pPr>
      <w:r w:rsidRPr="000E63F5">
        <w:rPr>
          <w:rFonts w:ascii="Arial" w:hAnsi="Arial" w:cs="Arial"/>
          <w:bCs/>
          <w:i/>
          <w:iCs/>
          <w:color w:val="002060"/>
        </w:rPr>
        <w:t xml:space="preserve">D and E </w:t>
      </w:r>
      <w:r w:rsidR="00E156EF">
        <w:rPr>
          <w:rFonts w:ascii="Arial" w:hAnsi="Arial" w:cs="Arial"/>
          <w:bCs/>
          <w:i/>
          <w:iCs/>
          <w:color w:val="002060"/>
        </w:rPr>
        <w:t xml:space="preserve">Relate to </w:t>
      </w:r>
      <w:r w:rsidRPr="000E63F5">
        <w:rPr>
          <w:rFonts w:ascii="Arial" w:hAnsi="Arial" w:cs="Arial"/>
          <w:bCs/>
          <w:i/>
          <w:iCs/>
          <w:color w:val="002060"/>
        </w:rPr>
        <w:t>Programs Not Included in this FACCR</w:t>
      </w:r>
    </w:p>
    <w:p w14:paraId="5FAC65B5" w14:textId="252FFC9A" w:rsidR="000E63F5" w:rsidRPr="000E63F5" w:rsidRDefault="000E63F5" w:rsidP="000E63F5">
      <w:pPr>
        <w:spacing w:after="240"/>
        <w:jc w:val="both"/>
        <w:rPr>
          <w:rFonts w:ascii="Arial" w:hAnsi="Arial" w:cs="Arial"/>
          <w:b/>
        </w:rPr>
      </w:pPr>
      <w:r w:rsidRPr="000E63F5">
        <w:rPr>
          <w:rFonts w:ascii="Arial" w:hAnsi="Arial" w:cs="Arial"/>
          <w:b/>
        </w:rPr>
        <w:t>F.</w:t>
      </w:r>
      <w:r w:rsidRPr="000E63F5">
        <w:rPr>
          <w:rFonts w:ascii="Arial" w:hAnsi="Arial" w:cs="Arial"/>
          <w:b/>
        </w:rPr>
        <w:tab/>
        <w:t>Federal Pell Grant (Pell) (Assistance Listing 84.063)</w:t>
      </w:r>
    </w:p>
    <w:p w14:paraId="2C904115" w14:textId="236406B7" w:rsidR="000E63F5" w:rsidRPr="000E63F5" w:rsidRDefault="000E63F5" w:rsidP="000E63F5">
      <w:pPr>
        <w:spacing w:after="240"/>
        <w:ind w:left="720"/>
        <w:jc w:val="both"/>
        <w:rPr>
          <w:rFonts w:ascii="Arial" w:hAnsi="Arial" w:cs="Arial"/>
          <w:bCs/>
        </w:rPr>
      </w:pPr>
      <w:r w:rsidRPr="000E63F5">
        <w:rPr>
          <w:rFonts w:ascii="Arial" w:hAnsi="Arial" w:cs="Arial"/>
          <w:bCs/>
        </w:rPr>
        <w:t>The Federal Pell Grant program provides grants to eligible students enrolled in eligible undergraduate programs and certain eligible post-baccalaureate teacher certificate programs and is intended to provide a foundation of financial aid. The program is administered by ED and postsecondary educational institutions. Maximum and minimum Pell Grant awards are established by statute, but the amount for which each student is eligible is based on Pell Grant Payment and Disbursement Schedules published every year by ED. ED provides funds to the institution based on actual and estimated Pell expenditures.</w:t>
      </w:r>
    </w:p>
    <w:p w14:paraId="4BE03B13" w14:textId="335FDAB0" w:rsidR="000E63F5" w:rsidRPr="000E63F5" w:rsidRDefault="000E63F5" w:rsidP="000E63F5">
      <w:pPr>
        <w:spacing w:after="240"/>
        <w:ind w:left="720" w:hanging="720"/>
        <w:jc w:val="both"/>
        <w:rPr>
          <w:rFonts w:ascii="Arial" w:hAnsi="Arial" w:cs="Arial"/>
          <w:b/>
        </w:rPr>
      </w:pPr>
      <w:r w:rsidRPr="000E63F5">
        <w:rPr>
          <w:rFonts w:ascii="Arial" w:hAnsi="Arial" w:cs="Arial"/>
          <w:b/>
        </w:rPr>
        <w:t>G.</w:t>
      </w:r>
      <w:r w:rsidRPr="000E63F5">
        <w:rPr>
          <w:rFonts w:ascii="Arial" w:hAnsi="Arial" w:cs="Arial"/>
          <w:b/>
        </w:rPr>
        <w:tab/>
        <w:t>William D. Ford Federal Direct Loans (Direct Loan) (Assistance Listing 84.268) (Includes Direct Subsidized, Direct Unsubsidized, and Direct PLUS loans)</w:t>
      </w:r>
    </w:p>
    <w:p w14:paraId="7447349F" w14:textId="77777777" w:rsidR="000E63F5" w:rsidRPr="000E63F5" w:rsidRDefault="000E63F5" w:rsidP="000E63F5">
      <w:pPr>
        <w:spacing w:after="240"/>
        <w:ind w:left="720"/>
        <w:jc w:val="both"/>
        <w:rPr>
          <w:rFonts w:ascii="Arial" w:hAnsi="Arial" w:cs="Arial"/>
          <w:bCs/>
        </w:rPr>
      </w:pPr>
      <w:r w:rsidRPr="000E63F5">
        <w:rPr>
          <w:rFonts w:ascii="Arial" w:hAnsi="Arial" w:cs="Arial"/>
          <w:bCs/>
        </w:rPr>
        <w:t>The Direct Loan Program makes Direct Subsidized Loans for eligible undergraduate students and Direct Unsubsidized Loans to all eligible students, and Direct PLUS Loans to eligible graduate or professional students or to eligible parents of dependent undergraduate students, to pay for the cost of attending postsecondary educational institutions. Direct Loans are made by the Secretary of Education. The student’s SAR or ISIR, along with other information, is used by the institution to originate a student’s Direct Loan. The financial aid administrator is also required to provide and confirm certain information.</w:t>
      </w:r>
    </w:p>
    <w:p w14:paraId="6ABAA71A" w14:textId="5CB71E5F" w:rsidR="000E63F5" w:rsidRPr="000E63F5" w:rsidRDefault="000E63F5" w:rsidP="000E63F5">
      <w:pPr>
        <w:spacing w:after="240"/>
        <w:jc w:val="both"/>
        <w:rPr>
          <w:rFonts w:ascii="Arial" w:hAnsi="Arial" w:cs="Arial"/>
          <w:bCs/>
          <w:i/>
          <w:iCs/>
          <w:color w:val="002060"/>
        </w:rPr>
      </w:pPr>
      <w:r w:rsidRPr="000E63F5">
        <w:rPr>
          <w:rFonts w:ascii="Arial" w:hAnsi="Arial" w:cs="Arial"/>
          <w:bCs/>
          <w:i/>
          <w:iCs/>
          <w:color w:val="002060"/>
        </w:rPr>
        <w:t xml:space="preserve">H-L </w:t>
      </w:r>
      <w:r w:rsidR="00E156EF">
        <w:rPr>
          <w:rFonts w:ascii="Arial" w:hAnsi="Arial" w:cs="Arial"/>
          <w:bCs/>
          <w:i/>
          <w:iCs/>
          <w:color w:val="002060"/>
        </w:rPr>
        <w:t xml:space="preserve">Relate to </w:t>
      </w:r>
      <w:r w:rsidRPr="000E63F5">
        <w:rPr>
          <w:rFonts w:ascii="Arial" w:hAnsi="Arial" w:cs="Arial"/>
          <w:bCs/>
          <w:i/>
          <w:iCs/>
          <w:color w:val="002060"/>
        </w:rPr>
        <w:t>Programs Not Included in this FACCR</w:t>
      </w:r>
    </w:p>
    <w:p w14:paraId="3D7F8C06" w14:textId="7EF2AC8E" w:rsidR="009656BB" w:rsidRDefault="000E63F5" w:rsidP="00740C6F">
      <w:pPr>
        <w:spacing w:after="240"/>
        <w:jc w:val="both"/>
        <w:rPr>
          <w:rFonts w:ascii="Arial" w:hAnsi="Arial" w:cs="Arial"/>
          <w:bCs/>
          <w:i/>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196B1225" w14:textId="7D8B8A0E" w:rsidR="000E63F5" w:rsidRPr="000E63F5" w:rsidRDefault="000E63F5" w:rsidP="00740C6F">
      <w:pPr>
        <w:spacing w:after="240"/>
        <w:jc w:val="both"/>
        <w:rPr>
          <w:rFonts w:ascii="Arial" w:hAnsi="Arial" w:cs="Arial"/>
          <w:bCs/>
          <w:i/>
          <w:iCs/>
        </w:rPr>
      </w:pPr>
      <w:r w:rsidRPr="00DB4FCC">
        <w:rPr>
          <w:rFonts w:ascii="Arial" w:hAnsi="Arial" w:cs="Arial"/>
          <w:bCs/>
          <w:i/>
          <w:iCs/>
          <w:color w:val="002060"/>
        </w:rPr>
        <w:t>The central processor is a service organization of the Department of Education, not of the schools. Therefore, SSAE 16 does not apply to this system when auditing the schools.</w:t>
      </w:r>
    </w:p>
    <w:p w14:paraId="612B87C9" w14:textId="77777777" w:rsidR="009656BB" w:rsidRPr="00A0464C" w:rsidRDefault="009656BB" w:rsidP="006672EA">
      <w:pPr>
        <w:pStyle w:val="Heading3"/>
        <w:jc w:val="both"/>
        <w:rPr>
          <w:rFonts w:cs="Arial"/>
          <w:sz w:val="24"/>
          <w:szCs w:val="24"/>
        </w:rPr>
      </w:pPr>
      <w:bookmarkStart w:id="18" w:name="_Toc176355386"/>
      <w:r w:rsidRPr="00A0464C">
        <w:rPr>
          <w:rFonts w:cs="Arial"/>
          <w:sz w:val="24"/>
          <w:szCs w:val="24"/>
        </w:rPr>
        <w:t>III. Source of Governing Requirements</w:t>
      </w:r>
      <w:bookmarkEnd w:id="18"/>
    </w:p>
    <w:p w14:paraId="1F093FEE" w14:textId="543A0BDC" w:rsidR="000E63F5" w:rsidRPr="000E63F5" w:rsidRDefault="000E63F5" w:rsidP="000E63F5">
      <w:pPr>
        <w:spacing w:after="240"/>
        <w:jc w:val="both"/>
        <w:rPr>
          <w:rFonts w:ascii="Arial" w:hAnsi="Arial" w:cs="Arial"/>
          <w:bCs/>
        </w:rPr>
      </w:pPr>
      <w:r w:rsidRPr="000E63F5">
        <w:rPr>
          <w:rFonts w:ascii="Arial" w:hAnsi="Arial" w:cs="Arial"/>
          <w:bCs/>
        </w:rPr>
        <w:t>The ED programs are authorized by Title IV of the Higher Education Act (HEA) of 1965, as amended (20 USC 1001 et seq.). The regulations are found in 34 CFR 600 and 668-690.</w:t>
      </w:r>
    </w:p>
    <w:p w14:paraId="05B90F53" w14:textId="7A9B8F4E" w:rsidR="006F570B" w:rsidRPr="00F00D94" w:rsidRDefault="000E63F5" w:rsidP="006672EA">
      <w:pPr>
        <w:spacing w:after="240"/>
        <w:jc w:val="both"/>
        <w:rPr>
          <w:rFonts w:ascii="Arial" w:hAnsi="Arial" w:cs="Arial"/>
          <w:bCs/>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278D98F4" w14:textId="77777777" w:rsidR="006F570B" w:rsidRPr="00A0464C" w:rsidRDefault="00386445" w:rsidP="006672EA">
      <w:pPr>
        <w:pStyle w:val="Heading3"/>
        <w:jc w:val="both"/>
        <w:rPr>
          <w:rFonts w:cs="Arial"/>
          <w:sz w:val="24"/>
          <w:szCs w:val="24"/>
        </w:rPr>
      </w:pPr>
      <w:bookmarkStart w:id="19" w:name="_Toc176355387"/>
      <w:r w:rsidRPr="00A0464C">
        <w:rPr>
          <w:rFonts w:cs="Arial"/>
          <w:sz w:val="24"/>
          <w:szCs w:val="24"/>
        </w:rPr>
        <w:t xml:space="preserve">IV. </w:t>
      </w:r>
      <w:r w:rsidR="009C1FCD" w:rsidRPr="00A0464C">
        <w:rPr>
          <w:rFonts w:cs="Arial"/>
          <w:sz w:val="24"/>
          <w:szCs w:val="24"/>
        </w:rPr>
        <w:t>Other Information</w:t>
      </w:r>
      <w:bookmarkEnd w:id="19"/>
    </w:p>
    <w:p w14:paraId="23D21DD3" w14:textId="4E2326FF" w:rsidR="000E56D1" w:rsidRPr="000E56D1" w:rsidRDefault="000E56D1" w:rsidP="000E56D1">
      <w:pPr>
        <w:spacing w:after="240"/>
        <w:jc w:val="both"/>
        <w:rPr>
          <w:rFonts w:ascii="Arial" w:hAnsi="Arial" w:cs="Arial"/>
          <w:bCs/>
        </w:rPr>
      </w:pPr>
      <w:r w:rsidRPr="000E56D1">
        <w:rPr>
          <w:rFonts w:ascii="Arial" w:hAnsi="Arial" w:cs="Arial"/>
          <w:bCs/>
        </w:rPr>
        <w:t>While the programs included in this cluster are generally similar in their intent, administration, documentation, etc., there are differences among them. Because of space considerations, this cluster supplement does not list all of the differences, exceptions to general rules or nuances pertaining to specific programs. Auditors should use regulations and guidance applicable to the year(s) being audited when auditing the SFA programs.</w:t>
      </w:r>
    </w:p>
    <w:p w14:paraId="75343F0E" w14:textId="276F3F6B" w:rsidR="000E56D1" w:rsidRPr="000E56D1" w:rsidRDefault="000E56D1" w:rsidP="000E56D1">
      <w:pPr>
        <w:spacing w:after="240"/>
        <w:jc w:val="both"/>
        <w:rPr>
          <w:rFonts w:ascii="Arial" w:hAnsi="Arial" w:cs="Arial"/>
          <w:bCs/>
          <w:i/>
          <w:iCs/>
        </w:rPr>
      </w:pPr>
      <w:r w:rsidRPr="000E56D1">
        <w:rPr>
          <w:rFonts w:ascii="Arial" w:hAnsi="Arial" w:cs="Arial"/>
          <w:bCs/>
          <w:i/>
          <w:iCs/>
        </w:rPr>
        <w:t>SFA - Title IV Programs</w:t>
      </w:r>
    </w:p>
    <w:p w14:paraId="478D4C26" w14:textId="03A022A3" w:rsidR="000E56D1" w:rsidRPr="000E56D1" w:rsidRDefault="000E56D1" w:rsidP="000E56D1">
      <w:pPr>
        <w:spacing w:after="240"/>
        <w:jc w:val="both"/>
        <w:rPr>
          <w:rFonts w:ascii="Arial" w:hAnsi="Arial" w:cs="Arial"/>
          <w:bCs/>
        </w:rPr>
      </w:pPr>
      <w:r w:rsidRPr="000E56D1">
        <w:rPr>
          <w:rFonts w:ascii="Arial" w:hAnsi="Arial" w:cs="Arial"/>
          <w:bCs/>
        </w:rPr>
        <w:lastRenderedPageBreak/>
        <w:t>All Pell Payment Data for an award year must be submitted by September 30 after the award year. Adjustments for Pell grants not claimed by September 30 can be made if the first audit report for the period in which the unclaimed Pell grants were made contains a finding that the institution made proper Pell awards for which it has not received either reimbursement or credit.</w:t>
      </w:r>
    </w:p>
    <w:p w14:paraId="12AF27F2" w14:textId="77777777" w:rsidR="000E56D1" w:rsidRPr="000E56D1" w:rsidRDefault="000E56D1" w:rsidP="000E56D1">
      <w:pPr>
        <w:spacing w:after="240"/>
        <w:jc w:val="both"/>
        <w:rPr>
          <w:rFonts w:ascii="Arial" w:hAnsi="Arial" w:cs="Arial"/>
          <w:bCs/>
          <w:i/>
          <w:iCs/>
        </w:rPr>
      </w:pPr>
      <w:r w:rsidRPr="000E56D1">
        <w:rPr>
          <w:rFonts w:ascii="Arial" w:hAnsi="Arial" w:cs="Arial"/>
          <w:bCs/>
          <w:i/>
          <w:iCs/>
        </w:rPr>
        <w:t>Upcoming 2024-25 changes due to the FAFSA Simplification Act</w:t>
      </w:r>
    </w:p>
    <w:p w14:paraId="649C3618" w14:textId="77777777" w:rsidR="000E56D1" w:rsidRPr="000E56D1" w:rsidRDefault="000E56D1" w:rsidP="000E56D1">
      <w:pPr>
        <w:spacing w:after="240"/>
        <w:jc w:val="both"/>
        <w:rPr>
          <w:rFonts w:ascii="Arial" w:hAnsi="Arial" w:cs="Arial"/>
          <w:bCs/>
        </w:rPr>
      </w:pPr>
      <w:r w:rsidRPr="000E56D1">
        <w:rPr>
          <w:rFonts w:ascii="Arial" w:hAnsi="Arial" w:cs="Arial"/>
          <w:bCs/>
        </w:rPr>
        <w:t>Significant changes to the needs analysis process (Student Aid Index) and Pell Grant eligibility determinations will take place in the 2024-2025 award year which may be important for any later starting fiscal years that overlap into the 2024-25 award year.</w:t>
      </w:r>
    </w:p>
    <w:p w14:paraId="57D425FC" w14:textId="77777777" w:rsidR="000E56D1" w:rsidRPr="000E56D1" w:rsidRDefault="000E56D1" w:rsidP="000E56D1">
      <w:pPr>
        <w:spacing w:after="240"/>
        <w:jc w:val="both"/>
        <w:rPr>
          <w:rFonts w:ascii="Arial" w:hAnsi="Arial" w:cs="Arial"/>
          <w:bCs/>
        </w:rPr>
      </w:pPr>
      <w:r w:rsidRPr="000E56D1">
        <w:rPr>
          <w:rFonts w:ascii="Arial" w:hAnsi="Arial" w:cs="Arial"/>
          <w:bCs/>
        </w:rPr>
        <w:t>Important resources to consider for these changes in 2024-25 include:</w:t>
      </w:r>
    </w:p>
    <w:p w14:paraId="00C22AA3" w14:textId="768EA433" w:rsidR="000E56D1" w:rsidRPr="000E56D1" w:rsidRDefault="000E56D1" w:rsidP="000E56D1">
      <w:pPr>
        <w:spacing w:after="240"/>
        <w:jc w:val="both"/>
        <w:rPr>
          <w:rFonts w:ascii="Arial" w:hAnsi="Arial" w:cs="Arial"/>
          <w:bCs/>
        </w:rPr>
      </w:pPr>
      <w:r w:rsidRPr="000E56D1">
        <w:rPr>
          <w:rFonts w:ascii="Arial" w:hAnsi="Arial" w:cs="Arial"/>
          <w:bCs/>
        </w:rPr>
        <w:t>•</w:t>
      </w:r>
      <w:r w:rsidRPr="000E56D1">
        <w:rPr>
          <w:rFonts w:ascii="Arial" w:hAnsi="Arial" w:cs="Arial"/>
          <w:bCs/>
        </w:rPr>
        <w:tab/>
      </w:r>
      <w:hyperlink r:id="rId31" w:history="1">
        <w:r w:rsidRPr="000E56D1">
          <w:rPr>
            <w:rStyle w:val="Hyperlink"/>
            <w:rFonts w:cs="Arial"/>
            <w:bCs/>
          </w:rPr>
          <w:t>GEN-23-11</w:t>
        </w:r>
      </w:hyperlink>
      <w:r w:rsidRPr="000E56D1">
        <w:rPr>
          <w:rFonts w:ascii="Arial" w:hAnsi="Arial" w:cs="Arial"/>
          <w:bCs/>
        </w:rPr>
        <w:t xml:space="preserve">; </w:t>
      </w:r>
      <w:hyperlink r:id="rId32" w:history="1">
        <w:r w:rsidRPr="008B1B92">
          <w:rPr>
            <w:rStyle w:val="Hyperlink"/>
            <w:rFonts w:cs="Arial"/>
            <w:bCs/>
          </w:rPr>
          <w:t>Draft 2024-25 FAFSA Specifications Guide</w:t>
        </w:r>
      </w:hyperlink>
      <w:r w:rsidRPr="000E56D1">
        <w:rPr>
          <w:rFonts w:ascii="Arial" w:hAnsi="Arial" w:cs="Arial"/>
          <w:bCs/>
        </w:rPr>
        <w:t>;</w:t>
      </w:r>
    </w:p>
    <w:p w14:paraId="33EA6CE2" w14:textId="17B59CB9" w:rsidR="000E56D1" w:rsidRPr="000E56D1" w:rsidRDefault="000E56D1" w:rsidP="000E56D1">
      <w:pPr>
        <w:spacing w:after="240"/>
        <w:jc w:val="both"/>
        <w:rPr>
          <w:rFonts w:ascii="Arial" w:hAnsi="Arial" w:cs="Arial"/>
          <w:bCs/>
        </w:rPr>
      </w:pPr>
      <w:r w:rsidRPr="000E56D1">
        <w:rPr>
          <w:rFonts w:ascii="Arial" w:hAnsi="Arial" w:cs="Arial"/>
          <w:bCs/>
        </w:rPr>
        <w:t>•</w:t>
      </w:r>
      <w:r w:rsidRPr="000E56D1">
        <w:rPr>
          <w:rFonts w:ascii="Arial" w:hAnsi="Arial" w:cs="Arial"/>
          <w:bCs/>
        </w:rPr>
        <w:tab/>
      </w:r>
      <w:hyperlink r:id="rId33" w:history="1">
        <w:r w:rsidRPr="008B1B92">
          <w:rPr>
            <w:rStyle w:val="Hyperlink"/>
            <w:rFonts w:cs="Arial"/>
            <w:bCs/>
          </w:rPr>
          <w:t>2024-25 Draft SAI and Pell Grant Eligibility Guide</w:t>
        </w:r>
      </w:hyperlink>
      <w:r w:rsidRPr="000E56D1">
        <w:rPr>
          <w:rFonts w:ascii="Arial" w:hAnsi="Arial" w:cs="Arial"/>
          <w:bCs/>
        </w:rPr>
        <w:t>;</w:t>
      </w:r>
    </w:p>
    <w:p w14:paraId="435FE063" w14:textId="77777777" w:rsidR="000E56D1" w:rsidRPr="000E56D1" w:rsidRDefault="000E56D1" w:rsidP="000E56D1">
      <w:pPr>
        <w:spacing w:after="240"/>
        <w:jc w:val="both"/>
        <w:rPr>
          <w:rFonts w:ascii="Arial" w:hAnsi="Arial" w:cs="Arial"/>
          <w:bCs/>
        </w:rPr>
      </w:pPr>
      <w:r w:rsidRPr="000E56D1">
        <w:rPr>
          <w:rFonts w:ascii="Arial" w:hAnsi="Arial" w:cs="Arial"/>
          <w:bCs/>
        </w:rPr>
        <w:t>•</w:t>
      </w:r>
      <w:r w:rsidRPr="000E56D1">
        <w:rPr>
          <w:rFonts w:ascii="Arial" w:hAnsi="Arial" w:cs="Arial"/>
          <w:bCs/>
        </w:rPr>
        <w:tab/>
        <w:t>2024-25 FSA Handbook Application and Verification Guide (AVG) when published; and</w:t>
      </w:r>
    </w:p>
    <w:p w14:paraId="41DBDE97" w14:textId="5030037A" w:rsidR="000E56D1" w:rsidRPr="000E56D1" w:rsidRDefault="000E56D1" w:rsidP="000E56D1">
      <w:pPr>
        <w:spacing w:after="240"/>
        <w:jc w:val="both"/>
        <w:rPr>
          <w:rFonts w:ascii="Arial" w:hAnsi="Arial" w:cs="Arial"/>
          <w:bCs/>
        </w:rPr>
      </w:pPr>
      <w:r w:rsidRPr="000E56D1">
        <w:rPr>
          <w:rFonts w:ascii="Arial" w:hAnsi="Arial" w:cs="Arial"/>
          <w:bCs/>
        </w:rPr>
        <w:t>•</w:t>
      </w:r>
      <w:r w:rsidRPr="000E56D1">
        <w:rPr>
          <w:rFonts w:ascii="Arial" w:hAnsi="Arial" w:cs="Arial"/>
          <w:bCs/>
        </w:rPr>
        <w:tab/>
        <w:t>2024-25 FSA Handbook Volume 7 when published</w:t>
      </w:r>
    </w:p>
    <w:p w14:paraId="0E518F12" w14:textId="46B5A731" w:rsidR="000E63F5" w:rsidRDefault="000E63F5" w:rsidP="000E63F5">
      <w:pPr>
        <w:spacing w:after="240"/>
        <w:jc w:val="both"/>
        <w:rPr>
          <w:rFonts w:ascii="Arial" w:hAnsi="Arial" w:cs="Arial"/>
          <w:b/>
        </w:rPr>
      </w:pPr>
      <w:r>
        <w:rPr>
          <w:rFonts w:ascii="Arial" w:hAnsi="Arial" w:cs="Arial"/>
          <w:b/>
        </w:rPr>
        <w:t>Sampling for Audits of Institutions for which SFA is Identified as a Major Program</w:t>
      </w:r>
    </w:p>
    <w:p w14:paraId="5747C1B4" w14:textId="3896A5A5" w:rsidR="000E63F5" w:rsidRPr="000E63F5" w:rsidRDefault="000E63F5" w:rsidP="000E63F5">
      <w:pPr>
        <w:spacing w:after="240"/>
        <w:jc w:val="both"/>
        <w:rPr>
          <w:rFonts w:ascii="Arial" w:hAnsi="Arial" w:cs="Arial"/>
          <w:bCs/>
        </w:rPr>
      </w:pPr>
      <w:r w:rsidRPr="000E63F5">
        <w:rPr>
          <w:rFonts w:ascii="Arial" w:hAnsi="Arial" w:cs="Arial"/>
          <w:bCs/>
        </w:rPr>
        <w:t>For institutions where SFA is identified as a major program, when drawing sample items for testing compliance in student populations of 250 items or greater for Eligibility, Verification, Disbursements to or on Behalf of Students and Return of Title IV Funds, auditors must draw samples using a sampling methodology that incorporates a desired level of assurance (confidence level) and expected exception rate. If student-level sampling is performed for Cash Management, samples from student populations of 250 items or greater must also be drawn using a sampling methodology that incorporates a desired level of assurance (confidence level) and expected exception rate. Examples of acceptable methodologies can be found in the AICPA Audit Guide (Guide) Government Auditing Standards and Single Audits, among other sources, along with examples of sampling approaches for population of less than 250. See further information about this Guide and other sources in Part 8, Appendix VII, item VI – Audit Sampling of the Compliance Supplement. Samples should be representative of the populations from which they are selected and thus the results can be projected to the population and used to draw conclusions.</w:t>
      </w:r>
    </w:p>
    <w:p w14:paraId="647E98E7" w14:textId="734C68CC" w:rsidR="000E63F5" w:rsidRPr="000E63F5" w:rsidRDefault="000E63F5" w:rsidP="000E63F5">
      <w:pPr>
        <w:spacing w:after="240"/>
        <w:jc w:val="both"/>
        <w:rPr>
          <w:rFonts w:ascii="Arial" w:hAnsi="Arial" w:cs="Arial"/>
          <w:b/>
        </w:rPr>
      </w:pPr>
      <w:r w:rsidRPr="000E63F5">
        <w:rPr>
          <w:rFonts w:ascii="Arial" w:hAnsi="Arial" w:cs="Arial"/>
          <w:b/>
        </w:rPr>
        <w:t>Required Information for the Pell Grant and Direct Loan Programs</w:t>
      </w:r>
    </w:p>
    <w:p w14:paraId="4E13E71D" w14:textId="1EBECA84" w:rsidR="000E63F5" w:rsidRPr="000E63F5" w:rsidRDefault="000E63F5" w:rsidP="000E63F5">
      <w:pPr>
        <w:spacing w:after="240"/>
        <w:jc w:val="both"/>
        <w:rPr>
          <w:rFonts w:ascii="Arial" w:hAnsi="Arial" w:cs="Arial"/>
          <w:bCs/>
        </w:rPr>
      </w:pPr>
      <w:r w:rsidRPr="000E63F5">
        <w:rPr>
          <w:rFonts w:ascii="Arial" w:hAnsi="Arial" w:cs="Arial"/>
          <w:bCs/>
        </w:rPr>
        <w:t>The Pell Grant and Direct Loan programs have been designated as programs susceptible to significant improper payments. As such, ED needs information concerning the audit sample to understand more fully the results of the audit and identify ways that ED can work with institutions to reduce improper payments. ED has concluded that the audit access provisions in 2 CFR 200.517(b) and Title IV regulations at 34 CFR 668.23(e)(1)(ii) give it the authority to collect certain information from the single audit in order for ED to carry out its oversight responsibilities with regard to improper payments. Therefore, when auditors are testing the SFA cluster as a major program, auditors must prepare the information described below in items 1, 2, and 3. See specific guidance below related to ED’s request for the information in item 4.</w:t>
      </w:r>
    </w:p>
    <w:p w14:paraId="7B3F2BD5" w14:textId="4EB053CF" w:rsidR="000E63F5" w:rsidRPr="000E63F5" w:rsidRDefault="000E63F5" w:rsidP="000E63F5">
      <w:pPr>
        <w:spacing w:after="240"/>
        <w:jc w:val="both"/>
        <w:rPr>
          <w:rFonts w:ascii="Arial" w:hAnsi="Arial" w:cs="Arial"/>
          <w:bCs/>
        </w:rPr>
      </w:pPr>
      <w:r w:rsidRPr="000E63F5">
        <w:rPr>
          <w:rFonts w:ascii="Arial" w:hAnsi="Arial" w:cs="Arial"/>
          <w:bCs/>
        </w:rPr>
        <w:t xml:space="preserve">Auditors must provide this information directly to Federal Student Aid, Director, Financial Management Group, at </w:t>
      </w:r>
      <w:hyperlink r:id="rId34" w:history="1">
        <w:r w:rsidRPr="000E63F5">
          <w:rPr>
            <w:rStyle w:val="Hyperlink"/>
            <w:rFonts w:cs="Arial"/>
            <w:bCs/>
          </w:rPr>
          <w:t>FSAPellandDLReporting@ed.gov</w:t>
        </w:r>
      </w:hyperlink>
      <w:r w:rsidRPr="000E63F5">
        <w:rPr>
          <w:rFonts w:ascii="Arial" w:hAnsi="Arial" w:cs="Arial"/>
          <w:bCs/>
        </w:rPr>
        <w:t xml:space="preserve">, no later than 60 days after the Data Collection Form and reporting package are submitted to the Federal Audit Clearinghouse. A template is available on the following ED website to facilitate communication of this information: </w:t>
      </w:r>
      <w:hyperlink r:id="rId35" w:history="1">
        <w:r w:rsidRPr="000E63F5">
          <w:rPr>
            <w:rStyle w:val="Hyperlink"/>
            <w:rFonts w:cs="Arial"/>
            <w:bCs/>
          </w:rPr>
          <w:t>https://www2.ed.gov/about/offices/list/ocfo/fipao/improper-payments.html</w:t>
        </w:r>
      </w:hyperlink>
      <w:r w:rsidRPr="000E63F5">
        <w:rPr>
          <w:rFonts w:ascii="Arial" w:hAnsi="Arial" w:cs="Arial"/>
          <w:bCs/>
        </w:rPr>
        <w:t>.</w:t>
      </w:r>
    </w:p>
    <w:p w14:paraId="21E4E57F" w14:textId="51E7EF30" w:rsidR="000E63F5" w:rsidRPr="000E63F5" w:rsidRDefault="000E63F5" w:rsidP="000E63F5">
      <w:pPr>
        <w:spacing w:after="240"/>
        <w:ind w:left="720" w:hanging="720"/>
        <w:jc w:val="both"/>
        <w:rPr>
          <w:rFonts w:ascii="Arial" w:hAnsi="Arial" w:cs="Arial"/>
          <w:bCs/>
        </w:rPr>
      </w:pPr>
      <w:r w:rsidRPr="000E63F5">
        <w:rPr>
          <w:rFonts w:ascii="Arial" w:hAnsi="Arial" w:cs="Arial"/>
          <w:bCs/>
        </w:rPr>
        <w:t>1.</w:t>
      </w:r>
      <w:r w:rsidRPr="000E63F5">
        <w:rPr>
          <w:rFonts w:ascii="Arial" w:hAnsi="Arial" w:cs="Arial"/>
          <w:bCs/>
        </w:rPr>
        <w:tab/>
        <w:t xml:space="preserve">For audit procedures related to tests that may identify improper payment disbursements and returns of Pell funds (i.e., tests related to Eligibility, Cash Management, Verification, Disbursements to or </w:t>
      </w:r>
      <w:r w:rsidRPr="000E63F5">
        <w:rPr>
          <w:rFonts w:ascii="Arial" w:hAnsi="Arial" w:cs="Arial"/>
          <w:bCs/>
        </w:rPr>
        <w:lastRenderedPageBreak/>
        <w:t>on Behalf of Students, and Return of Title IV Funds), the auditor must provide the following if these procedures are tested at the student- level:</w:t>
      </w:r>
    </w:p>
    <w:p w14:paraId="21FF2025" w14:textId="7590F63C" w:rsidR="000E63F5" w:rsidRPr="000E63F5" w:rsidRDefault="000E63F5" w:rsidP="000E63F5">
      <w:pPr>
        <w:spacing w:after="240"/>
        <w:ind w:left="1440" w:hanging="720"/>
        <w:jc w:val="both"/>
        <w:rPr>
          <w:rFonts w:ascii="Arial" w:hAnsi="Arial" w:cs="Arial"/>
          <w:bCs/>
        </w:rPr>
      </w:pPr>
      <w:r w:rsidRPr="000E63F5">
        <w:rPr>
          <w:rFonts w:ascii="Arial" w:hAnsi="Arial" w:cs="Arial"/>
          <w:bCs/>
        </w:rPr>
        <w:t>a.</w:t>
      </w:r>
      <w:r w:rsidRPr="000E63F5">
        <w:rPr>
          <w:rFonts w:ascii="Arial" w:hAnsi="Arial" w:cs="Arial"/>
          <w:bCs/>
        </w:rPr>
        <w:tab/>
        <w:t>A description of each sample drawn and details of the sample, including the number of sampled students that received Pell funds and amount of Pell funds disbursed to these sampled students for the period tested;</w:t>
      </w:r>
    </w:p>
    <w:p w14:paraId="172D52E9" w14:textId="01EC62CB" w:rsidR="000E63F5" w:rsidRPr="000E63F5" w:rsidRDefault="000E63F5" w:rsidP="000E63F5">
      <w:pPr>
        <w:spacing w:after="240"/>
        <w:ind w:left="1440" w:hanging="720"/>
        <w:jc w:val="both"/>
        <w:rPr>
          <w:rFonts w:ascii="Arial" w:hAnsi="Arial" w:cs="Arial"/>
          <w:bCs/>
        </w:rPr>
      </w:pPr>
      <w:r w:rsidRPr="000E63F5">
        <w:rPr>
          <w:rFonts w:ascii="Arial" w:hAnsi="Arial" w:cs="Arial"/>
          <w:bCs/>
        </w:rPr>
        <w:t>b.</w:t>
      </w:r>
      <w:r w:rsidRPr="000E63F5">
        <w:rPr>
          <w:rFonts w:ascii="Arial" w:hAnsi="Arial" w:cs="Arial"/>
          <w:bCs/>
        </w:rPr>
        <w:tab/>
        <w:t>The number of students that received Pell funds and amount of Pell funds disbursed for the population from which the sample was drawn for the period tested by sample drawn.</w:t>
      </w:r>
    </w:p>
    <w:p w14:paraId="6327DC79" w14:textId="257D4BCC" w:rsidR="000E63F5" w:rsidRPr="000E63F5" w:rsidRDefault="000E63F5" w:rsidP="000E63F5">
      <w:pPr>
        <w:spacing w:after="240"/>
        <w:ind w:left="720"/>
        <w:jc w:val="both"/>
        <w:rPr>
          <w:rFonts w:ascii="Arial" w:hAnsi="Arial" w:cs="Arial"/>
          <w:bCs/>
        </w:rPr>
      </w:pPr>
      <w:r w:rsidRPr="000E63F5">
        <w:rPr>
          <w:rFonts w:ascii="Arial" w:hAnsi="Arial" w:cs="Arial"/>
          <w:bCs/>
        </w:rPr>
        <w:t>If these procedures (i.e., tests related to Eligibility, Cash Management, Verification Disbursements to or on Behalf of Students, and Return of Title IV Funds), are not tested at the student-level, the auditor must provide the following:</w:t>
      </w:r>
    </w:p>
    <w:p w14:paraId="7FD8700E" w14:textId="2B85C293" w:rsidR="000E63F5" w:rsidRPr="000E63F5" w:rsidRDefault="000E63F5" w:rsidP="000E63F5">
      <w:pPr>
        <w:spacing w:after="240"/>
        <w:ind w:left="1440" w:hanging="720"/>
        <w:jc w:val="both"/>
        <w:rPr>
          <w:rFonts w:ascii="Arial" w:hAnsi="Arial" w:cs="Arial"/>
          <w:bCs/>
        </w:rPr>
      </w:pPr>
      <w:r w:rsidRPr="000E63F5">
        <w:rPr>
          <w:rFonts w:ascii="Arial" w:hAnsi="Arial" w:cs="Arial"/>
          <w:bCs/>
        </w:rPr>
        <w:t>a.</w:t>
      </w:r>
      <w:r w:rsidRPr="000E63F5">
        <w:rPr>
          <w:rFonts w:ascii="Arial" w:hAnsi="Arial" w:cs="Arial"/>
          <w:bCs/>
        </w:rPr>
        <w:tab/>
        <w:t>A description of each sample drawn and details of the sample, including the amount of Pell funds sampled for the period tested;</w:t>
      </w:r>
    </w:p>
    <w:p w14:paraId="68461513" w14:textId="18626568" w:rsidR="000E63F5" w:rsidRPr="000E63F5" w:rsidRDefault="000E63F5" w:rsidP="000E63F5">
      <w:pPr>
        <w:spacing w:after="240"/>
        <w:ind w:left="1440" w:hanging="720"/>
        <w:jc w:val="both"/>
        <w:rPr>
          <w:rFonts w:ascii="Arial" w:hAnsi="Arial" w:cs="Arial"/>
          <w:bCs/>
        </w:rPr>
      </w:pPr>
      <w:r w:rsidRPr="000E63F5">
        <w:rPr>
          <w:rFonts w:ascii="Arial" w:hAnsi="Arial" w:cs="Arial"/>
          <w:bCs/>
        </w:rPr>
        <w:t>b.</w:t>
      </w:r>
      <w:r w:rsidRPr="000E63F5">
        <w:rPr>
          <w:rFonts w:ascii="Arial" w:hAnsi="Arial" w:cs="Arial"/>
          <w:bCs/>
        </w:rPr>
        <w:tab/>
        <w:t>The amount of Pell funds disbursed for the population from which the sample was drawn for the period tested by sample drawn.</w:t>
      </w:r>
    </w:p>
    <w:p w14:paraId="70D46F95" w14:textId="492278EB" w:rsidR="000E63F5" w:rsidRPr="000E63F5" w:rsidRDefault="000E63F5" w:rsidP="000E63F5">
      <w:pPr>
        <w:spacing w:after="240"/>
        <w:ind w:left="720"/>
        <w:jc w:val="both"/>
        <w:rPr>
          <w:rFonts w:ascii="Arial" w:hAnsi="Arial" w:cs="Arial"/>
          <w:b/>
        </w:rPr>
      </w:pPr>
      <w:r w:rsidRPr="000E63F5">
        <w:rPr>
          <w:rFonts w:ascii="Arial" w:hAnsi="Arial" w:cs="Arial"/>
          <w:bCs/>
        </w:rPr>
        <w:t>For samples and populations related to Return of Title IV Funds, the total Pell disbursed to the students is required even though the Return of Title IV Funds questioned costs identified from testing of the sample are based on the refunds.</w:t>
      </w:r>
    </w:p>
    <w:p w14:paraId="593EBB13" w14:textId="5290D14B" w:rsidR="000E63F5" w:rsidRDefault="000E63F5" w:rsidP="000E63F5">
      <w:pPr>
        <w:spacing w:after="240"/>
        <w:ind w:left="720"/>
        <w:jc w:val="both"/>
        <w:rPr>
          <w:rFonts w:ascii="Arial" w:hAnsi="Arial" w:cs="Arial"/>
          <w:bCs/>
        </w:rPr>
      </w:pPr>
      <w:r w:rsidRPr="000E63F5">
        <w:rPr>
          <w:rFonts w:ascii="Arial" w:hAnsi="Arial" w:cs="Arial"/>
          <w:bCs/>
        </w:rPr>
        <w:t>If samples were drawn by Office of Postsecondary Education Identification (OPEID) number, provide the sample and population details by OPEID number (an eight-digit number). If this information is not available by OPEID, provide the aggregated sample and population amounts for the institution as a whole.</w:t>
      </w:r>
    </w:p>
    <w:p w14:paraId="0852737A" w14:textId="77777777" w:rsidR="000E63F5" w:rsidRPr="000E63F5" w:rsidRDefault="000E63F5" w:rsidP="000E63F5">
      <w:pPr>
        <w:spacing w:after="240"/>
        <w:ind w:left="720"/>
        <w:jc w:val="both"/>
        <w:rPr>
          <w:rFonts w:ascii="Arial" w:hAnsi="Arial" w:cs="Arial"/>
          <w:bCs/>
        </w:rPr>
      </w:pPr>
    </w:p>
    <w:tbl>
      <w:tblPr>
        <w:tblW w:w="9360" w:type="dxa"/>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40"/>
        <w:gridCol w:w="1620"/>
        <w:gridCol w:w="810"/>
        <w:gridCol w:w="1260"/>
        <w:gridCol w:w="1350"/>
        <w:gridCol w:w="1504"/>
        <w:gridCol w:w="1376"/>
      </w:tblGrid>
      <w:tr w:rsidR="000E63F5" w:rsidRPr="00C10DC3" w14:paraId="65C3FD6B" w14:textId="77777777" w:rsidTr="00AB4349">
        <w:trPr>
          <w:trHeight w:val="690"/>
        </w:trPr>
        <w:tc>
          <w:tcPr>
            <w:tcW w:w="1440" w:type="dxa"/>
            <w:shd w:val="clear" w:color="auto" w:fill="DCDDDE"/>
          </w:tcPr>
          <w:p w14:paraId="3844B85D" w14:textId="77777777" w:rsidR="000E63F5" w:rsidRPr="00C10DC3" w:rsidRDefault="000E63F5" w:rsidP="00AB4349">
            <w:pPr>
              <w:pStyle w:val="TableParagraph"/>
              <w:jc w:val="center"/>
              <w:rPr>
                <w:rFonts w:ascii="Arial" w:hAnsi="Arial" w:cs="Arial"/>
              </w:rPr>
            </w:pPr>
          </w:p>
        </w:tc>
        <w:tc>
          <w:tcPr>
            <w:tcW w:w="1620" w:type="dxa"/>
            <w:shd w:val="clear" w:color="auto" w:fill="DCDDDE"/>
          </w:tcPr>
          <w:p w14:paraId="3F618E98" w14:textId="77777777" w:rsidR="000E63F5" w:rsidRPr="00C10DC3" w:rsidRDefault="000E63F5" w:rsidP="00AB4349">
            <w:pPr>
              <w:pStyle w:val="TableParagraph"/>
              <w:jc w:val="center"/>
              <w:rPr>
                <w:rFonts w:ascii="Arial" w:hAnsi="Arial" w:cs="Arial"/>
              </w:rPr>
            </w:pPr>
          </w:p>
        </w:tc>
        <w:tc>
          <w:tcPr>
            <w:tcW w:w="810" w:type="dxa"/>
            <w:shd w:val="clear" w:color="auto" w:fill="DCDDDE"/>
          </w:tcPr>
          <w:p w14:paraId="1CA829A6" w14:textId="77777777" w:rsidR="000E63F5" w:rsidRPr="00C10DC3" w:rsidRDefault="000E63F5" w:rsidP="00AB4349">
            <w:pPr>
              <w:pStyle w:val="TableParagraph"/>
              <w:jc w:val="center"/>
              <w:rPr>
                <w:rFonts w:ascii="Arial" w:hAnsi="Arial" w:cs="Arial"/>
              </w:rPr>
            </w:pPr>
          </w:p>
        </w:tc>
        <w:tc>
          <w:tcPr>
            <w:tcW w:w="1260" w:type="dxa"/>
            <w:shd w:val="clear" w:color="auto" w:fill="DCDDDE"/>
          </w:tcPr>
          <w:p w14:paraId="7A528344" w14:textId="77777777" w:rsidR="000E63F5" w:rsidRPr="00C10DC3" w:rsidRDefault="000E63F5" w:rsidP="00AB4349">
            <w:pPr>
              <w:pStyle w:val="TableParagraph"/>
              <w:ind w:left="2"/>
              <w:jc w:val="center"/>
              <w:rPr>
                <w:rFonts w:ascii="Arial" w:hAnsi="Arial" w:cs="Arial"/>
                <w:b/>
                <w:sz w:val="20"/>
              </w:rPr>
            </w:pPr>
            <w:r w:rsidRPr="00C10DC3">
              <w:rPr>
                <w:rFonts w:ascii="Arial" w:hAnsi="Arial" w:cs="Arial"/>
                <w:b/>
                <w:color w:val="231F20"/>
                <w:sz w:val="20"/>
              </w:rPr>
              <w:t>Sample (s)</w:t>
            </w:r>
          </w:p>
        </w:tc>
        <w:tc>
          <w:tcPr>
            <w:tcW w:w="1350" w:type="dxa"/>
            <w:shd w:val="clear" w:color="auto" w:fill="DCDDDE"/>
          </w:tcPr>
          <w:p w14:paraId="4A82D039" w14:textId="77777777" w:rsidR="000E63F5" w:rsidRPr="00C10DC3" w:rsidRDefault="000E63F5" w:rsidP="00AB4349">
            <w:pPr>
              <w:pStyle w:val="TableParagraph"/>
              <w:jc w:val="center"/>
              <w:rPr>
                <w:rFonts w:ascii="Arial" w:hAnsi="Arial" w:cs="Arial"/>
                <w:b/>
                <w:sz w:val="20"/>
              </w:rPr>
            </w:pPr>
            <w:r w:rsidRPr="00C10DC3">
              <w:rPr>
                <w:rFonts w:ascii="Arial" w:hAnsi="Arial" w:cs="Arial"/>
                <w:b/>
                <w:color w:val="231F20"/>
                <w:sz w:val="20"/>
              </w:rPr>
              <w:t>Sample(s)</w:t>
            </w:r>
          </w:p>
        </w:tc>
        <w:tc>
          <w:tcPr>
            <w:tcW w:w="1504" w:type="dxa"/>
            <w:shd w:val="clear" w:color="auto" w:fill="DCDDDE"/>
          </w:tcPr>
          <w:p w14:paraId="177AF2C0" w14:textId="77777777" w:rsidR="000E63F5" w:rsidRPr="00C10DC3" w:rsidRDefault="000E63F5" w:rsidP="00AB4349">
            <w:pPr>
              <w:pStyle w:val="TableParagraph"/>
              <w:spacing w:line="230" w:lineRule="atLeast"/>
              <w:ind w:left="3" w:right="75"/>
              <w:jc w:val="center"/>
              <w:rPr>
                <w:rFonts w:ascii="Arial" w:hAnsi="Arial" w:cs="Arial"/>
                <w:b/>
                <w:sz w:val="20"/>
              </w:rPr>
            </w:pPr>
            <w:r w:rsidRPr="00C10DC3">
              <w:rPr>
                <w:rFonts w:ascii="Arial" w:hAnsi="Arial" w:cs="Arial"/>
                <w:b/>
                <w:color w:val="231F20"/>
                <w:w w:val="95"/>
                <w:sz w:val="20"/>
              </w:rPr>
              <w:t xml:space="preserve">Population </w:t>
            </w:r>
            <w:r w:rsidRPr="00C10DC3">
              <w:rPr>
                <w:rFonts w:ascii="Arial" w:hAnsi="Arial" w:cs="Arial"/>
                <w:b/>
                <w:color w:val="231F20"/>
                <w:sz w:val="20"/>
              </w:rPr>
              <w:t>for Each Sample</w:t>
            </w:r>
          </w:p>
        </w:tc>
        <w:tc>
          <w:tcPr>
            <w:tcW w:w="1376" w:type="dxa"/>
            <w:shd w:val="clear" w:color="auto" w:fill="DCDDDE"/>
          </w:tcPr>
          <w:p w14:paraId="62BF73A2" w14:textId="77777777" w:rsidR="000E63F5" w:rsidRPr="00C10DC3" w:rsidRDefault="000E63F5" w:rsidP="00AB4349">
            <w:pPr>
              <w:pStyle w:val="TableParagraph"/>
              <w:spacing w:line="230" w:lineRule="atLeast"/>
              <w:ind w:left="25" w:right="77"/>
              <w:jc w:val="center"/>
              <w:rPr>
                <w:rFonts w:ascii="Arial" w:hAnsi="Arial" w:cs="Arial"/>
                <w:b/>
                <w:sz w:val="20"/>
              </w:rPr>
            </w:pPr>
            <w:r w:rsidRPr="00C10DC3">
              <w:rPr>
                <w:rFonts w:ascii="Arial" w:hAnsi="Arial" w:cs="Arial"/>
                <w:b/>
                <w:color w:val="231F20"/>
                <w:w w:val="95"/>
                <w:sz w:val="20"/>
              </w:rPr>
              <w:t xml:space="preserve">Population </w:t>
            </w:r>
            <w:r w:rsidRPr="00C10DC3">
              <w:rPr>
                <w:rFonts w:ascii="Arial" w:hAnsi="Arial" w:cs="Arial"/>
                <w:b/>
                <w:color w:val="231F20"/>
                <w:sz w:val="20"/>
              </w:rPr>
              <w:t>for Each Sample</w:t>
            </w:r>
          </w:p>
        </w:tc>
      </w:tr>
      <w:tr w:rsidR="000E63F5" w:rsidRPr="00C10DC3" w14:paraId="3A57C722" w14:textId="77777777" w:rsidTr="00AB4349">
        <w:trPr>
          <w:trHeight w:val="688"/>
        </w:trPr>
        <w:tc>
          <w:tcPr>
            <w:tcW w:w="1440" w:type="dxa"/>
          </w:tcPr>
          <w:p w14:paraId="2ADDDD78" w14:textId="77777777" w:rsidR="000E63F5" w:rsidRPr="00C10DC3" w:rsidRDefault="000E63F5" w:rsidP="00AB4349">
            <w:pPr>
              <w:pStyle w:val="TableParagraph"/>
              <w:ind w:left="3" w:hanging="3"/>
              <w:jc w:val="center"/>
              <w:rPr>
                <w:rFonts w:ascii="Arial" w:hAnsi="Arial" w:cs="Arial"/>
                <w:sz w:val="20"/>
              </w:rPr>
            </w:pPr>
            <w:r w:rsidRPr="00C10DC3">
              <w:rPr>
                <w:rFonts w:ascii="Arial" w:hAnsi="Arial" w:cs="Arial"/>
                <w:color w:val="231F20"/>
                <w:sz w:val="20"/>
              </w:rPr>
              <w:t>Sample Description</w:t>
            </w:r>
          </w:p>
        </w:tc>
        <w:tc>
          <w:tcPr>
            <w:tcW w:w="1620" w:type="dxa"/>
          </w:tcPr>
          <w:p w14:paraId="1C861824" w14:textId="77777777" w:rsidR="000E63F5" w:rsidRPr="00C10DC3" w:rsidRDefault="000E63F5" w:rsidP="00AB4349">
            <w:pPr>
              <w:pStyle w:val="TableParagraph"/>
              <w:ind w:left="3" w:hanging="5"/>
              <w:jc w:val="center"/>
              <w:rPr>
                <w:rFonts w:ascii="Arial" w:hAnsi="Arial" w:cs="Arial"/>
                <w:sz w:val="20"/>
              </w:rPr>
            </w:pPr>
            <w:r w:rsidRPr="00C10DC3">
              <w:rPr>
                <w:rFonts w:ascii="Arial" w:hAnsi="Arial" w:cs="Arial"/>
                <w:color w:val="231F20"/>
                <w:sz w:val="20"/>
              </w:rPr>
              <w:t xml:space="preserve">Related </w:t>
            </w:r>
            <w:r w:rsidRPr="00C10DC3">
              <w:rPr>
                <w:rFonts w:ascii="Arial" w:hAnsi="Arial" w:cs="Arial"/>
                <w:color w:val="231F20"/>
                <w:w w:val="95"/>
                <w:sz w:val="20"/>
              </w:rPr>
              <w:t>Compliance</w:t>
            </w:r>
          </w:p>
          <w:p w14:paraId="5F58E4DC" w14:textId="77777777" w:rsidR="000E63F5" w:rsidRPr="00C10DC3" w:rsidRDefault="000E63F5" w:rsidP="00AB4349">
            <w:pPr>
              <w:pStyle w:val="TableParagraph"/>
              <w:spacing w:line="208" w:lineRule="exact"/>
              <w:ind w:left="86" w:right="81"/>
              <w:jc w:val="center"/>
              <w:rPr>
                <w:rFonts w:ascii="Arial" w:hAnsi="Arial" w:cs="Arial"/>
                <w:sz w:val="20"/>
              </w:rPr>
            </w:pPr>
            <w:r w:rsidRPr="00C10DC3">
              <w:rPr>
                <w:rFonts w:ascii="Arial" w:hAnsi="Arial" w:cs="Arial"/>
                <w:color w:val="231F20"/>
                <w:sz w:val="20"/>
              </w:rPr>
              <w:t>Requirement(s)</w:t>
            </w:r>
          </w:p>
        </w:tc>
        <w:tc>
          <w:tcPr>
            <w:tcW w:w="810" w:type="dxa"/>
          </w:tcPr>
          <w:p w14:paraId="7050A635" w14:textId="77777777" w:rsidR="000E63F5" w:rsidRPr="00C10DC3" w:rsidRDefault="000E63F5" w:rsidP="00AB4349">
            <w:pPr>
              <w:pStyle w:val="TableParagraph"/>
              <w:jc w:val="center"/>
              <w:rPr>
                <w:rFonts w:ascii="Arial" w:hAnsi="Arial" w:cs="Arial"/>
                <w:sz w:val="20"/>
              </w:rPr>
            </w:pPr>
            <w:r w:rsidRPr="00C10DC3">
              <w:rPr>
                <w:rFonts w:ascii="Arial" w:hAnsi="Arial" w:cs="Arial"/>
                <w:color w:val="231F20"/>
                <w:sz w:val="20"/>
              </w:rPr>
              <w:t>OPEID</w:t>
            </w:r>
          </w:p>
        </w:tc>
        <w:tc>
          <w:tcPr>
            <w:tcW w:w="1260" w:type="dxa"/>
          </w:tcPr>
          <w:p w14:paraId="61053ABC" w14:textId="77777777" w:rsidR="000E63F5" w:rsidRPr="00C10DC3" w:rsidRDefault="000E63F5" w:rsidP="00AB4349">
            <w:pPr>
              <w:pStyle w:val="TableParagraph"/>
              <w:ind w:left="2" w:right="126"/>
              <w:jc w:val="center"/>
              <w:rPr>
                <w:rFonts w:ascii="Arial" w:hAnsi="Arial" w:cs="Arial"/>
                <w:sz w:val="20"/>
              </w:rPr>
            </w:pPr>
            <w:r w:rsidRPr="00C10DC3">
              <w:rPr>
                <w:rFonts w:ascii="Arial" w:hAnsi="Arial" w:cs="Arial"/>
                <w:color w:val="231F20"/>
                <w:sz w:val="20"/>
              </w:rPr>
              <w:t>Students Receiving</w:t>
            </w:r>
          </w:p>
          <w:p w14:paraId="20AB2553" w14:textId="77777777" w:rsidR="000E63F5" w:rsidRPr="00C10DC3" w:rsidRDefault="000E63F5" w:rsidP="00AB4349">
            <w:pPr>
              <w:pStyle w:val="TableParagraph"/>
              <w:spacing w:line="208" w:lineRule="exact"/>
              <w:jc w:val="center"/>
              <w:rPr>
                <w:rFonts w:ascii="Arial" w:hAnsi="Arial" w:cs="Arial"/>
                <w:sz w:val="20"/>
              </w:rPr>
            </w:pPr>
            <w:r w:rsidRPr="00C10DC3">
              <w:rPr>
                <w:rFonts w:ascii="Arial" w:hAnsi="Arial" w:cs="Arial"/>
                <w:color w:val="231F20"/>
                <w:sz w:val="20"/>
              </w:rPr>
              <w:t>Pell (#)</w:t>
            </w:r>
          </w:p>
        </w:tc>
        <w:tc>
          <w:tcPr>
            <w:tcW w:w="1350" w:type="dxa"/>
          </w:tcPr>
          <w:p w14:paraId="60C3B1A0" w14:textId="77777777" w:rsidR="000E63F5" w:rsidRDefault="000E63F5" w:rsidP="00AB4349">
            <w:pPr>
              <w:pStyle w:val="TableParagraph"/>
              <w:ind w:left="-2" w:right="-3" w:firstLine="5"/>
              <w:jc w:val="center"/>
              <w:rPr>
                <w:rFonts w:ascii="Arial" w:hAnsi="Arial" w:cs="Arial"/>
                <w:color w:val="231F20"/>
                <w:sz w:val="20"/>
              </w:rPr>
            </w:pPr>
            <w:r w:rsidRPr="00C10DC3">
              <w:rPr>
                <w:rFonts w:ascii="Arial" w:hAnsi="Arial" w:cs="Arial"/>
                <w:color w:val="231F20"/>
                <w:sz w:val="20"/>
              </w:rPr>
              <w:t>Pell</w:t>
            </w:r>
          </w:p>
          <w:p w14:paraId="4E82241C" w14:textId="77777777" w:rsidR="000E63F5" w:rsidRPr="00C10DC3" w:rsidRDefault="000E63F5" w:rsidP="00AB4349">
            <w:pPr>
              <w:pStyle w:val="TableParagraph"/>
              <w:ind w:right="-3" w:firstLine="5"/>
              <w:jc w:val="center"/>
              <w:rPr>
                <w:rFonts w:ascii="Arial" w:hAnsi="Arial" w:cs="Arial"/>
                <w:sz w:val="20"/>
              </w:rPr>
            </w:pPr>
            <w:r w:rsidRPr="00C10DC3">
              <w:rPr>
                <w:rFonts w:ascii="Arial" w:hAnsi="Arial" w:cs="Arial"/>
                <w:color w:val="231F20"/>
                <w:w w:val="95"/>
                <w:sz w:val="20"/>
              </w:rPr>
              <w:t>Disbursed</w:t>
            </w:r>
          </w:p>
          <w:p w14:paraId="71B02FF8" w14:textId="77777777" w:rsidR="000E63F5" w:rsidRPr="00C10DC3" w:rsidRDefault="000E63F5" w:rsidP="00AB4349">
            <w:pPr>
              <w:pStyle w:val="TableParagraph"/>
              <w:spacing w:line="208" w:lineRule="exact"/>
              <w:ind w:firstLine="5"/>
              <w:jc w:val="center"/>
              <w:rPr>
                <w:rFonts w:ascii="Arial" w:hAnsi="Arial" w:cs="Arial"/>
                <w:sz w:val="20"/>
              </w:rPr>
            </w:pPr>
            <w:r w:rsidRPr="00C10DC3">
              <w:rPr>
                <w:rFonts w:ascii="Arial" w:hAnsi="Arial" w:cs="Arial"/>
                <w:color w:val="231F20"/>
                <w:sz w:val="20"/>
              </w:rPr>
              <w:t>($)</w:t>
            </w:r>
          </w:p>
        </w:tc>
        <w:tc>
          <w:tcPr>
            <w:tcW w:w="1504" w:type="dxa"/>
          </w:tcPr>
          <w:p w14:paraId="0F2D2938" w14:textId="77777777" w:rsidR="000E63F5" w:rsidRPr="00C10DC3" w:rsidRDefault="000E63F5" w:rsidP="00AB4349">
            <w:pPr>
              <w:pStyle w:val="TableParagraph"/>
              <w:ind w:left="3" w:right="65" w:firstLine="2"/>
              <w:jc w:val="center"/>
              <w:rPr>
                <w:rFonts w:ascii="Arial" w:hAnsi="Arial" w:cs="Arial"/>
                <w:sz w:val="20"/>
              </w:rPr>
            </w:pPr>
            <w:r w:rsidRPr="00C10DC3">
              <w:rPr>
                <w:rFonts w:ascii="Arial" w:hAnsi="Arial" w:cs="Arial"/>
                <w:color w:val="231F20"/>
                <w:sz w:val="20"/>
              </w:rPr>
              <w:t>Students Receiving</w:t>
            </w:r>
          </w:p>
          <w:p w14:paraId="52930104" w14:textId="77777777" w:rsidR="000E63F5" w:rsidRPr="00C10DC3" w:rsidRDefault="000E63F5" w:rsidP="00AB4349">
            <w:pPr>
              <w:pStyle w:val="TableParagraph"/>
              <w:spacing w:line="208" w:lineRule="exact"/>
              <w:ind w:left="3" w:right="65" w:firstLine="2"/>
              <w:jc w:val="center"/>
              <w:rPr>
                <w:rFonts w:ascii="Arial" w:hAnsi="Arial" w:cs="Arial"/>
                <w:sz w:val="20"/>
              </w:rPr>
            </w:pPr>
            <w:r w:rsidRPr="00C10DC3">
              <w:rPr>
                <w:rFonts w:ascii="Arial" w:hAnsi="Arial" w:cs="Arial"/>
                <w:color w:val="231F20"/>
                <w:sz w:val="20"/>
              </w:rPr>
              <w:t>Pell (#)</w:t>
            </w:r>
          </w:p>
        </w:tc>
        <w:tc>
          <w:tcPr>
            <w:tcW w:w="1376" w:type="dxa"/>
          </w:tcPr>
          <w:p w14:paraId="6C9ACEB7" w14:textId="77777777" w:rsidR="000E63F5" w:rsidRPr="00C10DC3" w:rsidRDefault="000E63F5" w:rsidP="00AB4349">
            <w:pPr>
              <w:pStyle w:val="TableParagraph"/>
              <w:ind w:left="25" w:firstLine="1"/>
              <w:jc w:val="center"/>
              <w:rPr>
                <w:rFonts w:ascii="Arial" w:hAnsi="Arial" w:cs="Arial"/>
                <w:sz w:val="20"/>
              </w:rPr>
            </w:pPr>
            <w:r w:rsidRPr="00C10DC3">
              <w:rPr>
                <w:rFonts w:ascii="Arial" w:hAnsi="Arial" w:cs="Arial"/>
                <w:color w:val="231F20"/>
                <w:sz w:val="20"/>
              </w:rPr>
              <w:t xml:space="preserve">Pell </w:t>
            </w:r>
            <w:r w:rsidRPr="00C10DC3">
              <w:rPr>
                <w:rFonts w:ascii="Arial" w:hAnsi="Arial" w:cs="Arial"/>
                <w:color w:val="231F20"/>
                <w:w w:val="95"/>
                <w:sz w:val="20"/>
              </w:rPr>
              <w:t>Disbursed</w:t>
            </w:r>
          </w:p>
          <w:p w14:paraId="09F941A3" w14:textId="77777777" w:rsidR="000E63F5" w:rsidRPr="00C10DC3" w:rsidRDefault="000E63F5" w:rsidP="00AB4349">
            <w:pPr>
              <w:pStyle w:val="TableParagraph"/>
              <w:spacing w:line="208" w:lineRule="exact"/>
              <w:ind w:left="25"/>
              <w:jc w:val="center"/>
              <w:rPr>
                <w:rFonts w:ascii="Arial" w:hAnsi="Arial" w:cs="Arial"/>
                <w:sz w:val="20"/>
              </w:rPr>
            </w:pPr>
            <w:r w:rsidRPr="00C10DC3">
              <w:rPr>
                <w:rFonts w:ascii="Arial" w:hAnsi="Arial" w:cs="Arial"/>
                <w:color w:val="231F20"/>
                <w:sz w:val="20"/>
              </w:rPr>
              <w:t>($)</w:t>
            </w:r>
          </w:p>
        </w:tc>
      </w:tr>
      <w:tr w:rsidR="000E63F5" w:rsidRPr="00C10DC3" w14:paraId="06888345" w14:textId="77777777" w:rsidTr="00AB4349">
        <w:trPr>
          <w:trHeight w:val="230"/>
        </w:trPr>
        <w:tc>
          <w:tcPr>
            <w:tcW w:w="1440" w:type="dxa"/>
          </w:tcPr>
          <w:p w14:paraId="547F30AD" w14:textId="77777777" w:rsidR="000E63F5" w:rsidRPr="00C10DC3" w:rsidRDefault="000E63F5" w:rsidP="00AB4349">
            <w:pPr>
              <w:pStyle w:val="TableParagraph"/>
              <w:rPr>
                <w:rFonts w:ascii="Arial" w:hAnsi="Arial" w:cs="Arial"/>
                <w:sz w:val="16"/>
              </w:rPr>
            </w:pPr>
          </w:p>
        </w:tc>
        <w:tc>
          <w:tcPr>
            <w:tcW w:w="1620" w:type="dxa"/>
          </w:tcPr>
          <w:p w14:paraId="2E7B4812" w14:textId="77777777" w:rsidR="000E63F5" w:rsidRPr="00C10DC3" w:rsidRDefault="000E63F5" w:rsidP="00AB4349">
            <w:pPr>
              <w:pStyle w:val="TableParagraph"/>
              <w:rPr>
                <w:rFonts w:ascii="Arial" w:hAnsi="Arial" w:cs="Arial"/>
                <w:sz w:val="16"/>
              </w:rPr>
            </w:pPr>
          </w:p>
        </w:tc>
        <w:tc>
          <w:tcPr>
            <w:tcW w:w="810" w:type="dxa"/>
          </w:tcPr>
          <w:p w14:paraId="4A88B19B" w14:textId="77777777" w:rsidR="000E63F5" w:rsidRPr="00C10DC3" w:rsidRDefault="000E63F5" w:rsidP="00AB4349">
            <w:pPr>
              <w:pStyle w:val="TableParagraph"/>
              <w:rPr>
                <w:rFonts w:ascii="Arial" w:hAnsi="Arial" w:cs="Arial"/>
                <w:sz w:val="16"/>
              </w:rPr>
            </w:pPr>
          </w:p>
        </w:tc>
        <w:tc>
          <w:tcPr>
            <w:tcW w:w="1260" w:type="dxa"/>
          </w:tcPr>
          <w:p w14:paraId="791263B1" w14:textId="77777777" w:rsidR="000E63F5" w:rsidRPr="00C10DC3" w:rsidRDefault="000E63F5" w:rsidP="00AB4349">
            <w:pPr>
              <w:pStyle w:val="TableParagraph"/>
              <w:rPr>
                <w:rFonts w:ascii="Arial" w:hAnsi="Arial" w:cs="Arial"/>
                <w:sz w:val="16"/>
              </w:rPr>
            </w:pPr>
          </w:p>
        </w:tc>
        <w:tc>
          <w:tcPr>
            <w:tcW w:w="1350" w:type="dxa"/>
          </w:tcPr>
          <w:p w14:paraId="51877C14" w14:textId="77777777" w:rsidR="000E63F5" w:rsidRPr="00C10DC3" w:rsidRDefault="000E63F5" w:rsidP="00AB4349">
            <w:pPr>
              <w:pStyle w:val="TableParagraph"/>
              <w:rPr>
                <w:rFonts w:ascii="Arial" w:hAnsi="Arial" w:cs="Arial"/>
                <w:sz w:val="16"/>
              </w:rPr>
            </w:pPr>
          </w:p>
        </w:tc>
        <w:tc>
          <w:tcPr>
            <w:tcW w:w="1504" w:type="dxa"/>
          </w:tcPr>
          <w:p w14:paraId="55AFF1FE" w14:textId="77777777" w:rsidR="000E63F5" w:rsidRPr="00C10DC3" w:rsidRDefault="000E63F5" w:rsidP="00AB4349">
            <w:pPr>
              <w:pStyle w:val="TableParagraph"/>
              <w:rPr>
                <w:rFonts w:ascii="Arial" w:hAnsi="Arial" w:cs="Arial"/>
                <w:sz w:val="16"/>
              </w:rPr>
            </w:pPr>
          </w:p>
        </w:tc>
        <w:tc>
          <w:tcPr>
            <w:tcW w:w="1376" w:type="dxa"/>
          </w:tcPr>
          <w:p w14:paraId="59E3783C" w14:textId="77777777" w:rsidR="000E63F5" w:rsidRPr="00C10DC3" w:rsidRDefault="000E63F5" w:rsidP="00AB4349">
            <w:pPr>
              <w:pStyle w:val="TableParagraph"/>
              <w:rPr>
                <w:rFonts w:ascii="Arial" w:hAnsi="Arial" w:cs="Arial"/>
                <w:sz w:val="16"/>
              </w:rPr>
            </w:pPr>
          </w:p>
        </w:tc>
      </w:tr>
      <w:tr w:rsidR="000E63F5" w:rsidRPr="00C10DC3" w14:paraId="23CB90D7" w14:textId="77777777" w:rsidTr="00AB4349">
        <w:trPr>
          <w:trHeight w:val="230"/>
        </w:trPr>
        <w:tc>
          <w:tcPr>
            <w:tcW w:w="1440" w:type="dxa"/>
          </w:tcPr>
          <w:p w14:paraId="3E20B001" w14:textId="77777777" w:rsidR="000E63F5" w:rsidRPr="00C10DC3" w:rsidRDefault="000E63F5" w:rsidP="00AB4349">
            <w:pPr>
              <w:pStyle w:val="TableParagraph"/>
              <w:rPr>
                <w:rFonts w:ascii="Arial" w:hAnsi="Arial" w:cs="Arial"/>
                <w:sz w:val="16"/>
              </w:rPr>
            </w:pPr>
          </w:p>
        </w:tc>
        <w:tc>
          <w:tcPr>
            <w:tcW w:w="1620" w:type="dxa"/>
          </w:tcPr>
          <w:p w14:paraId="070CEA36" w14:textId="77777777" w:rsidR="000E63F5" w:rsidRPr="00C10DC3" w:rsidRDefault="000E63F5" w:rsidP="00AB4349">
            <w:pPr>
              <w:pStyle w:val="TableParagraph"/>
              <w:rPr>
                <w:rFonts w:ascii="Arial" w:hAnsi="Arial" w:cs="Arial"/>
                <w:sz w:val="16"/>
              </w:rPr>
            </w:pPr>
          </w:p>
        </w:tc>
        <w:tc>
          <w:tcPr>
            <w:tcW w:w="810" w:type="dxa"/>
          </w:tcPr>
          <w:p w14:paraId="1581D6E9" w14:textId="77777777" w:rsidR="000E63F5" w:rsidRPr="00C10DC3" w:rsidRDefault="000E63F5" w:rsidP="00AB4349">
            <w:pPr>
              <w:pStyle w:val="TableParagraph"/>
              <w:rPr>
                <w:rFonts w:ascii="Arial" w:hAnsi="Arial" w:cs="Arial"/>
                <w:sz w:val="16"/>
              </w:rPr>
            </w:pPr>
          </w:p>
        </w:tc>
        <w:tc>
          <w:tcPr>
            <w:tcW w:w="1260" w:type="dxa"/>
          </w:tcPr>
          <w:p w14:paraId="311E7273" w14:textId="77777777" w:rsidR="000E63F5" w:rsidRPr="00C10DC3" w:rsidRDefault="000E63F5" w:rsidP="00AB4349">
            <w:pPr>
              <w:pStyle w:val="TableParagraph"/>
              <w:rPr>
                <w:rFonts w:ascii="Arial" w:hAnsi="Arial" w:cs="Arial"/>
                <w:sz w:val="16"/>
              </w:rPr>
            </w:pPr>
          </w:p>
        </w:tc>
        <w:tc>
          <w:tcPr>
            <w:tcW w:w="1350" w:type="dxa"/>
          </w:tcPr>
          <w:p w14:paraId="78197C64" w14:textId="77777777" w:rsidR="000E63F5" w:rsidRPr="00C10DC3" w:rsidRDefault="000E63F5" w:rsidP="00AB4349">
            <w:pPr>
              <w:pStyle w:val="TableParagraph"/>
              <w:rPr>
                <w:rFonts w:ascii="Arial" w:hAnsi="Arial" w:cs="Arial"/>
                <w:sz w:val="16"/>
              </w:rPr>
            </w:pPr>
          </w:p>
        </w:tc>
        <w:tc>
          <w:tcPr>
            <w:tcW w:w="1504" w:type="dxa"/>
          </w:tcPr>
          <w:p w14:paraId="04C607A3" w14:textId="77777777" w:rsidR="000E63F5" w:rsidRPr="00C10DC3" w:rsidRDefault="000E63F5" w:rsidP="00AB4349">
            <w:pPr>
              <w:pStyle w:val="TableParagraph"/>
              <w:rPr>
                <w:rFonts w:ascii="Arial" w:hAnsi="Arial" w:cs="Arial"/>
                <w:sz w:val="16"/>
              </w:rPr>
            </w:pPr>
          </w:p>
        </w:tc>
        <w:tc>
          <w:tcPr>
            <w:tcW w:w="1376" w:type="dxa"/>
          </w:tcPr>
          <w:p w14:paraId="3C1F9CB5" w14:textId="77777777" w:rsidR="000E63F5" w:rsidRPr="00C10DC3" w:rsidRDefault="000E63F5" w:rsidP="00AB4349">
            <w:pPr>
              <w:pStyle w:val="TableParagraph"/>
              <w:rPr>
                <w:rFonts w:ascii="Arial" w:hAnsi="Arial" w:cs="Arial"/>
                <w:sz w:val="16"/>
              </w:rPr>
            </w:pPr>
          </w:p>
        </w:tc>
      </w:tr>
    </w:tbl>
    <w:p w14:paraId="293A88A9" w14:textId="25852328" w:rsidR="000E63F5" w:rsidRPr="000E63F5" w:rsidRDefault="000E63F5" w:rsidP="000E63F5">
      <w:pPr>
        <w:spacing w:after="240"/>
        <w:jc w:val="both"/>
        <w:rPr>
          <w:rFonts w:ascii="Arial" w:hAnsi="Arial" w:cs="Arial"/>
          <w:b/>
        </w:rPr>
      </w:pP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p>
    <w:p w14:paraId="2B252857" w14:textId="0A0B701C" w:rsidR="000E63F5" w:rsidRPr="000E63F5" w:rsidRDefault="000E63F5" w:rsidP="000E63F5">
      <w:pPr>
        <w:spacing w:after="240"/>
        <w:ind w:left="720" w:hanging="720"/>
        <w:jc w:val="both"/>
        <w:rPr>
          <w:rFonts w:ascii="Arial" w:hAnsi="Arial" w:cs="Arial"/>
          <w:bCs/>
        </w:rPr>
      </w:pPr>
      <w:r w:rsidRPr="000E63F5">
        <w:rPr>
          <w:rFonts w:ascii="Arial" w:hAnsi="Arial" w:cs="Arial"/>
          <w:bCs/>
        </w:rPr>
        <w:t>2.</w:t>
      </w:r>
      <w:r w:rsidRPr="000E63F5">
        <w:rPr>
          <w:rFonts w:ascii="Arial" w:hAnsi="Arial" w:cs="Arial"/>
          <w:bCs/>
        </w:rPr>
        <w:tab/>
        <w:t>For audit procedures related to tests that may identify improper payment disbursements and returns of Direct Loan funds (i.e., tests related to Eligibility, Cash Management, Verification, Disbursements to or on Behalf of Students, and Return of Title IV Funds), the auditor must provide the following if these procedures are tested at the student- level:</w:t>
      </w:r>
    </w:p>
    <w:p w14:paraId="6E70AE2D" w14:textId="68806656" w:rsidR="000E63F5" w:rsidRPr="000E63F5" w:rsidRDefault="000E63F5" w:rsidP="000E63F5">
      <w:pPr>
        <w:spacing w:after="240"/>
        <w:ind w:left="1440" w:hanging="720"/>
        <w:jc w:val="both"/>
        <w:rPr>
          <w:rFonts w:ascii="Arial" w:hAnsi="Arial" w:cs="Arial"/>
          <w:bCs/>
        </w:rPr>
      </w:pPr>
      <w:r w:rsidRPr="000E63F5">
        <w:rPr>
          <w:rFonts w:ascii="Arial" w:hAnsi="Arial" w:cs="Arial"/>
          <w:bCs/>
        </w:rPr>
        <w:t>a.</w:t>
      </w:r>
      <w:r w:rsidRPr="000E63F5">
        <w:rPr>
          <w:rFonts w:ascii="Arial" w:hAnsi="Arial" w:cs="Arial"/>
          <w:bCs/>
        </w:rPr>
        <w:tab/>
        <w:t>A description of each sample drawn and details of the sample, including the number of sampled students that received Direct Loan funds and amount of Direct Loan funds disbursed to these sampled students for the period tested;</w:t>
      </w:r>
    </w:p>
    <w:p w14:paraId="145A460C" w14:textId="7DE61A6D" w:rsidR="000E63F5" w:rsidRPr="000E63F5" w:rsidRDefault="000E63F5" w:rsidP="000E63F5">
      <w:pPr>
        <w:spacing w:after="240"/>
        <w:ind w:left="1440" w:hanging="720"/>
        <w:jc w:val="both"/>
        <w:rPr>
          <w:rFonts w:ascii="Arial" w:hAnsi="Arial" w:cs="Arial"/>
          <w:bCs/>
        </w:rPr>
      </w:pPr>
      <w:r w:rsidRPr="000E63F5">
        <w:rPr>
          <w:rFonts w:ascii="Arial" w:hAnsi="Arial" w:cs="Arial"/>
          <w:bCs/>
        </w:rPr>
        <w:t>b.</w:t>
      </w:r>
      <w:r w:rsidRPr="000E63F5">
        <w:rPr>
          <w:rFonts w:ascii="Arial" w:hAnsi="Arial" w:cs="Arial"/>
          <w:bCs/>
        </w:rPr>
        <w:tab/>
        <w:t>The number of students that received Direct Loan funds and amount of Direct Loan funds disbursed for the population from which the sample was drawn for the period tested by sample drawn.</w:t>
      </w:r>
    </w:p>
    <w:p w14:paraId="726C6A4E" w14:textId="389A069E" w:rsidR="000E63F5" w:rsidRPr="000E63F5" w:rsidRDefault="000E63F5" w:rsidP="000E63F5">
      <w:pPr>
        <w:spacing w:after="240"/>
        <w:ind w:left="720"/>
        <w:jc w:val="both"/>
        <w:rPr>
          <w:rFonts w:ascii="Arial" w:hAnsi="Arial" w:cs="Arial"/>
          <w:bCs/>
        </w:rPr>
      </w:pPr>
      <w:r w:rsidRPr="000E63F5">
        <w:rPr>
          <w:rFonts w:ascii="Arial" w:hAnsi="Arial" w:cs="Arial"/>
          <w:bCs/>
        </w:rPr>
        <w:lastRenderedPageBreak/>
        <w:t>If these procedures (i.e., tests related to Eligibility, Cash Management, Verification Disbursements to or on Behalf of Students, and Return of Title IV Funds), are not tested at the student-level, the auditor must provide the following:</w:t>
      </w:r>
    </w:p>
    <w:p w14:paraId="144FED3F" w14:textId="5A5CAA36" w:rsidR="000E63F5" w:rsidRPr="000E63F5" w:rsidRDefault="000E63F5" w:rsidP="000E63F5">
      <w:pPr>
        <w:spacing w:after="240"/>
        <w:ind w:left="1440" w:hanging="720"/>
        <w:jc w:val="both"/>
        <w:rPr>
          <w:rFonts w:ascii="Arial" w:hAnsi="Arial" w:cs="Arial"/>
          <w:bCs/>
        </w:rPr>
      </w:pPr>
      <w:r w:rsidRPr="000E63F5">
        <w:rPr>
          <w:rFonts w:ascii="Arial" w:hAnsi="Arial" w:cs="Arial"/>
          <w:bCs/>
        </w:rPr>
        <w:t>a.</w:t>
      </w:r>
      <w:r w:rsidRPr="000E63F5">
        <w:rPr>
          <w:rFonts w:ascii="Arial" w:hAnsi="Arial" w:cs="Arial"/>
          <w:bCs/>
        </w:rPr>
        <w:tab/>
        <w:t>A description of each sample drawn and details of the sample, including the amount of Direct Loan funds sampled for the period tested;</w:t>
      </w:r>
    </w:p>
    <w:p w14:paraId="03014CEB" w14:textId="77D2760B" w:rsidR="000E63F5" w:rsidRPr="000E63F5" w:rsidRDefault="000E63F5" w:rsidP="000E63F5">
      <w:pPr>
        <w:spacing w:after="240"/>
        <w:ind w:left="1440" w:hanging="720"/>
        <w:jc w:val="both"/>
        <w:rPr>
          <w:rFonts w:ascii="Arial" w:hAnsi="Arial" w:cs="Arial"/>
          <w:bCs/>
        </w:rPr>
      </w:pPr>
      <w:r w:rsidRPr="000E63F5">
        <w:rPr>
          <w:rFonts w:ascii="Arial" w:hAnsi="Arial" w:cs="Arial"/>
          <w:bCs/>
        </w:rPr>
        <w:t>b.</w:t>
      </w:r>
      <w:r w:rsidRPr="000E63F5">
        <w:rPr>
          <w:rFonts w:ascii="Arial" w:hAnsi="Arial" w:cs="Arial"/>
          <w:bCs/>
        </w:rPr>
        <w:tab/>
        <w:t>The amount of Direct Loan funds disbursed for the population from which the sample was drawn for the period tested by sample drawn.</w:t>
      </w:r>
    </w:p>
    <w:p w14:paraId="1D9D2292" w14:textId="5B32EAAB" w:rsidR="000E63F5" w:rsidRPr="000E63F5" w:rsidRDefault="000E63F5" w:rsidP="000E63F5">
      <w:pPr>
        <w:spacing w:after="240"/>
        <w:ind w:left="720"/>
        <w:jc w:val="both"/>
        <w:rPr>
          <w:rFonts w:ascii="Arial" w:hAnsi="Arial" w:cs="Arial"/>
          <w:bCs/>
        </w:rPr>
      </w:pPr>
      <w:r w:rsidRPr="000E63F5">
        <w:rPr>
          <w:rFonts w:ascii="Arial" w:hAnsi="Arial" w:cs="Arial"/>
          <w:bCs/>
        </w:rPr>
        <w:t>For samples and populations related to Return of Title IV Funds, the total Direct Loan funds disbursed to the students is required even though the Return of Title IV Funds questioned costs identified from testing of the sample are based on the returns.</w:t>
      </w:r>
    </w:p>
    <w:p w14:paraId="3043ED9E" w14:textId="77777777" w:rsidR="000E63F5" w:rsidRPr="000E63F5" w:rsidRDefault="000E63F5" w:rsidP="000E63F5">
      <w:pPr>
        <w:spacing w:after="240"/>
        <w:ind w:left="720"/>
        <w:jc w:val="both"/>
        <w:rPr>
          <w:rFonts w:ascii="Arial" w:hAnsi="Arial" w:cs="Arial"/>
          <w:bCs/>
        </w:rPr>
      </w:pPr>
      <w:r w:rsidRPr="000E63F5">
        <w:rPr>
          <w:rFonts w:ascii="Arial" w:hAnsi="Arial" w:cs="Arial"/>
          <w:bCs/>
        </w:rPr>
        <w:t>If samples were drawn by OPEID number, provide the sample and population details by OPEID number (an eight-digit number). If this information is not available by OPEID, provide the aggregated sample and population amounts for the institution as a whole.</w:t>
      </w:r>
    </w:p>
    <w:tbl>
      <w:tblPr>
        <w:tblW w:w="0" w:type="auto"/>
        <w:tblInd w:w="7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40"/>
        <w:gridCol w:w="1260"/>
        <w:gridCol w:w="810"/>
        <w:gridCol w:w="1219"/>
        <w:gridCol w:w="1121"/>
        <w:gridCol w:w="1391"/>
        <w:gridCol w:w="1256"/>
      </w:tblGrid>
      <w:tr w:rsidR="000E63F5" w14:paraId="22BE38E8" w14:textId="77777777" w:rsidTr="00AB4349">
        <w:trPr>
          <w:trHeight w:val="688"/>
        </w:trPr>
        <w:tc>
          <w:tcPr>
            <w:tcW w:w="1440" w:type="dxa"/>
            <w:shd w:val="clear" w:color="auto" w:fill="DCDDDE"/>
          </w:tcPr>
          <w:p w14:paraId="49BAAB23" w14:textId="77777777" w:rsidR="000E63F5" w:rsidRPr="009D76F5" w:rsidRDefault="000E63F5" w:rsidP="00AB4349">
            <w:pPr>
              <w:pStyle w:val="TableParagraph"/>
              <w:jc w:val="center"/>
              <w:rPr>
                <w:rFonts w:ascii="Arial" w:hAnsi="Arial" w:cs="Arial"/>
                <w:sz w:val="20"/>
                <w:szCs w:val="20"/>
              </w:rPr>
            </w:pPr>
          </w:p>
        </w:tc>
        <w:tc>
          <w:tcPr>
            <w:tcW w:w="1260" w:type="dxa"/>
            <w:shd w:val="clear" w:color="auto" w:fill="DCDDDE"/>
          </w:tcPr>
          <w:p w14:paraId="194442F2" w14:textId="77777777" w:rsidR="000E63F5" w:rsidRPr="009D76F5" w:rsidRDefault="000E63F5" w:rsidP="00AB4349">
            <w:pPr>
              <w:pStyle w:val="TableParagraph"/>
              <w:jc w:val="center"/>
              <w:rPr>
                <w:rFonts w:ascii="Arial" w:hAnsi="Arial" w:cs="Arial"/>
                <w:sz w:val="20"/>
                <w:szCs w:val="20"/>
              </w:rPr>
            </w:pPr>
          </w:p>
        </w:tc>
        <w:tc>
          <w:tcPr>
            <w:tcW w:w="810" w:type="dxa"/>
            <w:shd w:val="clear" w:color="auto" w:fill="DCDDDE"/>
          </w:tcPr>
          <w:p w14:paraId="6AC90099" w14:textId="77777777" w:rsidR="000E63F5" w:rsidRPr="009D76F5" w:rsidRDefault="000E63F5" w:rsidP="00AB4349">
            <w:pPr>
              <w:pStyle w:val="TableParagraph"/>
              <w:jc w:val="center"/>
              <w:rPr>
                <w:rFonts w:ascii="Arial" w:hAnsi="Arial" w:cs="Arial"/>
                <w:sz w:val="20"/>
                <w:szCs w:val="20"/>
              </w:rPr>
            </w:pPr>
          </w:p>
        </w:tc>
        <w:tc>
          <w:tcPr>
            <w:tcW w:w="1219" w:type="dxa"/>
            <w:shd w:val="clear" w:color="auto" w:fill="DCDDDE"/>
          </w:tcPr>
          <w:p w14:paraId="3C28E0BF" w14:textId="77777777" w:rsidR="000E63F5" w:rsidRPr="009D76F5" w:rsidRDefault="000E63F5" w:rsidP="00AB4349">
            <w:pPr>
              <w:pStyle w:val="TableParagraph"/>
              <w:ind w:left="5"/>
              <w:jc w:val="center"/>
              <w:rPr>
                <w:rFonts w:ascii="Arial" w:hAnsi="Arial" w:cs="Arial"/>
                <w:b/>
                <w:sz w:val="20"/>
                <w:szCs w:val="20"/>
              </w:rPr>
            </w:pPr>
            <w:r w:rsidRPr="009D76F5">
              <w:rPr>
                <w:rFonts w:ascii="Arial" w:hAnsi="Arial" w:cs="Arial"/>
                <w:b/>
                <w:color w:val="231F20"/>
                <w:sz w:val="20"/>
                <w:szCs w:val="20"/>
              </w:rPr>
              <w:t>Sample(s)</w:t>
            </w:r>
          </w:p>
        </w:tc>
        <w:tc>
          <w:tcPr>
            <w:tcW w:w="1121" w:type="dxa"/>
            <w:shd w:val="clear" w:color="auto" w:fill="DCDDDE"/>
          </w:tcPr>
          <w:p w14:paraId="0742E046" w14:textId="77777777" w:rsidR="000E63F5" w:rsidRPr="009D76F5" w:rsidRDefault="000E63F5" w:rsidP="00AB4349">
            <w:pPr>
              <w:pStyle w:val="TableParagraph"/>
              <w:ind w:left="42"/>
              <w:jc w:val="center"/>
              <w:rPr>
                <w:rFonts w:ascii="Arial" w:hAnsi="Arial" w:cs="Arial"/>
                <w:b/>
                <w:sz w:val="20"/>
                <w:szCs w:val="20"/>
              </w:rPr>
            </w:pPr>
            <w:r w:rsidRPr="009D76F5">
              <w:rPr>
                <w:rFonts w:ascii="Arial" w:hAnsi="Arial" w:cs="Arial"/>
                <w:b/>
                <w:color w:val="231F20"/>
                <w:sz w:val="20"/>
                <w:szCs w:val="20"/>
              </w:rPr>
              <w:t>Sample(s)</w:t>
            </w:r>
          </w:p>
        </w:tc>
        <w:tc>
          <w:tcPr>
            <w:tcW w:w="1391" w:type="dxa"/>
            <w:shd w:val="clear" w:color="auto" w:fill="DCDDDE"/>
          </w:tcPr>
          <w:p w14:paraId="2BA28B96" w14:textId="77777777" w:rsidR="000E63F5" w:rsidRPr="009D76F5" w:rsidRDefault="000E63F5" w:rsidP="00AB4349">
            <w:pPr>
              <w:pStyle w:val="TableParagraph"/>
              <w:ind w:left="84" w:hanging="16"/>
              <w:jc w:val="center"/>
              <w:rPr>
                <w:rFonts w:ascii="Arial" w:hAnsi="Arial" w:cs="Arial"/>
                <w:b/>
                <w:sz w:val="20"/>
                <w:szCs w:val="20"/>
              </w:rPr>
            </w:pPr>
            <w:r w:rsidRPr="009D76F5">
              <w:rPr>
                <w:rFonts w:ascii="Arial" w:hAnsi="Arial" w:cs="Arial"/>
                <w:b/>
                <w:color w:val="231F20"/>
                <w:sz w:val="20"/>
                <w:szCs w:val="20"/>
              </w:rPr>
              <w:t>Population</w:t>
            </w:r>
          </w:p>
          <w:p w14:paraId="15D1CF23" w14:textId="77777777" w:rsidR="000E63F5" w:rsidRPr="009D76F5" w:rsidRDefault="000E63F5" w:rsidP="00AB4349">
            <w:pPr>
              <w:pStyle w:val="TableParagraph"/>
              <w:spacing w:before="5" w:line="228" w:lineRule="exact"/>
              <w:ind w:left="84" w:right="152" w:hanging="16"/>
              <w:jc w:val="center"/>
              <w:rPr>
                <w:rFonts w:ascii="Arial" w:hAnsi="Arial" w:cs="Arial"/>
                <w:b/>
                <w:sz w:val="20"/>
                <w:szCs w:val="20"/>
              </w:rPr>
            </w:pPr>
            <w:r w:rsidRPr="009D76F5">
              <w:rPr>
                <w:rFonts w:ascii="Arial" w:hAnsi="Arial" w:cs="Arial"/>
                <w:b/>
                <w:color w:val="231F20"/>
                <w:sz w:val="20"/>
                <w:szCs w:val="20"/>
              </w:rPr>
              <w:t>For Each Sample</w:t>
            </w:r>
          </w:p>
        </w:tc>
        <w:tc>
          <w:tcPr>
            <w:tcW w:w="1256" w:type="dxa"/>
            <w:shd w:val="clear" w:color="auto" w:fill="DCDDDE"/>
          </w:tcPr>
          <w:p w14:paraId="2D043CCB" w14:textId="77777777" w:rsidR="000E63F5" w:rsidRPr="009D76F5" w:rsidRDefault="000E63F5" w:rsidP="00AB4349">
            <w:pPr>
              <w:pStyle w:val="TableParagraph"/>
              <w:ind w:left="49"/>
              <w:jc w:val="center"/>
              <w:rPr>
                <w:rFonts w:ascii="Arial" w:hAnsi="Arial" w:cs="Arial"/>
                <w:b/>
                <w:sz w:val="20"/>
                <w:szCs w:val="20"/>
              </w:rPr>
            </w:pPr>
            <w:r w:rsidRPr="009D76F5">
              <w:rPr>
                <w:rFonts w:ascii="Arial" w:hAnsi="Arial" w:cs="Arial"/>
                <w:b/>
                <w:color w:val="231F20"/>
                <w:sz w:val="20"/>
                <w:szCs w:val="20"/>
              </w:rPr>
              <w:t>Population</w:t>
            </w:r>
          </w:p>
          <w:p w14:paraId="169D11BD" w14:textId="77777777" w:rsidR="000E63F5" w:rsidRPr="009D76F5" w:rsidRDefault="000E63F5" w:rsidP="00AB4349">
            <w:pPr>
              <w:pStyle w:val="TableParagraph"/>
              <w:spacing w:before="5" w:line="228" w:lineRule="exact"/>
              <w:ind w:left="49" w:right="153"/>
              <w:jc w:val="center"/>
              <w:rPr>
                <w:rFonts w:ascii="Arial" w:hAnsi="Arial" w:cs="Arial"/>
                <w:b/>
                <w:sz w:val="20"/>
                <w:szCs w:val="20"/>
              </w:rPr>
            </w:pPr>
            <w:r w:rsidRPr="009D76F5">
              <w:rPr>
                <w:rFonts w:ascii="Arial" w:hAnsi="Arial" w:cs="Arial"/>
                <w:b/>
                <w:color w:val="231F20"/>
                <w:sz w:val="20"/>
                <w:szCs w:val="20"/>
              </w:rPr>
              <w:t>For Each Sample</w:t>
            </w:r>
          </w:p>
        </w:tc>
      </w:tr>
      <w:tr w:rsidR="000E63F5" w14:paraId="2BB719AF" w14:textId="77777777" w:rsidTr="00AB4349">
        <w:trPr>
          <w:trHeight w:val="231"/>
        </w:trPr>
        <w:tc>
          <w:tcPr>
            <w:tcW w:w="1440" w:type="dxa"/>
            <w:tcBorders>
              <w:bottom w:val="nil"/>
            </w:tcBorders>
          </w:tcPr>
          <w:p w14:paraId="7699ED6D" w14:textId="77777777" w:rsidR="000E63F5" w:rsidRPr="009D76F5" w:rsidRDefault="000E63F5" w:rsidP="00AB4349">
            <w:pPr>
              <w:pStyle w:val="TableParagraph"/>
              <w:spacing w:line="212" w:lineRule="exact"/>
              <w:ind w:left="192" w:right="158"/>
              <w:jc w:val="center"/>
              <w:rPr>
                <w:rFonts w:ascii="Arial" w:hAnsi="Arial" w:cs="Arial"/>
                <w:sz w:val="20"/>
                <w:szCs w:val="20"/>
              </w:rPr>
            </w:pPr>
            <w:r w:rsidRPr="009D76F5">
              <w:rPr>
                <w:rFonts w:ascii="Arial" w:hAnsi="Arial" w:cs="Arial"/>
                <w:color w:val="231F20"/>
                <w:sz w:val="20"/>
                <w:szCs w:val="20"/>
              </w:rPr>
              <w:t>Sample</w:t>
            </w:r>
          </w:p>
        </w:tc>
        <w:tc>
          <w:tcPr>
            <w:tcW w:w="1260" w:type="dxa"/>
            <w:tcBorders>
              <w:bottom w:val="nil"/>
            </w:tcBorders>
          </w:tcPr>
          <w:p w14:paraId="0A3663F0" w14:textId="77777777" w:rsidR="000E63F5" w:rsidRPr="009D76F5" w:rsidRDefault="000E63F5" w:rsidP="00AB4349">
            <w:pPr>
              <w:pStyle w:val="TableParagraph"/>
              <w:spacing w:line="212" w:lineRule="exact"/>
              <w:ind w:right="80"/>
              <w:jc w:val="center"/>
              <w:rPr>
                <w:rFonts w:ascii="Arial" w:hAnsi="Arial" w:cs="Arial"/>
                <w:sz w:val="20"/>
                <w:szCs w:val="20"/>
              </w:rPr>
            </w:pPr>
            <w:r w:rsidRPr="009D76F5">
              <w:rPr>
                <w:rFonts w:ascii="Arial" w:hAnsi="Arial" w:cs="Arial"/>
                <w:color w:val="231F20"/>
                <w:sz w:val="20"/>
                <w:szCs w:val="20"/>
              </w:rPr>
              <w:t>Related</w:t>
            </w:r>
          </w:p>
        </w:tc>
        <w:tc>
          <w:tcPr>
            <w:tcW w:w="810" w:type="dxa"/>
            <w:tcBorders>
              <w:bottom w:val="nil"/>
            </w:tcBorders>
          </w:tcPr>
          <w:p w14:paraId="63A4B30B" w14:textId="77777777" w:rsidR="000E63F5" w:rsidRPr="009D76F5" w:rsidRDefault="000E63F5" w:rsidP="00AB4349">
            <w:pPr>
              <w:pStyle w:val="TableParagraph"/>
              <w:spacing w:line="212" w:lineRule="exact"/>
              <w:jc w:val="center"/>
              <w:rPr>
                <w:rFonts w:ascii="Arial" w:hAnsi="Arial" w:cs="Arial"/>
                <w:sz w:val="20"/>
                <w:szCs w:val="20"/>
              </w:rPr>
            </w:pPr>
            <w:r w:rsidRPr="009D76F5">
              <w:rPr>
                <w:rFonts w:ascii="Arial" w:hAnsi="Arial" w:cs="Arial"/>
                <w:color w:val="231F20"/>
                <w:sz w:val="20"/>
                <w:szCs w:val="20"/>
              </w:rPr>
              <w:t>OPEID</w:t>
            </w:r>
          </w:p>
        </w:tc>
        <w:tc>
          <w:tcPr>
            <w:tcW w:w="1219" w:type="dxa"/>
            <w:tcBorders>
              <w:bottom w:val="nil"/>
            </w:tcBorders>
          </w:tcPr>
          <w:p w14:paraId="4075AA6D" w14:textId="77777777" w:rsidR="000E63F5" w:rsidRPr="009D76F5" w:rsidRDefault="000E63F5" w:rsidP="00AB4349">
            <w:pPr>
              <w:pStyle w:val="TableParagraph"/>
              <w:spacing w:line="212" w:lineRule="exact"/>
              <w:ind w:left="5"/>
              <w:jc w:val="center"/>
              <w:rPr>
                <w:rFonts w:ascii="Arial" w:hAnsi="Arial" w:cs="Arial"/>
                <w:sz w:val="20"/>
                <w:szCs w:val="20"/>
              </w:rPr>
            </w:pPr>
            <w:r w:rsidRPr="009D76F5">
              <w:rPr>
                <w:rFonts w:ascii="Arial" w:hAnsi="Arial" w:cs="Arial"/>
                <w:color w:val="231F20"/>
                <w:sz w:val="20"/>
                <w:szCs w:val="20"/>
              </w:rPr>
              <w:t>Students</w:t>
            </w:r>
          </w:p>
        </w:tc>
        <w:tc>
          <w:tcPr>
            <w:tcW w:w="1121" w:type="dxa"/>
            <w:tcBorders>
              <w:bottom w:val="nil"/>
            </w:tcBorders>
          </w:tcPr>
          <w:p w14:paraId="7D17F3FB" w14:textId="77777777" w:rsidR="000E63F5" w:rsidRPr="009D76F5" w:rsidRDefault="000E63F5" w:rsidP="00AB4349">
            <w:pPr>
              <w:pStyle w:val="TableParagraph"/>
              <w:spacing w:line="212" w:lineRule="exact"/>
              <w:ind w:left="42"/>
              <w:jc w:val="center"/>
              <w:rPr>
                <w:rFonts w:ascii="Arial" w:hAnsi="Arial" w:cs="Arial"/>
                <w:sz w:val="20"/>
                <w:szCs w:val="20"/>
              </w:rPr>
            </w:pPr>
            <w:r w:rsidRPr="009D76F5">
              <w:rPr>
                <w:rFonts w:ascii="Arial" w:hAnsi="Arial" w:cs="Arial"/>
                <w:color w:val="231F20"/>
                <w:sz w:val="20"/>
                <w:szCs w:val="20"/>
              </w:rPr>
              <w:t>Direct</w:t>
            </w:r>
          </w:p>
        </w:tc>
        <w:tc>
          <w:tcPr>
            <w:tcW w:w="1391" w:type="dxa"/>
            <w:tcBorders>
              <w:bottom w:val="nil"/>
            </w:tcBorders>
          </w:tcPr>
          <w:p w14:paraId="1AF7E2F7" w14:textId="77777777" w:rsidR="000E63F5" w:rsidRPr="009D76F5" w:rsidRDefault="000E63F5" w:rsidP="00AB4349">
            <w:pPr>
              <w:pStyle w:val="TableParagraph"/>
              <w:spacing w:line="212" w:lineRule="exact"/>
              <w:ind w:left="84" w:right="77" w:hanging="16"/>
              <w:jc w:val="center"/>
              <w:rPr>
                <w:rFonts w:ascii="Arial" w:hAnsi="Arial" w:cs="Arial"/>
                <w:sz w:val="20"/>
                <w:szCs w:val="20"/>
              </w:rPr>
            </w:pPr>
            <w:r w:rsidRPr="009D76F5">
              <w:rPr>
                <w:rFonts w:ascii="Arial" w:hAnsi="Arial" w:cs="Arial"/>
                <w:color w:val="231F20"/>
                <w:sz w:val="20"/>
                <w:szCs w:val="20"/>
              </w:rPr>
              <w:t>Students</w:t>
            </w:r>
          </w:p>
        </w:tc>
        <w:tc>
          <w:tcPr>
            <w:tcW w:w="1256" w:type="dxa"/>
            <w:tcBorders>
              <w:bottom w:val="nil"/>
            </w:tcBorders>
          </w:tcPr>
          <w:p w14:paraId="32CADE18" w14:textId="77777777" w:rsidR="000E63F5" w:rsidRPr="009D76F5" w:rsidRDefault="000E63F5" w:rsidP="00AB4349">
            <w:pPr>
              <w:pStyle w:val="TableParagraph"/>
              <w:spacing w:line="212" w:lineRule="exact"/>
              <w:ind w:left="49" w:right="81"/>
              <w:jc w:val="center"/>
              <w:rPr>
                <w:rFonts w:ascii="Arial" w:hAnsi="Arial" w:cs="Arial"/>
                <w:sz w:val="20"/>
                <w:szCs w:val="20"/>
              </w:rPr>
            </w:pPr>
            <w:r w:rsidRPr="009D76F5">
              <w:rPr>
                <w:rFonts w:ascii="Arial" w:hAnsi="Arial" w:cs="Arial"/>
                <w:color w:val="231F20"/>
                <w:sz w:val="20"/>
                <w:szCs w:val="20"/>
              </w:rPr>
              <w:t>Direct</w:t>
            </w:r>
          </w:p>
        </w:tc>
      </w:tr>
      <w:tr w:rsidR="000E63F5" w14:paraId="31125554" w14:textId="77777777" w:rsidTr="00AB4349">
        <w:trPr>
          <w:trHeight w:val="230"/>
        </w:trPr>
        <w:tc>
          <w:tcPr>
            <w:tcW w:w="1440" w:type="dxa"/>
            <w:tcBorders>
              <w:top w:val="nil"/>
              <w:bottom w:val="nil"/>
            </w:tcBorders>
          </w:tcPr>
          <w:p w14:paraId="2A6115AF" w14:textId="77777777" w:rsidR="000E63F5" w:rsidRPr="009D76F5" w:rsidRDefault="000E63F5" w:rsidP="00AB4349">
            <w:pPr>
              <w:pStyle w:val="TableParagraph"/>
              <w:spacing w:line="210" w:lineRule="exact"/>
              <w:ind w:left="195" w:right="158"/>
              <w:jc w:val="center"/>
              <w:rPr>
                <w:rFonts w:ascii="Arial" w:hAnsi="Arial" w:cs="Arial"/>
                <w:sz w:val="20"/>
                <w:szCs w:val="20"/>
              </w:rPr>
            </w:pPr>
            <w:r w:rsidRPr="009D76F5">
              <w:rPr>
                <w:rFonts w:ascii="Arial" w:hAnsi="Arial" w:cs="Arial"/>
                <w:color w:val="231F20"/>
                <w:sz w:val="20"/>
                <w:szCs w:val="20"/>
              </w:rPr>
              <w:t>Description</w:t>
            </w:r>
          </w:p>
        </w:tc>
        <w:tc>
          <w:tcPr>
            <w:tcW w:w="1260" w:type="dxa"/>
            <w:tcBorders>
              <w:top w:val="nil"/>
              <w:bottom w:val="nil"/>
            </w:tcBorders>
          </w:tcPr>
          <w:p w14:paraId="69899C82" w14:textId="77777777" w:rsidR="000E63F5" w:rsidRPr="009D76F5" w:rsidRDefault="000E63F5" w:rsidP="00AB4349">
            <w:pPr>
              <w:pStyle w:val="TableParagraph"/>
              <w:spacing w:line="210" w:lineRule="exact"/>
              <w:ind w:right="78"/>
              <w:jc w:val="center"/>
              <w:rPr>
                <w:rFonts w:ascii="Arial" w:hAnsi="Arial" w:cs="Arial"/>
                <w:sz w:val="20"/>
                <w:szCs w:val="20"/>
              </w:rPr>
            </w:pPr>
            <w:r w:rsidRPr="009D76F5">
              <w:rPr>
                <w:rFonts w:ascii="Arial" w:hAnsi="Arial" w:cs="Arial"/>
                <w:color w:val="231F20"/>
                <w:sz w:val="20"/>
                <w:szCs w:val="20"/>
              </w:rPr>
              <w:t>Compliance</w:t>
            </w:r>
          </w:p>
        </w:tc>
        <w:tc>
          <w:tcPr>
            <w:tcW w:w="810" w:type="dxa"/>
            <w:tcBorders>
              <w:top w:val="nil"/>
              <w:bottom w:val="nil"/>
            </w:tcBorders>
          </w:tcPr>
          <w:p w14:paraId="5F46216F" w14:textId="77777777" w:rsidR="000E63F5" w:rsidRPr="009D76F5" w:rsidRDefault="000E63F5" w:rsidP="00AB4349">
            <w:pPr>
              <w:pStyle w:val="TableParagraph"/>
              <w:jc w:val="center"/>
              <w:rPr>
                <w:rFonts w:ascii="Arial" w:hAnsi="Arial" w:cs="Arial"/>
                <w:sz w:val="20"/>
                <w:szCs w:val="20"/>
              </w:rPr>
            </w:pPr>
          </w:p>
        </w:tc>
        <w:tc>
          <w:tcPr>
            <w:tcW w:w="1219" w:type="dxa"/>
            <w:tcBorders>
              <w:top w:val="nil"/>
              <w:bottom w:val="nil"/>
            </w:tcBorders>
          </w:tcPr>
          <w:p w14:paraId="207D82FB" w14:textId="77777777" w:rsidR="000E63F5" w:rsidRPr="009D76F5" w:rsidRDefault="000E63F5" w:rsidP="00AB4349">
            <w:pPr>
              <w:pStyle w:val="TableParagraph"/>
              <w:spacing w:line="210" w:lineRule="exact"/>
              <w:ind w:left="5"/>
              <w:jc w:val="center"/>
              <w:rPr>
                <w:rFonts w:ascii="Arial" w:hAnsi="Arial" w:cs="Arial"/>
                <w:sz w:val="20"/>
                <w:szCs w:val="20"/>
              </w:rPr>
            </w:pPr>
            <w:r w:rsidRPr="009D76F5">
              <w:rPr>
                <w:rFonts w:ascii="Arial" w:hAnsi="Arial" w:cs="Arial"/>
                <w:color w:val="231F20"/>
                <w:sz w:val="20"/>
                <w:szCs w:val="20"/>
              </w:rPr>
              <w:t>Receiving</w:t>
            </w:r>
          </w:p>
        </w:tc>
        <w:tc>
          <w:tcPr>
            <w:tcW w:w="1121" w:type="dxa"/>
            <w:tcBorders>
              <w:top w:val="nil"/>
              <w:bottom w:val="nil"/>
            </w:tcBorders>
          </w:tcPr>
          <w:p w14:paraId="0A16A0FE" w14:textId="77777777" w:rsidR="000E63F5" w:rsidRPr="009D76F5" w:rsidRDefault="000E63F5" w:rsidP="00AB4349">
            <w:pPr>
              <w:pStyle w:val="TableParagraph"/>
              <w:spacing w:line="210" w:lineRule="exact"/>
              <w:ind w:left="42"/>
              <w:jc w:val="center"/>
              <w:rPr>
                <w:rFonts w:ascii="Arial" w:hAnsi="Arial" w:cs="Arial"/>
                <w:sz w:val="20"/>
                <w:szCs w:val="20"/>
              </w:rPr>
            </w:pPr>
            <w:r w:rsidRPr="009D76F5">
              <w:rPr>
                <w:rFonts w:ascii="Arial" w:hAnsi="Arial" w:cs="Arial"/>
                <w:color w:val="231F20"/>
                <w:sz w:val="20"/>
                <w:szCs w:val="20"/>
              </w:rPr>
              <w:t>Loan</w:t>
            </w:r>
          </w:p>
        </w:tc>
        <w:tc>
          <w:tcPr>
            <w:tcW w:w="1391" w:type="dxa"/>
            <w:tcBorders>
              <w:top w:val="nil"/>
              <w:bottom w:val="nil"/>
            </w:tcBorders>
          </w:tcPr>
          <w:p w14:paraId="212AE088" w14:textId="77777777" w:rsidR="000E63F5" w:rsidRPr="009D76F5" w:rsidRDefault="000E63F5" w:rsidP="00AB4349">
            <w:pPr>
              <w:pStyle w:val="TableParagraph"/>
              <w:spacing w:line="210" w:lineRule="exact"/>
              <w:ind w:left="84" w:right="81" w:hanging="16"/>
              <w:jc w:val="center"/>
              <w:rPr>
                <w:rFonts w:ascii="Arial" w:hAnsi="Arial" w:cs="Arial"/>
                <w:sz w:val="20"/>
                <w:szCs w:val="20"/>
              </w:rPr>
            </w:pPr>
            <w:r w:rsidRPr="009D76F5">
              <w:rPr>
                <w:rFonts w:ascii="Arial" w:hAnsi="Arial" w:cs="Arial"/>
                <w:color w:val="231F20"/>
                <w:sz w:val="20"/>
                <w:szCs w:val="20"/>
              </w:rPr>
              <w:t>Receiving</w:t>
            </w:r>
          </w:p>
        </w:tc>
        <w:tc>
          <w:tcPr>
            <w:tcW w:w="1256" w:type="dxa"/>
            <w:tcBorders>
              <w:top w:val="nil"/>
              <w:bottom w:val="nil"/>
            </w:tcBorders>
          </w:tcPr>
          <w:p w14:paraId="04F473FD" w14:textId="77777777" w:rsidR="000E63F5" w:rsidRPr="009D76F5" w:rsidRDefault="000E63F5" w:rsidP="00AB4349">
            <w:pPr>
              <w:pStyle w:val="TableParagraph"/>
              <w:spacing w:line="210" w:lineRule="exact"/>
              <w:ind w:left="49" w:right="81"/>
              <w:jc w:val="center"/>
              <w:rPr>
                <w:rFonts w:ascii="Arial" w:hAnsi="Arial" w:cs="Arial"/>
                <w:sz w:val="20"/>
                <w:szCs w:val="20"/>
              </w:rPr>
            </w:pPr>
            <w:r w:rsidRPr="009D76F5">
              <w:rPr>
                <w:rFonts w:ascii="Arial" w:hAnsi="Arial" w:cs="Arial"/>
                <w:color w:val="231F20"/>
                <w:sz w:val="20"/>
                <w:szCs w:val="20"/>
              </w:rPr>
              <w:t>Loan</w:t>
            </w:r>
          </w:p>
        </w:tc>
      </w:tr>
      <w:tr w:rsidR="000E63F5" w14:paraId="1862A1BB" w14:textId="77777777" w:rsidTr="00AB4349">
        <w:trPr>
          <w:trHeight w:val="230"/>
        </w:trPr>
        <w:tc>
          <w:tcPr>
            <w:tcW w:w="1440" w:type="dxa"/>
            <w:tcBorders>
              <w:top w:val="nil"/>
              <w:bottom w:val="nil"/>
            </w:tcBorders>
          </w:tcPr>
          <w:p w14:paraId="276035A2" w14:textId="77777777" w:rsidR="000E63F5" w:rsidRPr="009D76F5" w:rsidRDefault="000E63F5" w:rsidP="00AB4349">
            <w:pPr>
              <w:pStyle w:val="TableParagraph"/>
              <w:jc w:val="center"/>
              <w:rPr>
                <w:rFonts w:ascii="Arial" w:hAnsi="Arial" w:cs="Arial"/>
                <w:sz w:val="20"/>
                <w:szCs w:val="20"/>
              </w:rPr>
            </w:pPr>
          </w:p>
        </w:tc>
        <w:tc>
          <w:tcPr>
            <w:tcW w:w="1260" w:type="dxa"/>
            <w:tcBorders>
              <w:top w:val="nil"/>
              <w:bottom w:val="nil"/>
            </w:tcBorders>
          </w:tcPr>
          <w:p w14:paraId="30F65195" w14:textId="77777777" w:rsidR="000E63F5" w:rsidRPr="009D76F5" w:rsidRDefault="000E63F5" w:rsidP="00AB4349">
            <w:pPr>
              <w:pStyle w:val="TableParagraph"/>
              <w:spacing w:line="210" w:lineRule="exact"/>
              <w:ind w:right="80"/>
              <w:jc w:val="center"/>
              <w:rPr>
                <w:rFonts w:ascii="Arial" w:hAnsi="Arial" w:cs="Arial"/>
                <w:sz w:val="20"/>
                <w:szCs w:val="20"/>
              </w:rPr>
            </w:pPr>
            <w:r w:rsidRPr="009D76F5">
              <w:rPr>
                <w:rFonts w:ascii="Arial" w:hAnsi="Arial" w:cs="Arial"/>
                <w:color w:val="231F20"/>
                <w:sz w:val="20"/>
                <w:szCs w:val="20"/>
              </w:rPr>
              <w:t>Requirement</w:t>
            </w:r>
          </w:p>
        </w:tc>
        <w:tc>
          <w:tcPr>
            <w:tcW w:w="810" w:type="dxa"/>
            <w:tcBorders>
              <w:top w:val="nil"/>
              <w:bottom w:val="nil"/>
            </w:tcBorders>
          </w:tcPr>
          <w:p w14:paraId="74A490C6" w14:textId="77777777" w:rsidR="000E63F5" w:rsidRPr="009D76F5" w:rsidRDefault="000E63F5" w:rsidP="00AB4349">
            <w:pPr>
              <w:pStyle w:val="TableParagraph"/>
              <w:jc w:val="center"/>
              <w:rPr>
                <w:rFonts w:ascii="Arial" w:hAnsi="Arial" w:cs="Arial"/>
                <w:sz w:val="20"/>
                <w:szCs w:val="20"/>
              </w:rPr>
            </w:pPr>
          </w:p>
        </w:tc>
        <w:tc>
          <w:tcPr>
            <w:tcW w:w="1219" w:type="dxa"/>
            <w:tcBorders>
              <w:top w:val="nil"/>
              <w:bottom w:val="nil"/>
            </w:tcBorders>
          </w:tcPr>
          <w:p w14:paraId="6852FF5A" w14:textId="77777777" w:rsidR="000E63F5" w:rsidRPr="009D76F5" w:rsidRDefault="000E63F5" w:rsidP="00AB4349">
            <w:pPr>
              <w:pStyle w:val="TableParagraph"/>
              <w:spacing w:line="210" w:lineRule="exact"/>
              <w:ind w:left="5"/>
              <w:jc w:val="center"/>
              <w:rPr>
                <w:rFonts w:ascii="Arial" w:hAnsi="Arial" w:cs="Arial"/>
                <w:sz w:val="20"/>
                <w:szCs w:val="20"/>
              </w:rPr>
            </w:pPr>
            <w:r w:rsidRPr="009D76F5">
              <w:rPr>
                <w:rFonts w:ascii="Arial" w:hAnsi="Arial" w:cs="Arial"/>
                <w:color w:val="231F20"/>
                <w:sz w:val="20"/>
                <w:szCs w:val="20"/>
              </w:rPr>
              <w:t>Direct</w:t>
            </w:r>
          </w:p>
        </w:tc>
        <w:tc>
          <w:tcPr>
            <w:tcW w:w="1121" w:type="dxa"/>
            <w:tcBorders>
              <w:top w:val="nil"/>
              <w:bottom w:val="nil"/>
            </w:tcBorders>
          </w:tcPr>
          <w:p w14:paraId="531B109D" w14:textId="77777777" w:rsidR="000E63F5" w:rsidRPr="009D76F5" w:rsidRDefault="000E63F5" w:rsidP="00AB4349">
            <w:pPr>
              <w:pStyle w:val="TableParagraph"/>
              <w:spacing w:line="210" w:lineRule="exact"/>
              <w:ind w:left="42"/>
              <w:jc w:val="center"/>
              <w:rPr>
                <w:rFonts w:ascii="Arial" w:hAnsi="Arial" w:cs="Arial"/>
                <w:sz w:val="20"/>
                <w:szCs w:val="20"/>
              </w:rPr>
            </w:pPr>
            <w:r w:rsidRPr="009D76F5">
              <w:rPr>
                <w:rFonts w:ascii="Arial" w:hAnsi="Arial" w:cs="Arial"/>
                <w:color w:val="231F20"/>
                <w:sz w:val="20"/>
                <w:szCs w:val="20"/>
              </w:rPr>
              <w:t>Disbursed</w:t>
            </w:r>
          </w:p>
        </w:tc>
        <w:tc>
          <w:tcPr>
            <w:tcW w:w="1391" w:type="dxa"/>
            <w:tcBorders>
              <w:top w:val="nil"/>
              <w:bottom w:val="nil"/>
            </w:tcBorders>
          </w:tcPr>
          <w:p w14:paraId="5059269C" w14:textId="77777777" w:rsidR="000E63F5" w:rsidRPr="009D76F5" w:rsidRDefault="000E63F5" w:rsidP="00AB4349">
            <w:pPr>
              <w:pStyle w:val="TableParagraph"/>
              <w:spacing w:line="210" w:lineRule="exact"/>
              <w:ind w:left="84" w:right="79" w:hanging="16"/>
              <w:jc w:val="center"/>
              <w:rPr>
                <w:rFonts w:ascii="Arial" w:hAnsi="Arial" w:cs="Arial"/>
                <w:sz w:val="20"/>
                <w:szCs w:val="20"/>
              </w:rPr>
            </w:pPr>
            <w:r w:rsidRPr="009D76F5">
              <w:rPr>
                <w:rFonts w:ascii="Arial" w:hAnsi="Arial" w:cs="Arial"/>
                <w:color w:val="231F20"/>
                <w:sz w:val="20"/>
                <w:szCs w:val="20"/>
              </w:rPr>
              <w:t>Direct</w:t>
            </w:r>
          </w:p>
        </w:tc>
        <w:tc>
          <w:tcPr>
            <w:tcW w:w="1256" w:type="dxa"/>
            <w:tcBorders>
              <w:top w:val="nil"/>
              <w:bottom w:val="nil"/>
            </w:tcBorders>
          </w:tcPr>
          <w:p w14:paraId="072B04C5" w14:textId="77777777" w:rsidR="000E63F5" w:rsidRPr="009D76F5" w:rsidRDefault="000E63F5" w:rsidP="00AB4349">
            <w:pPr>
              <w:pStyle w:val="TableParagraph"/>
              <w:spacing w:line="210" w:lineRule="exact"/>
              <w:ind w:left="49" w:right="83"/>
              <w:jc w:val="center"/>
              <w:rPr>
                <w:rFonts w:ascii="Arial" w:hAnsi="Arial" w:cs="Arial"/>
                <w:sz w:val="20"/>
                <w:szCs w:val="20"/>
              </w:rPr>
            </w:pPr>
            <w:r w:rsidRPr="009D76F5">
              <w:rPr>
                <w:rFonts w:ascii="Arial" w:hAnsi="Arial" w:cs="Arial"/>
                <w:color w:val="231F20"/>
                <w:sz w:val="20"/>
                <w:szCs w:val="20"/>
              </w:rPr>
              <w:t>Disbursed</w:t>
            </w:r>
          </w:p>
        </w:tc>
      </w:tr>
      <w:tr w:rsidR="000E63F5" w14:paraId="2894CD2B" w14:textId="77777777" w:rsidTr="00AB4349">
        <w:trPr>
          <w:trHeight w:val="225"/>
        </w:trPr>
        <w:tc>
          <w:tcPr>
            <w:tcW w:w="1440" w:type="dxa"/>
            <w:tcBorders>
              <w:top w:val="nil"/>
            </w:tcBorders>
          </w:tcPr>
          <w:p w14:paraId="1AE34433" w14:textId="77777777" w:rsidR="000E63F5" w:rsidRPr="009D76F5" w:rsidRDefault="000E63F5" w:rsidP="00AB4349">
            <w:pPr>
              <w:pStyle w:val="TableParagraph"/>
              <w:jc w:val="center"/>
              <w:rPr>
                <w:rFonts w:ascii="Arial" w:hAnsi="Arial" w:cs="Arial"/>
                <w:sz w:val="20"/>
                <w:szCs w:val="20"/>
              </w:rPr>
            </w:pPr>
          </w:p>
        </w:tc>
        <w:tc>
          <w:tcPr>
            <w:tcW w:w="1260" w:type="dxa"/>
            <w:tcBorders>
              <w:top w:val="nil"/>
            </w:tcBorders>
          </w:tcPr>
          <w:p w14:paraId="1BBC1406" w14:textId="77777777" w:rsidR="000E63F5" w:rsidRPr="009D76F5" w:rsidRDefault="000E63F5" w:rsidP="00AB4349">
            <w:pPr>
              <w:pStyle w:val="TableParagraph"/>
              <w:jc w:val="center"/>
              <w:rPr>
                <w:rFonts w:ascii="Arial" w:hAnsi="Arial" w:cs="Arial"/>
                <w:sz w:val="20"/>
                <w:szCs w:val="20"/>
              </w:rPr>
            </w:pPr>
          </w:p>
        </w:tc>
        <w:tc>
          <w:tcPr>
            <w:tcW w:w="810" w:type="dxa"/>
            <w:tcBorders>
              <w:top w:val="nil"/>
            </w:tcBorders>
          </w:tcPr>
          <w:p w14:paraId="1958E633" w14:textId="77777777" w:rsidR="000E63F5" w:rsidRPr="009D76F5" w:rsidRDefault="000E63F5" w:rsidP="00AB4349">
            <w:pPr>
              <w:pStyle w:val="TableParagraph"/>
              <w:jc w:val="center"/>
              <w:rPr>
                <w:rFonts w:ascii="Arial" w:hAnsi="Arial" w:cs="Arial"/>
                <w:sz w:val="20"/>
                <w:szCs w:val="20"/>
              </w:rPr>
            </w:pPr>
          </w:p>
        </w:tc>
        <w:tc>
          <w:tcPr>
            <w:tcW w:w="1219" w:type="dxa"/>
            <w:tcBorders>
              <w:top w:val="nil"/>
            </w:tcBorders>
          </w:tcPr>
          <w:p w14:paraId="0283F8F7" w14:textId="77777777" w:rsidR="000E63F5" w:rsidRPr="009D76F5" w:rsidRDefault="000E63F5" w:rsidP="00AB4349">
            <w:pPr>
              <w:pStyle w:val="TableParagraph"/>
              <w:spacing w:line="205" w:lineRule="exact"/>
              <w:ind w:left="5"/>
              <w:jc w:val="center"/>
              <w:rPr>
                <w:rFonts w:ascii="Arial" w:hAnsi="Arial" w:cs="Arial"/>
                <w:sz w:val="20"/>
                <w:szCs w:val="20"/>
              </w:rPr>
            </w:pPr>
            <w:r w:rsidRPr="009D76F5">
              <w:rPr>
                <w:rFonts w:ascii="Arial" w:hAnsi="Arial" w:cs="Arial"/>
                <w:color w:val="231F20"/>
                <w:sz w:val="20"/>
                <w:szCs w:val="20"/>
              </w:rPr>
              <w:t>Loan (#)</w:t>
            </w:r>
          </w:p>
        </w:tc>
        <w:tc>
          <w:tcPr>
            <w:tcW w:w="1121" w:type="dxa"/>
            <w:tcBorders>
              <w:top w:val="nil"/>
            </w:tcBorders>
          </w:tcPr>
          <w:p w14:paraId="1BF2C551" w14:textId="77777777" w:rsidR="000E63F5" w:rsidRPr="009D76F5" w:rsidRDefault="000E63F5" w:rsidP="00AB4349">
            <w:pPr>
              <w:pStyle w:val="TableParagraph"/>
              <w:spacing w:line="205" w:lineRule="exact"/>
              <w:ind w:left="42" w:right="37"/>
              <w:jc w:val="center"/>
              <w:rPr>
                <w:rFonts w:ascii="Arial" w:hAnsi="Arial" w:cs="Arial"/>
                <w:sz w:val="20"/>
                <w:szCs w:val="20"/>
              </w:rPr>
            </w:pPr>
            <w:r w:rsidRPr="009D76F5">
              <w:rPr>
                <w:rFonts w:ascii="Arial" w:hAnsi="Arial" w:cs="Arial"/>
                <w:color w:val="231F20"/>
                <w:sz w:val="20"/>
                <w:szCs w:val="20"/>
              </w:rPr>
              <w:t>($)</w:t>
            </w:r>
          </w:p>
        </w:tc>
        <w:tc>
          <w:tcPr>
            <w:tcW w:w="1391" w:type="dxa"/>
            <w:tcBorders>
              <w:top w:val="nil"/>
            </w:tcBorders>
          </w:tcPr>
          <w:p w14:paraId="4B888700" w14:textId="77777777" w:rsidR="000E63F5" w:rsidRPr="009D76F5" w:rsidRDefault="000E63F5" w:rsidP="00AB4349">
            <w:pPr>
              <w:pStyle w:val="TableParagraph"/>
              <w:spacing w:line="205" w:lineRule="exact"/>
              <w:ind w:left="84" w:right="75" w:hanging="16"/>
              <w:jc w:val="center"/>
              <w:rPr>
                <w:rFonts w:ascii="Arial" w:hAnsi="Arial" w:cs="Arial"/>
                <w:sz w:val="20"/>
                <w:szCs w:val="20"/>
              </w:rPr>
            </w:pPr>
            <w:r w:rsidRPr="009D76F5">
              <w:rPr>
                <w:rFonts w:ascii="Arial" w:hAnsi="Arial" w:cs="Arial"/>
                <w:color w:val="231F20"/>
                <w:sz w:val="20"/>
                <w:szCs w:val="20"/>
              </w:rPr>
              <w:t>Loan (#)</w:t>
            </w:r>
          </w:p>
        </w:tc>
        <w:tc>
          <w:tcPr>
            <w:tcW w:w="1256" w:type="dxa"/>
            <w:tcBorders>
              <w:top w:val="nil"/>
            </w:tcBorders>
          </w:tcPr>
          <w:p w14:paraId="4FAFDBEC" w14:textId="77777777" w:rsidR="000E63F5" w:rsidRPr="009D76F5" w:rsidRDefault="000E63F5" w:rsidP="00AB4349">
            <w:pPr>
              <w:pStyle w:val="TableParagraph"/>
              <w:spacing w:line="205" w:lineRule="exact"/>
              <w:ind w:left="49" w:right="77"/>
              <w:jc w:val="center"/>
              <w:rPr>
                <w:rFonts w:ascii="Arial" w:hAnsi="Arial" w:cs="Arial"/>
                <w:sz w:val="20"/>
                <w:szCs w:val="20"/>
              </w:rPr>
            </w:pPr>
            <w:r w:rsidRPr="009D76F5">
              <w:rPr>
                <w:rFonts w:ascii="Arial" w:hAnsi="Arial" w:cs="Arial"/>
                <w:color w:val="231F20"/>
                <w:sz w:val="20"/>
                <w:szCs w:val="20"/>
              </w:rPr>
              <w:t>($)</w:t>
            </w:r>
          </w:p>
        </w:tc>
      </w:tr>
      <w:tr w:rsidR="000E63F5" w14:paraId="0038C75D" w14:textId="77777777" w:rsidTr="00AB4349">
        <w:trPr>
          <w:trHeight w:val="229"/>
        </w:trPr>
        <w:tc>
          <w:tcPr>
            <w:tcW w:w="1440" w:type="dxa"/>
          </w:tcPr>
          <w:p w14:paraId="6F8FBBB1" w14:textId="77777777" w:rsidR="000E63F5" w:rsidRPr="009D76F5" w:rsidRDefault="000E63F5" w:rsidP="00AB4349">
            <w:pPr>
              <w:pStyle w:val="TableParagraph"/>
              <w:jc w:val="center"/>
              <w:rPr>
                <w:rFonts w:ascii="Arial" w:hAnsi="Arial" w:cs="Arial"/>
                <w:sz w:val="20"/>
                <w:szCs w:val="20"/>
              </w:rPr>
            </w:pPr>
          </w:p>
        </w:tc>
        <w:tc>
          <w:tcPr>
            <w:tcW w:w="1260" w:type="dxa"/>
          </w:tcPr>
          <w:p w14:paraId="782063AB" w14:textId="77777777" w:rsidR="000E63F5" w:rsidRPr="009D76F5" w:rsidRDefault="000E63F5" w:rsidP="00AB4349">
            <w:pPr>
              <w:pStyle w:val="TableParagraph"/>
              <w:jc w:val="center"/>
              <w:rPr>
                <w:rFonts w:ascii="Arial" w:hAnsi="Arial" w:cs="Arial"/>
                <w:sz w:val="20"/>
                <w:szCs w:val="20"/>
              </w:rPr>
            </w:pPr>
          </w:p>
        </w:tc>
        <w:tc>
          <w:tcPr>
            <w:tcW w:w="810" w:type="dxa"/>
          </w:tcPr>
          <w:p w14:paraId="0D9C8665" w14:textId="77777777" w:rsidR="000E63F5" w:rsidRPr="009D76F5" w:rsidRDefault="000E63F5" w:rsidP="00AB4349">
            <w:pPr>
              <w:pStyle w:val="TableParagraph"/>
              <w:jc w:val="center"/>
              <w:rPr>
                <w:rFonts w:ascii="Arial" w:hAnsi="Arial" w:cs="Arial"/>
                <w:sz w:val="20"/>
                <w:szCs w:val="20"/>
              </w:rPr>
            </w:pPr>
          </w:p>
        </w:tc>
        <w:tc>
          <w:tcPr>
            <w:tcW w:w="1219" w:type="dxa"/>
          </w:tcPr>
          <w:p w14:paraId="48DC7A20" w14:textId="77777777" w:rsidR="000E63F5" w:rsidRPr="009D76F5" w:rsidRDefault="000E63F5" w:rsidP="00AB4349">
            <w:pPr>
              <w:pStyle w:val="TableParagraph"/>
              <w:jc w:val="center"/>
              <w:rPr>
                <w:rFonts w:ascii="Arial" w:hAnsi="Arial" w:cs="Arial"/>
                <w:sz w:val="20"/>
                <w:szCs w:val="20"/>
              </w:rPr>
            </w:pPr>
          </w:p>
        </w:tc>
        <w:tc>
          <w:tcPr>
            <w:tcW w:w="1121" w:type="dxa"/>
          </w:tcPr>
          <w:p w14:paraId="4D46089F" w14:textId="77777777" w:rsidR="000E63F5" w:rsidRPr="009D76F5" w:rsidRDefault="000E63F5" w:rsidP="00AB4349">
            <w:pPr>
              <w:pStyle w:val="TableParagraph"/>
              <w:jc w:val="center"/>
              <w:rPr>
                <w:rFonts w:ascii="Arial" w:hAnsi="Arial" w:cs="Arial"/>
                <w:sz w:val="20"/>
                <w:szCs w:val="20"/>
              </w:rPr>
            </w:pPr>
          </w:p>
        </w:tc>
        <w:tc>
          <w:tcPr>
            <w:tcW w:w="1391" w:type="dxa"/>
          </w:tcPr>
          <w:p w14:paraId="12C5A44A" w14:textId="77777777" w:rsidR="000E63F5" w:rsidRPr="009D76F5" w:rsidRDefault="000E63F5" w:rsidP="00AB4349">
            <w:pPr>
              <w:pStyle w:val="TableParagraph"/>
              <w:jc w:val="center"/>
              <w:rPr>
                <w:rFonts w:ascii="Arial" w:hAnsi="Arial" w:cs="Arial"/>
                <w:sz w:val="20"/>
                <w:szCs w:val="20"/>
              </w:rPr>
            </w:pPr>
          </w:p>
        </w:tc>
        <w:tc>
          <w:tcPr>
            <w:tcW w:w="1256" w:type="dxa"/>
          </w:tcPr>
          <w:p w14:paraId="433C6D45" w14:textId="77777777" w:rsidR="000E63F5" w:rsidRPr="009D76F5" w:rsidRDefault="000E63F5" w:rsidP="00AB4349">
            <w:pPr>
              <w:pStyle w:val="TableParagraph"/>
              <w:jc w:val="center"/>
              <w:rPr>
                <w:rFonts w:ascii="Arial" w:hAnsi="Arial" w:cs="Arial"/>
                <w:sz w:val="20"/>
                <w:szCs w:val="20"/>
              </w:rPr>
            </w:pPr>
          </w:p>
        </w:tc>
      </w:tr>
      <w:tr w:rsidR="000E63F5" w14:paraId="6362E27B" w14:textId="77777777" w:rsidTr="00AB4349">
        <w:trPr>
          <w:trHeight w:val="230"/>
        </w:trPr>
        <w:tc>
          <w:tcPr>
            <w:tcW w:w="1440" w:type="dxa"/>
          </w:tcPr>
          <w:p w14:paraId="1D44DF5A" w14:textId="77777777" w:rsidR="000E63F5" w:rsidRPr="009D76F5" w:rsidRDefault="000E63F5" w:rsidP="00AB4349">
            <w:pPr>
              <w:pStyle w:val="TableParagraph"/>
              <w:jc w:val="center"/>
              <w:rPr>
                <w:rFonts w:ascii="Arial" w:hAnsi="Arial" w:cs="Arial"/>
                <w:sz w:val="20"/>
                <w:szCs w:val="20"/>
              </w:rPr>
            </w:pPr>
          </w:p>
        </w:tc>
        <w:tc>
          <w:tcPr>
            <w:tcW w:w="1260" w:type="dxa"/>
          </w:tcPr>
          <w:p w14:paraId="76394BBF" w14:textId="77777777" w:rsidR="000E63F5" w:rsidRPr="009D76F5" w:rsidRDefault="000E63F5" w:rsidP="00AB4349">
            <w:pPr>
              <w:pStyle w:val="TableParagraph"/>
              <w:jc w:val="center"/>
              <w:rPr>
                <w:rFonts w:ascii="Arial" w:hAnsi="Arial" w:cs="Arial"/>
                <w:sz w:val="20"/>
                <w:szCs w:val="20"/>
              </w:rPr>
            </w:pPr>
          </w:p>
        </w:tc>
        <w:tc>
          <w:tcPr>
            <w:tcW w:w="810" w:type="dxa"/>
          </w:tcPr>
          <w:p w14:paraId="0F1BD4A0" w14:textId="77777777" w:rsidR="000E63F5" w:rsidRPr="009D76F5" w:rsidRDefault="000E63F5" w:rsidP="00AB4349">
            <w:pPr>
              <w:pStyle w:val="TableParagraph"/>
              <w:jc w:val="center"/>
              <w:rPr>
                <w:rFonts w:ascii="Arial" w:hAnsi="Arial" w:cs="Arial"/>
                <w:sz w:val="20"/>
                <w:szCs w:val="20"/>
              </w:rPr>
            </w:pPr>
          </w:p>
        </w:tc>
        <w:tc>
          <w:tcPr>
            <w:tcW w:w="1219" w:type="dxa"/>
          </w:tcPr>
          <w:p w14:paraId="39B8C9E1" w14:textId="77777777" w:rsidR="000E63F5" w:rsidRPr="009D76F5" w:rsidRDefault="000E63F5" w:rsidP="00AB4349">
            <w:pPr>
              <w:pStyle w:val="TableParagraph"/>
              <w:jc w:val="center"/>
              <w:rPr>
                <w:rFonts w:ascii="Arial" w:hAnsi="Arial" w:cs="Arial"/>
                <w:sz w:val="20"/>
                <w:szCs w:val="20"/>
              </w:rPr>
            </w:pPr>
          </w:p>
        </w:tc>
        <w:tc>
          <w:tcPr>
            <w:tcW w:w="1121" w:type="dxa"/>
          </w:tcPr>
          <w:p w14:paraId="012588B8" w14:textId="77777777" w:rsidR="000E63F5" w:rsidRPr="009D76F5" w:rsidRDefault="000E63F5" w:rsidP="00AB4349">
            <w:pPr>
              <w:pStyle w:val="TableParagraph"/>
              <w:jc w:val="center"/>
              <w:rPr>
                <w:rFonts w:ascii="Arial" w:hAnsi="Arial" w:cs="Arial"/>
                <w:sz w:val="20"/>
                <w:szCs w:val="20"/>
              </w:rPr>
            </w:pPr>
          </w:p>
        </w:tc>
        <w:tc>
          <w:tcPr>
            <w:tcW w:w="1391" w:type="dxa"/>
          </w:tcPr>
          <w:p w14:paraId="17FAB55E" w14:textId="77777777" w:rsidR="000E63F5" w:rsidRPr="009D76F5" w:rsidRDefault="000E63F5" w:rsidP="00AB4349">
            <w:pPr>
              <w:pStyle w:val="TableParagraph"/>
              <w:jc w:val="center"/>
              <w:rPr>
                <w:rFonts w:ascii="Arial" w:hAnsi="Arial" w:cs="Arial"/>
                <w:sz w:val="20"/>
                <w:szCs w:val="20"/>
              </w:rPr>
            </w:pPr>
          </w:p>
        </w:tc>
        <w:tc>
          <w:tcPr>
            <w:tcW w:w="1256" w:type="dxa"/>
          </w:tcPr>
          <w:p w14:paraId="080C854F" w14:textId="77777777" w:rsidR="000E63F5" w:rsidRPr="009D76F5" w:rsidRDefault="000E63F5" w:rsidP="00AB4349">
            <w:pPr>
              <w:pStyle w:val="TableParagraph"/>
              <w:jc w:val="center"/>
              <w:rPr>
                <w:rFonts w:ascii="Arial" w:hAnsi="Arial" w:cs="Arial"/>
                <w:sz w:val="20"/>
                <w:szCs w:val="20"/>
              </w:rPr>
            </w:pPr>
          </w:p>
        </w:tc>
      </w:tr>
    </w:tbl>
    <w:p w14:paraId="4FE7E758" w14:textId="77777777" w:rsidR="000E63F5" w:rsidRPr="000E63F5" w:rsidRDefault="000E63F5" w:rsidP="000E63F5">
      <w:pPr>
        <w:spacing w:after="240"/>
        <w:jc w:val="both"/>
        <w:rPr>
          <w:rFonts w:ascii="Arial" w:hAnsi="Arial" w:cs="Arial"/>
          <w:b/>
        </w:rPr>
      </w:pP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p>
    <w:p w14:paraId="0EA2FAF5" w14:textId="77777777" w:rsidR="000E63F5" w:rsidRPr="000E63F5" w:rsidRDefault="000E63F5" w:rsidP="000E63F5">
      <w:pPr>
        <w:spacing w:after="240"/>
        <w:ind w:left="720" w:hanging="720"/>
        <w:jc w:val="both"/>
        <w:rPr>
          <w:rFonts w:ascii="Arial" w:hAnsi="Arial" w:cs="Arial"/>
          <w:bCs/>
        </w:rPr>
      </w:pPr>
      <w:r w:rsidRPr="000E63F5">
        <w:rPr>
          <w:rFonts w:ascii="Arial" w:hAnsi="Arial" w:cs="Arial"/>
          <w:bCs/>
        </w:rPr>
        <w:t>3.</w:t>
      </w:r>
      <w:r w:rsidRPr="000E63F5">
        <w:rPr>
          <w:rFonts w:ascii="Arial" w:hAnsi="Arial" w:cs="Arial"/>
          <w:bCs/>
        </w:rPr>
        <w:tab/>
        <w:t>For each finding related to disbursements or returns of Pell and/or Direct Loans, the auditor must provide the following, by unique sampled student and OPEID combination:</w:t>
      </w:r>
    </w:p>
    <w:p w14:paraId="26828170" w14:textId="3190E361" w:rsidR="000E63F5" w:rsidRPr="000E63F5" w:rsidRDefault="000E63F5" w:rsidP="000E63F5">
      <w:pPr>
        <w:spacing w:after="240"/>
        <w:ind w:left="1440" w:hanging="720"/>
        <w:jc w:val="both"/>
        <w:rPr>
          <w:rFonts w:ascii="Arial" w:hAnsi="Arial" w:cs="Arial"/>
          <w:bCs/>
        </w:rPr>
      </w:pPr>
      <w:r w:rsidRPr="000E63F5">
        <w:rPr>
          <w:rFonts w:ascii="Arial" w:hAnsi="Arial" w:cs="Arial"/>
          <w:bCs/>
        </w:rPr>
        <w:t>a.</w:t>
      </w:r>
      <w:r w:rsidRPr="000E63F5">
        <w:rPr>
          <w:rFonts w:ascii="Arial" w:hAnsi="Arial" w:cs="Arial"/>
          <w:bCs/>
        </w:rPr>
        <w:tab/>
        <w:t>The amount of Pell and/or Direct Loans that were disbursed to each student identified in the finding.</w:t>
      </w:r>
    </w:p>
    <w:p w14:paraId="2CC270F4" w14:textId="1D7367F4" w:rsidR="000E63F5" w:rsidRPr="000E63F5" w:rsidRDefault="000E63F5" w:rsidP="000E63F5">
      <w:pPr>
        <w:spacing w:after="240"/>
        <w:ind w:left="1440" w:hanging="720"/>
        <w:jc w:val="both"/>
        <w:rPr>
          <w:rFonts w:ascii="Arial" w:hAnsi="Arial" w:cs="Arial"/>
          <w:bCs/>
        </w:rPr>
      </w:pPr>
      <w:r w:rsidRPr="000E63F5">
        <w:rPr>
          <w:rFonts w:ascii="Arial" w:hAnsi="Arial" w:cs="Arial"/>
          <w:bCs/>
        </w:rPr>
        <w:t>b.</w:t>
      </w:r>
      <w:r w:rsidRPr="000E63F5">
        <w:rPr>
          <w:rFonts w:ascii="Arial" w:hAnsi="Arial" w:cs="Arial"/>
          <w:bCs/>
        </w:rPr>
        <w:tab/>
        <w:t>The difference between the amount of Pell and/or Direct Loan funds that should have been disbursed or returned (i.e., an overpayment or underpayment) and the actual amount of funds disbursed or returned, regardless of whether the noncompliance was subsequently corrected by the institution after the error was identified as part of the audit. Also, provide the amount of Pell and Direct Loans disbursed to the students in question.</w:t>
      </w:r>
    </w:p>
    <w:p w14:paraId="5EA5F0F8" w14:textId="4CEAB560" w:rsidR="000E63F5" w:rsidRPr="000E63F5" w:rsidRDefault="000E63F5" w:rsidP="000E63F5">
      <w:pPr>
        <w:spacing w:after="240"/>
        <w:jc w:val="both"/>
        <w:rPr>
          <w:rFonts w:ascii="Arial" w:hAnsi="Arial" w:cs="Arial"/>
          <w:bCs/>
          <w:i/>
          <w:iCs/>
        </w:rPr>
      </w:pPr>
      <w:r w:rsidRPr="000E63F5">
        <w:rPr>
          <w:rFonts w:ascii="Arial" w:hAnsi="Arial" w:cs="Arial"/>
          <w:bCs/>
          <w:i/>
          <w:iCs/>
        </w:rPr>
        <w:t>Note: For #3, if there were no Pell and/or Direct Loan overpayments or underpayments, enter $0 in the overpayment and underpayment columns and enter the Pell and/or Direct Loan disbursement amounts in the disbursement columns.</w:t>
      </w:r>
    </w:p>
    <w:p w14:paraId="1F1A4E3C" w14:textId="77777777" w:rsidR="000E63F5" w:rsidRPr="000E63F5" w:rsidRDefault="000E63F5" w:rsidP="000E63F5">
      <w:pPr>
        <w:spacing w:after="240"/>
        <w:jc w:val="both"/>
        <w:rPr>
          <w:rFonts w:ascii="Arial" w:hAnsi="Arial" w:cs="Arial"/>
          <w:bCs/>
        </w:rPr>
      </w:pPr>
      <w:r w:rsidRPr="000E63F5">
        <w:rPr>
          <w:rFonts w:ascii="Arial" w:hAnsi="Arial" w:cs="Arial"/>
          <w:bCs/>
        </w:rPr>
        <w:t>Assign a unique identifier for each student (e.g., Student 1, Student 2) identified. Do not use the institutionally assigned number or Social Security Number.</w:t>
      </w:r>
    </w:p>
    <w:tbl>
      <w:tblPr>
        <w:tblW w:w="9411" w:type="dxa"/>
        <w:tblInd w:w="2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0"/>
        <w:gridCol w:w="1204"/>
        <w:gridCol w:w="899"/>
        <w:gridCol w:w="602"/>
        <w:gridCol w:w="990"/>
        <w:gridCol w:w="925"/>
        <w:gridCol w:w="899"/>
        <w:gridCol w:w="990"/>
        <w:gridCol w:w="988"/>
        <w:gridCol w:w="964"/>
      </w:tblGrid>
      <w:tr w:rsidR="000E63F5" w14:paraId="56A3556F" w14:textId="77777777" w:rsidTr="00AB4349">
        <w:trPr>
          <w:trHeight w:val="1221"/>
        </w:trPr>
        <w:tc>
          <w:tcPr>
            <w:tcW w:w="950" w:type="dxa"/>
            <w:shd w:val="clear" w:color="auto" w:fill="DCDDDE"/>
          </w:tcPr>
          <w:p w14:paraId="6B21A6F6" w14:textId="77777777" w:rsidR="000E63F5" w:rsidRPr="009D76F5" w:rsidRDefault="000E63F5" w:rsidP="00AB4349">
            <w:pPr>
              <w:pStyle w:val="TableParagraph"/>
              <w:tabs>
                <w:tab w:val="left" w:pos="835"/>
              </w:tabs>
              <w:spacing w:before="23" w:line="273" w:lineRule="auto"/>
              <w:ind w:left="53" w:right="103" w:hanging="1"/>
              <w:jc w:val="center"/>
              <w:rPr>
                <w:rFonts w:ascii="Arial" w:hAnsi="Arial" w:cs="Arial"/>
                <w:b/>
                <w:sz w:val="16"/>
              </w:rPr>
            </w:pPr>
            <w:r w:rsidRPr="009D76F5">
              <w:rPr>
                <w:rFonts w:ascii="Arial" w:hAnsi="Arial" w:cs="Arial"/>
                <w:b/>
                <w:color w:val="231F20"/>
                <w:sz w:val="16"/>
              </w:rPr>
              <w:t>Finding Number, and Related Sample</w:t>
            </w:r>
          </w:p>
        </w:tc>
        <w:tc>
          <w:tcPr>
            <w:tcW w:w="1204" w:type="dxa"/>
            <w:shd w:val="clear" w:color="auto" w:fill="DCDDDE"/>
          </w:tcPr>
          <w:p w14:paraId="050F1DF0" w14:textId="77777777" w:rsidR="000E63F5" w:rsidRPr="009D76F5" w:rsidRDefault="000E63F5" w:rsidP="00AB4349">
            <w:pPr>
              <w:pStyle w:val="TableParagraph"/>
              <w:tabs>
                <w:tab w:val="left" w:pos="835"/>
              </w:tabs>
              <w:spacing w:before="21" w:line="273" w:lineRule="auto"/>
              <w:ind w:left="53" w:right="24" w:firstLine="1"/>
              <w:jc w:val="center"/>
              <w:rPr>
                <w:rFonts w:ascii="Arial" w:hAnsi="Arial" w:cs="Arial"/>
                <w:b/>
                <w:sz w:val="16"/>
              </w:rPr>
            </w:pPr>
            <w:r w:rsidRPr="009D76F5">
              <w:rPr>
                <w:rFonts w:ascii="Arial" w:hAnsi="Arial" w:cs="Arial"/>
                <w:b/>
                <w:color w:val="231F20"/>
                <w:sz w:val="16"/>
              </w:rPr>
              <w:t>Related Compliance Audit Requirement</w:t>
            </w:r>
          </w:p>
        </w:tc>
        <w:tc>
          <w:tcPr>
            <w:tcW w:w="899" w:type="dxa"/>
            <w:shd w:val="clear" w:color="auto" w:fill="DCDDDE"/>
          </w:tcPr>
          <w:p w14:paraId="2FFC2953" w14:textId="77777777" w:rsidR="000E63F5" w:rsidRPr="009D76F5" w:rsidRDefault="000E63F5" w:rsidP="00AB4349">
            <w:pPr>
              <w:pStyle w:val="TableParagraph"/>
              <w:tabs>
                <w:tab w:val="left" w:pos="606"/>
              </w:tabs>
              <w:spacing w:before="23" w:line="276" w:lineRule="auto"/>
              <w:ind w:left="53" w:hanging="53"/>
              <w:jc w:val="center"/>
              <w:rPr>
                <w:rFonts w:ascii="Arial" w:hAnsi="Arial" w:cs="Arial"/>
                <w:b/>
                <w:sz w:val="16"/>
              </w:rPr>
            </w:pPr>
            <w:r w:rsidRPr="009D76F5">
              <w:rPr>
                <w:rFonts w:ascii="Arial" w:hAnsi="Arial" w:cs="Arial"/>
                <w:b/>
                <w:color w:val="231F20"/>
                <w:sz w:val="16"/>
              </w:rPr>
              <w:t>Student Identifier</w:t>
            </w:r>
          </w:p>
        </w:tc>
        <w:tc>
          <w:tcPr>
            <w:tcW w:w="602" w:type="dxa"/>
            <w:shd w:val="clear" w:color="auto" w:fill="DCDDDE"/>
          </w:tcPr>
          <w:p w14:paraId="77CA2446" w14:textId="77777777" w:rsidR="000E63F5" w:rsidRPr="009D76F5" w:rsidRDefault="000E63F5" w:rsidP="00AB4349">
            <w:pPr>
              <w:pStyle w:val="TableParagraph"/>
              <w:tabs>
                <w:tab w:val="left" w:pos="835"/>
              </w:tabs>
              <w:spacing w:before="23"/>
              <w:ind w:left="53"/>
              <w:jc w:val="center"/>
              <w:rPr>
                <w:rFonts w:ascii="Arial" w:hAnsi="Arial" w:cs="Arial"/>
                <w:b/>
                <w:sz w:val="16"/>
              </w:rPr>
            </w:pPr>
            <w:r w:rsidRPr="009D76F5">
              <w:rPr>
                <w:rFonts w:ascii="Arial" w:hAnsi="Arial" w:cs="Arial"/>
                <w:b/>
                <w:color w:val="231F20"/>
                <w:sz w:val="16"/>
              </w:rPr>
              <w:t>OPEID</w:t>
            </w:r>
          </w:p>
        </w:tc>
        <w:tc>
          <w:tcPr>
            <w:tcW w:w="990" w:type="dxa"/>
            <w:shd w:val="clear" w:color="auto" w:fill="DCDDDE"/>
          </w:tcPr>
          <w:p w14:paraId="20DE8A71" w14:textId="77777777" w:rsidR="000E63F5" w:rsidRPr="009D76F5" w:rsidRDefault="000E63F5" w:rsidP="00AB4349">
            <w:pPr>
              <w:pStyle w:val="TableParagraph"/>
              <w:tabs>
                <w:tab w:val="left" w:pos="718"/>
              </w:tabs>
              <w:spacing w:before="23" w:line="276" w:lineRule="auto"/>
              <w:ind w:left="53" w:right="80" w:hanging="3"/>
              <w:jc w:val="center"/>
              <w:rPr>
                <w:rFonts w:ascii="Arial" w:hAnsi="Arial" w:cs="Arial"/>
                <w:b/>
                <w:sz w:val="16"/>
              </w:rPr>
            </w:pPr>
            <w:r w:rsidRPr="009D76F5">
              <w:rPr>
                <w:rFonts w:ascii="Arial" w:hAnsi="Arial" w:cs="Arial"/>
                <w:b/>
                <w:color w:val="231F20"/>
                <w:sz w:val="16"/>
              </w:rPr>
              <w:t xml:space="preserve">Pell </w:t>
            </w:r>
            <w:r w:rsidRPr="009D76F5">
              <w:rPr>
                <w:rFonts w:ascii="Arial" w:hAnsi="Arial" w:cs="Arial"/>
                <w:b/>
                <w:color w:val="231F20"/>
                <w:spacing w:val="-1"/>
                <w:sz w:val="16"/>
              </w:rPr>
              <w:t>Disbur</w:t>
            </w:r>
            <w:r w:rsidRPr="009D76F5">
              <w:rPr>
                <w:rFonts w:ascii="Arial" w:hAnsi="Arial" w:cs="Arial"/>
                <w:b/>
                <w:color w:val="231F20"/>
                <w:sz w:val="16"/>
              </w:rPr>
              <w:t>sed</w:t>
            </w:r>
          </w:p>
          <w:p w14:paraId="1471D204" w14:textId="77777777" w:rsidR="000E63F5" w:rsidRPr="009D76F5" w:rsidRDefault="000E63F5" w:rsidP="00AB4349">
            <w:pPr>
              <w:pStyle w:val="TableParagraph"/>
              <w:tabs>
                <w:tab w:val="left" w:pos="718"/>
              </w:tabs>
              <w:spacing w:line="180" w:lineRule="exact"/>
              <w:ind w:left="53" w:right="80"/>
              <w:jc w:val="center"/>
              <w:rPr>
                <w:rFonts w:ascii="Arial" w:hAnsi="Arial" w:cs="Arial"/>
                <w:b/>
                <w:sz w:val="16"/>
              </w:rPr>
            </w:pPr>
            <w:r w:rsidRPr="009D76F5">
              <w:rPr>
                <w:rFonts w:ascii="Arial" w:hAnsi="Arial" w:cs="Arial"/>
                <w:b/>
                <w:color w:val="231F20"/>
                <w:sz w:val="16"/>
              </w:rPr>
              <w:t>($)</w:t>
            </w:r>
          </w:p>
        </w:tc>
        <w:tc>
          <w:tcPr>
            <w:tcW w:w="925" w:type="dxa"/>
            <w:shd w:val="clear" w:color="auto" w:fill="DCDDDE"/>
          </w:tcPr>
          <w:p w14:paraId="6D92A96F" w14:textId="77777777" w:rsidR="000E63F5" w:rsidRPr="009D76F5" w:rsidRDefault="000E63F5" w:rsidP="00AB4349">
            <w:pPr>
              <w:pStyle w:val="TableParagraph"/>
              <w:tabs>
                <w:tab w:val="left" w:pos="835"/>
              </w:tabs>
              <w:spacing w:before="23" w:line="276" w:lineRule="auto"/>
              <w:ind w:left="53" w:right="14" w:hanging="6"/>
              <w:jc w:val="center"/>
              <w:rPr>
                <w:rFonts w:ascii="Arial" w:hAnsi="Arial" w:cs="Arial"/>
                <w:b/>
                <w:sz w:val="16"/>
              </w:rPr>
            </w:pPr>
            <w:r w:rsidRPr="009D76F5">
              <w:rPr>
                <w:rFonts w:ascii="Arial" w:hAnsi="Arial" w:cs="Arial"/>
                <w:b/>
                <w:color w:val="231F20"/>
                <w:sz w:val="16"/>
              </w:rPr>
              <w:t>Pell Under- payment ($)</w:t>
            </w:r>
          </w:p>
        </w:tc>
        <w:tc>
          <w:tcPr>
            <w:tcW w:w="899" w:type="dxa"/>
            <w:shd w:val="clear" w:color="auto" w:fill="DCDDDE"/>
          </w:tcPr>
          <w:p w14:paraId="2E7AFA31" w14:textId="77777777" w:rsidR="000E63F5" w:rsidRPr="009D76F5" w:rsidRDefault="000E63F5" w:rsidP="00AB4349">
            <w:pPr>
              <w:pStyle w:val="TableParagraph"/>
              <w:tabs>
                <w:tab w:val="left" w:pos="422"/>
              </w:tabs>
              <w:spacing w:before="23" w:line="276" w:lineRule="auto"/>
              <w:ind w:left="53" w:right="24" w:hanging="6"/>
              <w:jc w:val="center"/>
              <w:rPr>
                <w:rFonts w:ascii="Arial" w:hAnsi="Arial" w:cs="Arial"/>
                <w:b/>
                <w:sz w:val="16"/>
              </w:rPr>
            </w:pPr>
            <w:r w:rsidRPr="009D76F5">
              <w:rPr>
                <w:rFonts w:ascii="Arial" w:hAnsi="Arial" w:cs="Arial"/>
                <w:b/>
                <w:color w:val="231F20"/>
                <w:sz w:val="16"/>
              </w:rPr>
              <w:t>Pell Over- payment ($)</w:t>
            </w:r>
          </w:p>
        </w:tc>
        <w:tc>
          <w:tcPr>
            <w:tcW w:w="990" w:type="dxa"/>
            <w:shd w:val="clear" w:color="auto" w:fill="DCDDDE"/>
          </w:tcPr>
          <w:p w14:paraId="3EDCEECF" w14:textId="77777777" w:rsidR="000E63F5" w:rsidRPr="009D76F5" w:rsidRDefault="000E63F5" w:rsidP="00AB4349">
            <w:pPr>
              <w:pStyle w:val="TableParagraph"/>
              <w:tabs>
                <w:tab w:val="left" w:pos="696"/>
              </w:tabs>
              <w:spacing w:before="23" w:line="276" w:lineRule="auto"/>
              <w:ind w:left="53" w:right="25" w:firstLine="1"/>
              <w:jc w:val="center"/>
              <w:rPr>
                <w:rFonts w:ascii="Arial" w:hAnsi="Arial" w:cs="Arial"/>
                <w:b/>
                <w:sz w:val="16"/>
              </w:rPr>
            </w:pPr>
            <w:r w:rsidRPr="009D76F5">
              <w:rPr>
                <w:rFonts w:ascii="Arial" w:hAnsi="Arial" w:cs="Arial"/>
                <w:b/>
                <w:color w:val="231F20"/>
                <w:sz w:val="16"/>
              </w:rPr>
              <w:t>Direct Loan Disbursed ($)</w:t>
            </w:r>
          </w:p>
        </w:tc>
        <w:tc>
          <w:tcPr>
            <w:tcW w:w="988" w:type="dxa"/>
            <w:shd w:val="clear" w:color="auto" w:fill="DCDDDE"/>
          </w:tcPr>
          <w:p w14:paraId="3CC26034" w14:textId="77777777" w:rsidR="000E63F5" w:rsidRPr="009D76F5" w:rsidRDefault="000E63F5" w:rsidP="00AB4349">
            <w:pPr>
              <w:pStyle w:val="TableParagraph"/>
              <w:tabs>
                <w:tab w:val="left" w:pos="515"/>
              </w:tabs>
              <w:spacing w:before="23" w:line="273" w:lineRule="auto"/>
              <w:ind w:left="53" w:right="14" w:hanging="3"/>
              <w:jc w:val="center"/>
              <w:rPr>
                <w:rFonts w:ascii="Arial" w:hAnsi="Arial" w:cs="Arial"/>
                <w:b/>
                <w:sz w:val="16"/>
              </w:rPr>
            </w:pPr>
            <w:r w:rsidRPr="009D76F5">
              <w:rPr>
                <w:rFonts w:ascii="Arial" w:hAnsi="Arial" w:cs="Arial"/>
                <w:b/>
                <w:color w:val="231F20"/>
                <w:sz w:val="16"/>
              </w:rPr>
              <w:t>Direct Loan Under- payment ($)</w:t>
            </w:r>
          </w:p>
        </w:tc>
        <w:tc>
          <w:tcPr>
            <w:tcW w:w="964" w:type="dxa"/>
            <w:shd w:val="clear" w:color="auto" w:fill="DCDDDE"/>
          </w:tcPr>
          <w:p w14:paraId="07F17F0A" w14:textId="77777777" w:rsidR="000E63F5" w:rsidRPr="009D76F5" w:rsidRDefault="000E63F5" w:rsidP="00AB4349">
            <w:pPr>
              <w:pStyle w:val="TableParagraph"/>
              <w:tabs>
                <w:tab w:val="left" w:pos="602"/>
              </w:tabs>
              <w:spacing w:before="23" w:line="273" w:lineRule="auto"/>
              <w:ind w:left="53" w:hanging="2"/>
              <w:jc w:val="center"/>
              <w:rPr>
                <w:rFonts w:ascii="Arial" w:hAnsi="Arial" w:cs="Arial"/>
                <w:b/>
                <w:sz w:val="16"/>
              </w:rPr>
            </w:pPr>
            <w:r w:rsidRPr="009D76F5">
              <w:rPr>
                <w:rFonts w:ascii="Arial" w:hAnsi="Arial" w:cs="Arial"/>
                <w:b/>
                <w:color w:val="231F20"/>
                <w:sz w:val="16"/>
              </w:rPr>
              <w:t>Direct Loan Over- payment ($)</w:t>
            </w:r>
          </w:p>
        </w:tc>
      </w:tr>
      <w:tr w:rsidR="000E63F5" w14:paraId="32C67D8B" w14:textId="77777777" w:rsidTr="00AB4349">
        <w:trPr>
          <w:trHeight w:val="273"/>
        </w:trPr>
        <w:tc>
          <w:tcPr>
            <w:tcW w:w="950" w:type="dxa"/>
          </w:tcPr>
          <w:p w14:paraId="53116302" w14:textId="77777777" w:rsidR="000E63F5" w:rsidRPr="009D76F5" w:rsidRDefault="000E63F5" w:rsidP="00AB4349">
            <w:pPr>
              <w:pStyle w:val="TableParagraph"/>
              <w:tabs>
                <w:tab w:val="left" w:pos="835"/>
              </w:tabs>
              <w:ind w:left="53"/>
              <w:jc w:val="center"/>
              <w:rPr>
                <w:rFonts w:ascii="Arial" w:hAnsi="Arial" w:cs="Arial"/>
                <w:sz w:val="20"/>
              </w:rPr>
            </w:pPr>
          </w:p>
        </w:tc>
        <w:tc>
          <w:tcPr>
            <w:tcW w:w="1204" w:type="dxa"/>
          </w:tcPr>
          <w:p w14:paraId="5D101BD7"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4E08F852" w14:textId="77777777" w:rsidR="000E63F5" w:rsidRPr="009D76F5" w:rsidRDefault="000E63F5" w:rsidP="00AB4349">
            <w:pPr>
              <w:pStyle w:val="TableParagraph"/>
              <w:tabs>
                <w:tab w:val="left" w:pos="835"/>
              </w:tabs>
              <w:ind w:left="53"/>
              <w:jc w:val="center"/>
              <w:rPr>
                <w:rFonts w:ascii="Arial" w:hAnsi="Arial" w:cs="Arial"/>
                <w:sz w:val="20"/>
              </w:rPr>
            </w:pPr>
          </w:p>
        </w:tc>
        <w:tc>
          <w:tcPr>
            <w:tcW w:w="602" w:type="dxa"/>
          </w:tcPr>
          <w:p w14:paraId="492B4D3C"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1D3EE2C5" w14:textId="77777777" w:rsidR="000E63F5" w:rsidRPr="009D76F5" w:rsidRDefault="000E63F5" w:rsidP="00AB4349">
            <w:pPr>
              <w:pStyle w:val="TableParagraph"/>
              <w:tabs>
                <w:tab w:val="left" w:pos="835"/>
              </w:tabs>
              <w:ind w:left="53"/>
              <w:jc w:val="center"/>
              <w:rPr>
                <w:rFonts w:ascii="Arial" w:hAnsi="Arial" w:cs="Arial"/>
                <w:sz w:val="20"/>
              </w:rPr>
            </w:pPr>
          </w:p>
        </w:tc>
        <w:tc>
          <w:tcPr>
            <w:tcW w:w="925" w:type="dxa"/>
          </w:tcPr>
          <w:p w14:paraId="108E6F98"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435BCD65"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33E377DB" w14:textId="77777777" w:rsidR="000E63F5" w:rsidRPr="009D76F5" w:rsidRDefault="000E63F5" w:rsidP="00AB4349">
            <w:pPr>
              <w:pStyle w:val="TableParagraph"/>
              <w:tabs>
                <w:tab w:val="left" w:pos="835"/>
              </w:tabs>
              <w:ind w:left="53"/>
              <w:jc w:val="center"/>
              <w:rPr>
                <w:rFonts w:ascii="Arial" w:hAnsi="Arial" w:cs="Arial"/>
                <w:sz w:val="20"/>
              </w:rPr>
            </w:pPr>
          </w:p>
        </w:tc>
        <w:tc>
          <w:tcPr>
            <w:tcW w:w="988" w:type="dxa"/>
          </w:tcPr>
          <w:p w14:paraId="3879D012" w14:textId="77777777" w:rsidR="000E63F5" w:rsidRPr="009D76F5" w:rsidRDefault="000E63F5" w:rsidP="00AB4349">
            <w:pPr>
              <w:pStyle w:val="TableParagraph"/>
              <w:tabs>
                <w:tab w:val="left" w:pos="835"/>
              </w:tabs>
              <w:ind w:left="53"/>
              <w:jc w:val="center"/>
              <w:rPr>
                <w:rFonts w:ascii="Arial" w:hAnsi="Arial" w:cs="Arial"/>
                <w:sz w:val="20"/>
              </w:rPr>
            </w:pPr>
          </w:p>
        </w:tc>
        <w:tc>
          <w:tcPr>
            <w:tcW w:w="964" w:type="dxa"/>
          </w:tcPr>
          <w:p w14:paraId="34300F44" w14:textId="77777777" w:rsidR="000E63F5" w:rsidRPr="009D76F5" w:rsidRDefault="000E63F5" w:rsidP="00AB4349">
            <w:pPr>
              <w:pStyle w:val="TableParagraph"/>
              <w:tabs>
                <w:tab w:val="left" w:pos="835"/>
              </w:tabs>
              <w:ind w:left="53"/>
              <w:jc w:val="center"/>
              <w:rPr>
                <w:rFonts w:ascii="Arial" w:hAnsi="Arial" w:cs="Arial"/>
                <w:sz w:val="20"/>
              </w:rPr>
            </w:pPr>
          </w:p>
        </w:tc>
      </w:tr>
      <w:tr w:rsidR="000E63F5" w14:paraId="67161F40" w14:textId="77777777" w:rsidTr="00AB4349">
        <w:trPr>
          <w:trHeight w:val="275"/>
        </w:trPr>
        <w:tc>
          <w:tcPr>
            <w:tcW w:w="950" w:type="dxa"/>
          </w:tcPr>
          <w:p w14:paraId="03CB0F2C" w14:textId="77777777" w:rsidR="000E63F5" w:rsidRPr="009D76F5" w:rsidRDefault="000E63F5" w:rsidP="00AB4349">
            <w:pPr>
              <w:pStyle w:val="TableParagraph"/>
              <w:tabs>
                <w:tab w:val="left" w:pos="835"/>
              </w:tabs>
              <w:ind w:left="53"/>
              <w:jc w:val="center"/>
              <w:rPr>
                <w:rFonts w:ascii="Arial" w:hAnsi="Arial" w:cs="Arial"/>
                <w:sz w:val="20"/>
              </w:rPr>
            </w:pPr>
          </w:p>
        </w:tc>
        <w:tc>
          <w:tcPr>
            <w:tcW w:w="1204" w:type="dxa"/>
          </w:tcPr>
          <w:p w14:paraId="2011BE03"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63B34750" w14:textId="77777777" w:rsidR="000E63F5" w:rsidRPr="009D76F5" w:rsidRDefault="000E63F5" w:rsidP="00AB4349">
            <w:pPr>
              <w:pStyle w:val="TableParagraph"/>
              <w:tabs>
                <w:tab w:val="left" w:pos="835"/>
              </w:tabs>
              <w:ind w:left="53"/>
              <w:jc w:val="center"/>
              <w:rPr>
                <w:rFonts w:ascii="Arial" w:hAnsi="Arial" w:cs="Arial"/>
                <w:sz w:val="20"/>
              </w:rPr>
            </w:pPr>
          </w:p>
        </w:tc>
        <w:tc>
          <w:tcPr>
            <w:tcW w:w="602" w:type="dxa"/>
          </w:tcPr>
          <w:p w14:paraId="6FC3BA2D"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42CA42B0" w14:textId="77777777" w:rsidR="000E63F5" w:rsidRPr="009D76F5" w:rsidRDefault="000E63F5" w:rsidP="00AB4349">
            <w:pPr>
              <w:pStyle w:val="TableParagraph"/>
              <w:tabs>
                <w:tab w:val="left" w:pos="835"/>
              </w:tabs>
              <w:ind w:left="53"/>
              <w:jc w:val="center"/>
              <w:rPr>
                <w:rFonts w:ascii="Arial" w:hAnsi="Arial" w:cs="Arial"/>
                <w:sz w:val="20"/>
              </w:rPr>
            </w:pPr>
          </w:p>
        </w:tc>
        <w:tc>
          <w:tcPr>
            <w:tcW w:w="925" w:type="dxa"/>
          </w:tcPr>
          <w:p w14:paraId="646D3AF8"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4D7C1E8D"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2DACD4A0" w14:textId="77777777" w:rsidR="000E63F5" w:rsidRPr="009D76F5" w:rsidRDefault="000E63F5" w:rsidP="00AB4349">
            <w:pPr>
              <w:pStyle w:val="TableParagraph"/>
              <w:tabs>
                <w:tab w:val="left" w:pos="835"/>
              </w:tabs>
              <w:ind w:left="53"/>
              <w:jc w:val="center"/>
              <w:rPr>
                <w:rFonts w:ascii="Arial" w:hAnsi="Arial" w:cs="Arial"/>
                <w:sz w:val="20"/>
              </w:rPr>
            </w:pPr>
          </w:p>
        </w:tc>
        <w:tc>
          <w:tcPr>
            <w:tcW w:w="988" w:type="dxa"/>
          </w:tcPr>
          <w:p w14:paraId="5A65C9F3" w14:textId="77777777" w:rsidR="000E63F5" w:rsidRPr="009D76F5" w:rsidRDefault="000E63F5" w:rsidP="00AB4349">
            <w:pPr>
              <w:pStyle w:val="TableParagraph"/>
              <w:tabs>
                <w:tab w:val="left" w:pos="835"/>
              </w:tabs>
              <w:ind w:left="53"/>
              <w:jc w:val="center"/>
              <w:rPr>
                <w:rFonts w:ascii="Arial" w:hAnsi="Arial" w:cs="Arial"/>
                <w:sz w:val="20"/>
              </w:rPr>
            </w:pPr>
          </w:p>
        </w:tc>
        <w:tc>
          <w:tcPr>
            <w:tcW w:w="964" w:type="dxa"/>
          </w:tcPr>
          <w:p w14:paraId="0E016897" w14:textId="77777777" w:rsidR="000E63F5" w:rsidRPr="009D76F5" w:rsidRDefault="000E63F5" w:rsidP="00AB4349">
            <w:pPr>
              <w:pStyle w:val="TableParagraph"/>
              <w:tabs>
                <w:tab w:val="left" w:pos="835"/>
              </w:tabs>
              <w:ind w:left="53"/>
              <w:jc w:val="center"/>
              <w:rPr>
                <w:rFonts w:ascii="Arial" w:hAnsi="Arial" w:cs="Arial"/>
                <w:sz w:val="20"/>
              </w:rPr>
            </w:pPr>
          </w:p>
        </w:tc>
      </w:tr>
    </w:tbl>
    <w:p w14:paraId="26694994" w14:textId="702D4AE1" w:rsidR="000E63F5" w:rsidRPr="000E63F5" w:rsidRDefault="000E63F5" w:rsidP="000E63F5">
      <w:pPr>
        <w:spacing w:after="240"/>
        <w:jc w:val="both"/>
        <w:rPr>
          <w:rFonts w:ascii="Arial" w:hAnsi="Arial" w:cs="Arial"/>
          <w:b/>
        </w:rPr>
      </w:pP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p>
    <w:p w14:paraId="3038808B" w14:textId="33E5131A" w:rsidR="000E63F5" w:rsidRPr="000E63F5" w:rsidRDefault="00B129FA" w:rsidP="000E63F5">
      <w:pPr>
        <w:spacing w:after="240"/>
        <w:jc w:val="both"/>
        <w:rPr>
          <w:rFonts w:ascii="Arial" w:hAnsi="Arial" w:cs="Arial"/>
          <w:bCs/>
          <w:i/>
          <w:iCs/>
        </w:rPr>
      </w:pPr>
      <w:r>
        <w:rPr>
          <w:rFonts w:ascii="Arial" w:eastAsia="TimesNewRomanPSMT" w:hAnsi="Arial" w:cs="Arial"/>
          <w:i/>
          <w:iCs/>
          <w:color w:val="002060"/>
        </w:rPr>
        <w:t xml:space="preserve">AOS Auditors: </w:t>
      </w:r>
      <w:r w:rsidR="000E63F5" w:rsidRPr="009E38F1">
        <w:rPr>
          <w:rFonts w:ascii="Arial" w:eastAsia="TimesNewRomanPSMT" w:hAnsi="Arial" w:cs="Arial"/>
          <w:i/>
          <w:iCs/>
          <w:color w:val="002060"/>
        </w:rPr>
        <w:t>Should your entity have a situation as noted in #4 below please contact the Center</w:t>
      </w:r>
      <w:r>
        <w:rPr>
          <w:rFonts w:ascii="Arial" w:eastAsia="TimesNewRomanPSMT" w:hAnsi="Arial" w:cs="Arial"/>
          <w:i/>
          <w:iCs/>
          <w:color w:val="002060"/>
        </w:rPr>
        <w:t xml:space="preserve"> for Audit Excellence</w:t>
      </w:r>
      <w:r w:rsidR="000E63F5" w:rsidRPr="009E38F1">
        <w:rPr>
          <w:rFonts w:ascii="Arial" w:eastAsia="TimesNewRomanPSMT" w:hAnsi="Arial" w:cs="Arial"/>
          <w:i/>
          <w:iCs/>
          <w:color w:val="002060"/>
        </w:rPr>
        <w:t xml:space="preserve"> via the FACCR specialty in Spiceworks</w:t>
      </w:r>
      <w:r w:rsidR="000E63F5">
        <w:rPr>
          <w:rFonts w:ascii="Arial" w:hAnsi="Arial" w:cs="Arial"/>
          <w:bCs/>
          <w:i/>
          <w:iCs/>
          <w:color w:val="002060"/>
        </w:rPr>
        <w:t>.</w:t>
      </w:r>
    </w:p>
    <w:p w14:paraId="0665C92E" w14:textId="3BB1B351" w:rsidR="000E63F5" w:rsidRPr="000E63F5" w:rsidRDefault="000E63F5" w:rsidP="000C04C5">
      <w:pPr>
        <w:pStyle w:val="ListParagraph"/>
        <w:numPr>
          <w:ilvl w:val="0"/>
          <w:numId w:val="62"/>
        </w:numPr>
        <w:spacing w:after="240"/>
        <w:ind w:hanging="720"/>
        <w:jc w:val="both"/>
        <w:rPr>
          <w:rFonts w:ascii="Arial" w:hAnsi="Arial" w:cs="Arial"/>
          <w:bCs/>
        </w:rPr>
      </w:pPr>
      <w:r w:rsidRPr="000E63F5">
        <w:rPr>
          <w:rFonts w:ascii="Arial" w:hAnsi="Arial" w:cs="Arial"/>
          <w:bCs/>
        </w:rPr>
        <w:t xml:space="preserve">Although auditors are not required to report all noncompliance as audit findings for amounts below $25,000, ED requests that the following information also be provided for noncompliance that was not reported as an audit finding. Although providing this information is optional, including it may reduce the potential for subsequent information requests in accordance with Uniform Guidance 2 CFR 200.517(b) and Title IV regulations at 34 CFR 668.23(e)(1)(ii). This information should be sent to </w:t>
      </w:r>
      <w:hyperlink r:id="rId36" w:history="1">
        <w:r w:rsidRPr="000E63F5">
          <w:rPr>
            <w:rFonts w:ascii="Arial" w:hAnsi="Arial" w:cs="Arial"/>
            <w:color w:val="0000FF"/>
            <w:u w:val="single"/>
          </w:rPr>
          <w:t>FSAPellandDLReporting@ed.gov</w:t>
        </w:r>
      </w:hyperlink>
      <w:r w:rsidRPr="000E63F5">
        <w:rPr>
          <w:rFonts w:ascii="Arial" w:hAnsi="Arial" w:cs="Arial"/>
          <w:bCs/>
        </w:rPr>
        <w:t>.</w:t>
      </w:r>
    </w:p>
    <w:p w14:paraId="5AD4B6D0" w14:textId="528440FF" w:rsidR="000E63F5" w:rsidRPr="000E63F5" w:rsidRDefault="000E63F5" w:rsidP="000E63F5">
      <w:pPr>
        <w:spacing w:after="240"/>
        <w:ind w:left="720"/>
        <w:jc w:val="both"/>
        <w:rPr>
          <w:rFonts w:ascii="Arial" w:hAnsi="Arial" w:cs="Arial"/>
          <w:bCs/>
        </w:rPr>
      </w:pPr>
      <w:r w:rsidRPr="000E63F5">
        <w:rPr>
          <w:rFonts w:ascii="Arial" w:hAnsi="Arial" w:cs="Arial"/>
          <w:bCs/>
        </w:rPr>
        <w:t>If any instances of noncompliance relating to disbursements or returns of Pell and/or Direct Loan funds are identified but not reported as audit findings, because they did not meet the reporting thresholds at 2 CFR 200.516(a)(3), provide a summary of the noncompliance and amount of over or underpayment of Pell and/or Direct Loan by student using instructions in item three above.</w:t>
      </w:r>
    </w:p>
    <w:tbl>
      <w:tblPr>
        <w:tblW w:w="9411" w:type="dxa"/>
        <w:tblInd w:w="2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0"/>
        <w:gridCol w:w="1204"/>
        <w:gridCol w:w="899"/>
        <w:gridCol w:w="602"/>
        <w:gridCol w:w="990"/>
        <w:gridCol w:w="925"/>
        <w:gridCol w:w="899"/>
        <w:gridCol w:w="990"/>
        <w:gridCol w:w="988"/>
        <w:gridCol w:w="964"/>
      </w:tblGrid>
      <w:tr w:rsidR="000E63F5" w14:paraId="2E8B9266" w14:textId="77777777" w:rsidTr="00AB4349">
        <w:trPr>
          <w:trHeight w:val="1221"/>
        </w:trPr>
        <w:tc>
          <w:tcPr>
            <w:tcW w:w="950" w:type="dxa"/>
            <w:shd w:val="clear" w:color="auto" w:fill="DCDDDE"/>
          </w:tcPr>
          <w:p w14:paraId="4E7F2D85" w14:textId="77777777" w:rsidR="000E63F5" w:rsidRPr="009D76F5" w:rsidRDefault="000E63F5" w:rsidP="00AB4349">
            <w:pPr>
              <w:pStyle w:val="TableParagraph"/>
              <w:tabs>
                <w:tab w:val="left" w:pos="835"/>
              </w:tabs>
              <w:spacing w:before="23" w:line="273" w:lineRule="auto"/>
              <w:ind w:left="53" w:right="103" w:hanging="1"/>
              <w:jc w:val="center"/>
              <w:rPr>
                <w:rFonts w:ascii="Arial" w:hAnsi="Arial" w:cs="Arial"/>
                <w:b/>
                <w:sz w:val="16"/>
              </w:rPr>
            </w:pPr>
            <w:r w:rsidRPr="009D76F5">
              <w:rPr>
                <w:rFonts w:ascii="Arial" w:hAnsi="Arial" w:cs="Arial"/>
                <w:b/>
                <w:color w:val="231F20"/>
                <w:sz w:val="16"/>
              </w:rPr>
              <w:t>Finding Number, and Related Sample</w:t>
            </w:r>
          </w:p>
        </w:tc>
        <w:tc>
          <w:tcPr>
            <w:tcW w:w="1204" w:type="dxa"/>
            <w:shd w:val="clear" w:color="auto" w:fill="DCDDDE"/>
          </w:tcPr>
          <w:p w14:paraId="00023444" w14:textId="77777777" w:rsidR="000E63F5" w:rsidRPr="009D76F5" w:rsidRDefault="000E63F5" w:rsidP="00AB4349">
            <w:pPr>
              <w:pStyle w:val="TableParagraph"/>
              <w:tabs>
                <w:tab w:val="left" w:pos="835"/>
              </w:tabs>
              <w:spacing w:before="21" w:line="273" w:lineRule="auto"/>
              <w:ind w:left="53" w:right="24" w:firstLine="1"/>
              <w:jc w:val="center"/>
              <w:rPr>
                <w:rFonts w:ascii="Arial" w:hAnsi="Arial" w:cs="Arial"/>
                <w:b/>
                <w:sz w:val="16"/>
              </w:rPr>
            </w:pPr>
            <w:r w:rsidRPr="009D76F5">
              <w:rPr>
                <w:rFonts w:ascii="Arial" w:hAnsi="Arial" w:cs="Arial"/>
                <w:b/>
                <w:color w:val="231F20"/>
                <w:sz w:val="16"/>
              </w:rPr>
              <w:t>Related Compliance Audit Requirement</w:t>
            </w:r>
          </w:p>
        </w:tc>
        <w:tc>
          <w:tcPr>
            <w:tcW w:w="899" w:type="dxa"/>
            <w:shd w:val="clear" w:color="auto" w:fill="DCDDDE"/>
          </w:tcPr>
          <w:p w14:paraId="6F9BCC39" w14:textId="77777777" w:rsidR="000E63F5" w:rsidRPr="009D76F5" w:rsidRDefault="000E63F5" w:rsidP="00AB4349">
            <w:pPr>
              <w:pStyle w:val="TableParagraph"/>
              <w:tabs>
                <w:tab w:val="left" w:pos="606"/>
              </w:tabs>
              <w:spacing w:before="23" w:line="276" w:lineRule="auto"/>
              <w:ind w:left="53" w:hanging="53"/>
              <w:jc w:val="center"/>
              <w:rPr>
                <w:rFonts w:ascii="Arial" w:hAnsi="Arial" w:cs="Arial"/>
                <w:b/>
                <w:sz w:val="16"/>
              </w:rPr>
            </w:pPr>
            <w:r w:rsidRPr="009D76F5">
              <w:rPr>
                <w:rFonts w:ascii="Arial" w:hAnsi="Arial" w:cs="Arial"/>
                <w:b/>
                <w:color w:val="231F20"/>
                <w:sz w:val="16"/>
              </w:rPr>
              <w:t>Student Identifier</w:t>
            </w:r>
          </w:p>
        </w:tc>
        <w:tc>
          <w:tcPr>
            <w:tcW w:w="602" w:type="dxa"/>
            <w:shd w:val="clear" w:color="auto" w:fill="DCDDDE"/>
          </w:tcPr>
          <w:p w14:paraId="46F69767" w14:textId="77777777" w:rsidR="000E63F5" w:rsidRPr="009D76F5" w:rsidRDefault="000E63F5" w:rsidP="00AB4349">
            <w:pPr>
              <w:pStyle w:val="TableParagraph"/>
              <w:tabs>
                <w:tab w:val="left" w:pos="835"/>
              </w:tabs>
              <w:spacing w:before="23"/>
              <w:ind w:left="53"/>
              <w:jc w:val="center"/>
              <w:rPr>
                <w:rFonts w:ascii="Arial" w:hAnsi="Arial" w:cs="Arial"/>
                <w:b/>
                <w:sz w:val="16"/>
              </w:rPr>
            </w:pPr>
            <w:r w:rsidRPr="009D76F5">
              <w:rPr>
                <w:rFonts w:ascii="Arial" w:hAnsi="Arial" w:cs="Arial"/>
                <w:b/>
                <w:color w:val="231F20"/>
                <w:sz w:val="16"/>
              </w:rPr>
              <w:t>OPEID</w:t>
            </w:r>
          </w:p>
        </w:tc>
        <w:tc>
          <w:tcPr>
            <w:tcW w:w="990" w:type="dxa"/>
            <w:shd w:val="clear" w:color="auto" w:fill="DCDDDE"/>
          </w:tcPr>
          <w:p w14:paraId="7D1B1305" w14:textId="77777777" w:rsidR="000E63F5" w:rsidRPr="009D76F5" w:rsidRDefault="000E63F5" w:rsidP="00AB4349">
            <w:pPr>
              <w:pStyle w:val="TableParagraph"/>
              <w:tabs>
                <w:tab w:val="left" w:pos="718"/>
              </w:tabs>
              <w:spacing w:before="23" w:line="276" w:lineRule="auto"/>
              <w:ind w:left="53" w:right="80" w:hanging="3"/>
              <w:jc w:val="center"/>
              <w:rPr>
                <w:rFonts w:ascii="Arial" w:hAnsi="Arial" w:cs="Arial"/>
                <w:b/>
                <w:sz w:val="16"/>
              </w:rPr>
            </w:pPr>
            <w:r w:rsidRPr="009D76F5">
              <w:rPr>
                <w:rFonts w:ascii="Arial" w:hAnsi="Arial" w:cs="Arial"/>
                <w:b/>
                <w:color w:val="231F20"/>
                <w:sz w:val="16"/>
              </w:rPr>
              <w:t xml:space="preserve">Pell </w:t>
            </w:r>
            <w:r w:rsidRPr="009D76F5">
              <w:rPr>
                <w:rFonts w:ascii="Arial" w:hAnsi="Arial" w:cs="Arial"/>
                <w:b/>
                <w:color w:val="231F20"/>
                <w:spacing w:val="-1"/>
                <w:sz w:val="16"/>
              </w:rPr>
              <w:t>Disbur</w:t>
            </w:r>
            <w:r w:rsidRPr="009D76F5">
              <w:rPr>
                <w:rFonts w:ascii="Arial" w:hAnsi="Arial" w:cs="Arial"/>
                <w:b/>
                <w:color w:val="231F20"/>
                <w:sz w:val="16"/>
              </w:rPr>
              <w:t>sed</w:t>
            </w:r>
          </w:p>
          <w:p w14:paraId="12B5A765" w14:textId="77777777" w:rsidR="000E63F5" w:rsidRPr="009D76F5" w:rsidRDefault="000E63F5" w:rsidP="00AB4349">
            <w:pPr>
              <w:pStyle w:val="TableParagraph"/>
              <w:tabs>
                <w:tab w:val="left" w:pos="718"/>
              </w:tabs>
              <w:spacing w:line="180" w:lineRule="exact"/>
              <w:ind w:left="53" w:right="80"/>
              <w:jc w:val="center"/>
              <w:rPr>
                <w:rFonts w:ascii="Arial" w:hAnsi="Arial" w:cs="Arial"/>
                <w:b/>
                <w:sz w:val="16"/>
              </w:rPr>
            </w:pPr>
            <w:r w:rsidRPr="009D76F5">
              <w:rPr>
                <w:rFonts w:ascii="Arial" w:hAnsi="Arial" w:cs="Arial"/>
                <w:b/>
                <w:color w:val="231F20"/>
                <w:sz w:val="16"/>
              </w:rPr>
              <w:t>($)</w:t>
            </w:r>
          </w:p>
        </w:tc>
        <w:tc>
          <w:tcPr>
            <w:tcW w:w="925" w:type="dxa"/>
            <w:shd w:val="clear" w:color="auto" w:fill="DCDDDE"/>
          </w:tcPr>
          <w:p w14:paraId="5DE39BD7" w14:textId="77777777" w:rsidR="000E63F5" w:rsidRPr="009D76F5" w:rsidRDefault="000E63F5" w:rsidP="00AB4349">
            <w:pPr>
              <w:pStyle w:val="TableParagraph"/>
              <w:tabs>
                <w:tab w:val="left" w:pos="835"/>
              </w:tabs>
              <w:spacing w:before="23" w:line="276" w:lineRule="auto"/>
              <w:ind w:left="53" w:right="14" w:hanging="6"/>
              <w:jc w:val="center"/>
              <w:rPr>
                <w:rFonts w:ascii="Arial" w:hAnsi="Arial" w:cs="Arial"/>
                <w:b/>
                <w:sz w:val="16"/>
              </w:rPr>
            </w:pPr>
            <w:r w:rsidRPr="009D76F5">
              <w:rPr>
                <w:rFonts w:ascii="Arial" w:hAnsi="Arial" w:cs="Arial"/>
                <w:b/>
                <w:color w:val="231F20"/>
                <w:sz w:val="16"/>
              </w:rPr>
              <w:t>Pell Under- payment ($)</w:t>
            </w:r>
          </w:p>
        </w:tc>
        <w:tc>
          <w:tcPr>
            <w:tcW w:w="899" w:type="dxa"/>
            <w:shd w:val="clear" w:color="auto" w:fill="DCDDDE"/>
          </w:tcPr>
          <w:p w14:paraId="7FDE7240" w14:textId="77777777" w:rsidR="000E63F5" w:rsidRPr="009D76F5" w:rsidRDefault="000E63F5" w:rsidP="00AB4349">
            <w:pPr>
              <w:pStyle w:val="TableParagraph"/>
              <w:tabs>
                <w:tab w:val="left" w:pos="422"/>
              </w:tabs>
              <w:spacing w:before="23" w:line="276" w:lineRule="auto"/>
              <w:ind w:left="53" w:right="24" w:hanging="6"/>
              <w:jc w:val="center"/>
              <w:rPr>
                <w:rFonts w:ascii="Arial" w:hAnsi="Arial" w:cs="Arial"/>
                <w:b/>
                <w:sz w:val="16"/>
              </w:rPr>
            </w:pPr>
            <w:r w:rsidRPr="009D76F5">
              <w:rPr>
                <w:rFonts w:ascii="Arial" w:hAnsi="Arial" w:cs="Arial"/>
                <w:b/>
                <w:color w:val="231F20"/>
                <w:sz w:val="16"/>
              </w:rPr>
              <w:t>Pell Over- payment ($)</w:t>
            </w:r>
          </w:p>
        </w:tc>
        <w:tc>
          <w:tcPr>
            <w:tcW w:w="990" w:type="dxa"/>
            <w:shd w:val="clear" w:color="auto" w:fill="DCDDDE"/>
          </w:tcPr>
          <w:p w14:paraId="13D1F7B7" w14:textId="77777777" w:rsidR="000E63F5" w:rsidRPr="009D76F5" w:rsidRDefault="000E63F5" w:rsidP="00AB4349">
            <w:pPr>
              <w:pStyle w:val="TableParagraph"/>
              <w:tabs>
                <w:tab w:val="left" w:pos="696"/>
              </w:tabs>
              <w:spacing w:before="23" w:line="276" w:lineRule="auto"/>
              <w:ind w:left="53" w:right="25" w:firstLine="1"/>
              <w:jc w:val="center"/>
              <w:rPr>
                <w:rFonts w:ascii="Arial" w:hAnsi="Arial" w:cs="Arial"/>
                <w:b/>
                <w:sz w:val="16"/>
              </w:rPr>
            </w:pPr>
            <w:r w:rsidRPr="009D76F5">
              <w:rPr>
                <w:rFonts w:ascii="Arial" w:hAnsi="Arial" w:cs="Arial"/>
                <w:b/>
                <w:color w:val="231F20"/>
                <w:sz w:val="16"/>
              </w:rPr>
              <w:t>Direct Loan Disbursed ($)</w:t>
            </w:r>
          </w:p>
        </w:tc>
        <w:tc>
          <w:tcPr>
            <w:tcW w:w="988" w:type="dxa"/>
            <w:shd w:val="clear" w:color="auto" w:fill="DCDDDE"/>
          </w:tcPr>
          <w:p w14:paraId="7918E1B2" w14:textId="77777777" w:rsidR="000E63F5" w:rsidRPr="009D76F5" w:rsidRDefault="000E63F5" w:rsidP="00AB4349">
            <w:pPr>
              <w:pStyle w:val="TableParagraph"/>
              <w:tabs>
                <w:tab w:val="left" w:pos="515"/>
              </w:tabs>
              <w:spacing w:before="23" w:line="273" w:lineRule="auto"/>
              <w:ind w:left="53" w:right="14" w:hanging="3"/>
              <w:jc w:val="center"/>
              <w:rPr>
                <w:rFonts w:ascii="Arial" w:hAnsi="Arial" w:cs="Arial"/>
                <w:b/>
                <w:sz w:val="16"/>
              </w:rPr>
            </w:pPr>
            <w:r w:rsidRPr="009D76F5">
              <w:rPr>
                <w:rFonts w:ascii="Arial" w:hAnsi="Arial" w:cs="Arial"/>
                <w:b/>
                <w:color w:val="231F20"/>
                <w:sz w:val="16"/>
              </w:rPr>
              <w:t>Direct Loan Under- payment ($)</w:t>
            </w:r>
          </w:p>
        </w:tc>
        <w:tc>
          <w:tcPr>
            <w:tcW w:w="964" w:type="dxa"/>
            <w:shd w:val="clear" w:color="auto" w:fill="DCDDDE"/>
          </w:tcPr>
          <w:p w14:paraId="4A976F09" w14:textId="77777777" w:rsidR="000E63F5" w:rsidRPr="009D76F5" w:rsidRDefault="000E63F5" w:rsidP="00AB4349">
            <w:pPr>
              <w:pStyle w:val="TableParagraph"/>
              <w:tabs>
                <w:tab w:val="left" w:pos="602"/>
              </w:tabs>
              <w:spacing w:before="23" w:line="273" w:lineRule="auto"/>
              <w:ind w:left="53" w:hanging="2"/>
              <w:jc w:val="center"/>
              <w:rPr>
                <w:rFonts w:ascii="Arial" w:hAnsi="Arial" w:cs="Arial"/>
                <w:b/>
                <w:sz w:val="16"/>
              </w:rPr>
            </w:pPr>
            <w:r w:rsidRPr="009D76F5">
              <w:rPr>
                <w:rFonts w:ascii="Arial" w:hAnsi="Arial" w:cs="Arial"/>
                <w:b/>
                <w:color w:val="231F20"/>
                <w:sz w:val="16"/>
              </w:rPr>
              <w:t>Direct Loan Over- payment ($)</w:t>
            </w:r>
          </w:p>
        </w:tc>
      </w:tr>
      <w:tr w:rsidR="000E63F5" w14:paraId="526D273E" w14:textId="77777777" w:rsidTr="00AB4349">
        <w:trPr>
          <w:trHeight w:val="273"/>
        </w:trPr>
        <w:tc>
          <w:tcPr>
            <w:tcW w:w="950" w:type="dxa"/>
          </w:tcPr>
          <w:p w14:paraId="3B7C1CA3" w14:textId="77777777" w:rsidR="000E63F5" w:rsidRPr="009D76F5" w:rsidRDefault="000E63F5" w:rsidP="00AB4349">
            <w:pPr>
              <w:pStyle w:val="TableParagraph"/>
              <w:tabs>
                <w:tab w:val="left" w:pos="835"/>
              </w:tabs>
              <w:ind w:left="53"/>
              <w:jc w:val="center"/>
              <w:rPr>
                <w:rFonts w:ascii="Arial" w:hAnsi="Arial" w:cs="Arial"/>
                <w:sz w:val="20"/>
              </w:rPr>
            </w:pPr>
          </w:p>
        </w:tc>
        <w:tc>
          <w:tcPr>
            <w:tcW w:w="1204" w:type="dxa"/>
          </w:tcPr>
          <w:p w14:paraId="23635AEE"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35A41B67" w14:textId="77777777" w:rsidR="000E63F5" w:rsidRPr="009D76F5" w:rsidRDefault="000E63F5" w:rsidP="00AB4349">
            <w:pPr>
              <w:pStyle w:val="TableParagraph"/>
              <w:tabs>
                <w:tab w:val="left" w:pos="835"/>
              </w:tabs>
              <w:ind w:left="53"/>
              <w:jc w:val="center"/>
              <w:rPr>
                <w:rFonts w:ascii="Arial" w:hAnsi="Arial" w:cs="Arial"/>
                <w:sz w:val="20"/>
              </w:rPr>
            </w:pPr>
          </w:p>
        </w:tc>
        <w:tc>
          <w:tcPr>
            <w:tcW w:w="602" w:type="dxa"/>
          </w:tcPr>
          <w:p w14:paraId="73BC0812"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0F8E8996" w14:textId="77777777" w:rsidR="000E63F5" w:rsidRPr="009D76F5" w:rsidRDefault="000E63F5" w:rsidP="00AB4349">
            <w:pPr>
              <w:pStyle w:val="TableParagraph"/>
              <w:tabs>
                <w:tab w:val="left" w:pos="835"/>
              </w:tabs>
              <w:ind w:left="53"/>
              <w:jc w:val="center"/>
              <w:rPr>
                <w:rFonts w:ascii="Arial" w:hAnsi="Arial" w:cs="Arial"/>
                <w:sz w:val="20"/>
              </w:rPr>
            </w:pPr>
          </w:p>
        </w:tc>
        <w:tc>
          <w:tcPr>
            <w:tcW w:w="925" w:type="dxa"/>
          </w:tcPr>
          <w:p w14:paraId="6A40FA75"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59D558D5"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68BDC6A8" w14:textId="77777777" w:rsidR="000E63F5" w:rsidRPr="009D76F5" w:rsidRDefault="000E63F5" w:rsidP="00AB4349">
            <w:pPr>
              <w:pStyle w:val="TableParagraph"/>
              <w:tabs>
                <w:tab w:val="left" w:pos="835"/>
              </w:tabs>
              <w:ind w:left="53"/>
              <w:jc w:val="center"/>
              <w:rPr>
                <w:rFonts w:ascii="Arial" w:hAnsi="Arial" w:cs="Arial"/>
                <w:sz w:val="20"/>
              </w:rPr>
            </w:pPr>
          </w:p>
        </w:tc>
        <w:tc>
          <w:tcPr>
            <w:tcW w:w="988" w:type="dxa"/>
          </w:tcPr>
          <w:p w14:paraId="537B0EB8" w14:textId="77777777" w:rsidR="000E63F5" w:rsidRPr="009D76F5" w:rsidRDefault="000E63F5" w:rsidP="00AB4349">
            <w:pPr>
              <w:pStyle w:val="TableParagraph"/>
              <w:tabs>
                <w:tab w:val="left" w:pos="835"/>
              </w:tabs>
              <w:ind w:left="53"/>
              <w:jc w:val="center"/>
              <w:rPr>
                <w:rFonts w:ascii="Arial" w:hAnsi="Arial" w:cs="Arial"/>
                <w:sz w:val="20"/>
              </w:rPr>
            </w:pPr>
          </w:p>
        </w:tc>
        <w:tc>
          <w:tcPr>
            <w:tcW w:w="964" w:type="dxa"/>
          </w:tcPr>
          <w:p w14:paraId="32F09411" w14:textId="77777777" w:rsidR="000E63F5" w:rsidRPr="009D76F5" w:rsidRDefault="000E63F5" w:rsidP="00AB4349">
            <w:pPr>
              <w:pStyle w:val="TableParagraph"/>
              <w:tabs>
                <w:tab w:val="left" w:pos="835"/>
              </w:tabs>
              <w:ind w:left="53"/>
              <w:jc w:val="center"/>
              <w:rPr>
                <w:rFonts w:ascii="Arial" w:hAnsi="Arial" w:cs="Arial"/>
                <w:sz w:val="20"/>
              </w:rPr>
            </w:pPr>
          </w:p>
        </w:tc>
      </w:tr>
      <w:tr w:rsidR="000E63F5" w14:paraId="1384D110" w14:textId="77777777" w:rsidTr="00AB4349">
        <w:trPr>
          <w:trHeight w:val="275"/>
        </w:trPr>
        <w:tc>
          <w:tcPr>
            <w:tcW w:w="950" w:type="dxa"/>
          </w:tcPr>
          <w:p w14:paraId="408751E9" w14:textId="77777777" w:rsidR="000E63F5" w:rsidRPr="009D76F5" w:rsidRDefault="000E63F5" w:rsidP="00AB4349">
            <w:pPr>
              <w:pStyle w:val="TableParagraph"/>
              <w:tabs>
                <w:tab w:val="left" w:pos="835"/>
              </w:tabs>
              <w:ind w:left="53"/>
              <w:jc w:val="center"/>
              <w:rPr>
                <w:rFonts w:ascii="Arial" w:hAnsi="Arial" w:cs="Arial"/>
                <w:sz w:val="20"/>
              </w:rPr>
            </w:pPr>
          </w:p>
        </w:tc>
        <w:tc>
          <w:tcPr>
            <w:tcW w:w="1204" w:type="dxa"/>
          </w:tcPr>
          <w:p w14:paraId="225E3010"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1266962E" w14:textId="77777777" w:rsidR="000E63F5" w:rsidRPr="009D76F5" w:rsidRDefault="000E63F5" w:rsidP="00AB4349">
            <w:pPr>
              <w:pStyle w:val="TableParagraph"/>
              <w:tabs>
                <w:tab w:val="left" w:pos="835"/>
              </w:tabs>
              <w:ind w:left="53"/>
              <w:jc w:val="center"/>
              <w:rPr>
                <w:rFonts w:ascii="Arial" w:hAnsi="Arial" w:cs="Arial"/>
                <w:sz w:val="20"/>
              </w:rPr>
            </w:pPr>
          </w:p>
        </w:tc>
        <w:tc>
          <w:tcPr>
            <w:tcW w:w="602" w:type="dxa"/>
          </w:tcPr>
          <w:p w14:paraId="049C1751"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73371F2B" w14:textId="77777777" w:rsidR="000E63F5" w:rsidRPr="009D76F5" w:rsidRDefault="000E63F5" w:rsidP="00AB4349">
            <w:pPr>
              <w:pStyle w:val="TableParagraph"/>
              <w:tabs>
                <w:tab w:val="left" w:pos="835"/>
              </w:tabs>
              <w:ind w:left="53"/>
              <w:jc w:val="center"/>
              <w:rPr>
                <w:rFonts w:ascii="Arial" w:hAnsi="Arial" w:cs="Arial"/>
                <w:sz w:val="20"/>
              </w:rPr>
            </w:pPr>
          </w:p>
        </w:tc>
        <w:tc>
          <w:tcPr>
            <w:tcW w:w="925" w:type="dxa"/>
          </w:tcPr>
          <w:p w14:paraId="24B39CEC" w14:textId="77777777" w:rsidR="000E63F5" w:rsidRPr="009D76F5" w:rsidRDefault="000E63F5" w:rsidP="00AB4349">
            <w:pPr>
              <w:pStyle w:val="TableParagraph"/>
              <w:tabs>
                <w:tab w:val="left" w:pos="835"/>
              </w:tabs>
              <w:ind w:left="53"/>
              <w:jc w:val="center"/>
              <w:rPr>
                <w:rFonts w:ascii="Arial" w:hAnsi="Arial" w:cs="Arial"/>
                <w:sz w:val="20"/>
              </w:rPr>
            </w:pPr>
          </w:p>
        </w:tc>
        <w:tc>
          <w:tcPr>
            <w:tcW w:w="899" w:type="dxa"/>
          </w:tcPr>
          <w:p w14:paraId="1997DD95" w14:textId="77777777" w:rsidR="000E63F5" w:rsidRPr="009D76F5" w:rsidRDefault="000E63F5" w:rsidP="00AB4349">
            <w:pPr>
              <w:pStyle w:val="TableParagraph"/>
              <w:tabs>
                <w:tab w:val="left" w:pos="835"/>
              </w:tabs>
              <w:ind w:left="53"/>
              <w:jc w:val="center"/>
              <w:rPr>
                <w:rFonts w:ascii="Arial" w:hAnsi="Arial" w:cs="Arial"/>
                <w:sz w:val="20"/>
              </w:rPr>
            </w:pPr>
          </w:p>
        </w:tc>
        <w:tc>
          <w:tcPr>
            <w:tcW w:w="990" w:type="dxa"/>
          </w:tcPr>
          <w:p w14:paraId="721C5A6B" w14:textId="77777777" w:rsidR="000E63F5" w:rsidRPr="009D76F5" w:rsidRDefault="000E63F5" w:rsidP="00AB4349">
            <w:pPr>
              <w:pStyle w:val="TableParagraph"/>
              <w:tabs>
                <w:tab w:val="left" w:pos="835"/>
              </w:tabs>
              <w:ind w:left="53"/>
              <w:jc w:val="center"/>
              <w:rPr>
                <w:rFonts w:ascii="Arial" w:hAnsi="Arial" w:cs="Arial"/>
                <w:sz w:val="20"/>
              </w:rPr>
            </w:pPr>
          </w:p>
        </w:tc>
        <w:tc>
          <w:tcPr>
            <w:tcW w:w="988" w:type="dxa"/>
          </w:tcPr>
          <w:p w14:paraId="44C5AB0A" w14:textId="77777777" w:rsidR="000E63F5" w:rsidRPr="009D76F5" w:rsidRDefault="000E63F5" w:rsidP="00AB4349">
            <w:pPr>
              <w:pStyle w:val="TableParagraph"/>
              <w:tabs>
                <w:tab w:val="left" w:pos="835"/>
              </w:tabs>
              <w:ind w:left="53"/>
              <w:jc w:val="center"/>
              <w:rPr>
                <w:rFonts w:ascii="Arial" w:hAnsi="Arial" w:cs="Arial"/>
                <w:sz w:val="20"/>
              </w:rPr>
            </w:pPr>
          </w:p>
        </w:tc>
        <w:tc>
          <w:tcPr>
            <w:tcW w:w="964" w:type="dxa"/>
          </w:tcPr>
          <w:p w14:paraId="6E3F7553" w14:textId="77777777" w:rsidR="000E63F5" w:rsidRPr="009D76F5" w:rsidRDefault="000E63F5" w:rsidP="00AB4349">
            <w:pPr>
              <w:pStyle w:val="TableParagraph"/>
              <w:tabs>
                <w:tab w:val="left" w:pos="835"/>
              </w:tabs>
              <w:ind w:left="53"/>
              <w:jc w:val="center"/>
              <w:rPr>
                <w:rFonts w:ascii="Arial" w:hAnsi="Arial" w:cs="Arial"/>
                <w:sz w:val="20"/>
              </w:rPr>
            </w:pPr>
          </w:p>
        </w:tc>
      </w:tr>
    </w:tbl>
    <w:p w14:paraId="6C77269C" w14:textId="703E4C2D" w:rsidR="000E63F5" w:rsidRDefault="000E63F5" w:rsidP="000E63F5">
      <w:pPr>
        <w:spacing w:after="240"/>
        <w:jc w:val="both"/>
        <w:rPr>
          <w:rFonts w:ascii="Arial" w:hAnsi="Arial" w:cs="Arial"/>
          <w:b/>
        </w:rPr>
      </w:pP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r w:rsidRPr="000E63F5">
        <w:rPr>
          <w:rFonts w:ascii="Arial" w:hAnsi="Arial" w:cs="Arial"/>
          <w:b/>
        </w:rPr>
        <w:tab/>
      </w:r>
    </w:p>
    <w:p w14:paraId="50B49B5D" w14:textId="0C9287FA" w:rsidR="000E63F5" w:rsidRPr="000E63F5" w:rsidRDefault="000E63F5" w:rsidP="000E63F5">
      <w:pPr>
        <w:spacing w:after="240"/>
        <w:jc w:val="both"/>
        <w:rPr>
          <w:rFonts w:ascii="Arial" w:hAnsi="Arial" w:cs="Arial"/>
          <w:b/>
        </w:rPr>
      </w:pPr>
      <w:r>
        <w:rPr>
          <w:rFonts w:ascii="Arial" w:hAnsi="Arial" w:cs="Arial"/>
          <w:b/>
        </w:rPr>
        <w:t>Availability of Other Program Information</w:t>
      </w:r>
    </w:p>
    <w:p w14:paraId="58AB6817" w14:textId="1308B2D0" w:rsidR="000E63F5" w:rsidRPr="000E63F5" w:rsidRDefault="000E63F5" w:rsidP="000E63F5">
      <w:pPr>
        <w:spacing w:after="240"/>
        <w:jc w:val="both"/>
        <w:rPr>
          <w:rFonts w:ascii="Arial" w:hAnsi="Arial" w:cs="Arial"/>
          <w:bCs/>
        </w:rPr>
      </w:pPr>
      <w:r w:rsidRPr="000E63F5">
        <w:rPr>
          <w:rFonts w:ascii="Arial" w:hAnsi="Arial" w:cs="Arial"/>
          <w:bCs/>
        </w:rPr>
        <w:t xml:space="preserve">ED annually publishes the Federal Student Aid Handbook (FSA Handbook), which provides detailed guidance on administering the Title IV programs. This handbook and other guidance material are available at </w:t>
      </w:r>
      <w:hyperlink r:id="rId37" w:history="1">
        <w:r w:rsidRPr="00E002AE">
          <w:rPr>
            <w:rStyle w:val="Hyperlink"/>
            <w:rFonts w:cs="Arial"/>
            <w:bCs/>
          </w:rPr>
          <w:t>https://fsapartners.ed.gov/knowledge-center/fsa-handbook</w:t>
        </w:r>
      </w:hyperlink>
      <w:r w:rsidRPr="000E63F5">
        <w:rPr>
          <w:rFonts w:ascii="Arial" w:hAnsi="Arial" w:cs="Arial"/>
          <w:bCs/>
        </w:rPr>
        <w:t>. Note: the 2023-24 FSA Handbook was reorganized by creating three new volumes, each of which consolidates into a single volume guidance relevant to specific FSA programs that was previously included in two or more FSA Handbook volumes. ED published an Electronic Announcement (</w:t>
      </w:r>
      <w:hyperlink r:id="rId38" w:history="1">
        <w:r w:rsidRPr="000E63F5">
          <w:rPr>
            <w:rStyle w:val="Hyperlink"/>
            <w:rFonts w:cs="Arial"/>
            <w:bCs/>
          </w:rPr>
          <w:t>EA-GENERAL-23-03</w:t>
        </w:r>
      </w:hyperlink>
      <w:r w:rsidRPr="000E63F5">
        <w:rPr>
          <w:rFonts w:ascii="Arial" w:hAnsi="Arial" w:cs="Arial"/>
          <w:bCs/>
        </w:rPr>
        <w:t>) that provides more information about the reorganization. The references to the FSA Handbook throughout this document are based on the 2023-24 reorganization.</w:t>
      </w:r>
    </w:p>
    <w:p w14:paraId="4DDA80E5" w14:textId="550702F8" w:rsidR="00432292" w:rsidRPr="000E63F5" w:rsidRDefault="000E63F5" w:rsidP="006672EA">
      <w:pPr>
        <w:spacing w:after="240"/>
        <w:jc w:val="both"/>
        <w:rPr>
          <w:rFonts w:ascii="Arial" w:hAnsi="Arial" w:cs="Arial"/>
          <w:bCs/>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681A96F0" w14:textId="7A38CBB8" w:rsidR="0047663C" w:rsidRPr="0047663C" w:rsidRDefault="0047663C" w:rsidP="0047663C">
      <w:pPr>
        <w:spacing w:after="240"/>
        <w:jc w:val="both"/>
        <w:rPr>
          <w:rFonts w:ascii="Arial" w:hAnsi="Arial" w:cs="Arial"/>
          <w:i/>
          <w:iCs/>
          <w:color w:val="002060"/>
          <w:szCs w:val="24"/>
        </w:rPr>
      </w:pPr>
      <w:r w:rsidRPr="0047663C">
        <w:rPr>
          <w:rFonts w:ascii="Arial" w:hAnsi="Arial" w:cs="Arial"/>
          <w:i/>
          <w:iCs/>
          <w:color w:val="002060"/>
          <w:szCs w:val="24"/>
        </w:rPr>
        <w:t>The US Department of Education issued a final regulation</w:t>
      </w:r>
      <w:r>
        <w:rPr>
          <w:rFonts w:ascii="Arial" w:hAnsi="Arial" w:cs="Arial"/>
          <w:i/>
          <w:iCs/>
          <w:color w:val="002060"/>
          <w:szCs w:val="24"/>
        </w:rPr>
        <w:t xml:space="preserve"> in May 2024</w:t>
      </w:r>
      <w:r w:rsidRPr="0047663C">
        <w:rPr>
          <w:rFonts w:ascii="Arial" w:hAnsi="Arial" w:cs="Arial"/>
          <w:i/>
          <w:iCs/>
          <w:color w:val="002060"/>
          <w:szCs w:val="24"/>
        </w:rPr>
        <w:t xml:space="preserve"> which is effective for audits of SFA recipients issued on or after July 1, 2024. The final regulation updates 34 CFR § 668.23(d)(1) to include heightened requirements for related party disclosures in the financial statements. For audits of career tech centers, vocational schools, and other SFA recipients issued on or after July 1, 2024, auditors must ensure the required related party disclosure is included in the Notes to the Financial Statements and meets the updated requirements noted below.  </w:t>
      </w:r>
    </w:p>
    <w:p w14:paraId="34FB7A25" w14:textId="77777777" w:rsidR="0047663C" w:rsidRDefault="0047663C" w:rsidP="0047663C">
      <w:pPr>
        <w:tabs>
          <w:tab w:val="left" w:pos="270"/>
        </w:tabs>
        <w:spacing w:after="240"/>
        <w:ind w:left="720"/>
        <w:jc w:val="both"/>
        <w:rPr>
          <w:rFonts w:ascii="Arial" w:hAnsi="Arial" w:cs="Arial"/>
          <w:i/>
          <w:iCs/>
          <w:color w:val="002060"/>
          <w:szCs w:val="24"/>
        </w:rPr>
      </w:pPr>
      <w:r w:rsidRPr="0047663C">
        <w:rPr>
          <w:rFonts w:ascii="Arial" w:hAnsi="Arial" w:cs="Arial"/>
          <w:i/>
          <w:iCs/>
          <w:color w:val="002060"/>
          <w:szCs w:val="24"/>
        </w:rPr>
        <w:t xml:space="preserve">34 CFR § 668.23(d)(1), as updated, requires SFA recipients, in part, to include in their financial statements a detailed description of related parties. The disclosure requirements under this provision include all related parties and a level of detail that would enable to Secretary to readily identify the related party. Such information must include, but is not limited to, the name, location and a description of the related entity including the nature and amount of any transactions between the related party and the institution, financial or otherwise, regardless of when they occurred. If there are no related party transactions during the audited fiscal year or related party outstanding </w:t>
      </w:r>
      <w:r w:rsidRPr="0047663C">
        <w:rPr>
          <w:rFonts w:ascii="Arial" w:hAnsi="Arial" w:cs="Arial"/>
          <w:i/>
          <w:iCs/>
          <w:color w:val="002060"/>
          <w:szCs w:val="24"/>
        </w:rPr>
        <w:lastRenderedPageBreak/>
        <w:t>balances reported in the financial statements, then management must add a note to the financial statements to disclose this fact.</w:t>
      </w:r>
    </w:p>
    <w:p w14:paraId="1E35DE56" w14:textId="77777777" w:rsidR="0047663C" w:rsidRDefault="0047663C" w:rsidP="0047663C">
      <w:pPr>
        <w:tabs>
          <w:tab w:val="left" w:pos="270"/>
        </w:tabs>
        <w:spacing w:after="240"/>
        <w:jc w:val="both"/>
        <w:rPr>
          <w:rFonts w:ascii="Arial" w:hAnsi="Arial" w:cs="Arial"/>
          <w:i/>
          <w:iCs/>
          <w:color w:val="002060"/>
          <w:szCs w:val="24"/>
        </w:rPr>
      </w:pPr>
    </w:p>
    <w:p w14:paraId="528FAB08" w14:textId="1811F1E7" w:rsidR="0047663C" w:rsidRPr="0047663C" w:rsidRDefault="0047663C" w:rsidP="0047663C">
      <w:pPr>
        <w:tabs>
          <w:tab w:val="left" w:pos="270"/>
        </w:tabs>
        <w:spacing w:after="240"/>
        <w:jc w:val="both"/>
        <w:rPr>
          <w:rFonts w:ascii="Arial" w:hAnsi="Arial" w:cs="Arial"/>
          <w:i/>
          <w:iCs/>
          <w:color w:val="002060"/>
          <w:szCs w:val="24"/>
        </w:rPr>
        <w:sectPr w:rsidR="0047663C" w:rsidRPr="0047663C" w:rsidSect="00FE4777">
          <w:headerReference w:type="default" r:id="rId39"/>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6355388"/>
      <w:r w:rsidRPr="00A0464C">
        <w:rPr>
          <w:rFonts w:cs="Arial"/>
          <w:sz w:val="24"/>
        </w:rPr>
        <w:lastRenderedPageBreak/>
        <w:t>Part II</w:t>
      </w:r>
      <w:bookmarkEnd w:id="20"/>
      <w:r w:rsidR="003644ED" w:rsidRPr="00A0464C">
        <w:rPr>
          <w:rFonts w:cs="Arial"/>
          <w:sz w:val="24"/>
        </w:rPr>
        <w:t xml:space="preserve"> – Pass through Agency and Grant Specific Information</w:t>
      </w:r>
      <w:bookmarkEnd w:id="21"/>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2" w:name="_Toc176355389"/>
      <w:r w:rsidRPr="00A0464C">
        <w:rPr>
          <w:rFonts w:cs="Arial"/>
          <w:sz w:val="24"/>
          <w:szCs w:val="24"/>
        </w:rPr>
        <w:t>Program Overview</w:t>
      </w:r>
      <w:bookmarkEnd w:id="22"/>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3" w:name="_Toc176355390"/>
      <w:r w:rsidRPr="00A0464C">
        <w:rPr>
          <w:rFonts w:cs="Arial"/>
          <w:sz w:val="24"/>
          <w:szCs w:val="24"/>
        </w:rPr>
        <w:t>Testing Considerations</w:t>
      </w:r>
      <w:bookmarkEnd w:id="23"/>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4" w:name="_Toc176355391"/>
      <w:r w:rsidRPr="00A0464C">
        <w:rPr>
          <w:rFonts w:cs="Arial"/>
          <w:sz w:val="24"/>
          <w:szCs w:val="24"/>
        </w:rPr>
        <w:t>Reporting</w:t>
      </w:r>
      <w:bookmarkEnd w:id="24"/>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40"/>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1"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635539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4F2732B3" w14:textId="77777777" w:rsidR="00341FBE" w:rsidRPr="00C95501" w:rsidRDefault="00921E9F" w:rsidP="006672EA">
      <w:pPr>
        <w:pStyle w:val="Heading2"/>
        <w:jc w:val="both"/>
        <w:rPr>
          <w:rFonts w:cs="Arial"/>
          <w:sz w:val="24"/>
        </w:rPr>
      </w:pPr>
      <w:bookmarkStart w:id="27" w:name="B___ALLOWABLE_COSTS_COST_PRINCIPLES"/>
      <w:bookmarkStart w:id="28" w:name="B__LIST_OF_SELECTED_ITEMS"/>
      <w:bookmarkStart w:id="29" w:name="C___CASH_MANAGEMENT"/>
      <w:bookmarkStart w:id="30" w:name="_Toc442267690"/>
      <w:bookmarkStart w:id="31" w:name="_Toc176355393"/>
      <w:bookmarkEnd w:id="27"/>
      <w:bookmarkEnd w:id="28"/>
      <w:bookmarkEnd w:id="29"/>
      <w:r w:rsidRPr="00C95501">
        <w:rPr>
          <w:rFonts w:cs="Arial"/>
          <w:sz w:val="24"/>
        </w:rPr>
        <w:t xml:space="preserve">C. </w:t>
      </w:r>
      <w:r w:rsidR="00341FBE" w:rsidRPr="00C95501">
        <w:rPr>
          <w:rFonts w:cs="Arial"/>
          <w:sz w:val="24"/>
        </w:rPr>
        <w:t>CASH MANAGEMENT</w:t>
      </w:r>
      <w:bookmarkEnd w:id="30"/>
      <w:bookmarkEnd w:id="31"/>
    </w:p>
    <w:p w14:paraId="2DD0D478" w14:textId="77777777" w:rsidR="00341FBE" w:rsidRPr="00C95501" w:rsidRDefault="006A15E5" w:rsidP="006672EA">
      <w:pPr>
        <w:pStyle w:val="Heading3"/>
        <w:jc w:val="both"/>
        <w:rPr>
          <w:rFonts w:cs="Arial"/>
          <w:sz w:val="24"/>
          <w:szCs w:val="24"/>
        </w:rPr>
      </w:pPr>
      <w:bookmarkStart w:id="32" w:name="_Toc442267691"/>
      <w:bookmarkStart w:id="33" w:name="_Toc176355394"/>
      <w:r w:rsidRPr="00C95501">
        <w:rPr>
          <w:rFonts w:cs="Arial"/>
          <w:sz w:val="24"/>
          <w:szCs w:val="24"/>
        </w:rPr>
        <w:t xml:space="preserve">OMB </w:t>
      </w:r>
      <w:r w:rsidR="00341FBE" w:rsidRPr="00C95501">
        <w:rPr>
          <w:rFonts w:cs="Arial"/>
          <w:sz w:val="24"/>
          <w:szCs w:val="24"/>
        </w:rPr>
        <w:t>Compliance Requirements</w:t>
      </w:r>
      <w:bookmarkEnd w:id="32"/>
      <w:bookmarkEnd w:id="33"/>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xml:space="preserve">), interest earned by non-Federal entities other than States on advances of Federal funds is </w:t>
      </w:r>
      <w:r w:rsidRPr="00F00D94">
        <w:rPr>
          <w:rFonts w:ascii="Arial" w:hAnsi="Arial" w:cs="Arial"/>
        </w:rPr>
        <w:lastRenderedPageBreak/>
        <w:t>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0E776A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2" w:history="1">
        <w:r w:rsidR="003C0E2D" w:rsidRPr="00F00D94">
          <w:rPr>
            <w:rStyle w:val="Hyperlink"/>
            <w:rFonts w:cs="Arial"/>
          </w:rPr>
          <w:t>31 CFR Part 205</w:t>
        </w:r>
      </w:hyperlink>
      <w:r w:rsidRPr="00F00D94">
        <w:rPr>
          <w:rFonts w:ascii="Arial" w:hAnsi="Arial" w:cs="Arial"/>
        </w:rPr>
        <w:t xml:space="preserve">, </w:t>
      </w:r>
      <w:hyperlink r:id="rId43" w:history="1">
        <w:r w:rsidR="00203D3E" w:rsidRPr="00F00D94">
          <w:rPr>
            <w:rStyle w:val="Hyperlink"/>
            <w:rFonts w:cs="Arial"/>
          </w:rPr>
          <w:t>48 CFR 52.216-7(b)</w:t>
        </w:r>
      </w:hyperlink>
      <w:r w:rsidRPr="00F00D94">
        <w:rPr>
          <w:rFonts w:ascii="Arial" w:hAnsi="Arial" w:cs="Arial"/>
        </w:rPr>
        <w:t xml:space="preserve"> and </w:t>
      </w:r>
      <w:hyperlink r:id="rId44"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34182BE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45"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46"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47"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31DAAAC2"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lastRenderedPageBreak/>
        <w:t xml:space="preserve">Part </w:t>
      </w:r>
      <w:r w:rsidR="001C1E0B">
        <w:rPr>
          <w:rFonts w:ascii="Arial" w:hAnsi="Arial" w:cs="Arial"/>
          <w:b/>
          <w:sz w:val="24"/>
          <w:szCs w:val="24"/>
        </w:rPr>
        <w:t>5</w:t>
      </w:r>
      <w:r w:rsidRPr="00C95501">
        <w:rPr>
          <w:rFonts w:ascii="Arial" w:hAnsi="Arial" w:cs="Arial"/>
          <w:b/>
          <w:sz w:val="24"/>
          <w:szCs w:val="24"/>
        </w:rPr>
        <w:t xml:space="preserve"> OMB Program Specific Requirements</w:t>
      </w:r>
    </w:p>
    <w:p w14:paraId="0BE772A8" w14:textId="12F1F805" w:rsidR="001C1E0B" w:rsidRPr="001C1E0B" w:rsidRDefault="001C1E0B" w:rsidP="001C1E0B">
      <w:pPr>
        <w:spacing w:after="240"/>
        <w:jc w:val="both"/>
        <w:rPr>
          <w:rFonts w:ascii="Arial" w:hAnsi="Arial" w:cs="Arial"/>
          <w:bCs/>
        </w:rPr>
      </w:pPr>
      <w:r w:rsidRPr="001C1E0B">
        <w:rPr>
          <w:rFonts w:ascii="Arial" w:hAnsi="Arial" w:cs="Arial"/>
          <w:bCs/>
          <w:i/>
          <w:iCs/>
        </w:rPr>
        <w:t>SFA Title IV Programs</w:t>
      </w:r>
      <w:r w:rsidRPr="001C1E0B">
        <w:rPr>
          <w:rFonts w:ascii="Arial" w:hAnsi="Arial" w:cs="Arial"/>
          <w:bCs/>
        </w:rPr>
        <w:t xml:space="preserve">: An institution requests funds from ED under the advance, reimbursement, or heightened cash monitoring payment methods. An institution’s Program Participation Agreement will indicate whether the institution has been placed on the reimbursement or heightened cash monitoring payment method. An institution could have had more than one Program Participation Agreement during a given payment period in that it could have been placed on or taken off of the reimbursement or heightened cash monitoring payment method at any point during the fiscal year. Many institutions on the Advance method of payment elect to post Title IV disbursements prior to drawing funds from the G5 system. This is an acceptable practice and does not constitute the institution being on the Heightened Cash Monitoring (HCM) or Reimbursement. ED publishes a list of institutions on heighted cash monitoring or reimbursement by quarter at: </w:t>
      </w:r>
      <w:hyperlink r:id="rId48" w:history="1">
        <w:r w:rsidRPr="001C1E0B">
          <w:rPr>
            <w:rStyle w:val="Hyperlink"/>
            <w:rFonts w:cs="Arial"/>
            <w:bCs/>
          </w:rPr>
          <w:t>Heightened Cash Monitoring | Federal Student Aid</w:t>
        </w:r>
      </w:hyperlink>
      <w:r w:rsidRPr="001C1E0B">
        <w:rPr>
          <w:rFonts w:ascii="Arial" w:hAnsi="Arial" w:cs="Arial"/>
          <w:bCs/>
        </w:rPr>
        <w:t>.</w:t>
      </w:r>
    </w:p>
    <w:p w14:paraId="15980CBC" w14:textId="420AA0F3" w:rsidR="001C1E0B" w:rsidRPr="001C1E0B" w:rsidRDefault="001C1E0B" w:rsidP="001C1E0B">
      <w:pPr>
        <w:spacing w:after="240"/>
        <w:jc w:val="both"/>
        <w:rPr>
          <w:rFonts w:ascii="Arial" w:hAnsi="Arial" w:cs="Arial"/>
          <w:bCs/>
        </w:rPr>
      </w:pPr>
      <w:r w:rsidRPr="001C1E0B">
        <w:rPr>
          <w:rFonts w:ascii="Arial" w:hAnsi="Arial" w:cs="Arial"/>
          <w:bCs/>
        </w:rPr>
        <w:t>For purposes of determining compliance with cash management requirements to minimize time between funds transfer and disbursement, a disbursement of funds occurs on the date an institution credits a student’s account or pays a student or parent directly with either Title IV funds or institutional funds used in advance of drawing down federal funds (34 CFR 668.164(a)(1)(i) &amp; (ii)).</w:t>
      </w:r>
    </w:p>
    <w:p w14:paraId="354C363B" w14:textId="097498C8" w:rsidR="001C1E0B" w:rsidRPr="001C1E0B" w:rsidRDefault="001C1E0B" w:rsidP="001C1E0B">
      <w:pPr>
        <w:spacing w:after="240"/>
        <w:jc w:val="both"/>
        <w:rPr>
          <w:rFonts w:ascii="Arial" w:hAnsi="Arial" w:cs="Arial"/>
          <w:bCs/>
        </w:rPr>
      </w:pPr>
      <w:r w:rsidRPr="001C1E0B">
        <w:rPr>
          <w:rFonts w:ascii="Arial" w:hAnsi="Arial" w:cs="Arial"/>
          <w:bCs/>
        </w:rPr>
        <w:t>The payment methods and associated cash management requirements are listed below.</w:t>
      </w:r>
    </w:p>
    <w:p w14:paraId="0D86498D" w14:textId="08144EA2" w:rsidR="001C1E0B" w:rsidRPr="001C1E0B" w:rsidRDefault="001C1E0B" w:rsidP="001C1E0B">
      <w:pPr>
        <w:spacing w:after="240"/>
        <w:ind w:left="720" w:hanging="720"/>
        <w:jc w:val="both"/>
        <w:rPr>
          <w:rFonts w:ascii="Arial" w:hAnsi="Arial" w:cs="Arial"/>
          <w:bCs/>
        </w:rPr>
      </w:pPr>
      <w:r w:rsidRPr="001C1E0B">
        <w:rPr>
          <w:rFonts w:ascii="Arial" w:hAnsi="Arial" w:cs="Arial"/>
          <w:bCs/>
        </w:rPr>
        <w:t>•</w:t>
      </w:r>
      <w:r w:rsidRPr="001C1E0B">
        <w:rPr>
          <w:rFonts w:ascii="Arial" w:hAnsi="Arial" w:cs="Arial"/>
          <w:bCs/>
        </w:rPr>
        <w:tab/>
      </w:r>
      <w:r w:rsidRPr="001C1E0B">
        <w:rPr>
          <w:rFonts w:ascii="Arial" w:hAnsi="Arial" w:cs="Arial"/>
          <w:bCs/>
          <w:i/>
          <w:iCs/>
        </w:rPr>
        <w:t>Advance Payment Method</w:t>
      </w:r>
      <w:r w:rsidRPr="001C1E0B">
        <w:rPr>
          <w:rFonts w:ascii="Arial" w:hAnsi="Arial" w:cs="Arial"/>
          <w:bCs/>
        </w:rPr>
        <w:t>: An institution submits a drawdown request for funds utilizing ED’s electronic grants management system, known as G5, that may not exceed the amount of funds needed to make immediate disbursements to eligible students and parents. If the request is accepted, ED initiates an electronic funds transfer to the institution’s account. The institution must then disburse the requested funds no later than three business days following receipt of those funds from ED.</w:t>
      </w:r>
    </w:p>
    <w:p w14:paraId="33D0EA20" w14:textId="5A302264" w:rsidR="001C1E0B" w:rsidRPr="001C1E0B" w:rsidRDefault="001C1E0B" w:rsidP="001C1E0B">
      <w:pPr>
        <w:spacing w:after="240"/>
        <w:ind w:left="720"/>
        <w:jc w:val="both"/>
        <w:rPr>
          <w:rFonts w:ascii="Arial" w:hAnsi="Arial" w:cs="Arial"/>
          <w:bCs/>
        </w:rPr>
      </w:pPr>
      <w:r w:rsidRPr="001C1E0B">
        <w:rPr>
          <w:rFonts w:ascii="Arial" w:hAnsi="Arial" w:cs="Arial"/>
          <w:bCs/>
        </w:rPr>
        <w:t>For institutions on the Advance Payment Method, any amount of Title IV funds not disbursed to recipients by the end of the third business day is considered excess cash. ED allows an institution to retain, for up to seven days, excess cash that does not exceed one percent of the total amount of funds drawn by the institution in the prior award year. The institution must return to ED any excess cash over the tolerable amount (one percent) and any amount remaining after the tolerance period (seven days). Questioned costs would be those in excess of the one percent threshold.</w:t>
      </w:r>
    </w:p>
    <w:p w14:paraId="0EB2EA38" w14:textId="535FF5C9" w:rsidR="001C1E0B" w:rsidRPr="001C1E0B" w:rsidRDefault="001C1E0B" w:rsidP="001C1E0B">
      <w:pPr>
        <w:spacing w:after="240"/>
        <w:ind w:left="720" w:hanging="720"/>
        <w:jc w:val="both"/>
        <w:rPr>
          <w:rFonts w:ascii="Arial" w:hAnsi="Arial" w:cs="Arial"/>
          <w:b/>
        </w:rPr>
      </w:pPr>
      <w:r w:rsidRPr="001C1E0B">
        <w:rPr>
          <w:rFonts w:ascii="Arial" w:hAnsi="Arial" w:cs="Arial"/>
          <w:bCs/>
        </w:rPr>
        <w:t>•</w:t>
      </w:r>
      <w:r w:rsidRPr="001C1E0B">
        <w:rPr>
          <w:rFonts w:ascii="Arial" w:hAnsi="Arial" w:cs="Arial"/>
          <w:bCs/>
        </w:rPr>
        <w:tab/>
      </w:r>
      <w:r w:rsidRPr="001C1E0B">
        <w:rPr>
          <w:rFonts w:ascii="Arial" w:hAnsi="Arial" w:cs="Arial"/>
          <w:bCs/>
          <w:i/>
          <w:iCs/>
        </w:rPr>
        <w:t>Heightened Cash Monitoring (HCM) Payment Methods</w:t>
      </w:r>
      <w:r w:rsidRPr="001C1E0B">
        <w:rPr>
          <w:rFonts w:ascii="Arial" w:hAnsi="Arial" w:cs="Arial"/>
          <w:bCs/>
        </w:rPr>
        <w:t>: An institution must credit a student’s account for the amount of Title IV funds the student is eligible to receive and pay the amount of any credit balance due before the institution submits a request for funds or seeks reimbursement. In other words, the “costs” that must be paid prior to a request for funds (HCM1) or a reimbursement (HCM2) are the amounts of the eligible disbursement and any credit balance. An institution’s request may not exceed the amount of the disbursements the institution made to the students included in that request. While HCM is an ED prescribed payment method, for purposes of testing in using Part 3 of the Compliance Supplement, it would fall generally under the Reimbursement Payment method since the school must disburse funds before ED makes a payment.</w:t>
      </w:r>
    </w:p>
    <w:p w14:paraId="4B8F528C" w14:textId="54D6B02A" w:rsidR="001C1E0B" w:rsidRPr="001C1E0B" w:rsidRDefault="001C1E0B" w:rsidP="001C1E0B">
      <w:pPr>
        <w:spacing w:after="240"/>
        <w:ind w:left="1440" w:hanging="720"/>
        <w:jc w:val="both"/>
        <w:rPr>
          <w:rFonts w:ascii="Arial" w:hAnsi="Arial" w:cs="Arial"/>
          <w:bCs/>
        </w:rPr>
      </w:pPr>
      <w:r w:rsidRPr="001C1E0B">
        <w:rPr>
          <w:rFonts w:ascii="Arial" w:hAnsi="Arial" w:cs="Arial"/>
          <w:bCs/>
        </w:rPr>
        <w:t>o</w:t>
      </w:r>
      <w:r w:rsidRPr="001C1E0B">
        <w:rPr>
          <w:rFonts w:ascii="Arial" w:hAnsi="Arial" w:cs="Arial"/>
          <w:bCs/>
        </w:rPr>
        <w:tab/>
      </w:r>
      <w:r w:rsidRPr="001C1E0B">
        <w:rPr>
          <w:rFonts w:ascii="Arial" w:hAnsi="Arial" w:cs="Arial"/>
          <w:bCs/>
          <w:i/>
          <w:iCs/>
        </w:rPr>
        <w:t>HCM1 Payment Method</w:t>
      </w:r>
      <w:r w:rsidRPr="001C1E0B">
        <w:rPr>
          <w:rFonts w:ascii="Arial" w:hAnsi="Arial" w:cs="Arial"/>
          <w:bCs/>
        </w:rPr>
        <w:t>: After making a disbursement to eligible students from institutional funds and submitting disbursement records to the Common Origination and Disbursement (COD) system, the institution draws down funds to cover those disbursements through G5 the same way as an institution on the Advance Payment Method.</w:t>
      </w:r>
    </w:p>
    <w:p w14:paraId="4B1DEBA2" w14:textId="738539A9" w:rsidR="001C1E0B" w:rsidRPr="001C1E0B" w:rsidRDefault="001C1E0B" w:rsidP="001C1E0B">
      <w:pPr>
        <w:spacing w:after="240"/>
        <w:ind w:left="1440" w:hanging="720"/>
        <w:jc w:val="both"/>
        <w:rPr>
          <w:rFonts w:ascii="Arial" w:hAnsi="Arial" w:cs="Arial"/>
          <w:bCs/>
        </w:rPr>
      </w:pPr>
      <w:r w:rsidRPr="001C1E0B">
        <w:rPr>
          <w:rFonts w:ascii="Arial" w:hAnsi="Arial" w:cs="Arial"/>
          <w:bCs/>
        </w:rPr>
        <w:t>o</w:t>
      </w:r>
      <w:r w:rsidRPr="001C1E0B">
        <w:rPr>
          <w:rFonts w:ascii="Arial" w:hAnsi="Arial" w:cs="Arial"/>
          <w:bCs/>
        </w:rPr>
        <w:tab/>
      </w:r>
      <w:r w:rsidRPr="001C1E0B">
        <w:rPr>
          <w:rFonts w:ascii="Arial" w:hAnsi="Arial" w:cs="Arial"/>
          <w:bCs/>
          <w:i/>
          <w:iCs/>
        </w:rPr>
        <w:t>HCM2 Payment Method</w:t>
      </w:r>
      <w:r w:rsidRPr="001C1E0B">
        <w:rPr>
          <w:rFonts w:ascii="Arial" w:hAnsi="Arial" w:cs="Arial"/>
          <w:bCs/>
        </w:rPr>
        <w:t>: After making disbursements to eligible students from institutional funds, a reimbursement payment request must be submitted for those funds the same way as an institution on the Reimbursement Payment Method (see Reimbursement Payment Method below). HCM2 differs from Reimbursement only to the extent that ED may modify the documentation required and the review procedures used to review the payment request.</w:t>
      </w:r>
      <w:r w:rsidRPr="001C1E0B">
        <w:rPr>
          <w:rFonts w:ascii="Arial" w:hAnsi="Arial" w:cs="Arial"/>
          <w:b/>
        </w:rPr>
        <w:t xml:space="preserve"> </w:t>
      </w:r>
    </w:p>
    <w:p w14:paraId="49FBA9B5" w14:textId="5890AF18" w:rsidR="001C1E0B" w:rsidRPr="001C1E0B" w:rsidRDefault="001C1E0B" w:rsidP="001C1E0B">
      <w:pPr>
        <w:spacing w:after="240"/>
        <w:ind w:left="720" w:hanging="720"/>
        <w:jc w:val="both"/>
        <w:rPr>
          <w:rFonts w:ascii="Arial" w:hAnsi="Arial" w:cs="Arial"/>
          <w:bCs/>
        </w:rPr>
      </w:pPr>
      <w:r w:rsidRPr="001C1E0B">
        <w:rPr>
          <w:rFonts w:ascii="Arial" w:hAnsi="Arial" w:cs="Arial"/>
          <w:bCs/>
        </w:rPr>
        <w:lastRenderedPageBreak/>
        <w:t>•</w:t>
      </w:r>
      <w:r w:rsidRPr="001C1E0B">
        <w:rPr>
          <w:rFonts w:ascii="Arial" w:hAnsi="Arial" w:cs="Arial"/>
          <w:bCs/>
        </w:rPr>
        <w:tab/>
      </w:r>
      <w:r w:rsidRPr="001C1E0B">
        <w:rPr>
          <w:rFonts w:ascii="Arial" w:hAnsi="Arial" w:cs="Arial"/>
          <w:bCs/>
          <w:i/>
          <w:iCs/>
        </w:rPr>
        <w:t>Reimbursement Payment Method</w:t>
      </w:r>
      <w:r w:rsidRPr="001C1E0B">
        <w:rPr>
          <w:rFonts w:ascii="Arial" w:hAnsi="Arial" w:cs="Arial"/>
          <w:bCs/>
        </w:rPr>
        <w:t>: An institution must credit a student’s account for the amount of Title IV funds the student is eligible to receive and pay the amount of any credit balances due before the institution seeks reimbursement from ED for those disbursements. The reimbursement request must include supporting documentation for the disbursements. After the reimbursement request is approved, ED initiates an electronic funds transfer to the institution’s account.</w:t>
      </w:r>
    </w:p>
    <w:p w14:paraId="6069257C" w14:textId="7095809C" w:rsidR="001C1E0B" w:rsidRPr="001C1E0B" w:rsidRDefault="001C1E0B" w:rsidP="001C1E0B">
      <w:pPr>
        <w:spacing w:after="240"/>
        <w:jc w:val="both"/>
        <w:rPr>
          <w:rFonts w:ascii="Arial" w:hAnsi="Arial" w:cs="Arial"/>
          <w:bCs/>
        </w:rPr>
      </w:pPr>
      <w:r w:rsidRPr="001C1E0B">
        <w:rPr>
          <w:rFonts w:ascii="Arial" w:hAnsi="Arial" w:cs="Arial"/>
          <w:bCs/>
        </w:rPr>
        <w:t>G5 is the system through which institutions request and return Title IV funds. The G5 External Award Activity Report is a statement for an institution’s G5 awards that displays both cumulative and detailed information on drawdown activity, refunds, adjustments, available balances, and authorization changes for each award.</w:t>
      </w:r>
    </w:p>
    <w:p w14:paraId="34F1BFC2" w14:textId="4AC07E22" w:rsidR="001C1E0B" w:rsidRPr="001C1E0B" w:rsidRDefault="001C1E0B" w:rsidP="001C1E0B">
      <w:pPr>
        <w:spacing w:after="240"/>
        <w:jc w:val="both"/>
        <w:rPr>
          <w:rFonts w:ascii="Arial" w:hAnsi="Arial" w:cs="Arial"/>
          <w:bCs/>
        </w:rPr>
      </w:pPr>
      <w:r w:rsidRPr="001C1E0B">
        <w:rPr>
          <w:rFonts w:ascii="Arial" w:hAnsi="Arial" w:cs="Arial"/>
          <w:bCs/>
          <w:i/>
          <w:iCs/>
        </w:rPr>
        <w:t>Cash Management Program Requirements for Direct Loans – Monthly Reconciliations</w:t>
      </w:r>
      <w:r w:rsidRPr="001C1E0B">
        <w:rPr>
          <w:rFonts w:ascii="Arial" w:hAnsi="Arial" w:cs="Arial"/>
          <w:bCs/>
        </w:rPr>
        <w:t xml:space="preserve"> Schools participating in the Direct Loan program are required to perform monthly Direct Loan reconciliations (34 CFR 685.300(b)(5)). Electronic Announcements </w:t>
      </w:r>
      <w:hyperlink r:id="rId49" w:history="1">
        <w:r w:rsidRPr="001C1E0B">
          <w:rPr>
            <w:rStyle w:val="Hyperlink"/>
            <w:rFonts w:cs="Arial"/>
            <w:bCs/>
          </w:rPr>
          <w:t>DL-22-07</w:t>
        </w:r>
      </w:hyperlink>
      <w:r w:rsidRPr="001C1E0B">
        <w:rPr>
          <w:rFonts w:ascii="Arial" w:hAnsi="Arial" w:cs="Arial"/>
          <w:bCs/>
        </w:rPr>
        <w:t xml:space="preserve"> and </w:t>
      </w:r>
      <w:hyperlink r:id="rId50" w:history="1">
        <w:r w:rsidRPr="001C1E0B">
          <w:rPr>
            <w:rStyle w:val="Hyperlink"/>
            <w:rFonts w:cs="Arial"/>
            <w:bCs/>
          </w:rPr>
          <w:t>GENERAL-22-86</w:t>
        </w:r>
      </w:hyperlink>
      <w:r w:rsidRPr="001C1E0B">
        <w:rPr>
          <w:rFonts w:ascii="Arial" w:hAnsi="Arial" w:cs="Arial"/>
          <w:bCs/>
        </w:rPr>
        <w:t xml:space="preserve"> explain that a school must reconcile the funds it received from G5 with actual disbursement records the school submitted to COD. Each month, COD sends the school a School Account Statement, which is ED’s official record of the school’s cash and disbursement records and identifies the difference between the net draws from G5 and the actual disbursement information reported to COD by the school. The school is required to account for any differences by reconciling ED’s records (School Account Statements) with the school’s financial and business records.</w:t>
      </w:r>
    </w:p>
    <w:p w14:paraId="56C34418" w14:textId="65ACA720" w:rsidR="001C1E0B" w:rsidRPr="001C1E0B" w:rsidRDefault="001C1E0B" w:rsidP="001C1E0B">
      <w:pPr>
        <w:spacing w:after="240"/>
        <w:jc w:val="both"/>
        <w:rPr>
          <w:rFonts w:ascii="Arial" w:hAnsi="Arial" w:cs="Arial"/>
          <w:bCs/>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34" w:name="_Toc176355395"/>
      <w:r w:rsidRPr="00C95501">
        <w:rPr>
          <w:rFonts w:cs="Arial"/>
          <w:sz w:val="24"/>
          <w:szCs w:val="24"/>
        </w:rPr>
        <w:t>Additional Program Specific Information</w:t>
      </w:r>
      <w:bookmarkEnd w:id="34"/>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67C4957B"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25904">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35" w:name="_Toc442267692"/>
      <w:bookmarkStart w:id="36" w:name="_Toc176355396"/>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35"/>
      <w:bookmarkEnd w:id="36"/>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lastRenderedPageBreak/>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0F0DFE0"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1"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37" w:name="_Toc442267693"/>
      <w:bookmarkStart w:id="38" w:name="_Toc176355397"/>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37"/>
      <w:r w:rsidR="00CC4452">
        <w:rPr>
          <w:rFonts w:cs="Arial"/>
          <w:sz w:val="24"/>
          <w:szCs w:val="24"/>
        </w:rPr>
        <w:t xml:space="preserve"> – Compliance</w:t>
      </w:r>
      <w:bookmarkEnd w:id="38"/>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w:t>
            </w:r>
            <w:r w:rsidR="00D96E56" w:rsidRPr="00F00D94">
              <w:rPr>
                <w:rFonts w:ascii="Arial" w:hAnsi="Arial" w:cs="Arial"/>
                <w:sz w:val="20"/>
              </w:rPr>
              <w:lastRenderedPageBreak/>
              <w:t xml:space="preserve">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27A9FF3"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52"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39" w:name="_Toc438816465"/>
      <w:bookmarkStart w:id="40" w:name="_Toc442267694"/>
    </w:p>
    <w:p w14:paraId="5F477BA8" w14:textId="40F9D9C2" w:rsidR="00FF7307" w:rsidRPr="00220BD0" w:rsidRDefault="002A3BB7" w:rsidP="006672EA">
      <w:pPr>
        <w:pStyle w:val="Heading3"/>
        <w:jc w:val="both"/>
        <w:rPr>
          <w:rFonts w:cs="Arial"/>
          <w:b w:val="0"/>
          <w:sz w:val="24"/>
          <w:szCs w:val="24"/>
        </w:rPr>
      </w:pPr>
      <w:bookmarkStart w:id="41" w:name="_Toc176355398"/>
      <w:r w:rsidRPr="00220BD0">
        <w:rPr>
          <w:rFonts w:cs="Arial"/>
          <w:sz w:val="24"/>
          <w:szCs w:val="24"/>
        </w:rPr>
        <w:t>Audit Implications Summary</w:t>
      </w:r>
      <w:bookmarkEnd w:id="39"/>
      <w:bookmarkEnd w:id="40"/>
      <w:bookmarkEnd w:id="41"/>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556E4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 xml:space="preserve">including </w:t>
            </w:r>
            <w:r w:rsidRPr="00F00D94">
              <w:rPr>
                <w:rFonts w:ascii="Arial" w:hAnsi="Arial" w:cs="Arial"/>
                <w:b/>
                <w:sz w:val="20"/>
              </w:rPr>
              <w:lastRenderedPageBreak/>
              <w:t>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4"/>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2" w:name="_Toc176355399"/>
      <w:r w:rsidRPr="00220BD0">
        <w:rPr>
          <w:rFonts w:cs="Arial"/>
          <w:sz w:val="24"/>
        </w:rPr>
        <w:lastRenderedPageBreak/>
        <w:t xml:space="preserve">E.  </w:t>
      </w:r>
      <w:bookmarkStart w:id="43" w:name="_Toc442267695"/>
      <w:r w:rsidRPr="00220BD0">
        <w:rPr>
          <w:rFonts w:cs="Arial"/>
          <w:sz w:val="24"/>
        </w:rPr>
        <w:t>ELIGIBILITY</w:t>
      </w:r>
      <w:bookmarkEnd w:id="43"/>
      <w:bookmarkEnd w:id="42"/>
    </w:p>
    <w:p w14:paraId="5DAB0DE7" w14:textId="77777777" w:rsidR="007E5B12" w:rsidRPr="00220BD0" w:rsidRDefault="004655E0" w:rsidP="006672EA">
      <w:pPr>
        <w:pStyle w:val="Heading3"/>
        <w:jc w:val="both"/>
        <w:rPr>
          <w:rFonts w:cs="Arial"/>
          <w:sz w:val="24"/>
          <w:szCs w:val="24"/>
        </w:rPr>
      </w:pPr>
      <w:bookmarkStart w:id="44" w:name="_Toc176355400"/>
      <w:r w:rsidRPr="00220BD0">
        <w:rPr>
          <w:rFonts w:cs="Arial"/>
          <w:sz w:val="24"/>
          <w:szCs w:val="24"/>
        </w:rPr>
        <w:t xml:space="preserve">OMB </w:t>
      </w:r>
      <w:r w:rsidR="007E5B12" w:rsidRPr="00220BD0">
        <w:rPr>
          <w:rFonts w:cs="Arial"/>
          <w:sz w:val="24"/>
          <w:szCs w:val="24"/>
        </w:rPr>
        <w:t>Compliance Requirements</w:t>
      </w:r>
      <w:bookmarkEnd w:id="44"/>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612FF29A"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 xml:space="preserve">Part </w:t>
      </w:r>
      <w:r w:rsidR="00E156EF">
        <w:rPr>
          <w:rFonts w:ascii="Arial" w:hAnsi="Arial" w:cs="Arial"/>
          <w:b/>
          <w:sz w:val="24"/>
          <w:szCs w:val="24"/>
        </w:rPr>
        <w:t>5</w:t>
      </w:r>
      <w:r w:rsidRPr="00220BD0">
        <w:rPr>
          <w:rFonts w:ascii="Arial" w:hAnsi="Arial" w:cs="Arial"/>
          <w:b/>
          <w:sz w:val="24"/>
          <w:szCs w:val="24"/>
        </w:rPr>
        <w:t xml:space="preserve"> OMB Program Specific Requirements</w:t>
      </w:r>
    </w:p>
    <w:p w14:paraId="1A851BC6" w14:textId="05F5F5B3" w:rsidR="00E156EF" w:rsidRPr="00E156EF" w:rsidRDefault="00E156EF" w:rsidP="00E156EF">
      <w:pPr>
        <w:spacing w:after="240"/>
        <w:jc w:val="both"/>
        <w:rPr>
          <w:rFonts w:ascii="Arial" w:hAnsi="Arial" w:cs="Arial"/>
          <w:b/>
        </w:rPr>
      </w:pPr>
      <w:r w:rsidRPr="00E156EF">
        <w:rPr>
          <w:rFonts w:ascii="Arial" w:hAnsi="Arial" w:cs="Arial"/>
          <w:b/>
        </w:rPr>
        <w:t>1.</w:t>
      </w:r>
      <w:r w:rsidRPr="00E156EF">
        <w:rPr>
          <w:rFonts w:ascii="Arial" w:hAnsi="Arial" w:cs="Arial"/>
          <w:b/>
        </w:rPr>
        <w:tab/>
        <w:t>Eligibility for Individuals</w:t>
      </w:r>
    </w:p>
    <w:p w14:paraId="03AF738E" w14:textId="348FBECB" w:rsidR="00E156EF" w:rsidRPr="00E156EF" w:rsidRDefault="00E156EF" w:rsidP="00E156EF">
      <w:pPr>
        <w:spacing w:after="240"/>
        <w:ind w:left="720"/>
        <w:jc w:val="both"/>
        <w:rPr>
          <w:rFonts w:ascii="Arial" w:hAnsi="Arial" w:cs="Arial"/>
          <w:bCs/>
        </w:rPr>
      </w:pPr>
      <w:r w:rsidRPr="00E156EF">
        <w:rPr>
          <w:rFonts w:ascii="Arial" w:hAnsi="Arial" w:cs="Arial"/>
          <w:bCs/>
        </w:rPr>
        <w:t>a.</w:t>
      </w:r>
      <w:r w:rsidRPr="00E156EF">
        <w:rPr>
          <w:rFonts w:ascii="Arial" w:hAnsi="Arial" w:cs="Arial"/>
          <w:bCs/>
        </w:rPr>
        <w:tab/>
        <w:t xml:space="preserve">Most of the requirements for student eligibility are contained in </w:t>
      </w:r>
      <w:hyperlink r:id="rId55" w:history="1">
        <w:r w:rsidRPr="00E156EF">
          <w:rPr>
            <w:rStyle w:val="Hyperlink"/>
            <w:rFonts w:cs="Arial"/>
            <w:bCs/>
          </w:rPr>
          <w:t>Appendix A</w:t>
        </w:r>
      </w:hyperlink>
      <w:r w:rsidRPr="00E156EF">
        <w:rPr>
          <w:rFonts w:ascii="Arial" w:hAnsi="Arial" w:cs="Arial"/>
          <w:bCs/>
        </w:rPr>
        <w:t>.</w:t>
      </w:r>
    </w:p>
    <w:p w14:paraId="3C65A512" w14:textId="5DA6C070" w:rsidR="00E156EF" w:rsidRPr="00E156EF" w:rsidRDefault="00E156EF" w:rsidP="00E156EF">
      <w:pPr>
        <w:spacing w:after="240"/>
        <w:ind w:left="1440"/>
        <w:jc w:val="both"/>
        <w:rPr>
          <w:rFonts w:ascii="Arial" w:hAnsi="Arial" w:cs="Arial"/>
          <w:bCs/>
        </w:rPr>
      </w:pPr>
      <w:r w:rsidRPr="00E156EF">
        <w:rPr>
          <w:rFonts w:ascii="Arial" w:hAnsi="Arial" w:cs="Arial"/>
          <w:bCs/>
        </w:rPr>
        <w:t xml:space="preserve">In the process of a student applying for ED federal financial aid, an ISIR is sent electronically to the institution and a SAR (or, for the 2024-25 award year, FAFSA Submission Summary), or information on how to access the SAR, is sent to the student. The original ISIR or SAR for an award year may contain codes that relate to student eligibility requirements numbers 2, 4, 5, 9, 10, and 12 in </w:t>
      </w:r>
      <w:hyperlink r:id="rId56" w:history="1">
        <w:r w:rsidRPr="00E156EF">
          <w:rPr>
            <w:rStyle w:val="Hyperlink"/>
            <w:rFonts w:cs="Arial"/>
            <w:bCs/>
          </w:rPr>
          <w:t>Appendix A</w:t>
        </w:r>
      </w:hyperlink>
      <w:r w:rsidRPr="00E156EF">
        <w:rPr>
          <w:rFonts w:ascii="Arial" w:hAnsi="Arial" w:cs="Arial"/>
          <w:bCs/>
        </w:rPr>
        <w:t xml:space="preserve">. If the original ISIR or SAR does not contain codes relating to those eligibility requirements, and the institution has no information indicating otherwise, the student can be considered to have met them. The ISIR Guide contains all the ISIR and SAR codes and is available.   </w:t>
      </w:r>
      <w:hyperlink r:id="rId57" w:history="1">
        <w:r w:rsidRPr="00E156EF">
          <w:rPr>
            <w:rStyle w:val="Hyperlink"/>
            <w:rFonts w:cs="Arial"/>
            <w:bCs/>
          </w:rPr>
          <w:t>The ISIR Guide, 2023-2024 (ed.gov)</w:t>
        </w:r>
      </w:hyperlink>
      <w:r w:rsidRPr="00E156EF">
        <w:rPr>
          <w:rFonts w:ascii="Arial" w:hAnsi="Arial" w:cs="Arial"/>
          <w:bCs/>
        </w:rPr>
        <w:t>.The ISIR Guide changes annually and should be obtained and reviewed for the period under audit.</w:t>
      </w:r>
    </w:p>
    <w:p w14:paraId="4E51591E" w14:textId="06D994A0" w:rsidR="00E156EF" w:rsidRPr="00E156EF" w:rsidRDefault="00E156EF" w:rsidP="00E156EF">
      <w:pPr>
        <w:spacing w:after="240"/>
        <w:ind w:left="1440"/>
        <w:jc w:val="both"/>
        <w:rPr>
          <w:rFonts w:ascii="Arial" w:hAnsi="Arial" w:cs="Arial"/>
          <w:bCs/>
          <w:i/>
          <w:iCs/>
        </w:rPr>
      </w:pPr>
      <w:r w:rsidRPr="00E156EF">
        <w:rPr>
          <w:rFonts w:ascii="Arial" w:hAnsi="Arial" w:cs="Arial"/>
          <w:bCs/>
          <w:i/>
          <w:iCs/>
        </w:rPr>
        <w:t>(1)</w:t>
      </w:r>
      <w:r w:rsidRPr="00E156EF">
        <w:rPr>
          <w:rFonts w:ascii="Arial" w:hAnsi="Arial" w:cs="Arial"/>
          <w:bCs/>
          <w:i/>
          <w:iCs/>
        </w:rPr>
        <w:tab/>
        <w:t>Calculation of Benefits</w:t>
      </w:r>
    </w:p>
    <w:p w14:paraId="445CB960" w14:textId="1FC7105B" w:rsidR="00E156EF" w:rsidRPr="00E156EF" w:rsidRDefault="00E156EF" w:rsidP="00E156EF">
      <w:pPr>
        <w:spacing w:after="240"/>
        <w:ind w:left="2160"/>
        <w:jc w:val="both"/>
        <w:rPr>
          <w:rFonts w:ascii="Arial" w:hAnsi="Arial" w:cs="Arial"/>
          <w:bCs/>
        </w:rPr>
      </w:pPr>
      <w:r w:rsidRPr="00E156EF">
        <w:rPr>
          <w:rFonts w:ascii="Arial" w:hAnsi="Arial" w:cs="Arial"/>
          <w:bCs/>
        </w:rPr>
        <w:t>In addition to the requirements and limits described below, awards must be coordinated among the various programs and with other federal and nonfederal aid (need and non-need based aid) to ensure that total aid is not awarded in excess of the student’s financial need or cost of attendance (34 CFR 668.42, FWS, and FSEOG, 34 CFR 673.5 and 673.6; Direct Loan, 34 CFR 685.301). The TEACH Grant is a non-need-based grant and may replace a student’s EFC, but the amount of the grant that exceeds the student’s EFC is considered estimated financial assistance (34 CFR 686.21(d)). An IASG-eligible student who has an EFC that does not meet the need-based criteria for a Pell grant can receive a non- need-based IASG, but the (1) award may not exceed the student’s cost of attendance (COA) and (2) IASG is not considered estimated financial assistance (20 USC 1070h).</w:t>
      </w:r>
    </w:p>
    <w:p w14:paraId="39FD0886" w14:textId="0A696C8A" w:rsidR="00E156EF" w:rsidRPr="00E156EF" w:rsidRDefault="00E156EF" w:rsidP="00E156EF">
      <w:pPr>
        <w:spacing w:after="240"/>
        <w:ind w:left="2160"/>
        <w:jc w:val="both"/>
        <w:rPr>
          <w:rFonts w:ascii="Arial" w:hAnsi="Arial" w:cs="Arial"/>
          <w:bCs/>
        </w:rPr>
      </w:pPr>
      <w:r w:rsidRPr="00E156EF">
        <w:rPr>
          <w:rFonts w:ascii="Arial" w:hAnsi="Arial" w:cs="Arial"/>
          <w:bCs/>
        </w:rPr>
        <w:t xml:space="preserve">The determination of need-based SFA award amounts is based on financial need. Financial need is defined as the student’s COA minus the student’s EFC (as computed by the central processor and included on the student’s SAR/ISIR). Once a student is awarded any financial aid, to find remaining financial need one would use the following formula -- COA minus EFC minus Estimated Financial Assistance </w:t>
      </w:r>
      <w:r w:rsidRPr="00E156EF">
        <w:rPr>
          <w:rFonts w:ascii="Arial" w:hAnsi="Arial" w:cs="Arial"/>
          <w:bCs/>
        </w:rPr>
        <w:lastRenderedPageBreak/>
        <w:t>(EFA) (§ 668.2) = remaining need. To avoid overpayments, need-based SFA awards cannot exceed the student’s overall financial need.</w:t>
      </w:r>
    </w:p>
    <w:p w14:paraId="243E692F" w14:textId="631A5204" w:rsidR="00E156EF" w:rsidRPr="00E156EF" w:rsidRDefault="00E156EF" w:rsidP="00E156EF">
      <w:pPr>
        <w:spacing w:after="240"/>
        <w:ind w:left="2160"/>
        <w:jc w:val="both"/>
        <w:rPr>
          <w:rFonts w:ascii="Arial" w:hAnsi="Arial" w:cs="Arial"/>
          <w:bCs/>
        </w:rPr>
      </w:pPr>
      <w:r w:rsidRPr="00E156EF">
        <w:rPr>
          <w:rFonts w:ascii="Arial" w:hAnsi="Arial" w:cs="Arial"/>
          <w:bCs/>
        </w:rPr>
        <w:t>Non need-based SFA awards are not limited to financial need but cannot exceed the student’s COA. To determine non need-based SFA awards (unsubsidized aid) one would use the following formula – COA minus EFA.</w:t>
      </w:r>
    </w:p>
    <w:p w14:paraId="4403B079" w14:textId="4079EBEC" w:rsidR="00E156EF" w:rsidRPr="00E156EF" w:rsidRDefault="00E156EF" w:rsidP="00E156EF">
      <w:pPr>
        <w:spacing w:after="240"/>
        <w:ind w:left="2160"/>
        <w:jc w:val="both"/>
        <w:rPr>
          <w:rFonts w:ascii="Arial" w:hAnsi="Arial" w:cs="Arial"/>
          <w:bCs/>
        </w:rPr>
      </w:pPr>
      <w:r w:rsidRPr="00E156EF">
        <w:rPr>
          <w:rFonts w:ascii="Arial" w:hAnsi="Arial" w:cs="Arial"/>
          <w:bCs/>
        </w:rPr>
        <w:t>An institution may (1) exclude from both estimated financial assistance and the COA, financial assistance provided by a state if that assistance is designated by the state to offset a specific component of the COA; and (2) include a limited allowance for food and housing in a student’s COA for students who are less than half-time students. In this context, a limited allowance food and housing is an allowance for up to three semesters (or equivalent), with no more than two of the semesters being consecutive at any one institution (sections 480(j)(3), 472(13), and 472(4)(C) of HEA; [20 USC 1087vv(j)(3), 20 USC 1087ll(13) and (4)(C)]).</w:t>
      </w:r>
    </w:p>
    <w:p w14:paraId="0032EF63" w14:textId="39BEE960" w:rsidR="00E156EF" w:rsidRPr="00E156EF" w:rsidRDefault="00E156EF" w:rsidP="00E156EF">
      <w:pPr>
        <w:spacing w:after="240"/>
        <w:ind w:left="2160"/>
        <w:jc w:val="both"/>
        <w:rPr>
          <w:rFonts w:ascii="Arial" w:hAnsi="Arial" w:cs="Arial"/>
          <w:bCs/>
        </w:rPr>
      </w:pPr>
      <w:r w:rsidRPr="00E156EF">
        <w:rPr>
          <w:rFonts w:ascii="Arial" w:hAnsi="Arial" w:cs="Arial"/>
          <w:bCs/>
        </w:rPr>
        <w:t>For Title IV programs, the COA is generally the sum of the following: tuition and fees; an allowance for books, course materials, supplies, equipment, transportation, and miscellaneous personal expenses; an allowance for food and housing; when applicable, allowances for costs for dependent care; cost of obtaining a license, certification, or a first professional credential; costs associated with study abroad and cooperative education; costs related to disabilities; and fees charged for Federal student loans. There are exceptions for students attending less than half- time, correspondence students, and incarcerated students. The financial aid administrator also has authority to use professional judgment to adjust the COA or alter the data elements used to calculate the EFC on a case-by-case basis to allow for special circumstances.</w:t>
      </w:r>
    </w:p>
    <w:p w14:paraId="2C0C2C00" w14:textId="00D451FE" w:rsidR="00E156EF" w:rsidRPr="00E156EF" w:rsidRDefault="00E156EF" w:rsidP="00E156EF">
      <w:pPr>
        <w:spacing w:after="240"/>
        <w:ind w:left="2160"/>
        <w:jc w:val="both"/>
        <w:rPr>
          <w:rFonts w:ascii="Arial" w:hAnsi="Arial" w:cs="Arial"/>
          <w:bCs/>
        </w:rPr>
      </w:pPr>
      <w:r w:rsidRPr="00E156EF">
        <w:rPr>
          <w:rFonts w:ascii="Arial" w:hAnsi="Arial" w:cs="Arial"/>
          <w:bCs/>
        </w:rPr>
        <w:t>A crossover payment period is one that includes both June 30 and July 1 overlapping two award years. If a student enrolls in a crossover payment period, the institution must consider the crossover payment period to occur entirely within one award year and must have a valid SAR or valid ISIR for the selected award year. The choice of which award year the institution assigns to a crossover payment period (“header” or “trailer”) must be outlined in the institution’s Pell Grant crossover payment period policy and can be made on a student-by-student basis. The crossover payment period may be assigned to a different award year for Pell Grant purposes than the award year used for the student’s other Title IV aid for that period. See Volume 3 of the FSA Handbook for additional information on crossover payment periods.</w:t>
      </w:r>
    </w:p>
    <w:p w14:paraId="1D9394A3" w14:textId="69A81471" w:rsidR="00E156EF" w:rsidRPr="00E156EF" w:rsidRDefault="00E156EF" w:rsidP="00E156EF">
      <w:pPr>
        <w:spacing w:after="240"/>
        <w:ind w:left="2160"/>
        <w:jc w:val="both"/>
        <w:rPr>
          <w:rFonts w:ascii="Arial" w:hAnsi="Arial" w:cs="Arial"/>
          <w:bCs/>
        </w:rPr>
      </w:pPr>
      <w:r w:rsidRPr="00E156EF">
        <w:rPr>
          <w:rFonts w:ascii="Arial" w:hAnsi="Arial" w:cs="Arial"/>
          <w:bCs/>
        </w:rPr>
        <w:t xml:space="preserve">Additional program specific individual eligibility requirements can be found at the following: </w:t>
      </w:r>
      <w:r w:rsidRPr="00E156EF">
        <w:rPr>
          <w:rFonts w:ascii="Arial" w:hAnsi="Arial" w:cs="Arial"/>
          <w:bCs/>
          <w:i/>
          <w:iCs/>
        </w:rPr>
        <w:t>20 USC 1087ll-1087mm; FWS, 34 CFR section 675.9; FSEOG, 34 CFR section 676.9; Direct Loan, 34 CFR sections 685.200 and 301; Pell, 34 CFR section 690.75; HPSL/PCL/LDS, 42 USC 293a(d)(2); 42 CFR section 57.206(b); NSL, 42 USC 297n-1(c)(2); 42 CFR section 57.306(b)); NFLP, Affordable Care Act, Section 5311 and Program Guidance</w:t>
      </w:r>
      <w:r w:rsidRPr="00E156EF">
        <w:rPr>
          <w:rFonts w:ascii="Arial" w:hAnsi="Arial" w:cs="Arial"/>
          <w:bCs/>
        </w:rPr>
        <w:t>.</w:t>
      </w:r>
    </w:p>
    <w:p w14:paraId="145622AA" w14:textId="5B978233" w:rsidR="00E156EF" w:rsidRPr="00E156EF" w:rsidRDefault="00E156EF" w:rsidP="00E156EF">
      <w:pPr>
        <w:spacing w:after="240"/>
        <w:ind w:left="1440"/>
        <w:jc w:val="both"/>
        <w:rPr>
          <w:rFonts w:ascii="Arial" w:hAnsi="Arial" w:cs="Arial"/>
          <w:bCs/>
          <w:i/>
          <w:iCs/>
        </w:rPr>
      </w:pPr>
      <w:r w:rsidRPr="00E156EF">
        <w:rPr>
          <w:rFonts w:ascii="Arial" w:hAnsi="Arial" w:cs="Arial"/>
          <w:bCs/>
          <w:i/>
          <w:iCs/>
        </w:rPr>
        <w:t>(2)</w:t>
      </w:r>
      <w:r w:rsidRPr="00E156EF">
        <w:rPr>
          <w:rFonts w:ascii="Arial" w:hAnsi="Arial" w:cs="Arial"/>
          <w:bCs/>
          <w:i/>
          <w:iCs/>
        </w:rPr>
        <w:tab/>
        <w:t>Federal Pell Grant (Assistance Listing 84.063)</w:t>
      </w:r>
    </w:p>
    <w:p w14:paraId="10D289A9" w14:textId="197384D7" w:rsidR="00E156EF" w:rsidRPr="00E156EF" w:rsidRDefault="00E156EF" w:rsidP="00E156EF">
      <w:pPr>
        <w:spacing w:after="240"/>
        <w:ind w:left="2160"/>
        <w:jc w:val="both"/>
        <w:rPr>
          <w:rFonts w:ascii="Arial" w:hAnsi="Arial" w:cs="Arial"/>
          <w:bCs/>
        </w:rPr>
      </w:pPr>
      <w:r w:rsidRPr="00E156EF">
        <w:rPr>
          <w:rFonts w:ascii="Arial" w:hAnsi="Arial" w:cs="Arial"/>
          <w:bCs/>
        </w:rPr>
        <w:t xml:space="preserve">Each year, based on the maximum Pell Grant established by Congress, ED provides to institutions Payment and Disbursement Schedules for determining Pell awards. The Payment Schedule provides the maximum scheduled award a student would receive for a full academic year as a full-time student based on their EFC and COA. The Disbursement Schedules are used to determine annual awards for full-time, three-quarter time, half-time, and less- than-half-time students. All Schedules, however, are based on the COA of a full-time student for </w:t>
      </w:r>
      <w:r w:rsidRPr="00E156EF">
        <w:rPr>
          <w:rFonts w:ascii="Arial" w:hAnsi="Arial" w:cs="Arial"/>
          <w:bCs/>
        </w:rPr>
        <w:lastRenderedPageBreak/>
        <w:t xml:space="preserve">a full academic year (see Volume 7, The Federal Pell Grant Program and Iraq and Afghanistan Service Grants, of the FSA Handbook for 2023-24 for guidance on selecting formulas for calculating cost of attendance, prorating costs for programs less or greater than an academic year, and determining payment periods). Disbursement schedules for 2022- 2023 and 2023-2024 award years can be found at the following links: </w:t>
      </w:r>
      <w:hyperlink r:id="rId58" w:history="1">
        <w:r w:rsidRPr="00E156EF">
          <w:rPr>
            <w:rStyle w:val="Hyperlink"/>
            <w:rFonts w:cs="Arial"/>
            <w:bCs/>
          </w:rPr>
          <w:t>2022-2023 Federal Pell Grant Payment and Disbursement Schedules (GEN-22-04)</w:t>
        </w:r>
      </w:hyperlink>
      <w:r w:rsidRPr="00E156EF">
        <w:rPr>
          <w:rFonts w:ascii="Arial" w:hAnsi="Arial" w:cs="Arial"/>
          <w:bCs/>
        </w:rPr>
        <w:t xml:space="preserve"> and </w:t>
      </w:r>
      <w:hyperlink r:id="rId59" w:history="1">
        <w:r w:rsidRPr="00E156EF">
          <w:rPr>
            <w:rStyle w:val="Hyperlink"/>
            <w:rFonts w:cs="Arial"/>
            <w:bCs/>
          </w:rPr>
          <w:t>2023-2024 Federal Pell Grant Payment and Disbursement Schedules (GEN-23-02)</w:t>
        </w:r>
      </w:hyperlink>
      <w:r w:rsidRPr="00E156EF">
        <w:rPr>
          <w:rFonts w:ascii="Arial" w:hAnsi="Arial" w:cs="Arial"/>
          <w:bCs/>
        </w:rPr>
        <w:t>. Students that receive Pell Grant may not receive more than six Scheduled Awards (12 semesters, or the equivalent) as measured by the percentage of “lifetime eligibility used” (LEU) field in COD (tracked by ED) (20 USC 1070a(c)(5)). The LEU maximum percentage for student eligibility is 600 percent.</w:t>
      </w:r>
    </w:p>
    <w:p w14:paraId="78777A21" w14:textId="55681E4E" w:rsidR="00E156EF" w:rsidRPr="00E156EF" w:rsidRDefault="00E156EF" w:rsidP="00E156EF">
      <w:pPr>
        <w:spacing w:after="240"/>
        <w:ind w:left="2160"/>
        <w:jc w:val="both"/>
        <w:rPr>
          <w:rFonts w:ascii="Arial" w:hAnsi="Arial" w:cs="Arial"/>
          <w:bCs/>
        </w:rPr>
      </w:pPr>
      <w:r w:rsidRPr="00E156EF">
        <w:rPr>
          <w:rFonts w:ascii="Arial" w:hAnsi="Arial" w:cs="Arial"/>
          <w:bCs/>
        </w:rPr>
        <w:t>The steps to determine Pell awards that an institution must perform are as follows:</w:t>
      </w:r>
    </w:p>
    <w:p w14:paraId="6BD72FF5" w14:textId="4C7AF91D" w:rsidR="00E156EF" w:rsidRPr="00E156EF" w:rsidRDefault="00E156EF" w:rsidP="00E156EF">
      <w:pPr>
        <w:spacing w:after="240"/>
        <w:ind w:left="2880" w:hanging="720"/>
        <w:jc w:val="both"/>
        <w:rPr>
          <w:rFonts w:ascii="Arial" w:hAnsi="Arial" w:cs="Arial"/>
          <w:bCs/>
        </w:rPr>
      </w:pPr>
      <w:r w:rsidRPr="00E156EF">
        <w:rPr>
          <w:rFonts w:ascii="Arial" w:hAnsi="Arial" w:cs="Arial"/>
          <w:bCs/>
        </w:rPr>
        <w:t>(a)</w:t>
      </w:r>
      <w:r w:rsidRPr="00E156EF">
        <w:rPr>
          <w:rFonts w:ascii="Arial" w:hAnsi="Arial" w:cs="Arial"/>
          <w:bCs/>
        </w:rPr>
        <w:tab/>
        <w:t>Determine the student’s enrollment status (full-time, three- quarter time, half-time, or less than-half-time) in accordance with the requirements under definitions of those terms in 34 CFR 668.2(b). Note that for nonterm credit and clock hour programs, students are always considered to be full-time for Pell Grant purposes except to the extent that fewer cost of attendance components are included in the calculation of a Pell Grant award for less-than-half-time students (see Volume 7, Calculating Pell and Iraq &amp; Afghanistan Service Grant Awards, of the FSA Handbook for more information). There are also special considerations for determining enrollment status for students enrolled in correspondence courses, as described under 34 CFR 690.8.</w:t>
      </w:r>
    </w:p>
    <w:p w14:paraId="737FF86A" w14:textId="69134F46" w:rsidR="00E156EF" w:rsidRPr="00E156EF" w:rsidRDefault="00E156EF" w:rsidP="00E156EF">
      <w:pPr>
        <w:spacing w:after="240"/>
        <w:ind w:left="2880" w:hanging="720"/>
        <w:jc w:val="both"/>
        <w:rPr>
          <w:rFonts w:ascii="Arial" w:hAnsi="Arial" w:cs="Arial"/>
          <w:bCs/>
        </w:rPr>
      </w:pPr>
      <w:r w:rsidRPr="00E156EF">
        <w:rPr>
          <w:rFonts w:ascii="Arial" w:hAnsi="Arial" w:cs="Arial"/>
          <w:bCs/>
        </w:rPr>
        <w:t>(b)</w:t>
      </w:r>
      <w:r w:rsidRPr="00E156EF">
        <w:rPr>
          <w:rFonts w:ascii="Arial" w:hAnsi="Arial" w:cs="Arial"/>
          <w:bCs/>
        </w:rPr>
        <w:tab/>
        <w:t>Calculate the cost of attendance. This is always based on the cost for a full-time enrollment status for a full academic year. If the student is enrolled in a program or enrollment period that is longer or shorter than an academic year, the costs must be prorated so that they apply to one full academic year. There are two allowable proration methods. Costs can be on an actual cost-per-student basis or an average cost for groups of similar students. If the student is enrolled less than half-time, the student’s COA must include any components (tuition and fees; books, course materials, supplies, and equipment; and transportation) normally applied to students who are enrolled less than half-time, along with any other components (disability expenses, etc.) that are not expressly prohibited for less than half-time students (e.g., miscellaneous personal expenses). May also include an allowance for living expenses, including food and housing costs, for up to three semesters, or the equivalent, with no more than two semesters being consecutive.</w:t>
      </w:r>
    </w:p>
    <w:p w14:paraId="6FC10A11" w14:textId="4E082200" w:rsidR="00E156EF" w:rsidRPr="00E156EF" w:rsidRDefault="00E156EF" w:rsidP="00E156EF">
      <w:pPr>
        <w:spacing w:after="240"/>
        <w:ind w:left="2880" w:hanging="720"/>
        <w:jc w:val="both"/>
        <w:rPr>
          <w:rFonts w:ascii="Arial" w:hAnsi="Arial" w:cs="Arial"/>
          <w:bCs/>
        </w:rPr>
      </w:pPr>
      <w:r w:rsidRPr="00E156EF">
        <w:rPr>
          <w:rFonts w:ascii="Arial" w:hAnsi="Arial" w:cs="Arial"/>
          <w:bCs/>
        </w:rPr>
        <w:t>(c)</w:t>
      </w:r>
      <w:r w:rsidRPr="00E156EF">
        <w:rPr>
          <w:rFonts w:ascii="Arial" w:hAnsi="Arial" w:cs="Arial"/>
          <w:bCs/>
        </w:rPr>
        <w:tab/>
        <w:t>Determine the annual award, based on the cost of attendance calculated above and the EFC, from the Payment and Disbursement Schedule for the student’s enrollment status (i.e., full-time, three quarter-time, half- time, or less than half-time).</w:t>
      </w:r>
    </w:p>
    <w:p w14:paraId="745FD4E1" w14:textId="53F5AF67" w:rsidR="00E156EF" w:rsidRPr="00E156EF" w:rsidRDefault="00E156EF" w:rsidP="00E156EF">
      <w:pPr>
        <w:spacing w:after="240"/>
        <w:ind w:left="2880" w:hanging="720"/>
        <w:jc w:val="both"/>
        <w:rPr>
          <w:rFonts w:ascii="Arial" w:hAnsi="Arial" w:cs="Arial"/>
          <w:bCs/>
        </w:rPr>
      </w:pPr>
      <w:r w:rsidRPr="00E156EF">
        <w:rPr>
          <w:rFonts w:ascii="Arial" w:hAnsi="Arial" w:cs="Arial"/>
          <w:bCs/>
        </w:rPr>
        <w:t>(d)</w:t>
      </w:r>
      <w:r w:rsidRPr="00E156EF">
        <w:rPr>
          <w:rFonts w:ascii="Arial" w:hAnsi="Arial" w:cs="Arial"/>
          <w:bCs/>
        </w:rPr>
        <w:tab/>
        <w:t>Determine the payment period. For term programs, standard or nonstandard, the payment period is the term.</w:t>
      </w:r>
    </w:p>
    <w:p w14:paraId="35B2F743" w14:textId="2ADD8571" w:rsidR="00E156EF" w:rsidRPr="00E156EF" w:rsidRDefault="00E156EF" w:rsidP="00E156EF">
      <w:pPr>
        <w:spacing w:after="240"/>
        <w:ind w:left="2880" w:hanging="720"/>
        <w:jc w:val="both"/>
        <w:rPr>
          <w:rFonts w:ascii="Arial" w:hAnsi="Arial" w:cs="Arial"/>
          <w:bCs/>
        </w:rPr>
      </w:pPr>
      <w:r w:rsidRPr="00E156EF">
        <w:rPr>
          <w:rFonts w:ascii="Arial" w:hAnsi="Arial" w:cs="Arial"/>
          <w:bCs/>
        </w:rPr>
        <w:t>(e)</w:t>
      </w:r>
      <w:r w:rsidRPr="00E156EF">
        <w:rPr>
          <w:rFonts w:ascii="Arial" w:hAnsi="Arial" w:cs="Arial"/>
          <w:bCs/>
        </w:rPr>
        <w:tab/>
        <w:t xml:space="preserve">Calculate the payment for the payment periods. The calculation of the payment for the payment period may vary depending on the formula used, the length of the program compared to the academic year, and whether the institution uses an alternative calculation for students who attend summer terms or for students enrolled in correspondence courses (34 </w:t>
      </w:r>
      <w:r w:rsidRPr="00E156EF">
        <w:rPr>
          <w:rFonts w:ascii="Arial" w:hAnsi="Arial" w:cs="Arial"/>
          <w:bCs/>
        </w:rPr>
        <w:lastRenderedPageBreak/>
        <w:t>CFR 690.62 through 690.66. Also see Volume 7, The Federal Pell Grant Program and Iraq and Afghanistan Service Grants, of the 2023-24 FSA Handbook).</w:t>
      </w:r>
    </w:p>
    <w:p w14:paraId="2CBCEB19" w14:textId="187C4AAF" w:rsidR="00E156EF" w:rsidRPr="00E156EF" w:rsidRDefault="00E156EF" w:rsidP="00E156EF">
      <w:pPr>
        <w:spacing w:after="240"/>
        <w:ind w:left="2880" w:hanging="720"/>
        <w:jc w:val="both"/>
        <w:rPr>
          <w:rFonts w:ascii="Arial" w:hAnsi="Arial" w:cs="Arial"/>
          <w:bCs/>
        </w:rPr>
      </w:pPr>
      <w:r w:rsidRPr="00E156EF">
        <w:rPr>
          <w:rFonts w:ascii="Arial" w:hAnsi="Arial" w:cs="Arial"/>
          <w:bCs/>
        </w:rPr>
        <w:t>(f)</w:t>
      </w:r>
      <w:r w:rsidRPr="00E156EF">
        <w:rPr>
          <w:rFonts w:ascii="Arial" w:hAnsi="Arial" w:cs="Arial"/>
          <w:bCs/>
        </w:rPr>
        <w:tab/>
        <w:t>Disburse funds at prescribed times (this is tested under III.N. 3, “Special Tests and Provisions ˗ Disbursements To or On Behalf of Students”) (34 CFR 690.61 through 690.66, and 690.75 through 690.76; Pell Grant Payment Schedules; General Provisions regulations, part 668, subpart K, and FSA Handbook).</w:t>
      </w:r>
    </w:p>
    <w:p w14:paraId="516ABAA5" w14:textId="7809151F" w:rsidR="00E156EF" w:rsidRPr="00E156EF" w:rsidRDefault="00E156EF" w:rsidP="00E156EF">
      <w:pPr>
        <w:spacing w:after="240"/>
        <w:ind w:left="2160"/>
        <w:jc w:val="both"/>
        <w:rPr>
          <w:rFonts w:ascii="Arial" w:hAnsi="Arial" w:cs="Arial"/>
          <w:b/>
        </w:rPr>
      </w:pPr>
      <w:r w:rsidRPr="00E156EF">
        <w:rPr>
          <w:rFonts w:ascii="Arial" w:hAnsi="Arial" w:cs="Arial"/>
          <w:b/>
        </w:rPr>
        <w:t>Additional Pell Grant Award Eligibility</w:t>
      </w:r>
    </w:p>
    <w:p w14:paraId="0A149795" w14:textId="29B5076D" w:rsidR="00E156EF" w:rsidRPr="00E156EF" w:rsidRDefault="00E156EF" w:rsidP="00E156EF">
      <w:pPr>
        <w:spacing w:after="240"/>
        <w:ind w:left="2160"/>
        <w:jc w:val="both"/>
        <w:rPr>
          <w:rFonts w:ascii="Arial" w:hAnsi="Arial" w:cs="Arial"/>
          <w:bCs/>
        </w:rPr>
      </w:pPr>
      <w:r w:rsidRPr="00E156EF">
        <w:rPr>
          <w:rFonts w:ascii="Arial" w:hAnsi="Arial" w:cs="Arial"/>
          <w:bCs/>
        </w:rPr>
        <w:t>Under the Year Round Pell Grant provisions, to be eligible for the additional Pell Grant funds, the student must be otherwise eligible to receive Pell Grant funds for the payment period and must be enrolled at least half-time, in accordance with 34 CFR 668.2(b), in the payment period(s) for which the student receives the additional Pell Grant funds in excess of 100 percent of the student’s Pell Grant Scheduled Award.</w:t>
      </w:r>
    </w:p>
    <w:p w14:paraId="6FD24E62" w14:textId="32E03B17" w:rsidR="00E156EF" w:rsidRDefault="00E156EF" w:rsidP="00E156EF">
      <w:pPr>
        <w:spacing w:after="240"/>
        <w:ind w:left="2160"/>
        <w:jc w:val="both"/>
        <w:rPr>
          <w:rFonts w:ascii="Arial" w:hAnsi="Arial" w:cs="Arial"/>
          <w:bCs/>
        </w:rPr>
      </w:pPr>
      <w:r w:rsidRPr="00E156EF">
        <w:rPr>
          <w:rFonts w:ascii="Arial" w:hAnsi="Arial" w:cs="Arial"/>
          <w:bCs/>
        </w:rPr>
        <w:t xml:space="preserve">For a student who is eligible for the additional Pell Grant funds, the institution must pay the student all of the student’s eligible Pell Grant funds, up to 150 percent of the student’s Pell Grant Scheduled Award for the award year. Note that the provisions of the law state that any Pell Grant received will be included in determining the student’s Pell Grant duration of eligibility and Lifetime Eligibility Used (LEU) in accordance with section 401(c)(5) of the HEA (also see Dear Colleague Letter GEN-13-14 at </w:t>
      </w:r>
      <w:hyperlink r:id="rId60" w:history="1">
        <w:r w:rsidRPr="00E156EF">
          <w:rPr>
            <w:rStyle w:val="Hyperlink"/>
            <w:rFonts w:cs="Arial"/>
            <w:bCs/>
          </w:rPr>
          <w:t>https://fsapartners.ed.gov/knowledge-center/library/dear-colleague-letters/2013-05-16/gen-13-14-subject-federal-pell-grant-duration-eligibility-and-lifetime-eligibility-used</w:t>
        </w:r>
      </w:hyperlink>
      <w:r w:rsidRPr="00E156EF">
        <w:rPr>
          <w:rFonts w:ascii="Arial" w:hAnsi="Arial" w:cs="Arial"/>
          <w:bCs/>
        </w:rPr>
        <w:t>).</w:t>
      </w:r>
    </w:p>
    <w:p w14:paraId="3DAEC75E" w14:textId="77777777" w:rsidR="008F57EC" w:rsidRPr="008F57EC" w:rsidRDefault="008F57EC" w:rsidP="008F57EC">
      <w:pPr>
        <w:spacing w:after="240"/>
        <w:ind w:left="2160"/>
        <w:jc w:val="both"/>
        <w:rPr>
          <w:rFonts w:ascii="Arial" w:hAnsi="Arial" w:cs="Arial"/>
          <w:b/>
        </w:rPr>
      </w:pPr>
      <w:r w:rsidRPr="008F57EC">
        <w:rPr>
          <w:rFonts w:ascii="Arial" w:hAnsi="Arial" w:cs="Arial"/>
          <w:b/>
        </w:rPr>
        <w:t>Pell Grants for Confined or Incarcerated Individuals</w:t>
      </w:r>
    </w:p>
    <w:p w14:paraId="627B5A83" w14:textId="77777777" w:rsidR="008F57EC" w:rsidRPr="008F57EC" w:rsidRDefault="008F57EC" w:rsidP="008F57EC">
      <w:pPr>
        <w:spacing w:after="240"/>
        <w:ind w:left="2160"/>
        <w:jc w:val="both"/>
        <w:rPr>
          <w:rFonts w:ascii="Arial" w:hAnsi="Arial" w:cs="Arial"/>
          <w:bCs/>
        </w:rPr>
      </w:pPr>
      <w:r w:rsidRPr="008F57EC">
        <w:rPr>
          <w:rFonts w:ascii="Arial" w:hAnsi="Arial" w:cs="Arial"/>
          <w:bCs/>
        </w:rPr>
        <w:t>Effective July 1, 2023 the FAFSA Simplification Act added a new HEA section 483(t)(3), which requires confined or incarcerated individuals who otherwise meet Pell Grant eligibility requirements to be enrolled in an eligible Prison Education Program (PEP) in order to receive Pell funds (Note: the law does not require a school to make changes to existing postsecondary educational programs in correctional facilities unless the school seeks to make those programs eligible for Pell Grant funds). The Act made several other significant changes that directly or indirectly affect the eligibility of confined or incarcerated individuals for student assistance under title IV of the HEA.</w:t>
      </w:r>
    </w:p>
    <w:p w14:paraId="173510AA" w14:textId="7363E5E6" w:rsidR="008F57EC" w:rsidRPr="008F57EC" w:rsidRDefault="008F57EC" w:rsidP="008F57EC">
      <w:pPr>
        <w:spacing w:after="240"/>
        <w:ind w:left="2160"/>
        <w:jc w:val="both"/>
        <w:rPr>
          <w:rFonts w:ascii="Arial" w:hAnsi="Arial" w:cs="Arial"/>
          <w:bCs/>
        </w:rPr>
      </w:pPr>
      <w:r w:rsidRPr="008F57EC">
        <w:rPr>
          <w:rFonts w:ascii="Arial" w:hAnsi="Arial" w:cs="Arial"/>
          <w:bCs/>
        </w:rPr>
        <w:t>The Act also removed the prohibition in HEA section 401(b)(6) that prevented institutions from awarding Federal Pell Grants to any individual who is not incarcerated in any Federal or State correctional facility but is subject to an involuntary civil commitment upon completion of a period of incarceration for a forcible or nonforcible sexual offense. As of July 1, 2023, the implementation date of the Act, these individuals are not</w:t>
      </w:r>
      <w:r>
        <w:rPr>
          <w:rFonts w:ascii="Arial" w:hAnsi="Arial" w:cs="Arial"/>
          <w:bCs/>
        </w:rPr>
        <w:t xml:space="preserve"> </w:t>
      </w:r>
      <w:r w:rsidRPr="008F57EC">
        <w:rPr>
          <w:rFonts w:ascii="Arial" w:hAnsi="Arial" w:cs="Arial"/>
          <w:bCs/>
        </w:rPr>
        <w:t>considered to be confined or incarcerated and are not required to enroll in a PEP to receive title IV aid.</w:t>
      </w:r>
    </w:p>
    <w:p w14:paraId="7B409441" w14:textId="77777777" w:rsidR="008F57EC" w:rsidRPr="008F57EC" w:rsidRDefault="008F57EC" w:rsidP="008F57EC">
      <w:pPr>
        <w:spacing w:after="240"/>
        <w:ind w:left="2160"/>
        <w:jc w:val="both"/>
        <w:rPr>
          <w:rFonts w:ascii="Arial" w:hAnsi="Arial" w:cs="Arial"/>
          <w:bCs/>
        </w:rPr>
      </w:pPr>
      <w:r w:rsidRPr="008F57EC">
        <w:rPr>
          <w:rFonts w:ascii="Arial" w:hAnsi="Arial" w:cs="Arial"/>
          <w:bCs/>
        </w:rPr>
        <w:t xml:space="preserve">For a confined or incarcerated individual enrolled in an eligible PEP, a Federal Pell Grant cannot exceed the cost of attendance (as defined in section 472 of the HEA) at the institution the student attends. If an institution determines that a student’s Federal Pell Grant exceeds the cost of attendance for that year, the institution must reduce the amount of the Federal Pell Grant until the Federal Pell Grant does not exceed the cost of attendance and does not result in a Title IV credit balance under 34 CFR § 668.164(h). If a confined or incarcerated student’s Pell Grant, combined </w:t>
      </w:r>
      <w:r w:rsidRPr="008F57EC">
        <w:rPr>
          <w:rFonts w:ascii="Arial" w:hAnsi="Arial" w:cs="Arial"/>
          <w:bCs/>
        </w:rPr>
        <w:lastRenderedPageBreak/>
        <w:t>with any other financial assistance, exceeds the student’s cost of attendance, the financial assistance other than the Pell Grant must be reduced by the amount that the total financial assistance exceeds the student’s cost of attendance. If the student’s other financial assistance cannot be reduced (there is a statutory prohibition against reducing Veterans Administration educational grants, for example), the student’s Pell Grant must be reduced by the amount that the student’s total financial assistance exceeds the student’s cost of attendance.</w:t>
      </w:r>
    </w:p>
    <w:p w14:paraId="33072D82" w14:textId="3C4FBDF8" w:rsidR="008F57EC" w:rsidRPr="00E156EF" w:rsidRDefault="008F57EC" w:rsidP="008F57EC">
      <w:pPr>
        <w:spacing w:after="240"/>
        <w:ind w:left="2160"/>
        <w:jc w:val="both"/>
        <w:rPr>
          <w:rFonts w:ascii="Arial" w:hAnsi="Arial" w:cs="Arial"/>
          <w:bCs/>
        </w:rPr>
      </w:pPr>
      <w:r w:rsidRPr="008F57EC">
        <w:rPr>
          <w:rFonts w:ascii="Arial" w:hAnsi="Arial" w:cs="Arial"/>
          <w:bCs/>
        </w:rPr>
        <w:t xml:space="preserve">Prior to July 1, 2023 students confined or incarcerated in a correctional facility that is not a federal or state facility were eligible for Pell if they were enrolled in an eligible title IV program. Effective July 1, 2023 all confined or incarcerated students must be enrolled in an eligible PEP in order to receive Pell funds. In an effort not to interrupt the postsecondary program of incarcerated students receiving Pell Grants for programs prior to the implementation of PEP requirements, otherwise eligible confined or incarcerated students who were enrolled in an eligible Title IV program prior to July 1, 2023, may continue to receive a Federal Pell Grant until the earlier of: (1) July 1, 2029; (2) the student no longer meets Satisfactory Academic Progress (SAP) requirements and reaches the maximum timeframe for program completion under 34 CFR 668.34; or (3) the student has reached their Pell LEU, exhausting their Pell Grant eligibility under 34 CFR 690.6(e). See </w:t>
      </w:r>
      <w:hyperlink r:id="rId61" w:history="1">
        <w:r w:rsidRPr="008F57EC">
          <w:rPr>
            <w:rStyle w:val="Hyperlink"/>
            <w:rFonts w:cs="Arial"/>
            <w:bCs/>
          </w:rPr>
          <w:t>DCL-GEN-23-05</w:t>
        </w:r>
      </w:hyperlink>
      <w:r w:rsidRPr="008F57EC">
        <w:rPr>
          <w:rFonts w:ascii="Arial" w:hAnsi="Arial" w:cs="Arial"/>
          <w:bCs/>
        </w:rPr>
        <w:t>.</w:t>
      </w:r>
    </w:p>
    <w:p w14:paraId="2CBD810F" w14:textId="2DF4FD2B" w:rsidR="00E156EF" w:rsidRPr="00E156EF" w:rsidRDefault="00E156EF" w:rsidP="00E156EF">
      <w:pPr>
        <w:spacing w:after="240"/>
        <w:ind w:left="1440"/>
        <w:jc w:val="both"/>
        <w:rPr>
          <w:rFonts w:ascii="Arial" w:hAnsi="Arial" w:cs="Arial"/>
          <w:bCs/>
          <w:i/>
          <w:iCs/>
          <w:color w:val="002060"/>
        </w:rPr>
      </w:pPr>
      <w:r w:rsidRPr="00E156EF">
        <w:rPr>
          <w:rFonts w:ascii="Arial" w:hAnsi="Arial" w:cs="Arial"/>
          <w:bCs/>
          <w:i/>
          <w:iCs/>
          <w:color w:val="002060"/>
        </w:rPr>
        <w:t>3 Relates to a Program Not Included in this FACCR</w:t>
      </w:r>
    </w:p>
    <w:p w14:paraId="757534EF" w14:textId="61BC6CC1" w:rsidR="00E156EF" w:rsidRPr="00E156EF" w:rsidRDefault="00E156EF" w:rsidP="00E156EF">
      <w:pPr>
        <w:spacing w:after="240"/>
        <w:ind w:left="2160" w:hanging="720"/>
        <w:jc w:val="both"/>
        <w:rPr>
          <w:rFonts w:ascii="Arial" w:hAnsi="Arial" w:cs="Arial"/>
          <w:bCs/>
          <w:i/>
          <w:iCs/>
        </w:rPr>
      </w:pPr>
      <w:r w:rsidRPr="00E156EF">
        <w:rPr>
          <w:rFonts w:ascii="Arial" w:hAnsi="Arial" w:cs="Arial"/>
          <w:bCs/>
          <w:i/>
          <w:iCs/>
        </w:rPr>
        <w:t>(4)</w:t>
      </w:r>
      <w:r w:rsidRPr="00E156EF">
        <w:rPr>
          <w:rFonts w:ascii="Arial" w:hAnsi="Arial" w:cs="Arial"/>
          <w:bCs/>
          <w:i/>
          <w:iCs/>
        </w:rPr>
        <w:tab/>
        <w:t>Campus-Based Programs (FWS, FSEOG) (Assistance Listing 84.033, Assistance Listing 84.007)</w:t>
      </w:r>
    </w:p>
    <w:p w14:paraId="48141576" w14:textId="72706BDB" w:rsidR="00E156EF" w:rsidRPr="00E156EF" w:rsidRDefault="00E156EF" w:rsidP="00E156EF">
      <w:pPr>
        <w:spacing w:after="240"/>
        <w:ind w:left="2160"/>
        <w:jc w:val="both"/>
        <w:rPr>
          <w:rFonts w:ascii="Arial" w:hAnsi="Arial" w:cs="Arial"/>
          <w:bCs/>
        </w:rPr>
      </w:pPr>
      <w:r w:rsidRPr="00E156EF">
        <w:rPr>
          <w:rFonts w:ascii="Arial" w:hAnsi="Arial" w:cs="Arial"/>
          <w:bCs/>
        </w:rPr>
        <w:t>The maximum amount that can be awarded under the campus- based programs is equal to the student’s financial need (COA minus EFC) minus aid from other SFA programs and other resources. For programs of study or enrollment periods less than or greater than an academic year, the COA for campus-based aid is based on the student’s actual costs for the period for which need is being analyzed, rather than being prorated to the costs for a full- time student for a full academic year. The financial aid administrator has discretion in awarding amounts from each program, subject to certain limitations.</w:t>
      </w:r>
    </w:p>
    <w:p w14:paraId="13BD760A" w14:textId="36186C56" w:rsidR="00E156EF" w:rsidRDefault="00E156EF" w:rsidP="00E156EF">
      <w:pPr>
        <w:spacing w:after="240"/>
        <w:ind w:left="2160"/>
        <w:jc w:val="both"/>
        <w:rPr>
          <w:rFonts w:ascii="Arial" w:hAnsi="Arial" w:cs="Arial"/>
          <w:bCs/>
        </w:rPr>
      </w:pPr>
      <w:r w:rsidRPr="00E156EF">
        <w:rPr>
          <w:rFonts w:ascii="Arial" w:hAnsi="Arial" w:cs="Arial"/>
          <w:bCs/>
        </w:rPr>
        <w:t>The FSEOG program provides grants to eligible undergraduate students who have not previously earned a bachelor’s or first professional degree. Priority is given to Pell Grant recipients who have the lowest expected family contributions. The institution decides the amount of the grant, which can be up to $4,000 but not less than $100, for an academic year. The maximum amount may be increased to $4,400 for a student participating in a study abroad program that is approved for credit by the student’s home institution (34 CFR 676.10 and 676.20).</w:t>
      </w:r>
    </w:p>
    <w:p w14:paraId="61CBC553" w14:textId="6A658E92" w:rsidR="00E156EF" w:rsidRPr="00E156EF" w:rsidRDefault="00E156EF" w:rsidP="00E156EF">
      <w:pPr>
        <w:spacing w:after="240"/>
        <w:ind w:left="1440"/>
        <w:jc w:val="both"/>
        <w:rPr>
          <w:rFonts w:ascii="Arial" w:hAnsi="Arial" w:cs="Arial"/>
          <w:bCs/>
          <w:i/>
          <w:iCs/>
          <w:color w:val="002060"/>
        </w:rPr>
      </w:pPr>
      <w:r w:rsidRPr="00E156EF">
        <w:rPr>
          <w:rFonts w:ascii="Arial" w:hAnsi="Arial" w:cs="Arial"/>
          <w:bCs/>
          <w:i/>
          <w:iCs/>
          <w:color w:val="002060"/>
        </w:rPr>
        <w:t>5 Relates to a Program Not Included in this FACCR</w:t>
      </w:r>
    </w:p>
    <w:p w14:paraId="2572C84A" w14:textId="058989A8" w:rsidR="00E156EF" w:rsidRPr="00E156EF" w:rsidRDefault="00E156EF" w:rsidP="00E156EF">
      <w:pPr>
        <w:spacing w:after="240"/>
        <w:ind w:left="1440"/>
        <w:jc w:val="both"/>
        <w:rPr>
          <w:rFonts w:ascii="Arial" w:hAnsi="Arial" w:cs="Arial"/>
          <w:bCs/>
          <w:i/>
          <w:iCs/>
        </w:rPr>
      </w:pPr>
      <w:r w:rsidRPr="00E156EF">
        <w:rPr>
          <w:rFonts w:ascii="Arial" w:hAnsi="Arial" w:cs="Arial"/>
          <w:bCs/>
          <w:i/>
          <w:iCs/>
        </w:rPr>
        <w:t>(6)</w:t>
      </w:r>
      <w:r w:rsidRPr="00E156EF">
        <w:rPr>
          <w:rFonts w:ascii="Arial" w:hAnsi="Arial" w:cs="Arial"/>
          <w:bCs/>
          <w:i/>
          <w:iCs/>
        </w:rPr>
        <w:tab/>
        <w:t>Direct Loans (Assistance Listing 84.268)</w:t>
      </w:r>
    </w:p>
    <w:p w14:paraId="5B141BF7" w14:textId="3FB86A75" w:rsidR="00E156EF" w:rsidRPr="00E156EF" w:rsidRDefault="00E156EF" w:rsidP="00E156EF">
      <w:pPr>
        <w:spacing w:after="240"/>
        <w:ind w:left="2160"/>
        <w:jc w:val="both"/>
        <w:rPr>
          <w:rFonts w:ascii="Arial" w:hAnsi="Arial" w:cs="Arial"/>
          <w:bCs/>
        </w:rPr>
      </w:pPr>
      <w:r w:rsidRPr="00E156EF">
        <w:rPr>
          <w:rFonts w:ascii="Arial" w:hAnsi="Arial" w:cs="Arial"/>
          <w:bCs/>
        </w:rPr>
        <w:t xml:space="preserve">In determining loan amounts for Direct Subsidized Loans, the financial aid administrator subtracts from the COA, the EFC, and the EFA for the period of enrollment that the student (or parent on behalf of the student) will receive from federal, state, institutional or other sources. Direct Unsubsidized Loans, Direct PLUS Loans, TEACH Grants, loans made by an institution to assist the student, state-sponsored loans, private education loans, and any other non- need-based loans may be used to replace the EFC (34 CFR 685.102(b)). A financial aid administrator may use professional judgment to offer dependent-level Direct </w:t>
      </w:r>
      <w:r w:rsidRPr="00E156EF">
        <w:rPr>
          <w:rFonts w:ascii="Arial" w:hAnsi="Arial" w:cs="Arial"/>
          <w:bCs/>
        </w:rPr>
        <w:lastRenderedPageBreak/>
        <w:t>Unsubsidized Loans (but no other Title IV aid) to a dependent student whose parents do not support the student or who refuse to complete a FAFSA (20 USC 1087(a)).</w:t>
      </w:r>
    </w:p>
    <w:p w14:paraId="7FBEC07F" w14:textId="4332B23B" w:rsidR="00E156EF" w:rsidRPr="00E156EF" w:rsidRDefault="00E156EF" w:rsidP="00E156EF">
      <w:pPr>
        <w:spacing w:after="240"/>
        <w:ind w:left="2160"/>
        <w:jc w:val="both"/>
        <w:rPr>
          <w:rFonts w:ascii="Arial" w:hAnsi="Arial" w:cs="Arial"/>
          <w:bCs/>
        </w:rPr>
      </w:pPr>
      <w:r w:rsidRPr="00E156EF">
        <w:rPr>
          <w:rFonts w:ascii="Arial" w:hAnsi="Arial" w:cs="Arial"/>
          <w:bCs/>
        </w:rPr>
        <w:t>The annual loan limits apply to the length of the institution’s academic year. Except for Direct PLUS loans and Direct Unsubsidized Loans made to graduate or professional students, proration of the annual loan limit is required when a program is less than an academic year as measured in either clock hours or credit hours or number of weeks; or when a program exceeds an academic year but the remaining portion of the program is less than an academic year in length. For the purpose of determining annual loan limits for a borrower who received an associate or bachelor’s degree and has re-enrolled in another eligible program for which the prior degree is a prerequisite, the grade level determination includes the number of years that a student has completed in the previously completed program of undergraduate study.</w:t>
      </w:r>
    </w:p>
    <w:p w14:paraId="53EBC424" w14:textId="77777777" w:rsidR="00E156EF" w:rsidRPr="00E156EF" w:rsidRDefault="00E156EF" w:rsidP="00E156EF">
      <w:pPr>
        <w:spacing w:after="240"/>
        <w:ind w:left="2160"/>
        <w:jc w:val="both"/>
        <w:rPr>
          <w:rFonts w:ascii="Arial" w:hAnsi="Arial" w:cs="Arial"/>
          <w:b/>
        </w:rPr>
      </w:pPr>
      <w:r w:rsidRPr="00E156EF">
        <w:rPr>
          <w:rFonts w:ascii="Arial" w:hAnsi="Arial" w:cs="Arial"/>
          <w:b/>
        </w:rPr>
        <w:t>Annual Limits for Direct Subsidized Loans and Direct Unsubsidized Loans</w:t>
      </w:r>
    </w:p>
    <w:p w14:paraId="1795FBD7" w14:textId="3A9270C2" w:rsidR="00E156EF" w:rsidRPr="00E156EF" w:rsidRDefault="00E156EF" w:rsidP="00E156EF">
      <w:pPr>
        <w:spacing w:after="240"/>
        <w:ind w:left="2160"/>
        <w:jc w:val="both"/>
        <w:rPr>
          <w:rFonts w:ascii="Arial" w:hAnsi="Arial" w:cs="Arial"/>
          <w:bCs/>
        </w:rPr>
      </w:pPr>
      <w:r w:rsidRPr="00E156EF">
        <w:rPr>
          <w:rFonts w:ascii="Arial" w:hAnsi="Arial" w:cs="Arial"/>
          <w:bCs/>
        </w:rPr>
        <w:t>Direct Subsidized Loans and Direct Unsubsidized Loans have annual loan limits that vary based on the student's grade level and (for Direct Unsubsidized Loans) dependency status (34 CFR 685.203). The annual loan limit is the maximum amount that a student may receive for an academic year.</w:t>
      </w:r>
    </w:p>
    <w:p w14:paraId="28288628" w14:textId="2E4E8550" w:rsidR="00E156EF" w:rsidRPr="00E156EF" w:rsidRDefault="00E156EF" w:rsidP="00E156EF">
      <w:pPr>
        <w:spacing w:after="240"/>
        <w:ind w:left="2160"/>
        <w:jc w:val="both"/>
        <w:rPr>
          <w:rFonts w:ascii="Arial" w:hAnsi="Arial" w:cs="Arial"/>
          <w:bCs/>
        </w:rPr>
      </w:pPr>
      <w:r w:rsidRPr="00E156EF">
        <w:rPr>
          <w:rFonts w:ascii="Arial" w:hAnsi="Arial" w:cs="Arial"/>
          <w:bCs/>
        </w:rPr>
        <w:t>For undergraduate students there is a combined annual loan limit for Direct Subsidized Loans and Direct Unsubsidized Loans, of which not more than a specified amount may be comprised of Direct Subsidized Loans (“annual subsidized maximum”).</w:t>
      </w:r>
    </w:p>
    <w:p w14:paraId="294441E0" w14:textId="1F5A9198" w:rsidR="00E156EF" w:rsidRPr="00E156EF" w:rsidRDefault="00E156EF" w:rsidP="00E156EF">
      <w:pPr>
        <w:spacing w:after="240"/>
        <w:ind w:left="2160"/>
        <w:jc w:val="both"/>
        <w:rPr>
          <w:rFonts w:ascii="Arial" w:hAnsi="Arial" w:cs="Arial"/>
          <w:bCs/>
        </w:rPr>
      </w:pPr>
      <w:r w:rsidRPr="00E156EF">
        <w:rPr>
          <w:rFonts w:ascii="Arial" w:hAnsi="Arial" w:cs="Arial"/>
          <w:bCs/>
        </w:rPr>
        <w:t>For dependent undergraduate students (excluding dependent undergraduates whose parents are unable to borrow Direct PLUS Loans), the combined Direct Subsidized Loan and Direct Unsubsidized Loan annual loan limits are (34 CFR 685.203(a) and (b):</w:t>
      </w:r>
    </w:p>
    <w:p w14:paraId="26C44A89" w14:textId="09E22F47" w:rsidR="00E156EF" w:rsidRPr="00E156EF" w:rsidRDefault="00E156EF" w:rsidP="00E156EF">
      <w:pPr>
        <w:spacing w:after="240"/>
        <w:ind w:left="2880" w:hanging="720"/>
        <w:jc w:val="both"/>
        <w:rPr>
          <w:rFonts w:ascii="Arial" w:hAnsi="Arial" w:cs="Arial"/>
          <w:bCs/>
        </w:rPr>
      </w:pPr>
      <w:r w:rsidRPr="00E156EF">
        <w:rPr>
          <w:rFonts w:ascii="Arial" w:hAnsi="Arial" w:cs="Arial"/>
          <w:bCs/>
        </w:rPr>
        <w:t>•</w:t>
      </w:r>
      <w:r w:rsidRPr="00E156EF">
        <w:rPr>
          <w:rFonts w:ascii="Arial" w:hAnsi="Arial" w:cs="Arial"/>
          <w:bCs/>
        </w:rPr>
        <w:tab/>
        <w:t xml:space="preserve">$5,500 for </w:t>
      </w:r>
      <w:r w:rsidRPr="00E156EF">
        <w:rPr>
          <w:rFonts w:ascii="Arial" w:hAnsi="Arial" w:cs="Arial"/>
          <w:b/>
        </w:rPr>
        <w:t>dependent first-year undergraduates</w:t>
      </w:r>
      <w:r w:rsidRPr="00E156EF">
        <w:rPr>
          <w:rFonts w:ascii="Arial" w:hAnsi="Arial" w:cs="Arial"/>
          <w:bCs/>
        </w:rPr>
        <w:t>, not more than $3,500 of which may be subsidized:</w:t>
      </w:r>
    </w:p>
    <w:p w14:paraId="79879F11" w14:textId="66012E6A" w:rsidR="00E156EF" w:rsidRPr="00E156EF" w:rsidRDefault="00E156EF" w:rsidP="00E156EF">
      <w:pPr>
        <w:spacing w:after="240"/>
        <w:ind w:left="2880" w:hanging="720"/>
        <w:jc w:val="both"/>
        <w:rPr>
          <w:rFonts w:ascii="Arial" w:hAnsi="Arial" w:cs="Arial"/>
          <w:bCs/>
        </w:rPr>
      </w:pPr>
      <w:r w:rsidRPr="00E156EF">
        <w:rPr>
          <w:rFonts w:ascii="Arial" w:hAnsi="Arial" w:cs="Arial"/>
          <w:bCs/>
        </w:rPr>
        <w:t>•</w:t>
      </w:r>
      <w:r w:rsidRPr="00E156EF">
        <w:rPr>
          <w:rFonts w:ascii="Arial" w:hAnsi="Arial" w:cs="Arial"/>
          <w:bCs/>
        </w:rPr>
        <w:tab/>
        <w:t xml:space="preserve">$6,500 for </w:t>
      </w:r>
      <w:r w:rsidRPr="00E156EF">
        <w:rPr>
          <w:rFonts w:ascii="Arial" w:hAnsi="Arial" w:cs="Arial"/>
          <w:b/>
        </w:rPr>
        <w:t>dependent second-year undergraduates</w:t>
      </w:r>
      <w:r w:rsidRPr="00E156EF">
        <w:rPr>
          <w:rFonts w:ascii="Arial" w:hAnsi="Arial" w:cs="Arial"/>
          <w:bCs/>
        </w:rPr>
        <w:t>, not more than $4,500 of which may be subsidized; and</w:t>
      </w:r>
    </w:p>
    <w:p w14:paraId="6B9BCBA8" w14:textId="5C9574E2" w:rsidR="00E156EF" w:rsidRPr="00E156EF" w:rsidRDefault="00E156EF" w:rsidP="00E156EF">
      <w:pPr>
        <w:spacing w:after="240"/>
        <w:ind w:left="2880" w:hanging="720"/>
        <w:jc w:val="both"/>
        <w:rPr>
          <w:rFonts w:ascii="Arial" w:hAnsi="Arial" w:cs="Arial"/>
          <w:bCs/>
        </w:rPr>
      </w:pPr>
      <w:r w:rsidRPr="00E156EF">
        <w:rPr>
          <w:rFonts w:ascii="Arial" w:hAnsi="Arial" w:cs="Arial"/>
          <w:bCs/>
        </w:rPr>
        <w:t>•</w:t>
      </w:r>
      <w:r w:rsidRPr="00E156EF">
        <w:rPr>
          <w:rFonts w:ascii="Arial" w:hAnsi="Arial" w:cs="Arial"/>
          <w:bCs/>
        </w:rPr>
        <w:tab/>
        <w:t xml:space="preserve">$7,500 for </w:t>
      </w:r>
      <w:r w:rsidRPr="00E156EF">
        <w:rPr>
          <w:rFonts w:ascii="Arial" w:hAnsi="Arial" w:cs="Arial"/>
          <w:b/>
        </w:rPr>
        <w:t>dependent third-, fourth-, and fifth-year undergraduates</w:t>
      </w:r>
      <w:r w:rsidRPr="00E156EF">
        <w:rPr>
          <w:rFonts w:ascii="Arial" w:hAnsi="Arial" w:cs="Arial"/>
          <w:bCs/>
        </w:rPr>
        <w:t>, not more than $5,500 of which may be subsidized.</w:t>
      </w:r>
    </w:p>
    <w:p w14:paraId="156F9E0A" w14:textId="077AF7C8" w:rsidR="00E156EF" w:rsidRPr="00E156EF" w:rsidRDefault="00E156EF" w:rsidP="00993D26">
      <w:pPr>
        <w:spacing w:after="240"/>
        <w:ind w:left="2160"/>
        <w:jc w:val="both"/>
        <w:rPr>
          <w:rFonts w:ascii="Arial" w:hAnsi="Arial" w:cs="Arial"/>
          <w:b/>
        </w:rPr>
      </w:pPr>
      <w:r w:rsidRPr="00E156EF">
        <w:rPr>
          <w:rFonts w:ascii="Arial" w:hAnsi="Arial" w:cs="Arial"/>
          <w:bCs/>
        </w:rPr>
        <w:t>For independent undergraduate students (and for dependent undergraduate students whose parents are unable to obtain Direct PLUS Loans), the annual loan limits are (34 CFR 685.203(a) and (c):</w:t>
      </w:r>
    </w:p>
    <w:p w14:paraId="2906397E" w14:textId="05A201B3" w:rsidR="00E156EF" w:rsidRPr="00AE2C16" w:rsidRDefault="00E156EF" w:rsidP="00AE2C16">
      <w:pPr>
        <w:spacing w:after="240"/>
        <w:ind w:left="2880" w:hanging="720"/>
        <w:jc w:val="both"/>
        <w:rPr>
          <w:rFonts w:ascii="Arial" w:hAnsi="Arial" w:cs="Arial"/>
          <w:bCs/>
        </w:rPr>
      </w:pPr>
      <w:r w:rsidRPr="00AE2C16">
        <w:rPr>
          <w:rFonts w:ascii="Arial" w:hAnsi="Arial" w:cs="Arial"/>
          <w:bCs/>
        </w:rPr>
        <w:t>•</w:t>
      </w:r>
      <w:r w:rsidRPr="00AE2C16">
        <w:rPr>
          <w:rFonts w:ascii="Arial" w:hAnsi="Arial" w:cs="Arial"/>
          <w:bCs/>
        </w:rPr>
        <w:tab/>
        <w:t xml:space="preserve">$9,500 for </w:t>
      </w:r>
      <w:r w:rsidRPr="00AE2C16">
        <w:rPr>
          <w:rFonts w:ascii="Arial" w:hAnsi="Arial" w:cs="Arial"/>
          <w:b/>
        </w:rPr>
        <w:t>independent first-year undergraduates</w:t>
      </w:r>
      <w:r w:rsidRPr="00AE2C16">
        <w:rPr>
          <w:rFonts w:ascii="Arial" w:hAnsi="Arial" w:cs="Arial"/>
          <w:bCs/>
        </w:rPr>
        <w:t>, not more than $3,500 of which may be subsidized;</w:t>
      </w:r>
    </w:p>
    <w:p w14:paraId="7DAD6800" w14:textId="2E256F52" w:rsidR="00E156EF" w:rsidRPr="00AE2C16" w:rsidRDefault="00E156EF" w:rsidP="00AE2C16">
      <w:pPr>
        <w:spacing w:after="240"/>
        <w:ind w:left="2880" w:hanging="720"/>
        <w:jc w:val="both"/>
        <w:rPr>
          <w:rFonts w:ascii="Arial" w:hAnsi="Arial" w:cs="Arial"/>
          <w:bCs/>
        </w:rPr>
      </w:pPr>
      <w:r w:rsidRPr="00AE2C16">
        <w:rPr>
          <w:rFonts w:ascii="Arial" w:hAnsi="Arial" w:cs="Arial"/>
          <w:bCs/>
        </w:rPr>
        <w:t>•</w:t>
      </w:r>
      <w:r w:rsidRPr="00AE2C16">
        <w:rPr>
          <w:rFonts w:ascii="Arial" w:hAnsi="Arial" w:cs="Arial"/>
          <w:bCs/>
        </w:rPr>
        <w:tab/>
        <w:t xml:space="preserve">$10,500 for </w:t>
      </w:r>
      <w:r w:rsidRPr="00AE2C16">
        <w:rPr>
          <w:rFonts w:ascii="Arial" w:hAnsi="Arial" w:cs="Arial"/>
          <w:b/>
        </w:rPr>
        <w:t>independent second-year undergraduates</w:t>
      </w:r>
      <w:r w:rsidRPr="00AE2C16">
        <w:rPr>
          <w:rFonts w:ascii="Arial" w:hAnsi="Arial" w:cs="Arial"/>
          <w:bCs/>
        </w:rPr>
        <w:t>, not more than $4,500 of which may be subsidized; and</w:t>
      </w:r>
    </w:p>
    <w:p w14:paraId="53C0B863" w14:textId="34E3C633" w:rsidR="00E156EF" w:rsidRPr="00AE2C16" w:rsidRDefault="00E156EF" w:rsidP="00AE2C16">
      <w:pPr>
        <w:spacing w:after="240"/>
        <w:ind w:left="2880" w:hanging="720"/>
        <w:jc w:val="both"/>
        <w:rPr>
          <w:rFonts w:ascii="Arial" w:hAnsi="Arial" w:cs="Arial"/>
          <w:bCs/>
        </w:rPr>
      </w:pPr>
      <w:r w:rsidRPr="00AE2C16">
        <w:rPr>
          <w:rFonts w:ascii="Arial" w:hAnsi="Arial" w:cs="Arial"/>
          <w:bCs/>
        </w:rPr>
        <w:t>•</w:t>
      </w:r>
      <w:r w:rsidRPr="00AE2C16">
        <w:rPr>
          <w:rFonts w:ascii="Arial" w:hAnsi="Arial" w:cs="Arial"/>
          <w:bCs/>
        </w:rPr>
        <w:tab/>
        <w:t xml:space="preserve">$12,500 for </w:t>
      </w:r>
      <w:r w:rsidRPr="00AE2C16">
        <w:rPr>
          <w:rFonts w:ascii="Arial" w:hAnsi="Arial" w:cs="Arial"/>
          <w:b/>
        </w:rPr>
        <w:t>independent third-, fourth-, and fifth-year undergraduates</w:t>
      </w:r>
      <w:r w:rsidRPr="00AE2C16">
        <w:rPr>
          <w:rFonts w:ascii="Arial" w:hAnsi="Arial" w:cs="Arial"/>
          <w:bCs/>
        </w:rPr>
        <w:t>, not more than $5,500 of which may be subsidized.</w:t>
      </w:r>
    </w:p>
    <w:p w14:paraId="60F9BB71" w14:textId="0ACA7D7B" w:rsidR="00E156EF" w:rsidRPr="00AE2C16" w:rsidRDefault="00E156EF" w:rsidP="00AE2C16">
      <w:pPr>
        <w:spacing w:after="240"/>
        <w:ind w:left="2160"/>
        <w:jc w:val="both"/>
        <w:rPr>
          <w:rFonts w:ascii="Arial" w:hAnsi="Arial" w:cs="Arial"/>
          <w:bCs/>
        </w:rPr>
      </w:pPr>
      <w:r w:rsidRPr="00AE2C16">
        <w:rPr>
          <w:rFonts w:ascii="Arial" w:hAnsi="Arial" w:cs="Arial"/>
          <w:bCs/>
        </w:rPr>
        <w:lastRenderedPageBreak/>
        <w:t>Note that the annual subsidized maximum is the same for both dependent and independent undergraduate students. However, the combined subsidized/unsubsidized annual loan limits are higher for independent undergraduates and for dependent undergraduates whose parents are unable to borrow Direct PLUS Loans.</w:t>
      </w:r>
    </w:p>
    <w:p w14:paraId="69C4ECA2" w14:textId="2F074A5E" w:rsidR="00E156EF" w:rsidRPr="00AE2C16" w:rsidRDefault="00E156EF" w:rsidP="00AE2C16">
      <w:pPr>
        <w:spacing w:after="240"/>
        <w:ind w:left="2160"/>
        <w:jc w:val="both"/>
        <w:rPr>
          <w:rFonts w:ascii="Arial" w:hAnsi="Arial" w:cs="Arial"/>
          <w:bCs/>
        </w:rPr>
      </w:pPr>
      <w:r w:rsidRPr="00AE2C16">
        <w:rPr>
          <w:rFonts w:ascii="Arial" w:hAnsi="Arial" w:cs="Arial"/>
          <w:bCs/>
        </w:rPr>
        <w:t>An undergraduate student who is not eligible for a Direct Subsidized Loan may receive up to the total combined subsidized/unsubsidized annual loan limit in Direct Unsubsidized Loans.</w:t>
      </w:r>
    </w:p>
    <w:p w14:paraId="01C94417" w14:textId="7B6E82FD" w:rsidR="00E156EF" w:rsidRPr="00AE2C16" w:rsidRDefault="00E156EF" w:rsidP="00AE2C16">
      <w:pPr>
        <w:spacing w:after="240"/>
        <w:ind w:left="2160"/>
        <w:jc w:val="both"/>
        <w:rPr>
          <w:rFonts w:ascii="Arial" w:hAnsi="Arial" w:cs="Arial"/>
          <w:bCs/>
        </w:rPr>
      </w:pPr>
      <w:r w:rsidRPr="00AE2C16">
        <w:rPr>
          <w:rFonts w:ascii="Arial" w:hAnsi="Arial" w:cs="Arial"/>
          <w:bCs/>
        </w:rPr>
        <w:t xml:space="preserve">For undergraduate students, the annual loan limit must be prorated if the student is enrolled in a program (or in the remaining portion of a program) that is less than an academic year in length. (For details on loan proration requirements, see Volume 8, of the 2023- 2024 FSA Handbook. The FSA Handbook is available at </w:t>
      </w:r>
      <w:hyperlink r:id="rId62" w:history="1">
        <w:r w:rsidR="00AE2C16" w:rsidRPr="00AE2C16">
          <w:rPr>
            <w:rStyle w:val="Hyperlink"/>
            <w:rFonts w:cs="Arial"/>
            <w:bCs/>
          </w:rPr>
          <w:t>https://fsapartners.ed.gov/knowledge-center/fsa-handbook</w:t>
        </w:r>
      </w:hyperlink>
      <w:r w:rsidRPr="00AE2C16">
        <w:rPr>
          <w:rFonts w:ascii="Arial" w:hAnsi="Arial" w:cs="Arial"/>
          <w:bCs/>
        </w:rPr>
        <w:t>.)</w:t>
      </w:r>
    </w:p>
    <w:p w14:paraId="0F4F973B" w14:textId="28BD32F6" w:rsidR="00E156EF" w:rsidRPr="00AE2C16" w:rsidRDefault="00E156EF" w:rsidP="00AE2C16">
      <w:pPr>
        <w:spacing w:after="240"/>
        <w:ind w:left="2160"/>
        <w:jc w:val="both"/>
        <w:rPr>
          <w:rFonts w:ascii="Arial" w:hAnsi="Arial" w:cs="Arial"/>
          <w:bCs/>
        </w:rPr>
      </w:pPr>
      <w:r w:rsidRPr="00AE2C16">
        <w:rPr>
          <w:rFonts w:ascii="Arial" w:hAnsi="Arial" w:cs="Arial"/>
          <w:bCs/>
        </w:rPr>
        <w:t>For graduate and professional degree students, there is an annual loan limit only for Direct Unsubsidized Loans (graduate and professional students are not eligible to receive Direct Subsidized Loans). The annual loan limit for graduate and professional students is $20,500 in Direct Unsubsidized Loans (34 CFR 685.203(b)(2)(iii) and 685.203(c)(2)(v)).</w:t>
      </w:r>
    </w:p>
    <w:p w14:paraId="7B69617C" w14:textId="7BB70DED" w:rsidR="00E156EF" w:rsidRPr="00AE2C16" w:rsidRDefault="00E156EF" w:rsidP="00AE2C16">
      <w:pPr>
        <w:spacing w:after="240"/>
        <w:ind w:left="2160"/>
        <w:jc w:val="both"/>
        <w:rPr>
          <w:rFonts w:ascii="Arial" w:hAnsi="Arial" w:cs="Arial"/>
          <w:bCs/>
        </w:rPr>
      </w:pPr>
      <w:r w:rsidRPr="00AE2C16">
        <w:rPr>
          <w:rFonts w:ascii="Arial" w:hAnsi="Arial" w:cs="Arial"/>
          <w:bCs/>
        </w:rPr>
        <w:t xml:space="preserve">There are higher Direct Unsubsidized Loan annual loan limits for graduate and professional students who are enrolled in certain health professions programs. (For details on the increased annual loan limits for certain health professions students, see Volume 8, of the 2023-2024 FSA Handbook. The FSA Handbook is available at </w:t>
      </w:r>
      <w:hyperlink r:id="rId63" w:history="1">
        <w:r w:rsidR="00AE2C16" w:rsidRPr="00AE2C16">
          <w:rPr>
            <w:rStyle w:val="Hyperlink"/>
            <w:rFonts w:cs="Arial"/>
            <w:bCs/>
          </w:rPr>
          <w:t>https://fsapartners.ed.gov/knowledge-center/fsa-handbook</w:t>
        </w:r>
      </w:hyperlink>
      <w:r w:rsidRPr="00AE2C16">
        <w:rPr>
          <w:rFonts w:ascii="Arial" w:hAnsi="Arial" w:cs="Arial"/>
          <w:bCs/>
        </w:rPr>
        <w:t>.)</w:t>
      </w:r>
    </w:p>
    <w:p w14:paraId="3F51A50F" w14:textId="3D06F15F" w:rsidR="00E156EF" w:rsidRPr="00E156EF" w:rsidRDefault="00E156EF" w:rsidP="00BF669C">
      <w:pPr>
        <w:spacing w:after="240"/>
        <w:ind w:left="2160"/>
        <w:jc w:val="both"/>
        <w:rPr>
          <w:rFonts w:ascii="Arial" w:hAnsi="Arial" w:cs="Arial"/>
          <w:b/>
        </w:rPr>
      </w:pPr>
      <w:r w:rsidRPr="00E156EF">
        <w:rPr>
          <w:rFonts w:ascii="Arial" w:hAnsi="Arial" w:cs="Arial"/>
          <w:b/>
        </w:rPr>
        <w:t>Aggregate Loan Limits for Direct Subsidized Loans and Direct Unsubsidized Loans</w:t>
      </w:r>
    </w:p>
    <w:p w14:paraId="45DF4E6F" w14:textId="07CAD5A4" w:rsidR="00E156EF" w:rsidRPr="00BF669C" w:rsidRDefault="00E156EF" w:rsidP="00BF669C">
      <w:pPr>
        <w:spacing w:after="240"/>
        <w:ind w:left="2160"/>
        <w:jc w:val="both"/>
        <w:rPr>
          <w:rFonts w:ascii="Arial" w:hAnsi="Arial" w:cs="Arial"/>
          <w:bCs/>
        </w:rPr>
      </w:pPr>
      <w:r w:rsidRPr="00BF669C">
        <w:rPr>
          <w:rFonts w:ascii="Arial" w:hAnsi="Arial" w:cs="Arial"/>
          <w:bCs/>
        </w:rPr>
        <w:t>Under 34 CFR 685.203(d) and (e) the aggregate loan limits for Direct Subsidized Loans and Direct Unsubsidized Loans (a borrower's maximum allowable outstanding loan debt, excluding capitalized interest, but including amounts borrowed under the Federal Family Education Loan program prior to 2010) are:</w:t>
      </w:r>
    </w:p>
    <w:p w14:paraId="3D41FC52" w14:textId="4228895A" w:rsidR="00E156EF" w:rsidRPr="00BF669C" w:rsidRDefault="00E156EF" w:rsidP="00BF669C">
      <w:pPr>
        <w:spacing w:after="240"/>
        <w:ind w:left="2880" w:hanging="720"/>
        <w:jc w:val="both"/>
        <w:rPr>
          <w:rFonts w:ascii="Arial" w:hAnsi="Arial" w:cs="Arial"/>
          <w:bCs/>
        </w:rPr>
      </w:pPr>
      <w:r w:rsidRPr="00BF669C">
        <w:rPr>
          <w:rFonts w:ascii="Arial" w:hAnsi="Arial" w:cs="Arial"/>
          <w:bCs/>
        </w:rPr>
        <w:t>•</w:t>
      </w:r>
      <w:r w:rsidRPr="00BF669C">
        <w:rPr>
          <w:rFonts w:ascii="Arial" w:hAnsi="Arial" w:cs="Arial"/>
          <w:bCs/>
        </w:rPr>
        <w:tab/>
        <w:t xml:space="preserve">$31,000 for </w:t>
      </w:r>
      <w:r w:rsidRPr="00BF669C">
        <w:rPr>
          <w:rFonts w:ascii="Arial" w:hAnsi="Arial" w:cs="Arial"/>
          <w:b/>
        </w:rPr>
        <w:t>dependent undergraduate students</w:t>
      </w:r>
      <w:r w:rsidRPr="00BF669C">
        <w:rPr>
          <w:rFonts w:ascii="Arial" w:hAnsi="Arial" w:cs="Arial"/>
          <w:bCs/>
        </w:rPr>
        <w:t xml:space="preserve"> (except for dependent students whose parents are unable to borrow Direct PLUS Loans), not more than $23,000 of which may be subsidized;</w:t>
      </w:r>
    </w:p>
    <w:p w14:paraId="00B597CA" w14:textId="6BB3F3B3" w:rsidR="00E156EF" w:rsidRPr="00BF669C" w:rsidRDefault="00E156EF" w:rsidP="00BF669C">
      <w:pPr>
        <w:spacing w:after="240"/>
        <w:ind w:left="2880" w:hanging="720"/>
        <w:jc w:val="both"/>
        <w:rPr>
          <w:rFonts w:ascii="Arial" w:hAnsi="Arial" w:cs="Arial"/>
          <w:bCs/>
        </w:rPr>
      </w:pPr>
      <w:r w:rsidRPr="00BF669C">
        <w:rPr>
          <w:rFonts w:ascii="Arial" w:hAnsi="Arial" w:cs="Arial"/>
          <w:bCs/>
        </w:rPr>
        <w:t>•</w:t>
      </w:r>
      <w:r w:rsidRPr="00BF669C">
        <w:rPr>
          <w:rFonts w:ascii="Arial" w:hAnsi="Arial" w:cs="Arial"/>
          <w:bCs/>
        </w:rPr>
        <w:tab/>
        <w:t xml:space="preserve">$57,500 for </w:t>
      </w:r>
      <w:r w:rsidRPr="00BF669C">
        <w:rPr>
          <w:rFonts w:ascii="Arial" w:hAnsi="Arial" w:cs="Arial"/>
          <w:b/>
        </w:rPr>
        <w:t>independent undergraduate students</w:t>
      </w:r>
      <w:r w:rsidRPr="00BF669C">
        <w:rPr>
          <w:rFonts w:ascii="Arial" w:hAnsi="Arial" w:cs="Arial"/>
          <w:bCs/>
        </w:rPr>
        <w:t xml:space="preserve"> (and for dependent students whose parents are unable to borrow Direct PLUS Loans, not more than $23,000 of which may be subsidized; and</w:t>
      </w:r>
    </w:p>
    <w:p w14:paraId="4E9DF2BE" w14:textId="0D26C12F" w:rsidR="00E156EF" w:rsidRPr="00BF669C" w:rsidRDefault="00E156EF" w:rsidP="00BF669C">
      <w:pPr>
        <w:spacing w:after="240"/>
        <w:ind w:left="2880" w:hanging="720"/>
        <w:jc w:val="both"/>
        <w:rPr>
          <w:rFonts w:ascii="Arial" w:hAnsi="Arial" w:cs="Arial"/>
          <w:bCs/>
        </w:rPr>
      </w:pPr>
      <w:r w:rsidRPr="00BF669C">
        <w:rPr>
          <w:rFonts w:ascii="Arial" w:hAnsi="Arial" w:cs="Arial"/>
          <w:bCs/>
        </w:rPr>
        <w:t>•</w:t>
      </w:r>
      <w:r w:rsidRPr="00BF669C">
        <w:rPr>
          <w:rFonts w:ascii="Arial" w:hAnsi="Arial" w:cs="Arial"/>
          <w:bCs/>
        </w:rPr>
        <w:tab/>
        <w:t xml:space="preserve">$138,500 for </w:t>
      </w:r>
      <w:r w:rsidRPr="00BF669C">
        <w:rPr>
          <w:rFonts w:ascii="Arial" w:hAnsi="Arial" w:cs="Arial"/>
          <w:b/>
        </w:rPr>
        <w:t>graduate and professional students</w:t>
      </w:r>
      <w:r w:rsidRPr="00BF669C">
        <w:rPr>
          <w:rFonts w:ascii="Arial" w:hAnsi="Arial" w:cs="Arial"/>
          <w:bCs/>
        </w:rPr>
        <w:t>, not more than $65,500 of which may be subsidized. The total</w:t>
      </w:r>
      <w:r w:rsidR="00BF669C" w:rsidRPr="00BF669C">
        <w:rPr>
          <w:rFonts w:ascii="Arial" w:hAnsi="Arial" w:cs="Arial"/>
          <w:bCs/>
        </w:rPr>
        <w:t xml:space="preserve"> </w:t>
      </w:r>
      <w:r w:rsidRPr="00BF669C">
        <w:rPr>
          <w:rFonts w:ascii="Arial" w:hAnsi="Arial" w:cs="Arial"/>
          <w:bCs/>
        </w:rPr>
        <w:t>$138,500 limit includes loans for undergraduate study. The</w:t>
      </w:r>
      <w:r w:rsidR="00BF669C" w:rsidRPr="00BF669C">
        <w:rPr>
          <w:rFonts w:ascii="Arial" w:hAnsi="Arial" w:cs="Arial"/>
          <w:bCs/>
        </w:rPr>
        <w:t xml:space="preserve"> </w:t>
      </w:r>
      <w:r w:rsidRPr="00BF669C">
        <w:rPr>
          <w:rFonts w:ascii="Arial" w:hAnsi="Arial" w:cs="Arial"/>
          <w:bCs/>
        </w:rPr>
        <w:t>$65,500 subsidized maximum includes subsidized loans received for undergraduate study and subsidized loans received by graduate and professional students for periods of enrollment beginning before July 1, 2012, when graduate and professional students were eligible to receive subsidized loans.</w:t>
      </w:r>
    </w:p>
    <w:p w14:paraId="1C763213" w14:textId="77777777" w:rsidR="00E156EF" w:rsidRPr="00E156EF" w:rsidRDefault="00E156EF" w:rsidP="00BF669C">
      <w:pPr>
        <w:spacing w:after="240"/>
        <w:ind w:left="2160"/>
        <w:jc w:val="both"/>
        <w:rPr>
          <w:rFonts w:ascii="Arial" w:hAnsi="Arial" w:cs="Arial"/>
          <w:b/>
        </w:rPr>
      </w:pPr>
      <w:r w:rsidRPr="00E156EF">
        <w:rPr>
          <w:rFonts w:ascii="Arial" w:hAnsi="Arial" w:cs="Arial"/>
          <w:b/>
        </w:rPr>
        <w:t>Direct PLUS (PLUS)</w:t>
      </w:r>
    </w:p>
    <w:p w14:paraId="6F42F6CA" w14:textId="15914AF2" w:rsidR="00E156EF" w:rsidRPr="00BF669C" w:rsidRDefault="00E156EF" w:rsidP="00BF669C">
      <w:pPr>
        <w:spacing w:after="240"/>
        <w:ind w:left="2160"/>
        <w:jc w:val="both"/>
        <w:rPr>
          <w:rFonts w:ascii="Arial" w:hAnsi="Arial" w:cs="Arial"/>
          <w:bCs/>
        </w:rPr>
      </w:pPr>
      <w:r w:rsidRPr="00BF669C">
        <w:rPr>
          <w:rFonts w:ascii="Arial" w:hAnsi="Arial" w:cs="Arial"/>
          <w:bCs/>
        </w:rPr>
        <w:lastRenderedPageBreak/>
        <w:t>Direct PLUS Loans are available to parents of dependent undergraduate students and to graduate and professional students (34 CFR 685.200(b) and (c)(2)). A parent or graduate/professional student with an adverse credit history is prohibited from obtaining a Direct PLUS Loan unless he or she meets additional criteria. A parent must meet the same citizenship and residency requirements as a student. Similarly, a parent who owes a refund on an SFA grant or is in default on an SFA loan is ineligible for a PLUS loan unless satisfactory arrangements have been made to repay the grant or loan.</w:t>
      </w:r>
    </w:p>
    <w:p w14:paraId="4D270468" w14:textId="314C8DB6" w:rsidR="00E156EF" w:rsidRPr="00BF669C" w:rsidRDefault="00E156EF" w:rsidP="00BF669C">
      <w:pPr>
        <w:spacing w:after="240"/>
        <w:ind w:left="2160"/>
        <w:jc w:val="both"/>
        <w:rPr>
          <w:rFonts w:ascii="Arial" w:hAnsi="Arial" w:cs="Arial"/>
          <w:bCs/>
        </w:rPr>
      </w:pPr>
      <w:r w:rsidRPr="00BF669C">
        <w:rPr>
          <w:rFonts w:ascii="Arial" w:hAnsi="Arial" w:cs="Arial"/>
          <w:bCs/>
        </w:rPr>
        <w:t>There are no fixed annual or aggregate loan limits for Direct PLUS Loans. A Direct PLUS loan may not exceed the student’s cost of attendance minus other financial aid awarded during the period of enrollment for that student (34 CFR 685.101(b), 685.200, and 34 CFR 685.203(f), (g), (h) and (j) also apply).</w:t>
      </w:r>
    </w:p>
    <w:p w14:paraId="6B03AFC5" w14:textId="68562873" w:rsidR="00E156EF" w:rsidRPr="00E156EF" w:rsidRDefault="00E156EF" w:rsidP="00E156EF">
      <w:pPr>
        <w:spacing w:after="240"/>
        <w:jc w:val="both"/>
        <w:rPr>
          <w:rFonts w:ascii="Arial" w:hAnsi="Arial" w:cs="Arial"/>
          <w:bCs/>
        </w:rPr>
      </w:pPr>
      <w:r w:rsidRPr="00E156EF">
        <w:rPr>
          <w:rFonts w:ascii="Arial" w:hAnsi="Arial" w:cs="Arial"/>
          <w:b/>
        </w:rPr>
        <w:t>2.</w:t>
      </w:r>
      <w:r w:rsidRPr="00E156EF">
        <w:rPr>
          <w:rFonts w:ascii="Arial" w:hAnsi="Arial" w:cs="Arial"/>
          <w:b/>
        </w:rPr>
        <w:tab/>
        <w:t>Eligibility for Group of Individuals or Area of Service Delivery</w:t>
      </w:r>
      <w:r>
        <w:rPr>
          <w:rFonts w:ascii="Arial" w:hAnsi="Arial" w:cs="Arial"/>
          <w:b/>
        </w:rPr>
        <w:t xml:space="preserve"> – </w:t>
      </w:r>
      <w:r>
        <w:rPr>
          <w:rFonts w:ascii="Arial" w:hAnsi="Arial" w:cs="Arial"/>
          <w:bCs/>
        </w:rPr>
        <w:t>Not Applicable</w:t>
      </w:r>
    </w:p>
    <w:p w14:paraId="55533B2B" w14:textId="23428E04" w:rsidR="00E156EF" w:rsidRPr="00E156EF" w:rsidRDefault="00E156EF" w:rsidP="00E156EF">
      <w:pPr>
        <w:spacing w:after="240"/>
        <w:jc w:val="both"/>
        <w:rPr>
          <w:rFonts w:ascii="Arial" w:hAnsi="Arial" w:cs="Arial"/>
          <w:bCs/>
        </w:rPr>
      </w:pPr>
      <w:r w:rsidRPr="00E156EF">
        <w:rPr>
          <w:rFonts w:ascii="Arial" w:hAnsi="Arial" w:cs="Arial"/>
          <w:b/>
        </w:rPr>
        <w:t>3.</w:t>
      </w:r>
      <w:r w:rsidRPr="00E156EF">
        <w:rPr>
          <w:rFonts w:ascii="Arial" w:hAnsi="Arial" w:cs="Arial"/>
          <w:b/>
        </w:rPr>
        <w:tab/>
        <w:t>Eligibility for Subrecipients</w:t>
      </w:r>
      <w:r>
        <w:rPr>
          <w:rFonts w:ascii="Arial" w:hAnsi="Arial" w:cs="Arial"/>
          <w:b/>
        </w:rPr>
        <w:t xml:space="preserve"> – </w:t>
      </w:r>
      <w:r>
        <w:rPr>
          <w:rFonts w:ascii="Arial" w:hAnsi="Arial" w:cs="Arial"/>
          <w:bCs/>
        </w:rPr>
        <w:t>Not Applicable</w:t>
      </w:r>
    </w:p>
    <w:p w14:paraId="4BB75030" w14:textId="31D1B681" w:rsidR="00E156EF" w:rsidRPr="00E156EF" w:rsidRDefault="00E156EF" w:rsidP="00D74E6A">
      <w:pPr>
        <w:spacing w:after="240"/>
        <w:jc w:val="both"/>
        <w:rPr>
          <w:rFonts w:ascii="Arial" w:hAnsi="Arial" w:cs="Arial"/>
          <w:bCs/>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0BC66884" w14:textId="77777777" w:rsidR="00E039F3" w:rsidRPr="00220BD0" w:rsidRDefault="00E039F3" w:rsidP="006672EA">
      <w:pPr>
        <w:pStyle w:val="Heading3"/>
        <w:jc w:val="both"/>
        <w:rPr>
          <w:rFonts w:cs="Arial"/>
          <w:sz w:val="24"/>
          <w:szCs w:val="24"/>
        </w:rPr>
      </w:pPr>
      <w:bookmarkStart w:id="45" w:name="_Toc176355401"/>
      <w:r w:rsidRPr="00220BD0">
        <w:rPr>
          <w:rFonts w:cs="Arial"/>
          <w:sz w:val="24"/>
          <w:szCs w:val="24"/>
        </w:rPr>
        <w:t>Additional Program Specific Information</w:t>
      </w:r>
      <w:bookmarkEnd w:id="45"/>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4B4EEF5E"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93D26">
        <w:rPr>
          <w:rFonts w:ascii="Arial" w:hAnsi="Arial" w:cs="Arial"/>
          <w:b/>
          <w:highlight w:val="yellow"/>
        </w:rPr>
        <w:t xml:space="preserve">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46" w:name="_Toc176355402"/>
      <w:r w:rsidRPr="00220BD0">
        <w:rPr>
          <w:rFonts w:cs="Arial"/>
          <w:sz w:val="24"/>
          <w:szCs w:val="24"/>
        </w:rPr>
        <w:t xml:space="preserve">Audit Objectives </w:t>
      </w:r>
      <w:r w:rsidR="001F23FF" w:rsidRPr="00220BD0">
        <w:rPr>
          <w:rFonts w:cs="Arial"/>
          <w:sz w:val="24"/>
          <w:szCs w:val="24"/>
        </w:rPr>
        <w:t>and Control Testing</w:t>
      </w:r>
      <w:bookmarkEnd w:id="46"/>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1963F2A4"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ts</w:t>
      </w:r>
      <w:r w:rsidR="00993D26">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77E4A2E2" w14:textId="682DA211" w:rsidR="008F7129" w:rsidRPr="00F00D94" w:rsidRDefault="00BF669C" w:rsidP="008F7129">
      <w:pPr>
        <w:tabs>
          <w:tab w:val="left" w:pos="720"/>
        </w:tabs>
        <w:spacing w:after="240" w:line="242" w:lineRule="auto"/>
        <w:ind w:left="360" w:right="39" w:hanging="360"/>
        <w:jc w:val="both"/>
        <w:rPr>
          <w:rFonts w:ascii="Arial" w:eastAsia="Arial" w:hAnsi="Arial" w:cs="Arial"/>
        </w:rPr>
      </w:pPr>
      <w:r>
        <w:rPr>
          <w:rFonts w:ascii="Arial" w:eastAsia="Arial" w:hAnsi="Arial" w:cs="Arial"/>
          <w:spacing w:val="1"/>
        </w:rPr>
        <w:t>3</w:t>
      </w:r>
      <w:r w:rsidR="008F7129" w:rsidRPr="00F00D94">
        <w:rPr>
          <w:rFonts w:ascii="Arial" w:eastAsia="Arial" w:hAnsi="Arial" w:cs="Arial"/>
        </w:rPr>
        <w:t>.</w:t>
      </w:r>
      <w:r w:rsidR="008F7129" w:rsidRPr="00F00D94">
        <w:rPr>
          <w:rFonts w:ascii="Arial" w:eastAsia="Arial" w:hAnsi="Arial" w:cs="Arial"/>
        </w:rPr>
        <w:tab/>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1"/>
        </w:rPr>
        <w:t>a</w:t>
      </w:r>
      <w:r w:rsidR="008F7129" w:rsidRPr="00F00D94">
        <w:rPr>
          <w:rFonts w:ascii="Arial" w:eastAsia="Arial" w:hAnsi="Arial" w:cs="Arial"/>
          <w:spacing w:val="-1"/>
        </w:rPr>
        <w:t>m</w:t>
      </w:r>
      <w:r w:rsidR="008F7129" w:rsidRPr="00F00D94">
        <w:rPr>
          <w:rFonts w:ascii="Arial" w:eastAsia="Arial" w:hAnsi="Arial" w:cs="Arial"/>
          <w:spacing w:val="1"/>
        </w:rPr>
        <w:t>oun</w:t>
      </w:r>
      <w:r w:rsidR="008F7129" w:rsidRPr="00F00D94">
        <w:rPr>
          <w:rFonts w:ascii="Arial" w:eastAsia="Arial" w:hAnsi="Arial" w:cs="Arial"/>
        </w:rPr>
        <w:t>ts</w:t>
      </w:r>
      <w:r w:rsidR="008F7129" w:rsidRPr="00F00D94">
        <w:rPr>
          <w:rFonts w:ascii="Arial" w:eastAsia="Arial" w:hAnsi="Arial" w:cs="Arial"/>
          <w:spacing w:val="-2"/>
        </w:rPr>
        <w:t xml:space="preserve"> </w:t>
      </w:r>
      <w:r w:rsidR="008F7129" w:rsidRPr="00F00D94">
        <w:rPr>
          <w:rFonts w:ascii="Arial" w:eastAsia="Arial" w:hAnsi="Arial" w:cs="Arial"/>
          <w:spacing w:val="1"/>
        </w:rPr>
        <w:t>p</w:t>
      </w:r>
      <w:r w:rsidR="008F7129" w:rsidRPr="00F00D94">
        <w:rPr>
          <w:rFonts w:ascii="Arial" w:eastAsia="Arial" w:hAnsi="Arial" w:cs="Arial"/>
          <w:spacing w:val="-1"/>
        </w:rPr>
        <w:t>r</w:t>
      </w:r>
      <w:r w:rsidR="008F7129" w:rsidRPr="00F00D94">
        <w:rPr>
          <w:rFonts w:ascii="Arial" w:eastAsia="Arial" w:hAnsi="Arial" w:cs="Arial"/>
          <w:spacing w:val="1"/>
        </w:rPr>
        <w:t>o</w:t>
      </w:r>
      <w:r w:rsidR="008F7129" w:rsidRPr="00F00D94">
        <w:rPr>
          <w:rFonts w:ascii="Arial" w:eastAsia="Arial" w:hAnsi="Arial" w:cs="Arial"/>
          <w:spacing w:val="-2"/>
        </w:rPr>
        <w:t>v</w:t>
      </w:r>
      <w:r w:rsidR="008F7129" w:rsidRPr="00F00D94">
        <w:rPr>
          <w:rFonts w:ascii="Arial" w:eastAsia="Arial" w:hAnsi="Arial" w:cs="Arial"/>
        </w:rPr>
        <w:t>i</w:t>
      </w:r>
      <w:r w:rsidR="008F7129" w:rsidRPr="00F00D94">
        <w:rPr>
          <w:rFonts w:ascii="Arial" w:eastAsia="Arial" w:hAnsi="Arial" w:cs="Arial"/>
          <w:spacing w:val="1"/>
        </w:rPr>
        <w:t>de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spacing w:val="-2"/>
        </w:rPr>
        <w:t>t</w:t>
      </w:r>
      <w:r w:rsidR="008F7129" w:rsidRPr="00F00D94">
        <w:rPr>
          <w:rFonts w:ascii="Arial" w:eastAsia="Arial" w:hAnsi="Arial" w:cs="Arial"/>
        </w:rPr>
        <w:t>o</w:t>
      </w:r>
      <w:r w:rsidR="008F7129" w:rsidRPr="00F00D94">
        <w:rPr>
          <w:rFonts w:ascii="Arial" w:eastAsia="Arial" w:hAnsi="Arial" w:cs="Arial"/>
          <w:spacing w:val="1"/>
        </w:rPr>
        <w:t xml:space="preserve"> o</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1"/>
        </w:rPr>
        <w:t>o</w:t>
      </w:r>
      <w:r w:rsidR="008F7129" w:rsidRPr="00F00D94">
        <w:rPr>
          <w:rFonts w:ascii="Arial" w:eastAsia="Arial" w:hAnsi="Arial" w:cs="Arial"/>
        </w:rPr>
        <w:t>n</w:t>
      </w:r>
      <w:r w:rsidR="008F7129" w:rsidRPr="00F00D94">
        <w:rPr>
          <w:rFonts w:ascii="Arial" w:eastAsia="Arial" w:hAnsi="Arial" w:cs="Arial"/>
          <w:spacing w:val="-1"/>
        </w:rPr>
        <w:t xml:space="preserve"> </w:t>
      </w:r>
      <w:r w:rsidR="008F7129" w:rsidRPr="00F00D94">
        <w:rPr>
          <w:rFonts w:ascii="Arial" w:eastAsia="Arial" w:hAnsi="Arial" w:cs="Arial"/>
          <w:spacing w:val="1"/>
        </w:rPr>
        <w:t>be</w:t>
      </w:r>
      <w:r w:rsidR="008F7129" w:rsidRPr="00F00D94">
        <w:rPr>
          <w:rFonts w:ascii="Arial" w:eastAsia="Arial" w:hAnsi="Arial" w:cs="Arial"/>
          <w:spacing w:val="-1"/>
        </w:rPr>
        <w:t>h</w:t>
      </w:r>
      <w:r w:rsidR="008F7129" w:rsidRPr="00F00D94">
        <w:rPr>
          <w:rFonts w:ascii="Arial" w:eastAsia="Arial" w:hAnsi="Arial" w:cs="Arial"/>
          <w:spacing w:val="1"/>
        </w:rPr>
        <w:t>a</w:t>
      </w:r>
      <w:r w:rsidR="008F7129" w:rsidRPr="00F00D94">
        <w:rPr>
          <w:rFonts w:ascii="Arial" w:eastAsia="Arial" w:hAnsi="Arial" w:cs="Arial"/>
          <w:spacing w:val="-3"/>
        </w:rPr>
        <w:t>l</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1"/>
        </w:rPr>
        <w:t xml:space="preserve"> e</w:t>
      </w:r>
      <w:r w:rsidR="008F7129" w:rsidRPr="00F00D94">
        <w:rPr>
          <w:rFonts w:ascii="Arial" w:eastAsia="Arial" w:hAnsi="Arial" w:cs="Arial"/>
        </w:rPr>
        <w:t>li</w:t>
      </w:r>
      <w:r w:rsidR="008F7129" w:rsidRPr="00F00D94">
        <w:rPr>
          <w:rFonts w:ascii="Arial" w:eastAsia="Arial" w:hAnsi="Arial" w:cs="Arial"/>
          <w:spacing w:val="-1"/>
        </w:rPr>
        <w:t>g</w:t>
      </w:r>
      <w:r w:rsidR="008F7129" w:rsidRPr="00F00D94">
        <w:rPr>
          <w:rFonts w:ascii="Arial" w:eastAsia="Arial" w:hAnsi="Arial" w:cs="Arial"/>
        </w:rPr>
        <w:t>i</w:t>
      </w:r>
      <w:r w:rsidR="008F7129" w:rsidRPr="00F00D94">
        <w:rPr>
          <w:rFonts w:ascii="Arial" w:eastAsia="Arial" w:hAnsi="Arial" w:cs="Arial"/>
          <w:spacing w:val="1"/>
        </w:rPr>
        <w:t>b</w:t>
      </w:r>
      <w:r w:rsidR="008F7129" w:rsidRPr="00F00D94">
        <w:rPr>
          <w:rFonts w:ascii="Arial" w:eastAsia="Arial" w:hAnsi="Arial" w:cs="Arial"/>
        </w:rPr>
        <w:t>le</w:t>
      </w:r>
      <w:r w:rsidR="008F7129" w:rsidRPr="00F00D94">
        <w:rPr>
          <w:rFonts w:ascii="Arial" w:eastAsia="Arial" w:hAnsi="Arial" w:cs="Arial"/>
          <w:spacing w:val="1"/>
        </w:rPr>
        <w:t xml:space="preserve"> pa</w:t>
      </w:r>
      <w:r w:rsidR="008F7129" w:rsidRPr="00F00D94">
        <w:rPr>
          <w:rFonts w:ascii="Arial" w:eastAsia="Arial" w:hAnsi="Arial" w:cs="Arial"/>
          <w:spacing w:val="-1"/>
        </w:rPr>
        <w:t>r</w:t>
      </w:r>
      <w:r w:rsidR="008F7129" w:rsidRPr="00F00D94">
        <w:rPr>
          <w:rFonts w:ascii="Arial" w:eastAsia="Arial" w:hAnsi="Arial" w:cs="Arial"/>
        </w:rPr>
        <w:t>ti</w:t>
      </w:r>
      <w:r w:rsidR="008F7129" w:rsidRPr="00F00D94">
        <w:rPr>
          <w:rFonts w:ascii="Arial" w:eastAsia="Arial" w:hAnsi="Arial" w:cs="Arial"/>
          <w:spacing w:val="-2"/>
        </w:rPr>
        <w:t>c</w:t>
      </w:r>
      <w:r w:rsidR="008F7129" w:rsidRPr="00F00D94">
        <w:rPr>
          <w:rFonts w:ascii="Arial" w:eastAsia="Arial" w:hAnsi="Arial" w:cs="Arial"/>
        </w:rPr>
        <w:t>i</w:t>
      </w:r>
      <w:r w:rsidR="008F7129" w:rsidRPr="00F00D94">
        <w:rPr>
          <w:rFonts w:ascii="Arial" w:eastAsia="Arial" w:hAnsi="Arial" w:cs="Arial"/>
          <w:spacing w:val="1"/>
        </w:rPr>
        <w:t>pan</w:t>
      </w:r>
      <w:r w:rsidR="008F7129" w:rsidRPr="00F00D94">
        <w:rPr>
          <w:rFonts w:ascii="Arial" w:eastAsia="Arial" w:hAnsi="Arial" w:cs="Arial"/>
        </w:rPr>
        <w:t>ts</w:t>
      </w:r>
      <w:r w:rsidR="008F7129" w:rsidRPr="00F00D94">
        <w:rPr>
          <w:rFonts w:ascii="Arial" w:eastAsia="Arial" w:hAnsi="Arial" w:cs="Arial"/>
          <w:spacing w:val="-2"/>
        </w:rPr>
        <w:t xml:space="preserve">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rPr>
        <w:t>c</w:t>
      </w:r>
      <w:r w:rsidR="008F7129" w:rsidRPr="00F00D94">
        <w:rPr>
          <w:rFonts w:ascii="Arial" w:eastAsia="Arial" w:hAnsi="Arial" w:cs="Arial"/>
          <w:spacing w:val="1"/>
        </w:rPr>
        <w:t>a</w:t>
      </w:r>
      <w:r w:rsidR="008F7129" w:rsidRPr="00F00D94">
        <w:rPr>
          <w:rFonts w:ascii="Arial" w:eastAsia="Arial" w:hAnsi="Arial" w:cs="Arial"/>
        </w:rPr>
        <w:t>lc</w:t>
      </w:r>
      <w:r w:rsidR="008F7129" w:rsidRPr="00F00D94">
        <w:rPr>
          <w:rFonts w:ascii="Arial" w:eastAsia="Arial" w:hAnsi="Arial" w:cs="Arial"/>
          <w:spacing w:val="1"/>
        </w:rPr>
        <w:t>u</w:t>
      </w:r>
      <w:r w:rsidR="008F7129" w:rsidRPr="00F00D94">
        <w:rPr>
          <w:rFonts w:ascii="Arial" w:eastAsia="Arial" w:hAnsi="Arial" w:cs="Arial"/>
        </w:rPr>
        <w:t>l</w:t>
      </w:r>
      <w:r w:rsidR="008F7129" w:rsidRPr="00F00D94">
        <w:rPr>
          <w:rFonts w:ascii="Arial" w:eastAsia="Arial" w:hAnsi="Arial" w:cs="Arial"/>
          <w:spacing w:val="1"/>
        </w:rPr>
        <w:t>a</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rPr>
        <w:t>in</w:t>
      </w:r>
      <w:r w:rsidR="008F7129" w:rsidRPr="00F00D94">
        <w:rPr>
          <w:rFonts w:ascii="Arial" w:eastAsia="Arial" w:hAnsi="Arial" w:cs="Arial"/>
          <w:spacing w:val="-1"/>
        </w:rPr>
        <w:t xml:space="preserve"> </w:t>
      </w:r>
      <w:r w:rsidR="008F7129" w:rsidRPr="00F00D94">
        <w:rPr>
          <w:rFonts w:ascii="Arial" w:eastAsia="Arial" w:hAnsi="Arial" w:cs="Arial"/>
          <w:spacing w:val="1"/>
        </w:rPr>
        <w:t>a</w:t>
      </w:r>
      <w:r w:rsidR="008F7129" w:rsidRPr="00F00D94">
        <w:rPr>
          <w:rFonts w:ascii="Arial" w:eastAsia="Arial" w:hAnsi="Arial" w:cs="Arial"/>
        </w:rPr>
        <w:t>c</w:t>
      </w:r>
      <w:r w:rsidR="008F7129" w:rsidRPr="00F00D94">
        <w:rPr>
          <w:rFonts w:ascii="Arial" w:eastAsia="Arial" w:hAnsi="Arial" w:cs="Arial"/>
          <w:spacing w:val="-2"/>
        </w:rPr>
        <w:t>c</w:t>
      </w:r>
      <w:r w:rsidR="008F7129" w:rsidRPr="00F00D94">
        <w:rPr>
          <w:rFonts w:ascii="Arial" w:eastAsia="Arial" w:hAnsi="Arial" w:cs="Arial"/>
          <w:spacing w:val="1"/>
        </w:rPr>
        <w:t>o</w:t>
      </w:r>
      <w:r w:rsidR="008F7129" w:rsidRPr="00F00D94">
        <w:rPr>
          <w:rFonts w:ascii="Arial" w:eastAsia="Arial" w:hAnsi="Arial" w:cs="Arial"/>
          <w:spacing w:val="-1"/>
        </w:rPr>
        <w:t>r</w:t>
      </w:r>
      <w:r w:rsidR="008F7129" w:rsidRPr="00F00D94">
        <w:rPr>
          <w:rFonts w:ascii="Arial" w:eastAsia="Arial" w:hAnsi="Arial" w:cs="Arial"/>
          <w:spacing w:val="1"/>
        </w:rPr>
        <w:t>dan</w:t>
      </w:r>
      <w:r w:rsidR="008F7129" w:rsidRPr="00F00D94">
        <w:rPr>
          <w:rFonts w:ascii="Arial" w:eastAsia="Arial" w:hAnsi="Arial" w:cs="Arial"/>
          <w:spacing w:val="-2"/>
        </w:rPr>
        <w:t>c</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rPr>
        <w:t>ith</w:t>
      </w:r>
      <w:r w:rsidR="008F7129" w:rsidRPr="00F00D94">
        <w:rPr>
          <w:rFonts w:ascii="Arial" w:eastAsia="Arial" w:hAnsi="Arial" w:cs="Arial"/>
          <w:spacing w:val="1"/>
        </w:rPr>
        <w:t xml:space="preserve"> p</w:t>
      </w:r>
      <w:r w:rsidR="008F7129" w:rsidRPr="00F00D94">
        <w:rPr>
          <w:rFonts w:ascii="Arial" w:eastAsia="Arial" w:hAnsi="Arial" w:cs="Arial"/>
          <w:spacing w:val="-1"/>
        </w:rPr>
        <w:t>r</w:t>
      </w:r>
      <w:r w:rsidR="008F7129" w:rsidRPr="00F00D94">
        <w:rPr>
          <w:rFonts w:ascii="Arial" w:eastAsia="Arial" w:hAnsi="Arial" w:cs="Arial"/>
          <w:spacing w:val="1"/>
        </w:rPr>
        <w:t>o</w:t>
      </w:r>
      <w:r w:rsidR="008F7129" w:rsidRPr="00F00D94">
        <w:rPr>
          <w:rFonts w:ascii="Arial" w:eastAsia="Arial" w:hAnsi="Arial" w:cs="Arial"/>
          <w:spacing w:val="-1"/>
        </w:rPr>
        <w:t>gr</w:t>
      </w:r>
      <w:r w:rsidR="008F7129" w:rsidRPr="00F00D94">
        <w:rPr>
          <w:rFonts w:ascii="Arial" w:eastAsia="Arial" w:hAnsi="Arial" w:cs="Arial"/>
          <w:spacing w:val="1"/>
        </w:rPr>
        <w:t>a</w:t>
      </w:r>
      <w:r w:rsidR="008F7129" w:rsidRPr="00F00D94">
        <w:rPr>
          <w:rFonts w:ascii="Arial" w:eastAsia="Arial" w:hAnsi="Arial" w:cs="Arial"/>
        </w:rPr>
        <w:t xml:space="preserve">m </w:t>
      </w:r>
      <w:r w:rsidR="008F7129" w:rsidRPr="00F00D94">
        <w:rPr>
          <w:rFonts w:ascii="Arial" w:eastAsia="Arial" w:hAnsi="Arial" w:cs="Arial"/>
          <w:spacing w:val="-1"/>
        </w:rPr>
        <w:t>r</w:t>
      </w:r>
      <w:r w:rsidR="008F7129" w:rsidRPr="00F00D94">
        <w:rPr>
          <w:rFonts w:ascii="Arial" w:eastAsia="Arial" w:hAnsi="Arial" w:cs="Arial"/>
          <w:spacing w:val="1"/>
        </w:rPr>
        <w:t>e</w:t>
      </w:r>
      <w:r w:rsidR="008F7129" w:rsidRPr="00F00D94">
        <w:rPr>
          <w:rFonts w:ascii="Arial" w:eastAsia="Arial" w:hAnsi="Arial" w:cs="Arial"/>
          <w:spacing w:val="-1"/>
        </w:rPr>
        <w:t>q</w:t>
      </w:r>
      <w:r w:rsidR="008F7129" w:rsidRPr="00F00D94">
        <w:rPr>
          <w:rFonts w:ascii="Arial" w:eastAsia="Arial" w:hAnsi="Arial" w:cs="Arial"/>
          <w:spacing w:val="1"/>
        </w:rPr>
        <w:t>u</w:t>
      </w:r>
      <w:r w:rsidR="008F7129" w:rsidRPr="00F00D94">
        <w:rPr>
          <w:rFonts w:ascii="Arial" w:eastAsia="Arial" w:hAnsi="Arial" w:cs="Arial"/>
        </w:rPr>
        <w:t>i</w:t>
      </w:r>
      <w:r w:rsidR="008F7129" w:rsidRPr="00F00D94">
        <w:rPr>
          <w:rFonts w:ascii="Arial" w:eastAsia="Arial" w:hAnsi="Arial" w:cs="Arial"/>
          <w:spacing w:val="-1"/>
        </w:rPr>
        <w:t>r</w:t>
      </w:r>
      <w:r w:rsidR="008F7129" w:rsidRPr="00F00D94">
        <w:rPr>
          <w:rFonts w:ascii="Arial" w:eastAsia="Arial" w:hAnsi="Arial" w:cs="Arial"/>
          <w:spacing w:val="1"/>
        </w:rPr>
        <w:t>e</w:t>
      </w:r>
      <w:r w:rsidR="008F7129" w:rsidRPr="00F00D94">
        <w:rPr>
          <w:rFonts w:ascii="Arial" w:eastAsia="Arial" w:hAnsi="Arial" w:cs="Arial"/>
          <w:spacing w:val="2"/>
        </w:rPr>
        <w:t>m</w:t>
      </w:r>
      <w:r w:rsidR="008F7129" w:rsidRPr="00F00D94">
        <w:rPr>
          <w:rFonts w:ascii="Arial" w:eastAsia="Arial" w:hAnsi="Arial" w:cs="Arial"/>
          <w:spacing w:val="1"/>
        </w:rPr>
        <w:t>en</w:t>
      </w:r>
      <w:r w:rsidR="008F7129" w:rsidRPr="00F00D94">
        <w:rPr>
          <w:rFonts w:ascii="Arial" w:eastAsia="Arial" w:hAnsi="Arial" w:cs="Arial"/>
        </w:rPr>
        <w:t>t</w:t>
      </w:r>
      <w:r w:rsidR="008F7129" w:rsidRPr="00F00D94">
        <w:rPr>
          <w:rFonts w:ascii="Arial" w:eastAsia="Arial" w:hAnsi="Arial" w:cs="Arial"/>
          <w:spacing w:val="-2"/>
        </w:rPr>
        <w:t>s</w:t>
      </w:r>
      <w:r w:rsidR="008F7129"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47" w:name="_Toc17635540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7"/>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030865FB"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BF669C">
              <w:rPr>
                <w:rFonts w:ascii="Arial" w:hAnsi="Arial" w:cs="Arial"/>
                <w:i/>
                <w:sz w:val="20"/>
              </w:rPr>
              <w:t xml:space="preserve">– </w:t>
            </w:r>
            <w:r w:rsidR="00BF669C" w:rsidRPr="00BF669C">
              <w:rPr>
                <w:rFonts w:ascii="Arial" w:hAnsi="Arial" w:cs="Arial"/>
                <w:b/>
                <w:bCs/>
                <w:i/>
                <w:color w:val="002060"/>
                <w:sz w:val="20"/>
              </w:rPr>
              <w:t>Not Applicable</w:t>
            </w:r>
          </w:p>
          <w:p w14:paraId="3C56E491" w14:textId="6E226257" w:rsidR="0063267C" w:rsidRPr="00F00D94" w:rsidRDefault="0063267C" w:rsidP="00BF669C">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BF669C">
              <w:rPr>
                <w:rFonts w:ascii="Arial" w:hAnsi="Arial" w:cs="Arial"/>
                <w:i/>
                <w:sz w:val="20"/>
              </w:rPr>
              <w:t xml:space="preserve"> – </w:t>
            </w:r>
            <w:r w:rsidR="00BF669C" w:rsidRPr="00BF669C">
              <w:rPr>
                <w:rFonts w:ascii="Arial" w:hAnsi="Arial" w:cs="Arial"/>
                <w:b/>
                <w:bCs/>
                <w:i/>
                <w:color w:val="002060"/>
                <w:sz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48" w:name="_Toc176355404"/>
      <w:r w:rsidRPr="00220BD0">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E4D84D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5"/>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49" w:name="J___PROGRAM_INCOME"/>
      <w:bookmarkStart w:id="50" w:name="L___REPORTING"/>
      <w:bookmarkStart w:id="51" w:name="_Toc442267701"/>
      <w:bookmarkStart w:id="52" w:name="_Toc176355405"/>
      <w:bookmarkEnd w:id="49"/>
      <w:bookmarkEnd w:id="50"/>
      <w:r w:rsidRPr="000706D1">
        <w:rPr>
          <w:rFonts w:cs="Arial"/>
          <w:sz w:val="24"/>
        </w:rPr>
        <w:lastRenderedPageBreak/>
        <w:t>L.  REPORTING</w:t>
      </w:r>
      <w:bookmarkEnd w:id="51"/>
      <w:bookmarkEnd w:id="52"/>
    </w:p>
    <w:p w14:paraId="13BAAFFB" w14:textId="16BE9FED" w:rsidR="007E5B12" w:rsidRPr="000706D1" w:rsidRDefault="00261D87" w:rsidP="006672EA">
      <w:pPr>
        <w:pStyle w:val="Heading3"/>
        <w:jc w:val="both"/>
        <w:rPr>
          <w:rFonts w:cs="Arial"/>
          <w:sz w:val="24"/>
          <w:szCs w:val="24"/>
        </w:rPr>
      </w:pPr>
      <w:bookmarkStart w:id="53" w:name="_Toc176355406"/>
      <w:r w:rsidRPr="000706D1">
        <w:rPr>
          <w:rFonts w:cs="Arial"/>
          <w:sz w:val="24"/>
          <w:szCs w:val="24"/>
        </w:rPr>
        <w:t xml:space="preserve">OMB </w:t>
      </w:r>
      <w:r w:rsidR="007E5B12" w:rsidRPr="000706D1">
        <w:rPr>
          <w:rFonts w:cs="Arial"/>
          <w:sz w:val="24"/>
          <w:szCs w:val="24"/>
        </w:rPr>
        <w:t>Compliance Requirements</w:t>
      </w:r>
      <w:bookmarkEnd w:id="53"/>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35E3F20E" w:rsidR="00271D8B" w:rsidRPr="00A46E39"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Cs/>
        </w:rPr>
      </w:pPr>
      <w:r w:rsidRPr="00F00D94">
        <w:rPr>
          <w:rFonts w:ascii="Arial" w:hAnsi="Arial" w:cs="Arial"/>
          <w:b/>
          <w:u w:val="single"/>
        </w:rPr>
        <w:t>Federal Funding Accountability and Transparency Act</w:t>
      </w:r>
      <w:r w:rsidR="00A46E39">
        <w:rPr>
          <w:rFonts w:ascii="Arial" w:hAnsi="Arial" w:cs="Arial"/>
          <w:bCs/>
        </w:rPr>
        <w:t xml:space="preserve"> – </w:t>
      </w:r>
      <w:r w:rsidR="00A46E39" w:rsidRPr="00A46E39">
        <w:rPr>
          <w:rFonts w:ascii="Arial" w:hAnsi="Arial" w:cs="Arial"/>
          <w:bCs/>
          <w:i/>
          <w:iCs/>
          <w:color w:val="002060"/>
        </w:rPr>
        <w:t>Not Applicable to this Cluster</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567482D7"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 xml:space="preserve">Part </w:t>
      </w:r>
      <w:r w:rsidR="00BF669C">
        <w:rPr>
          <w:rFonts w:ascii="Arial" w:hAnsi="Arial" w:cs="Arial"/>
          <w:b/>
          <w:sz w:val="24"/>
          <w:szCs w:val="24"/>
        </w:rPr>
        <w:t>5</w:t>
      </w:r>
      <w:r w:rsidRPr="000706D1">
        <w:rPr>
          <w:rFonts w:ascii="Arial" w:hAnsi="Arial" w:cs="Arial"/>
          <w:b/>
          <w:sz w:val="24"/>
          <w:szCs w:val="24"/>
        </w:rPr>
        <w:t xml:space="preserve"> OMB Program Specific Requirements</w:t>
      </w:r>
    </w:p>
    <w:p w14:paraId="28ABF08D" w14:textId="7578A6EF" w:rsidR="00BF669C" w:rsidRPr="00BF669C" w:rsidRDefault="00BF669C" w:rsidP="00BF669C">
      <w:pPr>
        <w:spacing w:after="240"/>
        <w:jc w:val="both"/>
        <w:rPr>
          <w:rFonts w:ascii="Arial" w:hAnsi="Arial" w:cs="Arial"/>
          <w:b/>
        </w:rPr>
      </w:pPr>
      <w:r w:rsidRPr="00BF669C">
        <w:rPr>
          <w:rFonts w:ascii="Arial" w:hAnsi="Arial" w:cs="Arial"/>
          <w:b/>
        </w:rPr>
        <w:t>1.</w:t>
      </w:r>
      <w:r w:rsidRPr="00BF669C">
        <w:rPr>
          <w:rFonts w:ascii="Arial" w:hAnsi="Arial" w:cs="Arial"/>
          <w:b/>
        </w:rPr>
        <w:tab/>
        <w:t>Financial Reporting</w:t>
      </w:r>
    </w:p>
    <w:p w14:paraId="6C440B3F" w14:textId="595EB7D2" w:rsidR="00BF669C" w:rsidRPr="00BF669C" w:rsidRDefault="00BF669C" w:rsidP="00BF669C">
      <w:pPr>
        <w:spacing w:after="240"/>
        <w:ind w:left="1440" w:hanging="720"/>
        <w:jc w:val="both"/>
        <w:rPr>
          <w:rFonts w:ascii="Arial" w:hAnsi="Arial" w:cs="Arial"/>
          <w:bCs/>
        </w:rPr>
      </w:pPr>
      <w:r w:rsidRPr="00BF669C">
        <w:rPr>
          <w:rFonts w:ascii="Arial" w:hAnsi="Arial" w:cs="Arial"/>
          <w:bCs/>
        </w:rPr>
        <w:t>a.</w:t>
      </w:r>
      <w:r w:rsidRPr="00BF669C">
        <w:rPr>
          <w:rFonts w:ascii="Arial" w:hAnsi="Arial" w:cs="Arial"/>
          <w:bCs/>
        </w:rPr>
        <w:tab/>
      </w:r>
      <w:r w:rsidRPr="00BF669C">
        <w:rPr>
          <w:rFonts w:ascii="Arial" w:hAnsi="Arial" w:cs="Arial"/>
          <w:bCs/>
          <w:i/>
          <w:iCs/>
        </w:rPr>
        <w:t>SF-270, Request for Advance or Reimbursement (Form 270, Request for Title IV Reimbursement or Heightened Cash Monitoring 2 [OMB No. 1845-0089])</w:t>
      </w:r>
      <w:r w:rsidRPr="00BF669C">
        <w:rPr>
          <w:rFonts w:ascii="Arial" w:hAnsi="Arial" w:cs="Arial"/>
          <w:bCs/>
        </w:rPr>
        <w:t xml:space="preserve"> – Not Applicable</w:t>
      </w:r>
    </w:p>
    <w:p w14:paraId="387AC042" w14:textId="49053F5B" w:rsidR="00BF669C" w:rsidRPr="00BF669C" w:rsidRDefault="00BF669C" w:rsidP="00BF669C">
      <w:pPr>
        <w:spacing w:after="240"/>
        <w:ind w:left="1440" w:hanging="720"/>
        <w:jc w:val="both"/>
        <w:rPr>
          <w:rFonts w:ascii="Arial" w:hAnsi="Arial" w:cs="Arial"/>
          <w:bCs/>
        </w:rPr>
      </w:pPr>
      <w:r w:rsidRPr="00BF669C">
        <w:rPr>
          <w:rFonts w:ascii="Arial" w:hAnsi="Arial" w:cs="Arial"/>
          <w:bCs/>
        </w:rPr>
        <w:t>b.</w:t>
      </w:r>
      <w:r w:rsidRPr="00BF669C">
        <w:rPr>
          <w:rFonts w:ascii="Arial" w:hAnsi="Arial" w:cs="Arial"/>
          <w:bCs/>
        </w:rPr>
        <w:tab/>
      </w:r>
      <w:r w:rsidRPr="00BF669C">
        <w:rPr>
          <w:rFonts w:ascii="Arial" w:hAnsi="Arial" w:cs="Arial"/>
          <w:bCs/>
          <w:i/>
          <w:iCs/>
        </w:rPr>
        <w:t>SF-271, Outlay Report and Request for Reimbursement for Construction Programs</w:t>
      </w:r>
      <w:r w:rsidRPr="00BF669C">
        <w:rPr>
          <w:rFonts w:ascii="Arial" w:hAnsi="Arial" w:cs="Arial"/>
          <w:bCs/>
        </w:rPr>
        <w:t xml:space="preserve"> – Not Applicable</w:t>
      </w:r>
    </w:p>
    <w:p w14:paraId="0C275AE2" w14:textId="10863D0B" w:rsidR="00BF669C" w:rsidRPr="00BF669C" w:rsidRDefault="00BF669C" w:rsidP="00BF669C">
      <w:pPr>
        <w:spacing w:after="240"/>
        <w:ind w:left="720"/>
        <w:jc w:val="both"/>
        <w:rPr>
          <w:rFonts w:ascii="Arial" w:hAnsi="Arial" w:cs="Arial"/>
          <w:bCs/>
        </w:rPr>
      </w:pPr>
      <w:r w:rsidRPr="00BF669C">
        <w:rPr>
          <w:rFonts w:ascii="Arial" w:hAnsi="Arial" w:cs="Arial"/>
          <w:bCs/>
        </w:rPr>
        <w:t>c.</w:t>
      </w:r>
      <w:r w:rsidRPr="00BF669C">
        <w:rPr>
          <w:rFonts w:ascii="Arial" w:hAnsi="Arial" w:cs="Arial"/>
          <w:bCs/>
        </w:rPr>
        <w:tab/>
      </w:r>
      <w:r w:rsidRPr="00BF669C">
        <w:rPr>
          <w:rFonts w:ascii="Arial" w:hAnsi="Arial" w:cs="Arial"/>
          <w:bCs/>
          <w:i/>
          <w:iCs/>
        </w:rPr>
        <w:t>SF-425, Federal Financial Report</w:t>
      </w:r>
      <w:r w:rsidRPr="00BF669C">
        <w:rPr>
          <w:rFonts w:ascii="Arial" w:hAnsi="Arial" w:cs="Arial"/>
          <w:bCs/>
        </w:rPr>
        <w:t xml:space="preserve"> – Not Applicable</w:t>
      </w:r>
    </w:p>
    <w:p w14:paraId="247AE477" w14:textId="4763FDBC" w:rsidR="00BF669C" w:rsidRPr="00BF669C" w:rsidRDefault="00BF669C" w:rsidP="00BF669C">
      <w:pPr>
        <w:spacing w:after="240"/>
        <w:ind w:left="720"/>
        <w:jc w:val="both"/>
        <w:rPr>
          <w:rFonts w:ascii="Arial" w:hAnsi="Arial" w:cs="Arial"/>
          <w:bCs/>
        </w:rPr>
      </w:pPr>
      <w:r w:rsidRPr="00BF669C">
        <w:rPr>
          <w:rFonts w:ascii="Arial" w:hAnsi="Arial" w:cs="Arial"/>
          <w:bCs/>
        </w:rPr>
        <w:t>d.</w:t>
      </w:r>
      <w:r w:rsidRPr="00BF669C">
        <w:rPr>
          <w:rFonts w:ascii="Arial" w:hAnsi="Arial" w:cs="Arial"/>
          <w:bCs/>
        </w:rPr>
        <w:tab/>
      </w:r>
      <w:r w:rsidRPr="00BF669C">
        <w:rPr>
          <w:rFonts w:ascii="Arial" w:hAnsi="Arial" w:cs="Arial"/>
          <w:bCs/>
          <w:i/>
          <w:iCs/>
        </w:rPr>
        <w:t>Common Origination and Disbursement (COD) System (OMB No. 1845- 0039)</w:t>
      </w:r>
      <w:r w:rsidRPr="00BF669C">
        <w:rPr>
          <w:rFonts w:ascii="Arial" w:hAnsi="Arial" w:cs="Arial"/>
          <w:bCs/>
        </w:rPr>
        <w:t>.</w:t>
      </w:r>
    </w:p>
    <w:p w14:paraId="7893B9AC" w14:textId="5131547C" w:rsidR="00BF669C" w:rsidRPr="00BF669C" w:rsidRDefault="00BF669C" w:rsidP="00BF669C">
      <w:pPr>
        <w:spacing w:after="240"/>
        <w:ind w:left="720"/>
        <w:jc w:val="both"/>
        <w:rPr>
          <w:rFonts w:ascii="Arial" w:hAnsi="Arial" w:cs="Arial"/>
          <w:bCs/>
          <w:i/>
          <w:iCs/>
        </w:rPr>
      </w:pPr>
      <w:r w:rsidRPr="00BF669C">
        <w:rPr>
          <w:rFonts w:ascii="Arial" w:hAnsi="Arial" w:cs="Arial"/>
          <w:bCs/>
          <w:i/>
          <w:iCs/>
        </w:rPr>
        <w:t>SFA – Title IV Programs</w:t>
      </w:r>
    </w:p>
    <w:p w14:paraId="275FBC8B" w14:textId="4EAC7743" w:rsidR="00BF669C" w:rsidRPr="00594EDE" w:rsidRDefault="00BF669C" w:rsidP="00594EDE">
      <w:pPr>
        <w:spacing w:after="240"/>
        <w:ind w:left="720"/>
        <w:jc w:val="both"/>
        <w:rPr>
          <w:rFonts w:ascii="Arial" w:hAnsi="Arial" w:cs="Arial"/>
          <w:bCs/>
        </w:rPr>
      </w:pPr>
      <w:r w:rsidRPr="00BF669C">
        <w:rPr>
          <w:rFonts w:ascii="Arial" w:hAnsi="Arial" w:cs="Arial"/>
          <w:bCs/>
        </w:rPr>
        <w:t xml:space="preserve">Institutions submit Direct Loan, Pell Grant, TEACH Grant, and IASG origination records and disbursement records to the COD system. Origination records can be sent well in advance of any </w:t>
      </w:r>
      <w:r w:rsidRPr="00BF669C">
        <w:rPr>
          <w:rFonts w:ascii="Arial" w:hAnsi="Arial" w:cs="Arial"/>
          <w:bCs/>
        </w:rPr>
        <w:lastRenderedPageBreak/>
        <w:t xml:space="preserve">disbursements, as early as the institution chooses to submit them for any student the institution reasonably believes will be eligible for a payment. An institution follows up with a disbursement record for that student no earlier than (1) seven calendar days prior to the disbursement date under the Advance or Heightened Cash Monitoring 1 payment methods, or (2) the date of the disbursement under the Reimbursement or Heightened Cash Monitoring 2 Payment Method (see </w:t>
      </w:r>
      <w:hyperlink r:id="rId66" w:history="1">
        <w:r w:rsidRPr="00BF669C">
          <w:rPr>
            <w:rStyle w:val="Hyperlink"/>
            <w:rFonts w:cs="Arial"/>
            <w:bCs/>
          </w:rPr>
          <w:t>Federal Register, Volume 86, Number 119, June 24, 2021</w:t>
        </w:r>
      </w:hyperlink>
      <w:r w:rsidRPr="00BF669C">
        <w:rPr>
          <w:rFonts w:ascii="Arial" w:hAnsi="Arial" w:cs="Arial"/>
          <w:bCs/>
        </w:rPr>
        <w:t>). The disbursement record reports the actual disbursement date and the amount of the disbursement. ED processes origination and/or disbursement records and returns acknowledgments to the institution. The acknowledgments identify the processing status of each record: Rejected, Accepted with Corrections, or Accepted. In testing the origination and disbursement data, the auditor should be most concerned with the data ED has categorized as accepted or accepted with corrections. Institutions must report student disbursement data within 15 calendar days after the institution makes a disbursement or becomes aware of the need to make an adjustment to previously reported student disbursement data or expected student disbursement data. Institutions may do this by reporting once every 15 calendar days, bi-weekly or weekly, or may set up their own system to ensure that changes are reported in a timely manner.</w:t>
      </w:r>
    </w:p>
    <w:p w14:paraId="51DE69E3" w14:textId="42FD6453" w:rsidR="00BF669C" w:rsidRPr="00594EDE" w:rsidRDefault="00BF669C" w:rsidP="00594EDE">
      <w:pPr>
        <w:spacing w:after="240"/>
        <w:ind w:left="720"/>
        <w:jc w:val="both"/>
        <w:rPr>
          <w:rFonts w:ascii="Arial" w:hAnsi="Arial" w:cs="Arial"/>
          <w:bCs/>
        </w:rPr>
      </w:pPr>
      <w:r w:rsidRPr="00594EDE">
        <w:rPr>
          <w:rFonts w:ascii="Arial" w:hAnsi="Arial" w:cs="Arial"/>
          <w:bCs/>
        </w:rPr>
        <w:t xml:space="preserve">Key items to test on origination records are: award amount, enrollment date, verification status code (when the applicant is selected for verification), transaction number, cost of attendance, and the “Academic Start Date” and “Academic End Date”. Key items to test on disbursement records are disbursement date and amount. The information may be accessed by the institution for the auditor (34 CFR 690.83; FSA Handbook, technical references on obtaining reports for each award year are located at </w:t>
      </w:r>
      <w:hyperlink r:id="rId67" w:history="1">
        <w:r w:rsidR="00594EDE" w:rsidRPr="00594EDE">
          <w:rPr>
            <w:rStyle w:val="Hyperlink"/>
            <w:rFonts w:cs="Arial"/>
            <w:bCs/>
          </w:rPr>
          <w:t>https://fsapartners.ed.gov/knowledge-center/library/system-technical-references/2020-11-24/2021-2022-cod-technical-reference</w:t>
        </w:r>
      </w:hyperlink>
      <w:r w:rsidRPr="00594EDE">
        <w:rPr>
          <w:rFonts w:ascii="Arial" w:hAnsi="Arial" w:cs="Arial"/>
          <w:bCs/>
        </w:rPr>
        <w:t xml:space="preserve"> COD Technical Reference; choose the award year, Volume VI, appendices, Section 7).</w:t>
      </w:r>
    </w:p>
    <w:p w14:paraId="57EEDBC6" w14:textId="04B409D1" w:rsidR="00BF669C" w:rsidRPr="00594EDE" w:rsidRDefault="00BF669C" w:rsidP="00BF669C">
      <w:pPr>
        <w:spacing w:after="240"/>
        <w:jc w:val="both"/>
        <w:rPr>
          <w:rFonts w:ascii="Arial" w:hAnsi="Arial" w:cs="Arial"/>
          <w:bCs/>
        </w:rPr>
      </w:pPr>
      <w:r w:rsidRPr="00BF669C">
        <w:rPr>
          <w:rFonts w:ascii="Arial" w:hAnsi="Arial" w:cs="Arial"/>
          <w:b/>
        </w:rPr>
        <w:t>2.</w:t>
      </w:r>
      <w:r w:rsidRPr="00BF669C">
        <w:rPr>
          <w:rFonts w:ascii="Arial" w:hAnsi="Arial" w:cs="Arial"/>
          <w:b/>
        </w:rPr>
        <w:tab/>
        <w:t>Performance Reporting</w:t>
      </w:r>
      <w:r w:rsidR="00594EDE">
        <w:rPr>
          <w:rFonts w:ascii="Arial" w:hAnsi="Arial" w:cs="Arial"/>
          <w:b/>
        </w:rPr>
        <w:t xml:space="preserve"> – </w:t>
      </w:r>
      <w:r w:rsidR="00594EDE">
        <w:rPr>
          <w:rFonts w:ascii="Arial" w:hAnsi="Arial" w:cs="Arial"/>
          <w:bCs/>
        </w:rPr>
        <w:t>Not Applicable</w:t>
      </w:r>
    </w:p>
    <w:p w14:paraId="10ECB73B" w14:textId="01A85075" w:rsidR="00BF669C" w:rsidRPr="00BF669C" w:rsidRDefault="00BF669C" w:rsidP="00BF669C">
      <w:pPr>
        <w:spacing w:after="240"/>
        <w:jc w:val="both"/>
        <w:rPr>
          <w:rFonts w:ascii="Arial" w:hAnsi="Arial" w:cs="Arial"/>
          <w:b/>
        </w:rPr>
      </w:pPr>
      <w:r w:rsidRPr="00BF669C">
        <w:rPr>
          <w:rFonts w:ascii="Arial" w:hAnsi="Arial" w:cs="Arial"/>
          <w:b/>
        </w:rPr>
        <w:t>3.</w:t>
      </w:r>
      <w:r w:rsidRPr="00BF669C">
        <w:rPr>
          <w:rFonts w:ascii="Arial" w:hAnsi="Arial" w:cs="Arial"/>
          <w:b/>
        </w:rPr>
        <w:tab/>
        <w:t>Special Reporting</w:t>
      </w:r>
    </w:p>
    <w:p w14:paraId="643E1F29" w14:textId="77777777" w:rsidR="00BF669C" w:rsidRPr="00A46E39" w:rsidRDefault="00BF669C" w:rsidP="00A46E39">
      <w:pPr>
        <w:spacing w:after="240"/>
        <w:ind w:left="720"/>
        <w:jc w:val="both"/>
        <w:rPr>
          <w:rFonts w:ascii="Arial" w:hAnsi="Arial" w:cs="Arial"/>
          <w:bCs/>
        </w:rPr>
      </w:pPr>
      <w:r w:rsidRPr="00A46E39">
        <w:rPr>
          <w:rFonts w:ascii="Arial" w:hAnsi="Arial" w:cs="Arial"/>
          <w:bCs/>
        </w:rPr>
        <w:t xml:space="preserve">Report Title: </w:t>
      </w:r>
      <w:r w:rsidRPr="00A46E39">
        <w:rPr>
          <w:rFonts w:ascii="Arial" w:hAnsi="Arial" w:cs="Arial"/>
          <w:bCs/>
          <w:i/>
          <w:iCs/>
        </w:rPr>
        <w:t>ED Form 646-1, Fiscal Operations Report and Application to Participate (FISAP)</w:t>
      </w:r>
    </w:p>
    <w:p w14:paraId="3E3E4D3C" w14:textId="77777777" w:rsidR="00BF669C" w:rsidRPr="00A46E39" w:rsidRDefault="00BF669C" w:rsidP="00A46E39">
      <w:pPr>
        <w:spacing w:after="240"/>
        <w:ind w:left="720"/>
        <w:jc w:val="both"/>
        <w:rPr>
          <w:rFonts w:ascii="Arial" w:hAnsi="Arial" w:cs="Arial"/>
          <w:bCs/>
        </w:rPr>
      </w:pPr>
      <w:r w:rsidRPr="00A46E39">
        <w:rPr>
          <w:rFonts w:ascii="Arial" w:hAnsi="Arial" w:cs="Arial"/>
          <w:bCs/>
        </w:rPr>
        <w:t xml:space="preserve">OMB PRA Number: </w:t>
      </w:r>
      <w:r w:rsidRPr="00A46E39">
        <w:rPr>
          <w:rFonts w:ascii="Arial" w:hAnsi="Arial" w:cs="Arial"/>
          <w:bCs/>
          <w:i/>
          <w:iCs/>
        </w:rPr>
        <w:t>OMB No. 1845-0030</w:t>
      </w:r>
    </w:p>
    <w:p w14:paraId="01BBE3A4" w14:textId="14F39510" w:rsidR="00BF669C" w:rsidRPr="00A46E39" w:rsidRDefault="00BF669C" w:rsidP="00A46E39">
      <w:pPr>
        <w:spacing w:after="240"/>
        <w:ind w:left="720"/>
        <w:jc w:val="both"/>
        <w:rPr>
          <w:rFonts w:ascii="Arial" w:hAnsi="Arial" w:cs="Arial"/>
          <w:bCs/>
          <w:i/>
          <w:iCs/>
        </w:rPr>
      </w:pPr>
      <w:r w:rsidRPr="00A46E39">
        <w:rPr>
          <w:rFonts w:ascii="Arial" w:hAnsi="Arial" w:cs="Arial"/>
          <w:bCs/>
        </w:rPr>
        <w:t xml:space="preserve">Report Authority: </w:t>
      </w:r>
      <w:r w:rsidRPr="00A46E39">
        <w:rPr>
          <w:rFonts w:ascii="Arial" w:hAnsi="Arial" w:cs="Arial"/>
          <w:bCs/>
          <w:i/>
          <w:iCs/>
        </w:rPr>
        <w:t>34 CFR 674.19 (Federal Perkins Loan), 34 CFR 675.19 (FWS),</w:t>
      </w:r>
      <w:r w:rsidR="00A46E39" w:rsidRPr="00A46E39">
        <w:rPr>
          <w:rFonts w:ascii="Arial" w:hAnsi="Arial" w:cs="Arial"/>
          <w:bCs/>
          <w:i/>
          <w:iCs/>
        </w:rPr>
        <w:t xml:space="preserve"> </w:t>
      </w:r>
      <w:r w:rsidRPr="00A46E39">
        <w:rPr>
          <w:rFonts w:ascii="Arial" w:hAnsi="Arial" w:cs="Arial"/>
          <w:bCs/>
          <w:i/>
          <w:iCs/>
        </w:rPr>
        <w:t>and 34 CFR 676.19 and 20 U.S.C. 1094 (FSEOG)</w:t>
      </w:r>
    </w:p>
    <w:p w14:paraId="43DF556B" w14:textId="223867C2" w:rsidR="00BF669C" w:rsidRPr="00A46E39" w:rsidRDefault="00BF669C" w:rsidP="00A46E39">
      <w:pPr>
        <w:spacing w:after="240"/>
        <w:ind w:left="720"/>
        <w:jc w:val="both"/>
        <w:rPr>
          <w:rFonts w:ascii="Arial" w:hAnsi="Arial" w:cs="Arial"/>
          <w:bCs/>
        </w:rPr>
      </w:pPr>
      <w:r w:rsidRPr="00A46E39">
        <w:rPr>
          <w:rFonts w:ascii="Arial" w:hAnsi="Arial" w:cs="Arial"/>
          <w:bCs/>
        </w:rPr>
        <w:t xml:space="preserve">Reporting Period: </w:t>
      </w:r>
      <w:r w:rsidRPr="00A46E39">
        <w:rPr>
          <w:rFonts w:ascii="Arial" w:hAnsi="Arial" w:cs="Arial"/>
          <w:bCs/>
          <w:i/>
          <w:iCs/>
        </w:rPr>
        <w:t>By October 1st of each year (or the date established by a Federal Register announcement), an institution must electronically submit its FISAP via the COD website. The Fiscal Operations Report will cover the most recently completed award year (award years run from July 1 to June 30) and the Application to Participate is for the award year subsequent to the current award year.</w:t>
      </w:r>
    </w:p>
    <w:p w14:paraId="53BA80E5" w14:textId="56D8AD45" w:rsidR="00BF669C" w:rsidRPr="00A46E39" w:rsidRDefault="00BF669C" w:rsidP="00A46E39">
      <w:pPr>
        <w:spacing w:after="240"/>
        <w:ind w:left="720"/>
        <w:jc w:val="both"/>
        <w:rPr>
          <w:rFonts w:ascii="Arial" w:hAnsi="Arial" w:cs="Arial"/>
          <w:bCs/>
        </w:rPr>
      </w:pPr>
      <w:r w:rsidRPr="00A46E39">
        <w:rPr>
          <w:rFonts w:ascii="Arial" w:hAnsi="Arial" w:cs="Arial"/>
          <w:bCs/>
        </w:rPr>
        <w:t xml:space="preserve">Link to report and report instructions: </w:t>
      </w:r>
      <w:hyperlink r:id="rId68" w:history="1">
        <w:r w:rsidR="00A46E39" w:rsidRPr="00A46E39">
          <w:rPr>
            <w:rStyle w:val="Hyperlink"/>
            <w:rFonts w:cs="Arial"/>
            <w:bCs/>
          </w:rPr>
          <w:t>https://fsapartners.ed.gov/knowledge-center/library/resource-type/FISAP%20Form%20and%20Instructions</w:t>
        </w:r>
      </w:hyperlink>
      <w:r w:rsidR="00A46E39" w:rsidRPr="00A46E39">
        <w:rPr>
          <w:rFonts w:ascii="Arial" w:hAnsi="Arial" w:cs="Arial"/>
          <w:bCs/>
        </w:rPr>
        <w:t>.</w:t>
      </w:r>
      <w:r w:rsidRPr="00A46E39">
        <w:rPr>
          <w:rFonts w:ascii="Arial" w:hAnsi="Arial" w:cs="Arial"/>
          <w:bCs/>
        </w:rPr>
        <w:t xml:space="preserve"> The auditor must obtain a copy of the most recently submitted electronic report from the institution.</w:t>
      </w:r>
    </w:p>
    <w:p w14:paraId="69A961C4" w14:textId="2038B0DC" w:rsidR="00BF669C" w:rsidRPr="00A46E39" w:rsidRDefault="00BF669C" w:rsidP="00A46E39">
      <w:pPr>
        <w:spacing w:after="240"/>
        <w:ind w:left="720"/>
        <w:jc w:val="both"/>
        <w:rPr>
          <w:rFonts w:ascii="Arial" w:hAnsi="Arial" w:cs="Arial"/>
          <w:bCs/>
        </w:rPr>
      </w:pPr>
      <w:r w:rsidRPr="00A46E39">
        <w:rPr>
          <w:rFonts w:ascii="Arial" w:hAnsi="Arial" w:cs="Arial"/>
          <w:bCs/>
        </w:rPr>
        <w:t>Key Line Items – The following line items contain critical information:</w:t>
      </w:r>
    </w:p>
    <w:p w14:paraId="221888A0" w14:textId="77777777" w:rsidR="00BF669C" w:rsidRPr="00A46E39" w:rsidRDefault="00BF669C" w:rsidP="00A46E39">
      <w:pPr>
        <w:spacing w:after="240"/>
        <w:ind w:left="1440" w:hanging="720"/>
        <w:jc w:val="both"/>
        <w:rPr>
          <w:rFonts w:ascii="Arial" w:hAnsi="Arial" w:cs="Arial"/>
          <w:bCs/>
        </w:rPr>
      </w:pPr>
      <w:r w:rsidRPr="00A46E39">
        <w:rPr>
          <w:rFonts w:ascii="Arial" w:hAnsi="Arial" w:cs="Arial"/>
          <w:bCs/>
        </w:rPr>
        <w:t>1.</w:t>
      </w:r>
      <w:r w:rsidRPr="00A46E39">
        <w:rPr>
          <w:rFonts w:ascii="Arial" w:hAnsi="Arial" w:cs="Arial"/>
          <w:bCs/>
        </w:rPr>
        <w:tab/>
        <w:t>Part II (Application), Section D, Line 7: Total number of students for schools with a traditional calendar.</w:t>
      </w:r>
    </w:p>
    <w:p w14:paraId="223E3599" w14:textId="77777777" w:rsidR="00BF669C" w:rsidRPr="00A46E39" w:rsidRDefault="00BF669C" w:rsidP="00A46E39">
      <w:pPr>
        <w:spacing w:after="240"/>
        <w:ind w:left="1440" w:hanging="720"/>
        <w:jc w:val="both"/>
        <w:rPr>
          <w:rFonts w:ascii="Arial" w:hAnsi="Arial" w:cs="Arial"/>
          <w:bCs/>
        </w:rPr>
      </w:pPr>
      <w:r w:rsidRPr="00A46E39">
        <w:rPr>
          <w:rFonts w:ascii="Arial" w:hAnsi="Arial" w:cs="Arial"/>
          <w:bCs/>
        </w:rPr>
        <w:t>2.</w:t>
      </w:r>
      <w:r w:rsidRPr="00A46E39">
        <w:rPr>
          <w:rFonts w:ascii="Arial" w:hAnsi="Arial" w:cs="Arial"/>
          <w:bCs/>
        </w:rPr>
        <w:tab/>
        <w:t>Part II (Application), Section D, Lines 9-20: Total number of students for schools with a non-traditional calendar.</w:t>
      </w:r>
    </w:p>
    <w:p w14:paraId="479AEF65" w14:textId="77777777" w:rsidR="00BF669C" w:rsidRPr="00A46E39" w:rsidRDefault="00BF669C" w:rsidP="00A46E39">
      <w:pPr>
        <w:spacing w:after="240"/>
        <w:ind w:left="720"/>
        <w:jc w:val="both"/>
        <w:rPr>
          <w:rFonts w:ascii="Arial" w:hAnsi="Arial" w:cs="Arial"/>
          <w:bCs/>
        </w:rPr>
      </w:pPr>
      <w:r w:rsidRPr="00A46E39">
        <w:rPr>
          <w:rFonts w:ascii="Arial" w:hAnsi="Arial" w:cs="Arial"/>
          <w:bCs/>
        </w:rPr>
        <w:lastRenderedPageBreak/>
        <w:t>3.</w:t>
      </w:r>
      <w:r w:rsidRPr="00A46E39">
        <w:rPr>
          <w:rFonts w:ascii="Arial" w:hAnsi="Arial" w:cs="Arial"/>
          <w:bCs/>
        </w:rPr>
        <w:tab/>
        <w:t>Part II (Application), Section E, Line 22: Total tuition and fees</w:t>
      </w:r>
    </w:p>
    <w:p w14:paraId="1DDED41A" w14:textId="77777777" w:rsidR="00BF669C" w:rsidRPr="00A46E39" w:rsidRDefault="00BF669C" w:rsidP="00A46E39">
      <w:pPr>
        <w:spacing w:after="240"/>
        <w:ind w:left="720"/>
        <w:jc w:val="both"/>
        <w:rPr>
          <w:rFonts w:ascii="Arial" w:hAnsi="Arial" w:cs="Arial"/>
          <w:bCs/>
        </w:rPr>
      </w:pPr>
      <w:r w:rsidRPr="00A46E39">
        <w:rPr>
          <w:rFonts w:ascii="Arial" w:hAnsi="Arial" w:cs="Arial"/>
          <w:bCs/>
        </w:rPr>
        <w:t>4.</w:t>
      </w:r>
      <w:r w:rsidRPr="00A46E39">
        <w:rPr>
          <w:rFonts w:ascii="Arial" w:hAnsi="Arial" w:cs="Arial"/>
          <w:bCs/>
        </w:rPr>
        <w:tab/>
        <w:t>Part II (Application), Section E, Line 23: Total Federal Pell Grant expenditures</w:t>
      </w:r>
    </w:p>
    <w:p w14:paraId="087BBE31" w14:textId="77777777" w:rsidR="00BF669C" w:rsidRPr="00A46E39" w:rsidRDefault="00BF669C" w:rsidP="00A46E39">
      <w:pPr>
        <w:spacing w:after="240"/>
        <w:ind w:left="720"/>
        <w:jc w:val="both"/>
        <w:rPr>
          <w:rFonts w:ascii="Arial" w:hAnsi="Arial" w:cs="Arial"/>
          <w:bCs/>
        </w:rPr>
      </w:pPr>
      <w:r w:rsidRPr="00A46E39">
        <w:rPr>
          <w:rFonts w:ascii="Arial" w:hAnsi="Arial" w:cs="Arial"/>
          <w:bCs/>
        </w:rPr>
        <w:t>5.</w:t>
      </w:r>
      <w:r w:rsidRPr="00A46E39">
        <w:rPr>
          <w:rFonts w:ascii="Arial" w:hAnsi="Arial" w:cs="Arial"/>
          <w:bCs/>
        </w:rPr>
        <w:tab/>
        <w:t>Part II (Application), Section F, Lines 25-39: Information on eligible aid applicants</w:t>
      </w:r>
    </w:p>
    <w:p w14:paraId="0E3C21FD" w14:textId="77777777" w:rsidR="00BF669C" w:rsidRPr="00A46E39" w:rsidRDefault="00BF669C" w:rsidP="00A46E39">
      <w:pPr>
        <w:spacing w:after="240"/>
        <w:ind w:left="720"/>
        <w:jc w:val="both"/>
        <w:rPr>
          <w:rFonts w:ascii="Arial" w:hAnsi="Arial" w:cs="Arial"/>
          <w:bCs/>
        </w:rPr>
      </w:pPr>
      <w:r w:rsidRPr="00A46E39">
        <w:rPr>
          <w:rFonts w:ascii="Arial" w:hAnsi="Arial" w:cs="Arial"/>
          <w:bCs/>
        </w:rPr>
        <w:t>6.</w:t>
      </w:r>
      <w:r w:rsidRPr="00A46E39">
        <w:rPr>
          <w:rFonts w:ascii="Arial" w:hAnsi="Arial" w:cs="Arial"/>
          <w:bCs/>
        </w:rPr>
        <w:tab/>
        <w:t>Part III (Perkins): Section A, Line 1.1 Cash on hand and in depository</w:t>
      </w:r>
    </w:p>
    <w:p w14:paraId="33F0A5A0" w14:textId="77777777" w:rsidR="00BF669C" w:rsidRPr="00A46E39" w:rsidRDefault="00BF669C" w:rsidP="00A46E39">
      <w:pPr>
        <w:spacing w:after="240"/>
        <w:ind w:left="720"/>
        <w:jc w:val="both"/>
        <w:rPr>
          <w:rFonts w:ascii="Arial" w:hAnsi="Arial" w:cs="Arial"/>
          <w:bCs/>
        </w:rPr>
      </w:pPr>
      <w:r w:rsidRPr="00A46E39">
        <w:rPr>
          <w:rFonts w:ascii="Arial" w:hAnsi="Arial" w:cs="Arial"/>
          <w:bCs/>
        </w:rPr>
        <w:t>7.</w:t>
      </w:r>
      <w:r w:rsidRPr="00A46E39">
        <w:rPr>
          <w:rFonts w:ascii="Arial" w:hAnsi="Arial" w:cs="Arial"/>
          <w:bCs/>
        </w:rPr>
        <w:tab/>
        <w:t>Part IV (FSEOG): Section C, Lines 12-14: Funds to FSEOG recipients</w:t>
      </w:r>
    </w:p>
    <w:p w14:paraId="7BD7E733" w14:textId="240A7FFC" w:rsidR="00BF669C" w:rsidRPr="00A46E39" w:rsidRDefault="00BF669C" w:rsidP="00A46E39">
      <w:pPr>
        <w:spacing w:after="240"/>
        <w:ind w:left="720"/>
        <w:jc w:val="both"/>
        <w:rPr>
          <w:rFonts w:ascii="Arial" w:hAnsi="Arial" w:cs="Arial"/>
          <w:bCs/>
        </w:rPr>
      </w:pPr>
      <w:r w:rsidRPr="00A46E39">
        <w:rPr>
          <w:rFonts w:ascii="Arial" w:hAnsi="Arial" w:cs="Arial"/>
          <w:bCs/>
        </w:rPr>
        <w:t>8.</w:t>
      </w:r>
      <w:r w:rsidRPr="00A46E39">
        <w:rPr>
          <w:rFonts w:ascii="Arial" w:hAnsi="Arial" w:cs="Arial"/>
          <w:bCs/>
        </w:rPr>
        <w:tab/>
        <w:t>Part V (FWS): Section C, Lines 12-14: Total compensation for FWS</w:t>
      </w:r>
    </w:p>
    <w:p w14:paraId="24CD95F3" w14:textId="65A2CB05" w:rsidR="00BF669C" w:rsidRPr="00A46E39" w:rsidRDefault="00BF669C" w:rsidP="00BF669C">
      <w:pPr>
        <w:spacing w:after="240"/>
        <w:jc w:val="both"/>
        <w:rPr>
          <w:rFonts w:ascii="Arial" w:hAnsi="Arial" w:cs="Arial"/>
          <w:bCs/>
        </w:rPr>
      </w:pPr>
      <w:r w:rsidRPr="00BF669C">
        <w:rPr>
          <w:rFonts w:ascii="Arial" w:hAnsi="Arial" w:cs="Arial"/>
          <w:b/>
        </w:rPr>
        <w:t>4.</w:t>
      </w:r>
      <w:r w:rsidRPr="00BF669C">
        <w:rPr>
          <w:rFonts w:ascii="Arial" w:hAnsi="Arial" w:cs="Arial"/>
          <w:b/>
        </w:rPr>
        <w:tab/>
        <w:t>Special Reporting for Federal Funding Accountability and Transparency Act</w:t>
      </w:r>
      <w:r w:rsidR="00A46E39">
        <w:rPr>
          <w:rFonts w:ascii="Arial" w:hAnsi="Arial" w:cs="Arial"/>
          <w:b/>
        </w:rPr>
        <w:t xml:space="preserve"> – </w:t>
      </w:r>
      <w:r w:rsidR="00A46E39">
        <w:rPr>
          <w:rFonts w:ascii="Arial" w:hAnsi="Arial" w:cs="Arial"/>
          <w:bCs/>
        </w:rPr>
        <w:t>Not Applicable</w:t>
      </w:r>
    </w:p>
    <w:p w14:paraId="0A2C5143" w14:textId="67BA193D" w:rsidR="00BF669C" w:rsidRPr="00BF669C" w:rsidRDefault="00BF669C" w:rsidP="00D74E6A">
      <w:pPr>
        <w:spacing w:after="240"/>
        <w:jc w:val="both"/>
        <w:rPr>
          <w:rFonts w:ascii="Arial" w:hAnsi="Arial" w:cs="Arial"/>
          <w:bCs/>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5979A865" w14:textId="77777777" w:rsidR="00703F98" w:rsidRPr="000706D1" w:rsidRDefault="00703F98" w:rsidP="006672EA">
      <w:pPr>
        <w:pStyle w:val="Heading3"/>
        <w:jc w:val="both"/>
        <w:rPr>
          <w:rFonts w:cs="Arial"/>
          <w:sz w:val="24"/>
          <w:szCs w:val="24"/>
        </w:rPr>
      </w:pPr>
      <w:bookmarkStart w:id="54" w:name="_Toc176355407"/>
      <w:r w:rsidRPr="000706D1">
        <w:rPr>
          <w:rFonts w:cs="Arial"/>
          <w:sz w:val="24"/>
          <w:szCs w:val="24"/>
        </w:rPr>
        <w:t>Additional Program Specific Information</w:t>
      </w:r>
      <w:bookmarkEnd w:id="54"/>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0A9198F"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025BA">
        <w:rPr>
          <w:rFonts w:ascii="Arial" w:hAnsi="Arial" w:cs="Arial"/>
          <w:b/>
          <w:highlight w:val="yellow"/>
        </w:rPr>
        <w:t xml:space="preserve"> and </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55" w:name="_Toc176355408"/>
      <w:r w:rsidRPr="000706D1">
        <w:rPr>
          <w:rFonts w:cs="Arial"/>
          <w:sz w:val="24"/>
          <w:szCs w:val="24"/>
        </w:rPr>
        <w:t>Audit Objectives</w:t>
      </w:r>
      <w:r w:rsidR="00F87F25" w:rsidRPr="000706D1">
        <w:rPr>
          <w:rFonts w:cs="Arial"/>
          <w:sz w:val="24"/>
          <w:szCs w:val="24"/>
        </w:rPr>
        <w:t xml:space="preserve"> and Control Testing</w:t>
      </w:r>
      <w:bookmarkEnd w:id="55"/>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56" w:name="_Toc17635540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320E83B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715653">
              <w:rPr>
                <w:rFonts w:ascii="Arial" w:hAnsi="Arial" w:cs="Arial"/>
                <w:i/>
                <w:iCs/>
                <w:color w:val="002060"/>
                <w:sz w:val="20"/>
              </w:rPr>
              <w:t xml:space="preserve"> – Not Applicable to this Cluster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57" w:name="_Toc176355410"/>
      <w:r w:rsidRPr="000706D1">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0"/>
          <w:pgSz w:w="12240" w:h="15840" w:code="1"/>
          <w:pgMar w:top="1440" w:right="1440" w:bottom="1440" w:left="1440" w:header="720" w:footer="720" w:gutter="0"/>
          <w:cols w:space="720"/>
          <w:noEndnote/>
        </w:sectPr>
      </w:pPr>
    </w:p>
    <w:p w14:paraId="4D2A975C" w14:textId="6DA93A5E" w:rsidR="007E5B12" w:rsidRPr="000706D1" w:rsidRDefault="007E5B12" w:rsidP="006672EA">
      <w:pPr>
        <w:pStyle w:val="Heading2"/>
        <w:jc w:val="both"/>
        <w:rPr>
          <w:rFonts w:cs="Arial"/>
          <w:sz w:val="24"/>
        </w:rPr>
      </w:pPr>
      <w:bookmarkStart w:id="58" w:name="M___SUBRECIPIENT_MONITORING__"/>
      <w:bookmarkStart w:id="59" w:name="_Toc442267703"/>
      <w:bookmarkStart w:id="60" w:name="_Toc176355411"/>
      <w:bookmarkEnd w:id="58"/>
      <w:r w:rsidRPr="000706D1">
        <w:rPr>
          <w:rFonts w:cs="Arial"/>
          <w:sz w:val="24"/>
        </w:rPr>
        <w:lastRenderedPageBreak/>
        <w:t>N</w:t>
      </w:r>
      <w:r w:rsidR="004E2CCB">
        <w:rPr>
          <w:rFonts w:cs="Arial"/>
          <w:sz w:val="24"/>
        </w:rPr>
        <w:t>1</w:t>
      </w:r>
      <w:r w:rsidRPr="000706D1">
        <w:rPr>
          <w:rFonts w:cs="Arial"/>
          <w:sz w:val="24"/>
        </w:rPr>
        <w:t>.  SPECIAL TESTS AND PROVISIONS</w:t>
      </w:r>
      <w:bookmarkEnd w:id="59"/>
      <w:r w:rsidR="004E2CCB">
        <w:rPr>
          <w:rFonts w:cs="Arial"/>
          <w:sz w:val="24"/>
        </w:rPr>
        <w:t xml:space="preserve"> – Institutional Eligibility</w:t>
      </w:r>
      <w:bookmarkEnd w:id="60"/>
    </w:p>
    <w:p w14:paraId="75FD95EF" w14:textId="77777777" w:rsidR="007E5B12" w:rsidRPr="000706D1" w:rsidRDefault="00D15062" w:rsidP="006672EA">
      <w:pPr>
        <w:pStyle w:val="Heading3"/>
        <w:jc w:val="both"/>
        <w:rPr>
          <w:rFonts w:cs="Arial"/>
          <w:sz w:val="24"/>
          <w:szCs w:val="24"/>
        </w:rPr>
      </w:pPr>
      <w:bookmarkStart w:id="61" w:name="_Toc176355412"/>
      <w:r w:rsidRPr="000706D1">
        <w:rPr>
          <w:rFonts w:cs="Arial"/>
          <w:sz w:val="24"/>
          <w:szCs w:val="24"/>
        </w:rPr>
        <w:t xml:space="preserve">OMB </w:t>
      </w:r>
      <w:r w:rsidR="007E5B12" w:rsidRPr="000706D1">
        <w:rPr>
          <w:rFonts w:cs="Arial"/>
          <w:sz w:val="24"/>
          <w:szCs w:val="24"/>
        </w:rPr>
        <w:t>Compliance Requirements</w:t>
      </w:r>
      <w:bookmarkEnd w:id="61"/>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3519DE0B"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 xml:space="preserve">Part </w:t>
      </w:r>
      <w:r w:rsidR="004E2CCB">
        <w:rPr>
          <w:rFonts w:ascii="Arial" w:hAnsi="Arial" w:cs="Arial"/>
          <w:b/>
          <w:sz w:val="24"/>
          <w:szCs w:val="24"/>
        </w:rPr>
        <w:t>5</w:t>
      </w:r>
      <w:r w:rsidRPr="000706D1">
        <w:rPr>
          <w:rFonts w:ascii="Arial" w:hAnsi="Arial" w:cs="Arial"/>
          <w:b/>
          <w:sz w:val="24"/>
          <w:szCs w:val="24"/>
        </w:rPr>
        <w:t xml:space="preserve"> OMB Program Specific Requirements</w:t>
      </w:r>
    </w:p>
    <w:p w14:paraId="334030D3" w14:textId="73BA02A0"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An institution is not an eligible institution under 34 CFR 600.7(a)(1) if in its latest complete award year (an award year is July 1 to June 30) –</w:t>
      </w:r>
    </w:p>
    <w:p w14:paraId="409DEF16" w14:textId="4925D494"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More than fifty percent of the institution's courses were correspondence courses (</w:t>
      </w:r>
      <w:hyperlink r:id="rId71" w:anchor="p-600.7(b)" w:history="1">
        <w:r w:rsidRPr="004E2CCB">
          <w:rPr>
            <w:rStyle w:val="Hyperlink"/>
            <w:rFonts w:cs="Arial"/>
            <w:bCs/>
          </w:rPr>
          <w:t>34 CFR 600.7(a)(1)(i)</w:t>
        </w:r>
      </w:hyperlink>
      <w:r w:rsidRPr="004E2CCB">
        <w:rPr>
          <w:rFonts w:ascii="Arial" w:hAnsi="Arial" w:cs="Arial"/>
          <w:bCs/>
        </w:rPr>
        <w:t>);</w:t>
      </w:r>
    </w:p>
    <w:p w14:paraId="05E9F012"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Fifty percent or more of the institution's regular enrolled students were enrolled in correspondence courses(34 C.F.R, 600.7(a)(1)(ii));</w:t>
      </w:r>
    </w:p>
    <w:p w14:paraId="7AAB842E"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More than twenty-five percent of the institution's regular enrolled students were incarcerated (34 C.F.R. 600.7(a)(1)(iii));</w:t>
      </w:r>
    </w:p>
    <w:p w14:paraId="4FD3D809" w14:textId="5F0E66D6"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More than fifty percent of its regular enrolled students had neither a high school diploma nor the recognized equivalent of a high school diploma, and the institution does not provide a four-year or two-year educational program for which it awards a bachelor's degree or an associate degree, respectively (34 CFR 600.7(a)(1)(iv)).</w:t>
      </w:r>
    </w:p>
    <w:p w14:paraId="578DD90E" w14:textId="79EA0FCC"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 xml:space="preserve">Institutions are not required to report this information to ED, however; an institution must maintain documentation of its compliance with the requirements. The regulations require an annual attestation on compliance with these institutional eligibility requirements. ED issued an Electronic Announcement on how this requirement should be applied to Single Audit institutions on December 21, 2023. ED’s regulations describe the auditor’s substantiation of these calculations, and reporting thereon, as an attestation performed in accordance with the American Institute of Certified Public Accountant’s Statement on Standards for Attestation Engagements. However, the ED does accept coverage of these calculations through an institution’s annual Title IV compliance audit or Single Audit submission, even if that audit is performed in accordance with auditing standards rather than attestation standards. These annual attestation requirements are required except to the extent that: (1) an institution is granted a waiver or </w:t>
      </w:r>
      <w:r w:rsidRPr="004E2CCB">
        <w:rPr>
          <w:rFonts w:ascii="Arial" w:hAnsi="Arial" w:cs="Arial"/>
          <w:bCs/>
        </w:rPr>
        <w:lastRenderedPageBreak/>
        <w:t xml:space="preserve">exemption from the annual compliance audit requirement, or (2) in the case of an institution that, under the Single Audit, did not have its Title IV programs audited, either because the audited entity’s SFA Cluster was not a major program or because the institution was not included by the auditor for audit evaluation and testing of the administration of the Title IV programs consistent with Single Audit Act requirements under 2 CFR 200 Subpart F. However, if the institution’s Title IV programs either were audited or were required to be audited for any fiscal year, the attestations described above must be performed for that fiscal year, see </w:t>
      </w:r>
      <w:hyperlink r:id="rId72" w:history="1">
        <w:r w:rsidRPr="004E2CCB">
          <w:rPr>
            <w:rStyle w:val="Hyperlink"/>
            <w:rFonts w:cs="Arial"/>
            <w:bCs/>
          </w:rPr>
          <w:t>(GENERAL-23-121) Requirement for Institutions to Have Certain Calculations Related to Institutional and Program Eligibility Substantiated by an Independent Auditor</w:t>
        </w:r>
      </w:hyperlink>
      <w:r w:rsidRPr="004E2CCB">
        <w:rPr>
          <w:rFonts w:ascii="Arial" w:hAnsi="Arial" w:cs="Arial"/>
          <w:bCs/>
        </w:rPr>
        <w:t xml:space="preserve"> for additional information.</w:t>
      </w:r>
    </w:p>
    <w:p w14:paraId="090CDF05" w14:textId="2E2B0700"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For purposes of the institutional eligibility percentages at 34 CFR 600.7(a)(1)(ii), (iii), and (iv); a regular enrolled student is a person who is enrolled at an institution for the purpose of obtaining a degree, certificate, or other recognized educational credential offered by that institution.</w:t>
      </w:r>
    </w:p>
    <w:p w14:paraId="6A85F005" w14:textId="4040DB29"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When counting regular enrolled students for the required calculations in 34 C.F.R. 600.7(a)(1)(ii), (iii) and (iv); the institution is required to —</w:t>
      </w:r>
    </w:p>
    <w:p w14:paraId="2F55DF63"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Count each regular enrolled student without regard to the full-time or part-time nature of the student's attendance (i.e., “head count” rather than “full-time equivalent”);</w:t>
      </w:r>
    </w:p>
    <w:p w14:paraId="0C679E34"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Count a regular enrolled student once regardless of the number of times the student enrolls during an award year; and</w:t>
      </w:r>
    </w:p>
    <w:p w14:paraId="1A5046B0" w14:textId="4B9FEC5D"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Determine the number of regular students who enrolled in the institution during the relevant award year by calculating the number of regular students who enrolled during that award year as specified above; and excluding from this number, the number of regular students who enrolled but subsequently withdrew or were expelled from the institution and were entitled to receive a 100 percent refund of their tuition and fees less any administrative fee that the institution is permitted to keep under its fair and equitable refund policy (34 C.F.R. 600.7(e)(1)).</w:t>
      </w:r>
    </w:p>
    <w:p w14:paraId="6BEC9025" w14:textId="6D7C1EA8"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E2CCB">
        <w:rPr>
          <w:rFonts w:ascii="Arial" w:hAnsi="Arial" w:cs="Arial"/>
          <w:bCs/>
          <w:i/>
          <w:iCs/>
        </w:rPr>
        <w:t>Correspondence courses and Correspondence Students</w:t>
      </w:r>
    </w:p>
    <w:p w14:paraId="405F79F3" w14:textId="32B70093"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 course offered through correspondence is a course in which the institution provides instructional materials, by mail or electronic transmission, including examinations on the materials, to students who are separated from the instructors. Interaction between instructors and students in a correspondence course is limited, is not regular and substantive, and is primarily initiated by the student. If a course is part correspondence and part residential training, the Secretary considers the course to be a correspondence course. A correspondence course is not considered distance education (34 CFR 600.2 Correspondence Course).</w:t>
      </w:r>
    </w:p>
    <w:p w14:paraId="1920B3AB" w14:textId="3C76E53A"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If a course is offered where students are separated from the instructor and are not being taught in the same physical space, the course is considered a correspondence course if it does not meet the requirements for distance education. Under the administrative capability regulations at 34 C.F.R. 668.16(c) an institution participating in the Title IV, HEA programs must have an adequate system of internal control. An adequate system of internal control would include internal controls to ensure that any courses identified as distance education courses meet the regulatory requirements to qualify as distance education courses and should not be classified as correspondence courses. If an institution cannot document that a course meets the requirements for distance education, it should be considered a correspondence course.</w:t>
      </w:r>
    </w:p>
    <w:p w14:paraId="1837A316" w14:textId="0B25E7DA"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 xml:space="preserve">Delivery of education through distance education has a number of requirements for courses offered through this mode of educational delivery to not be considered correspondence courses.  Distance education uses one or more  technologies including the internet; one-way and two-way transmissions through open broadcast, closed circuit, cable, microwave, broadband lines, fiber optics, satellite, or wireless communications devices; audio conference; or a combination of technologies with other media used in a course to deliver instruction to students who are separated from the instructor or instructors and to support </w:t>
      </w:r>
      <w:r w:rsidRPr="004E2CCB">
        <w:rPr>
          <w:rFonts w:ascii="Arial" w:hAnsi="Arial" w:cs="Arial"/>
          <w:bCs/>
        </w:rPr>
        <w:lastRenderedPageBreak/>
        <w:t>regular and substantive interaction between the students and the instructor or instructors, either synchronously or asynchronously (34 CFR 600.2 Distance education (1) and (2)).</w:t>
      </w:r>
    </w:p>
    <w:p w14:paraId="077A60FB" w14:textId="4666D46D"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For purposes of distance education, an instructor is an individual responsible for delivering course content and who meets the qualifications for instruction established by an institution's accrediting agency (34 CFR 600.2 Distance education (3)).</w:t>
      </w:r>
    </w:p>
    <w:p w14:paraId="4B767E40" w14:textId="3C81D021"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 course offered through distance education must support regular and substantive interaction between the students and the instructor or instructors, either synchronously or asynchronously. An institution demonstrates that a course supports regular interaction between a student and an instructor or instructors by, prior to the student's completion of a course or competency:</w:t>
      </w:r>
    </w:p>
    <w:p w14:paraId="1BD62868"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Providing the opportunity for substantive interactions with the student on a predictable and scheduled basis commensurate with the length of time and the amount of content in the course or competency; and</w:t>
      </w:r>
    </w:p>
    <w:p w14:paraId="76F1B65C" w14:textId="1217F19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monitoring the student's academic engagement and success and ensuring that an instructor is responsible for promptly and proactively engaging in substantive interaction with the student when needed on the basis of such monitoring, or upon request by the student (34 CFR 600.2 Distance education (5)).</w:t>
      </w:r>
    </w:p>
    <w:p w14:paraId="70A0FF2A" w14:textId="260A21DD"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Substantive interaction for education delivered through distance education is engaging students in teaching, learning, and assessment, consistent with the content under discussion. In order for a course to be considered offered through distance education, substantive interaction must include at least two of the following –</w:t>
      </w:r>
    </w:p>
    <w:p w14:paraId="6B69D4FB"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t>
      </w:r>
      <w:r w:rsidRPr="004E2CCB">
        <w:rPr>
          <w:rFonts w:ascii="Arial" w:hAnsi="Arial" w:cs="Arial"/>
          <w:bCs/>
        </w:rPr>
        <w:tab/>
        <w:t>Providing direct instruction;</w:t>
      </w:r>
    </w:p>
    <w:p w14:paraId="561CA295"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t>
      </w:r>
      <w:r w:rsidRPr="004E2CCB">
        <w:rPr>
          <w:rFonts w:ascii="Arial" w:hAnsi="Arial" w:cs="Arial"/>
          <w:bCs/>
        </w:rPr>
        <w:tab/>
        <w:t>Assessing or providing feedback on a student's coursework;</w:t>
      </w:r>
    </w:p>
    <w:p w14:paraId="239622A5"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Providing information or responding to questions about the content of a course or competency;</w:t>
      </w:r>
    </w:p>
    <w:p w14:paraId="51BBD8BA"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t>
      </w:r>
      <w:r w:rsidRPr="004E2CCB">
        <w:rPr>
          <w:rFonts w:ascii="Arial" w:hAnsi="Arial" w:cs="Arial"/>
          <w:bCs/>
        </w:rPr>
        <w:tab/>
        <w:t>Facilitating a group discussion regarding the content of a course or competency; or</w:t>
      </w:r>
    </w:p>
    <w:p w14:paraId="2E7627AC"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Other instructional activities approved by the institution's or program's accrediting agency (34 CFR 600.2 Distance education (4)).</w:t>
      </w:r>
    </w:p>
    <w:p w14:paraId="7DB11787" w14:textId="139FD20F"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Academic engagement is active participation by a student in an instructional activity related to the student's course of study that is defined by the institution in accordance with any applicable requirements of its State or accrediting agency. In evaluating academic engagement, the regulations provide that it includes, but is not limited to –</w:t>
      </w:r>
    </w:p>
    <w:p w14:paraId="0DE0804B"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Attending a synchronous class, lecture, recitation, or field or laboratory activity, physically or online, where there is an opportunity for interaction between the instructor and students;</w:t>
      </w:r>
    </w:p>
    <w:p w14:paraId="78A68699"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t>
      </w:r>
      <w:r w:rsidRPr="004E2CCB">
        <w:rPr>
          <w:rFonts w:ascii="Arial" w:hAnsi="Arial" w:cs="Arial"/>
          <w:bCs/>
        </w:rPr>
        <w:tab/>
        <w:t>Submitting an academic assignment;</w:t>
      </w:r>
    </w:p>
    <w:p w14:paraId="2786951E"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t>
      </w:r>
      <w:r w:rsidRPr="004E2CCB">
        <w:rPr>
          <w:rFonts w:ascii="Arial" w:hAnsi="Arial" w:cs="Arial"/>
          <w:bCs/>
        </w:rPr>
        <w:tab/>
        <w:t>Taking an assessment or an exam;</w:t>
      </w:r>
    </w:p>
    <w:p w14:paraId="71136B59"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Participating in an interactive tutorial, webinar, or other interactive computer-assisted instruction;</w:t>
      </w:r>
    </w:p>
    <w:p w14:paraId="110A322A"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Participating in a study group, group project, or an online discussion that is assigned by the institution; or</w:t>
      </w:r>
    </w:p>
    <w:p w14:paraId="7C3ADD19" w14:textId="17576753"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lastRenderedPageBreak/>
        <w:t>•</w:t>
      </w:r>
      <w:r w:rsidRPr="004E2CCB">
        <w:rPr>
          <w:rFonts w:ascii="Arial" w:hAnsi="Arial" w:cs="Arial"/>
          <w:bCs/>
        </w:rPr>
        <w:tab/>
        <w:t>Interacting with an instructor about academic matters (34 CFR 600.2 Academic engagement (1) and (2)).</w:t>
      </w:r>
    </w:p>
    <w:p w14:paraId="4F26E76C" w14:textId="0785B7C6"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The regulations also provide examples of what academic engagement does not include such as living in institutional housing; participating in the institution's meal plan; logging into an online class or tutorial without any further participation; or participating in academic counseling or advisement (34 CFR 600.2 Academic Engagement (3)).</w:t>
      </w:r>
    </w:p>
    <w:p w14:paraId="79EE9B3F" w14:textId="39950FF9"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 course delivered through distance education that does not have a mechanism in place to document regular and substantive interaction between a student and instructor or instructors and academic engagement would be considered a correspondence course regardless how the institution classifies the course or program (34 CFR 600.2 Correspondence course (3)).</w:t>
      </w:r>
    </w:p>
    <w:p w14:paraId="519EB4DE" w14:textId="7DB7735A"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In calculating the number of correspondence courses, the correspondence courses may make up a complete educational program offered by correspondence or be as few as one course provided by correspondence in and on-campus (residential) educational program. In determining the number of courses for the calculation, a course must be considered as being offered only once during the award year regardless of the number of times it is offered in that year. A course that is offered both on campus and by correspondence must be considered two courses. A course that is offered both on campus and through distance education is considered one course in determining the courses that are not correspondence courses for the calculation. In determining the number of correspondence students, a student is considered “enrolled in correspondence courses” if the student's enrollment in correspondence courses constituted more than 50 percent of the courses in which the student enrolled during an award year.</w:t>
      </w:r>
    </w:p>
    <w:p w14:paraId="62EA4384" w14:textId="66461318"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The restrictions on the number of correspondence courses and students does not apply to an institution that qualifies as a “technical institute or vocational school used exclusively or principally for the provision of vocational education to individuals who have completed or left high school and who are available for study in preparation for entering the labor market” under section 3(3)(C) of the Carl D. Perkins Vocational and Applied Technology Education Act of 1995. Very few institutions participating in the Title IV, HEA programs meet the requirements for this exemption from the limitations on correspondence courses and students.</w:t>
      </w:r>
    </w:p>
    <w:p w14:paraId="502D09F3"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E2CCB">
        <w:rPr>
          <w:rFonts w:ascii="Arial" w:hAnsi="Arial" w:cs="Arial"/>
          <w:bCs/>
          <w:i/>
          <w:iCs/>
        </w:rPr>
        <w:t>Percentage of Incarcerated Students</w:t>
      </w:r>
    </w:p>
    <w:p w14:paraId="38437C39" w14:textId="37FC852B"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To calculate the percentage of incarcerated students as required under 34 CFR 600.7(a)(1)(iii), an institution must have a process for identifying incarcerated students to ensure compliance with the limitation on the number of incarcerated students. An incarcerated student is an individual who is serving a criminal sentence in a Federal, State, or local penitentiary, prison, jail, reformatory, work farm, juvenile justice facility, or other similar correctional institution. An individual is not considered incarcerated if that individual is subject to or serving an involuntary civil commitment, in a half-way house or home detention, or is sentenced to serve only weekends.</w:t>
      </w:r>
    </w:p>
    <w:p w14:paraId="21EB80AC" w14:textId="7F1BEB1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Section 34 CFR 600.7(c) provides for the ED to grant waivers from the limitation on the number of incarcerated students under 34 CFR 600.7(a)(1)(iii). ED has granted very few waivers from the limitation on the number of incarcerated students. To maintain the waiver, the institution must continue to meet the waiver requirements at 34 CFR 600.7(c).</w:t>
      </w:r>
    </w:p>
    <w:p w14:paraId="2FFBC7D9" w14:textId="2FDA0363"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i/>
          <w:iCs/>
        </w:rPr>
        <w:t>Percentage of Students without a High School Diploma or its Recognized Equivalent</w:t>
      </w:r>
      <w:r w:rsidRPr="004E2CCB">
        <w:rPr>
          <w:rFonts w:ascii="Arial" w:hAnsi="Arial" w:cs="Arial"/>
          <w:bCs/>
        </w:rPr>
        <w:t xml:space="preserve"> Although in most cases students self-certify that they have received a high school diploma, an institution must ensure that those students identified as having a high school diploma or its equivalent, is accurate. The regulations do not define a high school diploma, but do place requirements on institutions to ensure that the representation by a student that the student has received a valid high school diploma is accurate. The administrative capability regulations at 34 C.F.R 668.16(p) require institutions to develop and follow procedures to evaluate the validity of a student's high school completion if the institution or the Secretary has reason to </w:t>
      </w:r>
      <w:r w:rsidRPr="004E2CCB">
        <w:rPr>
          <w:rFonts w:ascii="Arial" w:hAnsi="Arial" w:cs="Arial"/>
          <w:bCs/>
        </w:rPr>
        <w:lastRenderedPageBreak/>
        <w:t>believe that the high school diploma is not valid or was not obtained from an entity that provides secondary school education.</w:t>
      </w:r>
    </w:p>
    <w:p w14:paraId="492FD9E6" w14:textId="0FBE74D2"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In order to comply with the administrative capability regulations at 34 CFR 668.16(p) the institution would need to have policies and procedures to identify situations that would lead it to believe that a high school diploma may not be valid or may not have been obtained from an entity that provides secondary education. If an institution has reason to believe that a student’s high school diploma is not valid or was not obtained from an entity that provides secondary school education, the institution must develop and follow procedures to evaluate the validity of the student’s high school completion. To satisfy this requirement, the institution may:</w:t>
      </w:r>
    </w:p>
    <w:p w14:paraId="4BC717EF"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t>
      </w:r>
      <w:r w:rsidRPr="004E2CCB">
        <w:rPr>
          <w:rFonts w:ascii="Arial" w:hAnsi="Arial" w:cs="Arial"/>
          <w:bCs/>
        </w:rPr>
        <w:tab/>
        <w:t>check with the high school to confirm the validity of the student’s diploma; and</w:t>
      </w:r>
    </w:p>
    <w:p w14:paraId="57CF6E47" w14:textId="5A1D8D7B"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confirm with the relevant department or agency in the state in which the secondary school is located that the secondary school is recognized as a provider of secondary school education.</w:t>
      </w:r>
    </w:p>
    <w:p w14:paraId="163AEBF1" w14:textId="5E2FC97D"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The regulations define the recognized equivalent of high school diploma for the purposes of the required calculation at 34 C.F.R. 600.7(a)(1)(iv) as —</w:t>
      </w:r>
    </w:p>
    <w:p w14:paraId="6D7A3B90"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t>
      </w:r>
      <w:r w:rsidRPr="004E2CCB">
        <w:rPr>
          <w:rFonts w:ascii="Arial" w:hAnsi="Arial" w:cs="Arial"/>
          <w:bCs/>
        </w:rPr>
        <w:tab/>
        <w:t>A General Education Development Certificate (GED); or</w:t>
      </w:r>
    </w:p>
    <w:p w14:paraId="054BFA4D"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A State certificate received by a student after the student has passed a State- authorized examination that the State recognizes as the equivalent of a high school diploma;</w:t>
      </w:r>
    </w:p>
    <w:p w14:paraId="54C2E2F6" w14:textId="7BB34611"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w:t>
      </w:r>
      <w:r w:rsidRPr="004E2CCB">
        <w:rPr>
          <w:rFonts w:ascii="Arial" w:hAnsi="Arial" w:cs="Arial"/>
          <w:bCs/>
        </w:rPr>
        <w:tab/>
        <w:t>An academic transcript of a student who has successfully completed at least a two-year program that is acceptable for full credit toward a bachelor's degree.</w:t>
      </w:r>
    </w:p>
    <w:p w14:paraId="4163DDE2" w14:textId="5389E43D"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The regulations at 34 CFR 600.7(d) provide for ED to grant an institution a waiver of the limitation on the number of students who do not have a high school diploma or its recognized equivalent. ED has granted very few waivers of the limitation. To maintain the waiver once granted, the institution must continue to meet the requirements of 34 CFR 600(d).</w:t>
      </w:r>
    </w:p>
    <w:p w14:paraId="5C4A0D3A" w14:textId="7CC816BC" w:rsidR="004E2CCB" w:rsidRPr="004E2CCB" w:rsidRDefault="004E2CCB" w:rsidP="004E2CCB">
      <w:pPr>
        <w:spacing w:after="240"/>
        <w:jc w:val="both"/>
        <w:rPr>
          <w:rFonts w:ascii="Arial" w:hAnsi="Arial" w:cs="Arial"/>
          <w:bCs/>
        </w:rPr>
      </w:pPr>
      <w:r>
        <w:rPr>
          <w:rFonts w:ascii="Arial" w:hAnsi="Arial" w:cs="Arial"/>
          <w:bCs/>
          <w:i/>
        </w:rPr>
        <w:t>(Source: 2024</w:t>
      </w:r>
      <w:r w:rsidRPr="005802DF">
        <w:rPr>
          <w:rFonts w:ascii="Arial" w:hAnsi="Arial" w:cs="Arial"/>
          <w:bCs/>
          <w:i/>
        </w:rPr>
        <w:t xml:space="preserve"> OMB Compliance Supplement, Part 5, Student Financial Assistance Cluster)</w:t>
      </w:r>
    </w:p>
    <w:p w14:paraId="1FDB8C35" w14:textId="77777777" w:rsidR="00670F5F" w:rsidRPr="000706D1" w:rsidRDefault="00670F5F" w:rsidP="006672EA">
      <w:pPr>
        <w:pStyle w:val="Heading3"/>
        <w:jc w:val="both"/>
        <w:rPr>
          <w:rFonts w:cs="Arial"/>
          <w:sz w:val="24"/>
          <w:szCs w:val="24"/>
        </w:rPr>
      </w:pPr>
      <w:bookmarkStart w:id="62" w:name="_Toc176355413"/>
      <w:r w:rsidRPr="000706D1">
        <w:rPr>
          <w:rFonts w:cs="Arial"/>
          <w:sz w:val="24"/>
          <w:szCs w:val="24"/>
        </w:rPr>
        <w:t>Additional Program Specific Information</w:t>
      </w:r>
      <w:bookmarkEnd w:id="62"/>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4203A8D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B4A83">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63" w:name="_Toc176355414"/>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63"/>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607348D2" w:rsidR="00634FA3" w:rsidRPr="004E2CCB" w:rsidRDefault="004E2CCB" w:rsidP="000C04C5">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E2CCB">
        <w:rPr>
          <w:rFonts w:ascii="Arial" w:hAnsi="Arial" w:cs="Arial"/>
          <w:iCs/>
        </w:rPr>
        <w:t>Determine whether the institution was in compliance with the institutional eligibility limitations on the number of correspondence courses, the number of correspondence students, the number of incarcerated students and the number of students without a high school diploma or the recognized equivalent for the latest complete award year ending in the institution’s fiscal year.</w:t>
      </w:r>
    </w:p>
    <w:p w14:paraId="7B3259B5" w14:textId="165B0F53" w:rsidR="004E2CCB" w:rsidRPr="004E2CCB" w:rsidRDefault="004E2CCB" w:rsidP="004E2CCB">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64" w:name="_Toc176355415"/>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64"/>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0330E56F" w14:textId="78AB305C" w:rsidR="004E2CCB" w:rsidRPr="004E2CCB" w:rsidRDefault="004E2CCB" w:rsidP="004E2CCB">
            <w:pPr>
              <w:spacing w:after="240"/>
              <w:jc w:val="both"/>
              <w:rPr>
                <w:rFonts w:ascii="Arial" w:hAnsi="Arial" w:cs="Arial"/>
                <w:sz w:val="20"/>
              </w:rPr>
            </w:pPr>
            <w:r w:rsidRPr="004E2CCB">
              <w:rPr>
                <w:rFonts w:ascii="Arial" w:hAnsi="Arial" w:cs="Arial"/>
                <w:sz w:val="20"/>
              </w:rPr>
              <w:t>a.</w:t>
            </w:r>
            <w:r w:rsidRPr="004E2CCB">
              <w:rPr>
                <w:rFonts w:ascii="Arial" w:hAnsi="Arial" w:cs="Arial"/>
                <w:sz w:val="20"/>
              </w:rPr>
              <w:tab/>
              <w:t xml:space="preserve">Obtain written representations from management that state whether the school offered </w:t>
            </w:r>
            <w:r w:rsidRPr="004E2CCB">
              <w:rPr>
                <w:rFonts w:ascii="Arial" w:hAnsi="Arial" w:cs="Arial"/>
                <w:sz w:val="20"/>
              </w:rPr>
              <w:tab/>
              <w:t xml:space="preserve">correspondence courses, provided education to incarcerated students, or (if the school does not </w:t>
            </w:r>
            <w:r w:rsidRPr="004E2CCB">
              <w:rPr>
                <w:rFonts w:ascii="Arial" w:hAnsi="Arial" w:cs="Arial"/>
                <w:sz w:val="20"/>
              </w:rPr>
              <w:tab/>
              <w:t xml:space="preserve">provide a four-year bachelor’s or two-year associate degree) had students that had neither a high </w:t>
            </w:r>
            <w:r w:rsidRPr="004E2CCB">
              <w:rPr>
                <w:rFonts w:ascii="Arial" w:hAnsi="Arial" w:cs="Arial"/>
                <w:sz w:val="20"/>
              </w:rPr>
              <w:tab/>
              <w:t>school diploma nor the recognized equivalent. [</w:t>
            </w:r>
            <w:r w:rsidRPr="00DB4A83">
              <w:rPr>
                <w:rFonts w:ascii="Arial" w:hAnsi="Arial" w:cs="Arial"/>
                <w:i/>
                <w:iCs/>
                <w:sz w:val="20"/>
              </w:rPr>
              <w:t xml:space="preserve">Note that the auditor may obtain evidence relevant </w:t>
            </w:r>
            <w:r w:rsidRPr="00DB4A83">
              <w:rPr>
                <w:rFonts w:ascii="Arial" w:hAnsi="Arial" w:cs="Arial"/>
                <w:i/>
                <w:iCs/>
                <w:sz w:val="20"/>
              </w:rPr>
              <w:tab/>
              <w:t xml:space="preserve">to the mode of delivery and the type of students enrolled at the institution while performing work on </w:t>
            </w:r>
            <w:r w:rsidRPr="00DB4A83">
              <w:rPr>
                <w:rFonts w:ascii="Arial" w:hAnsi="Arial" w:cs="Arial"/>
                <w:i/>
                <w:iCs/>
                <w:sz w:val="20"/>
              </w:rPr>
              <w:tab/>
              <w:t xml:space="preserve">other SFA Cluster compliance requirements. If the written representations obtained in this </w:t>
            </w:r>
            <w:r w:rsidRPr="00DB4A83">
              <w:rPr>
                <w:rFonts w:ascii="Arial" w:hAnsi="Arial" w:cs="Arial"/>
                <w:i/>
                <w:iCs/>
                <w:sz w:val="20"/>
              </w:rPr>
              <w:tab/>
              <w:t xml:space="preserve">procedure are inconsistent with other audit evidence, the auditor should perform audit procedures </w:t>
            </w:r>
            <w:r w:rsidRPr="00DB4A83">
              <w:rPr>
                <w:rFonts w:ascii="Arial" w:hAnsi="Arial" w:cs="Arial"/>
                <w:i/>
                <w:iCs/>
                <w:sz w:val="20"/>
              </w:rPr>
              <w:tab/>
              <w:t>to attempt to resolve the matter</w:t>
            </w:r>
            <w:r w:rsidRPr="004E2CCB">
              <w:rPr>
                <w:rFonts w:ascii="Arial" w:hAnsi="Arial" w:cs="Arial"/>
                <w:sz w:val="20"/>
              </w:rPr>
              <w:t>.]</w:t>
            </w:r>
          </w:p>
          <w:p w14:paraId="6904E87E" w14:textId="1E17ABD3" w:rsidR="004E2CCB" w:rsidRPr="001B6A61" w:rsidRDefault="004E2CCB" w:rsidP="004E2CCB">
            <w:pPr>
              <w:spacing w:after="240"/>
              <w:jc w:val="both"/>
              <w:rPr>
                <w:rFonts w:ascii="Arial" w:hAnsi="Arial" w:cs="Arial"/>
                <w:b/>
                <w:bCs/>
                <w:sz w:val="20"/>
              </w:rPr>
            </w:pPr>
            <w:r w:rsidRPr="004E2CCB">
              <w:rPr>
                <w:rFonts w:ascii="Arial" w:hAnsi="Arial" w:cs="Arial"/>
                <w:sz w:val="20"/>
              </w:rPr>
              <w:t>b.</w:t>
            </w:r>
            <w:r w:rsidRPr="004E2CCB">
              <w:rPr>
                <w:rFonts w:ascii="Arial" w:hAnsi="Arial" w:cs="Arial"/>
                <w:sz w:val="20"/>
              </w:rPr>
              <w:tab/>
              <w:t xml:space="preserve">If management represented that they offered correspondence courses, provided education to </w:t>
            </w:r>
            <w:r w:rsidRPr="004E2CCB">
              <w:rPr>
                <w:rFonts w:ascii="Arial" w:hAnsi="Arial" w:cs="Arial"/>
                <w:sz w:val="20"/>
              </w:rPr>
              <w:tab/>
              <w:t xml:space="preserve">incarcerated students, or had students that had neither a high school diploma nor the recognized </w:t>
            </w:r>
            <w:r w:rsidRPr="004E2CCB">
              <w:rPr>
                <w:rFonts w:ascii="Arial" w:hAnsi="Arial" w:cs="Arial"/>
                <w:sz w:val="20"/>
              </w:rPr>
              <w:lastRenderedPageBreak/>
              <w:tab/>
              <w:t xml:space="preserve">equivalent, substantiate the institution’s calculation of the ratios for its latest complete award year </w:t>
            </w:r>
            <w:r w:rsidRPr="004E2CCB">
              <w:rPr>
                <w:rFonts w:ascii="Arial" w:hAnsi="Arial" w:cs="Arial"/>
                <w:sz w:val="20"/>
              </w:rPr>
              <w:tab/>
              <w:t xml:space="preserve">and determine if ratios are below the established thresholds by testing the population of regular </w:t>
            </w:r>
            <w:r w:rsidRPr="004E2CCB">
              <w:rPr>
                <w:rFonts w:ascii="Arial" w:hAnsi="Arial" w:cs="Arial"/>
                <w:sz w:val="20"/>
              </w:rPr>
              <w:tab/>
              <w:t xml:space="preserve">students, correspondence students, incarcerated students, and students that had neither a high </w:t>
            </w:r>
            <w:r w:rsidRPr="004E2CCB">
              <w:rPr>
                <w:rFonts w:ascii="Arial" w:hAnsi="Arial" w:cs="Arial"/>
                <w:sz w:val="20"/>
              </w:rPr>
              <w:tab/>
              <w:t xml:space="preserve">school diploma nor the recognized equivalent that the institution used for the calculations for proper </w:t>
            </w:r>
            <w:r w:rsidRPr="004E2CCB">
              <w:rPr>
                <w:rFonts w:ascii="Arial" w:hAnsi="Arial" w:cs="Arial"/>
                <w:sz w:val="20"/>
              </w:rPr>
              <w:tab/>
              <w:t>classification and re-calculate the institution’s ratios.</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65" w:name="_Toc176355416"/>
      <w:r w:rsidRPr="000706D1">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33A807F8"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6DE1FA9" w14:textId="77777777" w:rsidR="00C44A80" w:rsidRDefault="00C44A80" w:rsidP="00C44A80">
      <w:pPr>
        <w:rPr>
          <w:rFonts w:ascii="Arial" w:hAnsi="Arial" w:cs="Arial"/>
        </w:rPr>
        <w:sectPr w:rsidR="00C44A80" w:rsidSect="00257772">
          <w:headerReference w:type="default" r:id="rId74"/>
          <w:pgSz w:w="12240" w:h="15840" w:code="1"/>
          <w:pgMar w:top="1440" w:right="1440" w:bottom="1440" w:left="1440" w:header="720" w:footer="720" w:gutter="0"/>
          <w:cols w:space="720"/>
          <w:docGrid w:linePitch="360"/>
        </w:sectPr>
      </w:pPr>
    </w:p>
    <w:p w14:paraId="195CF5DE" w14:textId="4D5AEF96" w:rsidR="00C44A80" w:rsidRPr="000706D1" w:rsidRDefault="00C44A80" w:rsidP="00C44A80">
      <w:pPr>
        <w:pStyle w:val="Heading2"/>
        <w:jc w:val="both"/>
        <w:rPr>
          <w:rFonts w:cs="Arial"/>
          <w:sz w:val="24"/>
        </w:rPr>
      </w:pPr>
      <w:bookmarkStart w:id="66" w:name="_Toc176355417"/>
      <w:r w:rsidRPr="000706D1">
        <w:rPr>
          <w:rFonts w:cs="Arial"/>
          <w:sz w:val="24"/>
        </w:rPr>
        <w:lastRenderedPageBreak/>
        <w:t>N</w:t>
      </w:r>
      <w:r w:rsidR="004E2CCB">
        <w:rPr>
          <w:rFonts w:cs="Arial"/>
          <w:sz w:val="24"/>
        </w:rPr>
        <w:t>2</w:t>
      </w:r>
      <w:r w:rsidRPr="000706D1">
        <w:rPr>
          <w:rFonts w:cs="Arial"/>
          <w:sz w:val="24"/>
        </w:rPr>
        <w:t>.  SPECIAL TESTS AND PROVISIONS</w:t>
      </w:r>
      <w:r w:rsidR="004E2CCB">
        <w:rPr>
          <w:rFonts w:cs="Arial"/>
          <w:sz w:val="24"/>
        </w:rPr>
        <w:t xml:space="preserve"> - Verification</w:t>
      </w:r>
      <w:bookmarkEnd w:id="66"/>
    </w:p>
    <w:p w14:paraId="1E50F289" w14:textId="77777777" w:rsidR="00C44A80" w:rsidRPr="000706D1" w:rsidRDefault="00C44A80" w:rsidP="00C44A80">
      <w:pPr>
        <w:pStyle w:val="Heading3"/>
        <w:jc w:val="both"/>
        <w:rPr>
          <w:rFonts w:cs="Arial"/>
          <w:sz w:val="24"/>
          <w:szCs w:val="24"/>
        </w:rPr>
      </w:pPr>
      <w:bookmarkStart w:id="67" w:name="_Toc176355418"/>
      <w:r w:rsidRPr="000706D1">
        <w:rPr>
          <w:rFonts w:cs="Arial"/>
          <w:sz w:val="24"/>
          <w:szCs w:val="24"/>
        </w:rPr>
        <w:t>OMB Compliance Requirements</w:t>
      </w:r>
      <w:bookmarkEnd w:id="67"/>
    </w:p>
    <w:p w14:paraId="2275292E"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3B99CC6"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2C0059A" w14:textId="77777777" w:rsidR="00C44A80" w:rsidRPr="00F00D94" w:rsidRDefault="00C44A80" w:rsidP="00C44A80">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BA3A07A" w14:textId="0E68E762" w:rsidR="00C44A80" w:rsidRPr="000706D1" w:rsidRDefault="00C44A80" w:rsidP="00C44A80">
      <w:pPr>
        <w:spacing w:after="240"/>
        <w:jc w:val="both"/>
        <w:rPr>
          <w:rFonts w:ascii="Arial" w:hAnsi="Arial" w:cs="Arial"/>
          <w:b/>
          <w:sz w:val="24"/>
          <w:szCs w:val="24"/>
        </w:rPr>
      </w:pPr>
      <w:r w:rsidRPr="000706D1">
        <w:rPr>
          <w:rFonts w:ascii="Arial" w:hAnsi="Arial" w:cs="Arial"/>
          <w:b/>
          <w:sz w:val="24"/>
          <w:szCs w:val="24"/>
        </w:rPr>
        <w:t xml:space="preserve">Part </w:t>
      </w:r>
      <w:r w:rsidR="004E2CCB">
        <w:rPr>
          <w:rFonts w:ascii="Arial" w:hAnsi="Arial" w:cs="Arial"/>
          <w:b/>
          <w:sz w:val="24"/>
          <w:szCs w:val="24"/>
        </w:rPr>
        <w:t>5</w:t>
      </w:r>
      <w:r w:rsidRPr="000706D1">
        <w:rPr>
          <w:rFonts w:ascii="Arial" w:hAnsi="Arial" w:cs="Arial"/>
          <w:b/>
          <w:sz w:val="24"/>
          <w:szCs w:val="24"/>
        </w:rPr>
        <w:t xml:space="preserve"> OMB Program Specific Requirements</w:t>
      </w:r>
    </w:p>
    <w:p w14:paraId="2E34E586"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An institution is required to establish written policies and procedures that incorporate the provisions of 34 CFR 668.51 through 668.61 for verifying applicant information for those applicants selected for verification by ED. The institution shall require each applicant whose application is selected by ED to verify the information required for the Verification Tracking Group to which the applicant is assigned.</w:t>
      </w:r>
    </w:p>
    <w:p w14:paraId="0F7B9E35" w14:textId="5B9FF235"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 xml:space="preserve">However, certain applicants are excluded from the verification process as listed in 34 CFR 668.54(b). Please note that for the 2023-24 award year, a confined or incarcerated student as indicated through the new incarcerated applicant flag will only be required to verify their identity and statement of educational purpose. This means incarcerated students selected for Verification Tracking Group V4 and V5 will only be required to verify their identity and submit a statement of educational purpose. In addition, institutions are not required to verify a confined or incarcerated student selected under Verification Tracking Flag “V1” </w:t>
      </w:r>
      <w:hyperlink r:id="rId75" w:history="1">
        <w:r w:rsidRPr="004E2CCB">
          <w:rPr>
            <w:rStyle w:val="Hyperlink"/>
            <w:rFonts w:cs="Arial"/>
            <w:bCs/>
          </w:rPr>
          <w:t>(GEN-22-09)</w:t>
        </w:r>
      </w:hyperlink>
      <w:r w:rsidRPr="004E2CCB">
        <w:rPr>
          <w:rFonts w:ascii="Arial" w:hAnsi="Arial" w:cs="Arial"/>
          <w:bCs/>
        </w:rPr>
        <w:t xml:space="preserve">. A menu of potential verification items for each award year is published in the Federal Register, and the items to verify for a given application are selected by ED from that menu and indicated on the student’s output documents. Verification tracking groups and verification items for each award year can also be found in the annual </w:t>
      </w:r>
      <w:r w:rsidRPr="00DB4A83">
        <w:rPr>
          <w:rFonts w:ascii="Arial" w:hAnsi="Arial" w:cs="Arial"/>
          <w:bCs/>
          <w:i/>
          <w:iCs/>
        </w:rPr>
        <w:t>FSA Handbook</w:t>
      </w:r>
      <w:r w:rsidRPr="004E2CCB">
        <w:rPr>
          <w:rFonts w:ascii="Arial" w:hAnsi="Arial" w:cs="Arial"/>
          <w:bCs/>
        </w:rPr>
        <w:t xml:space="preserve">, Application and Verification Guide, Chapter 4. The institution shall also require applicants to verify any information used to calculate an applicant’s EFC that the institution has reason to believe is inaccurate and provide an accurate code for the individual’s verification status in the COD system. (34 CFR 668.54(a); </w:t>
      </w:r>
      <w:r w:rsidRPr="00DB4A83">
        <w:rPr>
          <w:rFonts w:ascii="Arial" w:hAnsi="Arial" w:cs="Arial"/>
          <w:bCs/>
          <w:i/>
          <w:iCs/>
        </w:rPr>
        <w:t>FSA Handbook</w:t>
      </w:r>
      <w:r w:rsidRPr="004E2CCB">
        <w:rPr>
          <w:rFonts w:ascii="Arial" w:hAnsi="Arial" w:cs="Arial"/>
          <w:bCs/>
        </w:rPr>
        <w:t xml:space="preserve"> Application and Verification Guide, Chapter 4).</w:t>
      </w:r>
    </w:p>
    <w:p w14:paraId="18E7402A" w14:textId="5F18CA55" w:rsidR="004E2CCB" w:rsidRPr="004E2CCB" w:rsidRDefault="004E2CCB" w:rsidP="004E2CCB">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0675BBD8" w14:textId="77777777" w:rsidR="00C44A80" w:rsidRPr="000706D1" w:rsidRDefault="00C44A80" w:rsidP="00C44A80">
      <w:pPr>
        <w:pStyle w:val="Heading3"/>
        <w:jc w:val="both"/>
        <w:rPr>
          <w:rFonts w:cs="Arial"/>
          <w:sz w:val="24"/>
          <w:szCs w:val="24"/>
        </w:rPr>
      </w:pPr>
      <w:bookmarkStart w:id="68" w:name="_Toc176355419"/>
      <w:r w:rsidRPr="000706D1">
        <w:rPr>
          <w:rFonts w:cs="Arial"/>
          <w:sz w:val="24"/>
          <w:szCs w:val="24"/>
        </w:rPr>
        <w:t>Additional Program Specific Information</w:t>
      </w:r>
      <w:bookmarkEnd w:id="68"/>
    </w:p>
    <w:p w14:paraId="6DB40F7A" w14:textId="77777777" w:rsidR="00C44A80" w:rsidRPr="00AA5B05" w:rsidRDefault="00C44A80" w:rsidP="00C44A80">
      <w:pPr>
        <w:spacing w:after="240"/>
        <w:jc w:val="both"/>
        <w:rPr>
          <w:rFonts w:ascii="Arial" w:hAnsi="Arial" w:cs="Arial"/>
          <w:b/>
          <w:highlight w:val="yellow"/>
        </w:rPr>
      </w:pPr>
      <w:r w:rsidRPr="00AA5B05">
        <w:rPr>
          <w:rFonts w:ascii="Arial" w:hAnsi="Arial" w:cs="Arial"/>
          <w:b/>
          <w:highlight w:val="yellow"/>
        </w:rPr>
        <w:t>Add program specific requirements from:</w:t>
      </w:r>
    </w:p>
    <w:p w14:paraId="2FC2BC7F" w14:textId="696BD7EB" w:rsidR="00C44A80" w:rsidRPr="00AA5B05" w:rsidRDefault="00C44A80" w:rsidP="00C44A8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B4A83">
        <w:rPr>
          <w:rFonts w:ascii="Arial" w:hAnsi="Arial" w:cs="Arial"/>
          <w:b/>
          <w:highlight w:val="yellow"/>
        </w:rPr>
        <w:t xml:space="preserve"> and</w:t>
      </w:r>
    </w:p>
    <w:p w14:paraId="3AB917AA" w14:textId="77777777" w:rsidR="00C44A80" w:rsidRPr="00AA5B05" w:rsidRDefault="00C44A80" w:rsidP="00C44A8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p>
    <w:p w14:paraId="69CDA7DA" w14:textId="77777777" w:rsidR="00C44A80" w:rsidRPr="00AA5B05" w:rsidRDefault="00C44A80" w:rsidP="00C44A8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1AD40E5" w14:textId="77777777" w:rsidR="00C44A80" w:rsidRPr="000706D1" w:rsidRDefault="00C44A80" w:rsidP="00C44A80">
      <w:pPr>
        <w:pStyle w:val="Heading3"/>
        <w:jc w:val="both"/>
        <w:rPr>
          <w:rFonts w:cs="Arial"/>
          <w:sz w:val="24"/>
          <w:szCs w:val="24"/>
        </w:rPr>
      </w:pPr>
      <w:bookmarkStart w:id="69" w:name="_Toc176355420"/>
      <w:r w:rsidRPr="000706D1">
        <w:rPr>
          <w:rFonts w:cs="Arial"/>
          <w:sz w:val="24"/>
          <w:szCs w:val="24"/>
        </w:rPr>
        <w:t>Audit Objectives and Control Testing</w:t>
      </w:r>
      <w:bookmarkEnd w:id="69"/>
    </w:p>
    <w:p w14:paraId="3E9F5DD8" w14:textId="77777777" w:rsidR="00C44A80" w:rsidRPr="00F00D94" w:rsidRDefault="00C44A80" w:rsidP="00C44A8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2DFFA58" w14:textId="77777777" w:rsidR="00C44A80" w:rsidRPr="00F00D94" w:rsidRDefault="00C44A80" w:rsidP="00C44A8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593B165" w14:textId="77777777" w:rsidR="00C44A80"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E096F12" w14:textId="2A5CA7B1" w:rsidR="00C44A80" w:rsidRPr="004E2CCB" w:rsidRDefault="004E2CCB" w:rsidP="000C04C5">
      <w:pPr>
        <w:pStyle w:val="ListParagraph"/>
        <w:numPr>
          <w:ilvl w:val="0"/>
          <w:numId w:val="6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E2CCB">
        <w:rPr>
          <w:rFonts w:ascii="Arial" w:hAnsi="Arial" w:cs="Arial"/>
          <w:iCs/>
        </w:rPr>
        <w:t>Determine whether the institution established policies and procedures to verify information in student aid applications for students selected for verification by ED.</w:t>
      </w:r>
    </w:p>
    <w:p w14:paraId="181E602E" w14:textId="5B388A1E" w:rsidR="004E2CCB" w:rsidRDefault="004E2CCB" w:rsidP="000C04C5">
      <w:pPr>
        <w:pStyle w:val="ListParagraph"/>
        <w:numPr>
          <w:ilvl w:val="0"/>
          <w:numId w:val="6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E2CCB">
        <w:rPr>
          <w:rFonts w:ascii="Arial" w:hAnsi="Arial" w:cs="Arial"/>
          <w:iCs/>
        </w:rPr>
        <w:t>Determine whether the institution conducted verifications of selected applications, made corrections, and reported the verification status in COD, as applicable, in accordance with the requirements.</w:t>
      </w:r>
    </w:p>
    <w:p w14:paraId="141D8A68" w14:textId="6C75B767" w:rsidR="004E2CCB" w:rsidRPr="004E2CCB" w:rsidRDefault="004E2CCB" w:rsidP="004E2CCB">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7AF6EE49" w14:textId="77777777" w:rsidR="00C44A80" w:rsidRPr="00634FA3" w:rsidRDefault="00C44A80" w:rsidP="00C44A8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A80" w:rsidRPr="00F00D94" w14:paraId="39ABF88B" w14:textId="77777777" w:rsidTr="00AB4349">
        <w:tc>
          <w:tcPr>
            <w:tcW w:w="5000" w:type="pct"/>
          </w:tcPr>
          <w:p w14:paraId="6E206452" w14:textId="77777777" w:rsidR="00C44A80" w:rsidRPr="006F5FFA" w:rsidRDefault="00C44A80" w:rsidP="00AB4349">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BB59D17" w14:textId="77777777" w:rsidR="00C44A80" w:rsidRPr="00F00D94" w:rsidRDefault="00C44A80" w:rsidP="00AB4349">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1586C93" w14:textId="77777777" w:rsidR="00C44A80" w:rsidRPr="00F00D94" w:rsidRDefault="00C44A80" w:rsidP="00AB4349">
            <w:pPr>
              <w:pStyle w:val="AuditProcedureHeading"/>
              <w:spacing w:after="240"/>
              <w:jc w:val="both"/>
              <w:rPr>
                <w:rFonts w:cs="Arial"/>
                <w:b/>
                <w:bCs/>
                <w:szCs w:val="20"/>
                <w:u w:val="single"/>
              </w:rPr>
            </w:pPr>
          </w:p>
          <w:p w14:paraId="284A0890" w14:textId="77777777" w:rsidR="00C44A80" w:rsidRPr="00F00D94" w:rsidRDefault="00C44A80" w:rsidP="00AB4349">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B3748E4" w14:textId="77777777" w:rsidR="00C44A80" w:rsidRPr="00F00D94" w:rsidRDefault="00C44A80" w:rsidP="00AB4349">
            <w:pPr>
              <w:pStyle w:val="AuditProcedureHeading"/>
              <w:spacing w:after="240"/>
              <w:jc w:val="both"/>
              <w:rPr>
                <w:rFonts w:cs="Arial"/>
                <w:b/>
                <w:bCs/>
                <w:szCs w:val="20"/>
                <w:u w:val="single"/>
              </w:rPr>
            </w:pPr>
          </w:p>
          <w:p w14:paraId="52F41EBB" w14:textId="77777777" w:rsidR="00C44A80" w:rsidRPr="00F00D94" w:rsidRDefault="00C44A80" w:rsidP="00AB4349">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A4BC5D8" w14:textId="77777777" w:rsidR="00C44A80" w:rsidRPr="00F00D94" w:rsidRDefault="00C44A80" w:rsidP="00AB4349">
            <w:pPr>
              <w:spacing w:after="240"/>
              <w:jc w:val="both"/>
              <w:rPr>
                <w:rFonts w:ascii="Arial" w:hAnsi="Arial" w:cs="Arial"/>
                <w:b/>
                <w:sz w:val="20"/>
                <w:u w:val="single"/>
              </w:rPr>
            </w:pPr>
          </w:p>
          <w:p w14:paraId="47F1EE79" w14:textId="77777777" w:rsidR="00C44A80" w:rsidRPr="00F00D94" w:rsidRDefault="00C44A80" w:rsidP="00AB4349">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7566D4D" w14:textId="77777777" w:rsidR="00C44A80" w:rsidRPr="00C35E5F" w:rsidRDefault="00C44A80" w:rsidP="00AB4349">
            <w:pPr>
              <w:spacing w:after="240"/>
              <w:jc w:val="both"/>
              <w:rPr>
                <w:rFonts w:ascii="Arial" w:eastAsiaTheme="minorHAnsi" w:hAnsi="Arial" w:cs="Arial"/>
                <w:sz w:val="20"/>
                <w:szCs w:val="20"/>
              </w:rPr>
            </w:pPr>
          </w:p>
        </w:tc>
      </w:tr>
    </w:tbl>
    <w:p w14:paraId="156AB09C"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06086B" w14:textId="77777777" w:rsidR="00C44A80" w:rsidRPr="000706D1" w:rsidRDefault="00C44A80" w:rsidP="00C44A80">
      <w:pPr>
        <w:pStyle w:val="Heading3"/>
        <w:jc w:val="both"/>
        <w:rPr>
          <w:rFonts w:cs="Arial"/>
          <w:sz w:val="24"/>
          <w:szCs w:val="24"/>
        </w:rPr>
      </w:pPr>
      <w:bookmarkStart w:id="70" w:name="_Toc17635542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0"/>
    </w:p>
    <w:tbl>
      <w:tblPr>
        <w:tblStyle w:val="TableGrid"/>
        <w:tblW w:w="9558" w:type="dxa"/>
        <w:tblLayout w:type="fixed"/>
        <w:tblLook w:val="04A0" w:firstRow="1" w:lastRow="0" w:firstColumn="1" w:lastColumn="0" w:noHBand="0" w:noVBand="1"/>
      </w:tblPr>
      <w:tblGrid>
        <w:gridCol w:w="9558"/>
      </w:tblGrid>
      <w:tr w:rsidR="00C44A80" w:rsidRPr="00F00D94" w14:paraId="3B78EFD4" w14:textId="77777777" w:rsidTr="00AB4349">
        <w:tc>
          <w:tcPr>
            <w:tcW w:w="9558" w:type="dxa"/>
          </w:tcPr>
          <w:p w14:paraId="377DD01B" w14:textId="77777777" w:rsidR="00C44A80" w:rsidRDefault="00C44A80" w:rsidP="00AB4349">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A5707A" w14:textId="77777777" w:rsidR="00C44A80" w:rsidRPr="00AC7B25" w:rsidRDefault="00C44A80" w:rsidP="00AB4349">
            <w:pPr>
              <w:spacing w:after="240"/>
              <w:jc w:val="both"/>
              <w:rPr>
                <w:rFonts w:ascii="Arial" w:hAnsi="Arial" w:cs="Arial"/>
                <w:i/>
                <w:sz w:val="20"/>
                <w:szCs w:val="20"/>
              </w:rPr>
            </w:pPr>
            <w:r>
              <w:rPr>
                <w:rFonts w:ascii="Arial" w:hAnsi="Arial" w:cs="Arial"/>
                <w:i/>
                <w:sz w:val="20"/>
                <w:szCs w:val="20"/>
              </w:rPr>
              <w:lastRenderedPageBreak/>
              <w:t>(Source: 2024 OMB Compliance Supplement Part 3)</w:t>
            </w:r>
          </w:p>
          <w:p w14:paraId="3BAD7D12" w14:textId="6BEE9783" w:rsidR="004E2CCB" w:rsidRPr="004E2CCB" w:rsidRDefault="004E2CCB" w:rsidP="004E2CCB">
            <w:pPr>
              <w:spacing w:after="240"/>
              <w:jc w:val="both"/>
              <w:rPr>
                <w:rFonts w:ascii="Arial" w:hAnsi="Arial" w:cs="Arial"/>
                <w:sz w:val="20"/>
              </w:rPr>
            </w:pPr>
            <w:r w:rsidRPr="004E2CCB">
              <w:rPr>
                <w:rFonts w:ascii="Arial" w:hAnsi="Arial" w:cs="Arial"/>
                <w:sz w:val="20"/>
              </w:rPr>
              <w:t>a.</w:t>
            </w:r>
            <w:r w:rsidRPr="004E2CCB">
              <w:rPr>
                <w:rFonts w:ascii="Arial" w:hAnsi="Arial" w:cs="Arial"/>
                <w:sz w:val="20"/>
              </w:rPr>
              <w:tab/>
              <w:t xml:space="preserve">Review the institution’s policies and procedures for verifying student applications selected for </w:t>
            </w:r>
            <w:r w:rsidRPr="004E2CCB">
              <w:rPr>
                <w:rFonts w:ascii="Arial" w:hAnsi="Arial" w:cs="Arial"/>
                <w:sz w:val="20"/>
              </w:rPr>
              <w:tab/>
              <w:t>verification by ED and verify that they meet the requirements of 34 CFR 668.53.</w:t>
            </w:r>
          </w:p>
          <w:p w14:paraId="15D8DBE7" w14:textId="7BF9332F" w:rsidR="004E2CCB" w:rsidRPr="001B6A61" w:rsidRDefault="004E2CCB" w:rsidP="004E2CCB">
            <w:pPr>
              <w:spacing w:after="240"/>
              <w:jc w:val="both"/>
              <w:rPr>
                <w:rFonts w:ascii="Arial" w:hAnsi="Arial" w:cs="Arial"/>
                <w:b/>
                <w:bCs/>
                <w:sz w:val="20"/>
              </w:rPr>
            </w:pPr>
            <w:r w:rsidRPr="004E2CCB">
              <w:rPr>
                <w:rFonts w:ascii="Arial" w:hAnsi="Arial" w:cs="Arial"/>
                <w:sz w:val="20"/>
              </w:rPr>
              <w:t>b.</w:t>
            </w:r>
            <w:r w:rsidRPr="004E2CCB">
              <w:rPr>
                <w:rFonts w:ascii="Arial" w:hAnsi="Arial" w:cs="Arial"/>
                <w:sz w:val="20"/>
              </w:rPr>
              <w:tab/>
              <w:t xml:space="preserve">Select a sample of applications that were selected for verification by ED and review the student aid </w:t>
            </w:r>
            <w:r w:rsidRPr="004E2CCB">
              <w:rPr>
                <w:rFonts w:ascii="Arial" w:hAnsi="Arial" w:cs="Arial"/>
                <w:sz w:val="20"/>
              </w:rPr>
              <w:tab/>
              <w:t xml:space="preserve">files for those applications to ascertain that the institution (1) obtained acceptable documentation </w:t>
            </w:r>
            <w:r w:rsidRPr="004E2CCB">
              <w:rPr>
                <w:rFonts w:ascii="Arial" w:hAnsi="Arial" w:cs="Arial"/>
                <w:sz w:val="20"/>
              </w:rPr>
              <w:tab/>
              <w:t xml:space="preserve">to verify the information required for the Verification Tracking Group to which the applicant is </w:t>
            </w:r>
            <w:r w:rsidRPr="004E2CCB">
              <w:rPr>
                <w:rFonts w:ascii="Arial" w:hAnsi="Arial" w:cs="Arial"/>
                <w:sz w:val="20"/>
              </w:rPr>
              <w:tab/>
              <w:t xml:space="preserve">assigned; (2) matched information on the documentation to the student aid application; (3) if </w:t>
            </w:r>
            <w:r w:rsidRPr="004E2CCB">
              <w:rPr>
                <w:rFonts w:ascii="Arial" w:hAnsi="Arial" w:cs="Arial"/>
                <w:sz w:val="20"/>
              </w:rPr>
              <w:tab/>
              <w:t xml:space="preserve">necessary, submitted data corrections to the central processor and recalculated awards and (4) </w:t>
            </w:r>
            <w:r w:rsidRPr="004E2CCB">
              <w:rPr>
                <w:rFonts w:ascii="Arial" w:hAnsi="Arial" w:cs="Arial"/>
                <w:sz w:val="20"/>
              </w:rPr>
              <w:tab/>
              <w:t>correctly coded the student’s verification status in COD for Pell Grants.</w:t>
            </w:r>
          </w:p>
        </w:tc>
      </w:tr>
    </w:tbl>
    <w:p w14:paraId="299579B9"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66B82A6" w14:textId="77777777" w:rsidR="00C44A80" w:rsidRPr="000706D1" w:rsidRDefault="00C44A80" w:rsidP="00C44A80">
      <w:pPr>
        <w:pStyle w:val="Heading3"/>
        <w:jc w:val="both"/>
        <w:rPr>
          <w:rFonts w:cs="Arial"/>
          <w:b w:val="0"/>
          <w:sz w:val="24"/>
          <w:szCs w:val="24"/>
        </w:rPr>
      </w:pPr>
      <w:bookmarkStart w:id="71" w:name="_Toc176355422"/>
      <w:r w:rsidRPr="000706D1">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C44A80" w:rsidRPr="00F00D94" w14:paraId="3EB81BD6" w14:textId="77777777" w:rsidTr="00AB4349">
        <w:tc>
          <w:tcPr>
            <w:tcW w:w="5000" w:type="pct"/>
          </w:tcPr>
          <w:p w14:paraId="45800F58" w14:textId="77777777" w:rsidR="00C44A80" w:rsidRDefault="00C44A80" w:rsidP="00AB4349">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CD9722B" w14:textId="77777777" w:rsidR="00C44A80" w:rsidRPr="006E46AD" w:rsidRDefault="00C44A80" w:rsidP="00AB4349">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CFDB53D" w14:textId="77777777" w:rsidR="00C44A80" w:rsidRPr="006E46AD" w:rsidRDefault="00C44A80" w:rsidP="000C04C5">
            <w:pPr>
              <w:pStyle w:val="ListParagraph"/>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C1EA1ED" w14:textId="77777777" w:rsidR="00C44A80" w:rsidRPr="006E46AD" w:rsidRDefault="00C44A80" w:rsidP="00AB4349">
            <w:pPr>
              <w:widowControl w:val="0"/>
              <w:spacing w:after="240"/>
              <w:ind w:left="720"/>
              <w:jc w:val="both"/>
              <w:rPr>
                <w:rFonts w:ascii="Arial" w:hAnsi="Arial" w:cs="Arial"/>
                <w:b/>
                <w:sz w:val="20"/>
                <w:szCs w:val="20"/>
              </w:rPr>
            </w:pPr>
          </w:p>
          <w:p w14:paraId="4E36E6DA" w14:textId="77777777" w:rsidR="00C44A80" w:rsidRPr="006E46AD" w:rsidRDefault="00C44A80" w:rsidP="000C04C5">
            <w:pPr>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B43064C" w14:textId="77777777" w:rsidR="00C44A80" w:rsidRPr="00F00D94" w:rsidRDefault="00C44A80" w:rsidP="00AB4349">
            <w:pPr>
              <w:pStyle w:val="ListParagraph"/>
              <w:spacing w:after="240"/>
              <w:jc w:val="both"/>
              <w:rPr>
                <w:rFonts w:ascii="Arial" w:hAnsi="Arial" w:cs="Arial"/>
                <w:b/>
              </w:rPr>
            </w:pPr>
          </w:p>
          <w:p w14:paraId="455567ED" w14:textId="77777777" w:rsidR="00C44A80" w:rsidRPr="00F00D94" w:rsidRDefault="00C44A80" w:rsidP="000C04C5">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880D286" w14:textId="77777777" w:rsidR="00C44A80" w:rsidRPr="00F00D94" w:rsidRDefault="00C44A80" w:rsidP="00AB4349">
            <w:pPr>
              <w:pStyle w:val="ListParagraph"/>
              <w:spacing w:after="240"/>
              <w:jc w:val="both"/>
              <w:rPr>
                <w:rFonts w:ascii="Arial" w:hAnsi="Arial" w:cs="Arial"/>
                <w:b/>
              </w:rPr>
            </w:pPr>
          </w:p>
          <w:p w14:paraId="0119604F" w14:textId="77777777" w:rsidR="00C44A80" w:rsidRPr="00F00D94" w:rsidRDefault="00C44A80" w:rsidP="000C04C5">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5907377" w14:textId="77777777" w:rsidR="00C44A80" w:rsidRPr="00F00D94" w:rsidRDefault="00C44A80" w:rsidP="00AB4349">
            <w:pPr>
              <w:pStyle w:val="ListParagraph"/>
              <w:spacing w:after="240"/>
              <w:jc w:val="both"/>
              <w:rPr>
                <w:rFonts w:ascii="Arial" w:hAnsi="Arial" w:cs="Arial"/>
                <w:b/>
              </w:rPr>
            </w:pPr>
          </w:p>
          <w:p w14:paraId="51AA81FC" w14:textId="77777777" w:rsidR="00C44A80" w:rsidRPr="00F00D94" w:rsidRDefault="00C44A80" w:rsidP="000C04C5">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549791D" w14:textId="77777777" w:rsidR="00C44A80" w:rsidRPr="00F00D94" w:rsidRDefault="00C44A80" w:rsidP="00AB4349">
            <w:pPr>
              <w:pStyle w:val="APStepItem"/>
              <w:numPr>
                <w:ilvl w:val="0"/>
                <w:numId w:val="0"/>
              </w:numPr>
              <w:spacing w:after="240"/>
              <w:rPr>
                <w:rFonts w:cs="Arial"/>
                <w:b/>
              </w:rPr>
            </w:pPr>
          </w:p>
        </w:tc>
      </w:tr>
    </w:tbl>
    <w:p w14:paraId="50E4C5E5" w14:textId="77777777" w:rsidR="00C44A80" w:rsidRDefault="00C44A80" w:rsidP="00C44A80">
      <w:pPr>
        <w:rPr>
          <w:rFonts w:ascii="Arial" w:hAnsi="Arial" w:cs="Arial"/>
        </w:rPr>
        <w:sectPr w:rsidR="00C44A80" w:rsidSect="00257772">
          <w:headerReference w:type="default" r:id="rId77"/>
          <w:pgSz w:w="12240" w:h="15840" w:code="1"/>
          <w:pgMar w:top="1440" w:right="1440" w:bottom="1440" w:left="1440" w:header="720" w:footer="720" w:gutter="0"/>
          <w:cols w:space="720"/>
          <w:docGrid w:linePitch="360"/>
        </w:sectPr>
      </w:pPr>
    </w:p>
    <w:p w14:paraId="7388BEF3" w14:textId="0AE1A2DB" w:rsidR="00C44A80" w:rsidRPr="000706D1" w:rsidRDefault="00C44A80" w:rsidP="00C44A80">
      <w:pPr>
        <w:pStyle w:val="Heading2"/>
        <w:jc w:val="both"/>
        <w:rPr>
          <w:rFonts w:cs="Arial"/>
          <w:sz w:val="24"/>
        </w:rPr>
      </w:pPr>
      <w:bookmarkStart w:id="72" w:name="_Toc176355423"/>
      <w:r w:rsidRPr="000706D1">
        <w:rPr>
          <w:rFonts w:cs="Arial"/>
          <w:sz w:val="24"/>
        </w:rPr>
        <w:lastRenderedPageBreak/>
        <w:t>N</w:t>
      </w:r>
      <w:r w:rsidR="004E2CCB">
        <w:rPr>
          <w:rFonts w:cs="Arial"/>
          <w:sz w:val="24"/>
        </w:rPr>
        <w:t>3</w:t>
      </w:r>
      <w:r w:rsidRPr="000706D1">
        <w:rPr>
          <w:rFonts w:cs="Arial"/>
          <w:sz w:val="24"/>
        </w:rPr>
        <w:t>.  SPECIAL TESTS AND PROVISIONS</w:t>
      </w:r>
      <w:r w:rsidR="004E2CCB">
        <w:rPr>
          <w:rFonts w:cs="Arial"/>
          <w:sz w:val="24"/>
        </w:rPr>
        <w:t xml:space="preserve"> – Disbursements to or on Behalf of Students</w:t>
      </w:r>
      <w:bookmarkEnd w:id="72"/>
    </w:p>
    <w:p w14:paraId="60126B88" w14:textId="77777777" w:rsidR="00C44A80" w:rsidRPr="000706D1" w:rsidRDefault="00C44A80" w:rsidP="00C44A80">
      <w:pPr>
        <w:pStyle w:val="Heading3"/>
        <w:jc w:val="both"/>
        <w:rPr>
          <w:rFonts w:cs="Arial"/>
          <w:sz w:val="24"/>
          <w:szCs w:val="24"/>
        </w:rPr>
      </w:pPr>
      <w:bookmarkStart w:id="73" w:name="_Toc176355424"/>
      <w:r w:rsidRPr="000706D1">
        <w:rPr>
          <w:rFonts w:cs="Arial"/>
          <w:sz w:val="24"/>
          <w:szCs w:val="24"/>
        </w:rPr>
        <w:t>OMB Compliance Requirements</w:t>
      </w:r>
      <w:bookmarkEnd w:id="73"/>
    </w:p>
    <w:p w14:paraId="3DB438F7"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5FA3F89"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2C644283" w14:textId="77777777" w:rsidR="00C44A80" w:rsidRPr="00F00D94" w:rsidRDefault="00C44A80" w:rsidP="00C44A80">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D5869F8" w14:textId="4F4208B0" w:rsidR="00C44A80" w:rsidRPr="000706D1" w:rsidRDefault="00C44A80" w:rsidP="00C44A80">
      <w:pPr>
        <w:spacing w:after="240"/>
        <w:jc w:val="both"/>
        <w:rPr>
          <w:rFonts w:ascii="Arial" w:hAnsi="Arial" w:cs="Arial"/>
          <w:b/>
          <w:sz w:val="24"/>
          <w:szCs w:val="24"/>
        </w:rPr>
      </w:pPr>
      <w:r w:rsidRPr="000706D1">
        <w:rPr>
          <w:rFonts w:ascii="Arial" w:hAnsi="Arial" w:cs="Arial"/>
          <w:b/>
          <w:sz w:val="24"/>
          <w:szCs w:val="24"/>
        </w:rPr>
        <w:t xml:space="preserve">Part </w:t>
      </w:r>
      <w:r w:rsidR="004E2CCB">
        <w:rPr>
          <w:rFonts w:ascii="Arial" w:hAnsi="Arial" w:cs="Arial"/>
          <w:b/>
          <w:sz w:val="24"/>
          <w:szCs w:val="24"/>
        </w:rPr>
        <w:t>5</w:t>
      </w:r>
      <w:r w:rsidRPr="000706D1">
        <w:rPr>
          <w:rFonts w:ascii="Arial" w:hAnsi="Arial" w:cs="Arial"/>
          <w:b/>
          <w:sz w:val="24"/>
          <w:szCs w:val="24"/>
        </w:rPr>
        <w:t xml:space="preserve"> OMB Program Specific Requirements</w:t>
      </w:r>
    </w:p>
    <w:p w14:paraId="1307A5BB" w14:textId="6944696F"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With the exception of FWS, disbursements are made on a payment period basis and the disbursement must be made during the current payment period (34 CFR 668.164(b)(1)). For purposes of testing Title IV deadlines or timeframes, “days” refers to calendar days unless the requirement specifies “business days.”</w:t>
      </w:r>
    </w:p>
    <w:p w14:paraId="35772C96" w14:textId="326C6B02"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An Institution must define the payment period for each program. There are three types of payment periods that an institution may use—payment periods that measure progress in credit hours and use standard terms; payment periods that measure progress in credit hours and use non-standard terms; and payment periods that measure progress in credit hours and do not have academic terms or for a program that measures progress in clock hours (34 CFR 668.4 Payment period). An institution may make early or late disbursements under limited circumstances provided for at 34 CFR 668.164 sections (i), (j), and (k).</w:t>
      </w:r>
    </w:p>
    <w:p w14:paraId="7B726CB7" w14:textId="1A3B5215"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 standard or non-standard program can also be a subscription-based program. A subscription-based program is a standard or nonstandard term program in which the institution charges a student for each term on a subscription basis with the expectation that the student will complete a specified number of credit hours (or the equivalent) during that term. However, classes in a subscription-based program are not required to begin or end within a specific timeframe in each term. Students must complete a cumulative number of credit hours (or the equivalent) during or following the end of each term before receiving subsequent disbursements of title IV, HEA program funds. An institution establishes an enrollment status (for example, full-time or half-time) that will apply to a student throughout the student's enrollment in the program, except that a student may change his or her enrollment status no more often than once per academic year.</w:t>
      </w:r>
    </w:p>
    <w:p w14:paraId="75625CDF" w14:textId="5EA00269"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Except for the fact that classes are not required to start and end within a term, the rules and requirements for term-based programs that are not subscription-based also apply to subscription-based programs. For more information about subscription-based programs, please see the FSA Handbook, Volume 3.</w:t>
      </w:r>
    </w:p>
    <w:p w14:paraId="002593EE" w14:textId="024F5F24"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lastRenderedPageBreak/>
        <w:t>An institution may credit a student’s ledger for only allowable costs and, unless on the reimbursement or Heightened Cash Monitoring 1 or 2 payment method, with the student or parent’s authorization, retain a credit balance for each disbursement. An institution on the reimbursement or Heightened Cash Monitoring 1 or 2 payment method must disburse credit balances to students whether or not the institution has an authorization to hold the credit balance and must disburse the credit balance to the student prior to requesting funds from ED.</w:t>
      </w:r>
    </w:p>
    <w:p w14:paraId="2EFFFABD" w14:textId="11839CFC"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E2CCB">
        <w:rPr>
          <w:rFonts w:ascii="Arial" w:hAnsi="Arial" w:cs="Arial"/>
          <w:bCs/>
          <w:i/>
          <w:iCs/>
        </w:rPr>
        <w:t>Payment Periods</w:t>
      </w:r>
    </w:p>
    <w:p w14:paraId="2D42DEF5" w14:textId="7777777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a.</w:t>
      </w:r>
      <w:r w:rsidRPr="004E2CCB">
        <w:rPr>
          <w:rFonts w:ascii="Arial" w:hAnsi="Arial" w:cs="Arial"/>
          <w:bCs/>
        </w:rPr>
        <w:tab/>
        <w:t>The payment period for a student enrolled in an eligible program that measures progress in credit hours and has standard academic terms (semesters, trimesters, or quarters), or has non-standard terms that are substantially equal in length, is the academic term (34 CFR 668.4(a)). (Non-standard terms are substantially equal in length if no term is more than two weeks of instructional time longer than any other term (34 CFR 668.4(h)).</w:t>
      </w:r>
    </w:p>
    <w:p w14:paraId="66504EBC" w14:textId="5C9704BA"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b.</w:t>
      </w:r>
      <w:r w:rsidRPr="004E2CCB">
        <w:rPr>
          <w:rFonts w:ascii="Arial" w:hAnsi="Arial" w:cs="Arial"/>
          <w:bCs/>
        </w:rPr>
        <w:tab/>
        <w:t>The payment period for a student enrolled in an eligible program that measures progress in credit hours and uses non-standard terms that are not substantially equal in length is as follows (34 CFR 668.4(b)):</w:t>
      </w:r>
    </w:p>
    <w:p w14:paraId="621B89E4" w14:textId="48765400"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4E2CCB">
        <w:rPr>
          <w:rFonts w:ascii="Arial" w:hAnsi="Arial" w:cs="Arial"/>
          <w:bCs/>
        </w:rPr>
        <w:t>(1)</w:t>
      </w:r>
      <w:r w:rsidRPr="004E2CCB">
        <w:rPr>
          <w:rFonts w:ascii="Arial" w:hAnsi="Arial" w:cs="Arial"/>
          <w:bCs/>
        </w:rPr>
        <w:tab/>
        <w:t>For Pell Grant, IASG, FSEOG, and TEACH Grants, the payment period is the academic term.</w:t>
      </w:r>
    </w:p>
    <w:p w14:paraId="0C312D48" w14:textId="120B52EC"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4E2CCB">
        <w:rPr>
          <w:rFonts w:ascii="Arial" w:hAnsi="Arial" w:cs="Arial"/>
          <w:bCs/>
        </w:rPr>
        <w:t>(2)</w:t>
      </w:r>
      <w:r w:rsidRPr="004E2CCB">
        <w:rPr>
          <w:rFonts w:ascii="Arial" w:hAnsi="Arial" w:cs="Arial"/>
          <w:bCs/>
        </w:rPr>
        <w:tab/>
        <w:t>For Direct Loans,</w:t>
      </w:r>
    </w:p>
    <w:p w14:paraId="65F95507" w14:textId="67DB9637"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(a)</w:t>
      </w:r>
      <w:r w:rsidRPr="004E2CCB">
        <w:rPr>
          <w:rFonts w:ascii="Arial" w:hAnsi="Arial" w:cs="Arial"/>
          <w:bCs/>
        </w:rPr>
        <w:tab/>
        <w:t>If the program is one academic year or less in length (i) the first payment period is the period of time in which the student successfully completes half the number of credit hours in the program and half the number of weeks of instructional time in the program, and (ii) the second payment period is the period of time in which the student completes the program.</w:t>
      </w:r>
    </w:p>
    <w:p w14:paraId="0FC52149" w14:textId="68436581"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E2CCB">
        <w:rPr>
          <w:rFonts w:ascii="Arial" w:hAnsi="Arial" w:cs="Arial"/>
          <w:bCs/>
        </w:rPr>
        <w:t>(b)</w:t>
      </w:r>
      <w:r w:rsidRPr="004E2CCB">
        <w:rPr>
          <w:rFonts w:ascii="Arial" w:hAnsi="Arial" w:cs="Arial"/>
          <w:bCs/>
        </w:rPr>
        <w:tab/>
        <w:t>If the program is more than one academic year in length—</w:t>
      </w:r>
    </w:p>
    <w:p w14:paraId="7E4D51BF" w14:textId="5B42575C"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2160"/>
        <w:jc w:val="both"/>
        <w:rPr>
          <w:rFonts w:ascii="Arial" w:hAnsi="Arial" w:cs="Arial"/>
          <w:bCs/>
        </w:rPr>
      </w:pPr>
      <w:r w:rsidRPr="004E2CCB">
        <w:rPr>
          <w:rFonts w:ascii="Arial" w:hAnsi="Arial" w:cs="Arial"/>
          <w:bCs/>
        </w:rPr>
        <w:t>(i)</w:t>
      </w:r>
      <w:r w:rsidRPr="004E2CCB">
        <w:rPr>
          <w:rFonts w:ascii="Arial" w:hAnsi="Arial" w:cs="Arial"/>
          <w:bCs/>
        </w:rPr>
        <w:tab/>
        <w:t>For the first academic year and any subsequent full academic year:</w:t>
      </w:r>
    </w:p>
    <w:p w14:paraId="5463B9C7" w14:textId="4063D40F"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t>(A)</w:t>
      </w:r>
      <w:r w:rsidRPr="004E2CCB">
        <w:rPr>
          <w:rFonts w:ascii="Arial" w:hAnsi="Arial" w:cs="Arial"/>
          <w:bCs/>
        </w:rPr>
        <w:tab/>
        <w:t>The first payment period is the period of time in which the student successfully completes half the number of credit hours in the academic year and half the number of weeks of instructional time in the academic year; and</w:t>
      </w:r>
    </w:p>
    <w:p w14:paraId="39EA10C8" w14:textId="4A62DA73"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t>(B)</w:t>
      </w:r>
      <w:r w:rsidRPr="004E2CCB">
        <w:rPr>
          <w:rFonts w:ascii="Arial" w:hAnsi="Arial" w:cs="Arial"/>
          <w:bCs/>
        </w:rPr>
        <w:tab/>
        <w:t>The second payment period is the period of time in which the student completes the academic year.</w:t>
      </w:r>
    </w:p>
    <w:p w14:paraId="08A21425" w14:textId="35AA0F7B"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2880" w:hanging="720"/>
        <w:jc w:val="both"/>
        <w:rPr>
          <w:rFonts w:ascii="Arial" w:hAnsi="Arial" w:cs="Arial"/>
          <w:bCs/>
        </w:rPr>
      </w:pPr>
      <w:r w:rsidRPr="004E2CCB">
        <w:rPr>
          <w:rFonts w:ascii="Arial" w:hAnsi="Arial" w:cs="Arial"/>
          <w:bCs/>
        </w:rPr>
        <w:t>(ii)</w:t>
      </w:r>
      <w:r w:rsidRPr="004E2CCB">
        <w:rPr>
          <w:rFonts w:ascii="Arial" w:hAnsi="Arial" w:cs="Arial"/>
          <w:bCs/>
        </w:rPr>
        <w:tab/>
        <w:t>For any remaining portion of an eligible program that is more than half, but less than a full, academic year in length:</w:t>
      </w:r>
    </w:p>
    <w:p w14:paraId="38E651F8" w14:textId="2CBCC19E"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t>(A)</w:t>
      </w:r>
      <w:r w:rsidRPr="004E2CCB">
        <w:rPr>
          <w:rFonts w:ascii="Arial" w:hAnsi="Arial" w:cs="Arial"/>
          <w:bCs/>
        </w:rPr>
        <w:tab/>
        <w:t>The first payment period is the period of time in which the student successfully completes half the number of credit hours in the remaining portion of the program and half the number of weeks of instructional time in the remaining portion of the program; and</w:t>
      </w:r>
    </w:p>
    <w:p w14:paraId="1005A044" w14:textId="31E13AE0"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t>(B)</w:t>
      </w:r>
      <w:r w:rsidRPr="004E2CCB">
        <w:rPr>
          <w:rFonts w:ascii="Arial" w:hAnsi="Arial" w:cs="Arial"/>
          <w:bCs/>
        </w:rPr>
        <w:tab/>
        <w:t>The second payment period is the period of time in which the student successfully completes the remainder of the program.</w:t>
      </w:r>
    </w:p>
    <w:p w14:paraId="72E134BA" w14:textId="73F52605"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2880"/>
        <w:jc w:val="both"/>
        <w:rPr>
          <w:rFonts w:ascii="Arial" w:hAnsi="Arial" w:cs="Arial"/>
          <w:bCs/>
        </w:rPr>
      </w:pPr>
      <w:r w:rsidRPr="004E2CCB">
        <w:rPr>
          <w:rFonts w:ascii="Arial" w:hAnsi="Arial" w:cs="Arial"/>
          <w:bCs/>
        </w:rPr>
        <w:lastRenderedPageBreak/>
        <w:t>Please note: for a remaining portion to be more than half of an academic year, both measurements (hours and weeks) must exceed half of the institution’s academic year definition.</w:t>
      </w:r>
    </w:p>
    <w:p w14:paraId="49EC305A" w14:textId="5ED26F66"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2880" w:hanging="720"/>
        <w:jc w:val="both"/>
        <w:rPr>
          <w:rFonts w:ascii="Arial" w:hAnsi="Arial" w:cs="Arial"/>
          <w:bCs/>
        </w:rPr>
      </w:pPr>
      <w:r w:rsidRPr="004E2CCB">
        <w:rPr>
          <w:rFonts w:ascii="Arial" w:hAnsi="Arial" w:cs="Arial"/>
          <w:bCs/>
        </w:rPr>
        <w:t>(iii)</w:t>
      </w:r>
      <w:r w:rsidRPr="004E2CCB">
        <w:rPr>
          <w:rFonts w:ascii="Arial" w:hAnsi="Arial" w:cs="Arial"/>
          <w:bCs/>
        </w:rPr>
        <w:tab/>
        <w:t>For any remaining portion of an eligible program that is not more than half an academic year, the payment period is the remainder of the program. In order for a remaining portion to be more than half of an academic year, both measurements (hours and weeks) must exceed half of the institution’s academic year definition. If only one measurement (or neither) exceed half of the institution’s academic year definition, the remaining portion is the final payment period.</w:t>
      </w:r>
    </w:p>
    <w:p w14:paraId="17411CF8" w14:textId="22D44B48"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c.</w:t>
      </w:r>
      <w:r w:rsidRPr="004E2CCB">
        <w:rPr>
          <w:rFonts w:ascii="Arial" w:hAnsi="Arial" w:cs="Arial"/>
          <w:bCs/>
        </w:rPr>
        <w:tab/>
        <w:t>The payment period for a student enrolled in an eligible program that measures progress in credit hours and does not have academic terms or for a program that measures progress in clock hours (34 CFR 668.4(c)):</w:t>
      </w:r>
    </w:p>
    <w:p w14:paraId="1C7F84B4" w14:textId="30AB7D2E" w:rsidR="004E2CCB" w:rsidRPr="004E2CCB" w:rsidRDefault="004E2CCB" w:rsidP="0047275E">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4E2CCB">
        <w:rPr>
          <w:rFonts w:ascii="Arial" w:hAnsi="Arial" w:cs="Arial"/>
          <w:bCs/>
        </w:rPr>
        <w:t>(1)</w:t>
      </w:r>
      <w:r w:rsidRPr="004E2CCB">
        <w:rPr>
          <w:rFonts w:ascii="Arial" w:hAnsi="Arial" w:cs="Arial"/>
          <w:bCs/>
        </w:rPr>
        <w:tab/>
        <w:t>If the program is one academic year or less in length (a) the first payment period is the period of time in which the student successfully completes half the number of credit or clock hours in the program and half the number of weeks of instructional time in the program; and (b) the second payment period is the period of time in which the student successfully completes the program.</w:t>
      </w:r>
    </w:p>
    <w:p w14:paraId="5DD48942" w14:textId="668037E9" w:rsidR="004E2CCB" w:rsidRPr="004E2CCB" w:rsidRDefault="004E2CCB" w:rsidP="004E2CCB">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4E2CCB">
        <w:rPr>
          <w:rFonts w:ascii="Arial" w:hAnsi="Arial" w:cs="Arial"/>
          <w:bCs/>
        </w:rPr>
        <w:t>(2)</w:t>
      </w:r>
      <w:r w:rsidRPr="004E2CCB">
        <w:rPr>
          <w:rFonts w:ascii="Arial" w:hAnsi="Arial" w:cs="Arial"/>
          <w:bCs/>
        </w:rPr>
        <w:tab/>
        <w:t>If the program is more than one academic year in length—</w:t>
      </w:r>
    </w:p>
    <w:p w14:paraId="7977EE35" w14:textId="3476CF75" w:rsidR="004E2CCB" w:rsidRPr="004E2CCB" w:rsidRDefault="004E2CCB" w:rsidP="00DB4A83">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(a)</w:t>
      </w:r>
      <w:r w:rsidRPr="004E2CCB">
        <w:rPr>
          <w:rFonts w:ascii="Arial" w:hAnsi="Arial" w:cs="Arial"/>
          <w:bCs/>
        </w:rPr>
        <w:tab/>
        <w:t>For the first academic year and any subsequent full academic year</w:t>
      </w:r>
      <w:r w:rsidR="00DB4A83">
        <w:rPr>
          <w:rFonts w:ascii="Arial" w:hAnsi="Arial" w:cs="Arial"/>
          <w:bCs/>
        </w:rPr>
        <w:t xml:space="preserve"> </w:t>
      </w:r>
      <w:r w:rsidRPr="004E2CCB">
        <w:rPr>
          <w:rFonts w:ascii="Arial" w:hAnsi="Arial" w:cs="Arial"/>
          <w:bCs/>
        </w:rPr>
        <w:t>(i)</w:t>
      </w:r>
      <w:r w:rsidR="00DB4A83">
        <w:rPr>
          <w:rFonts w:ascii="Arial" w:hAnsi="Arial" w:cs="Arial"/>
          <w:bCs/>
        </w:rPr>
        <w:t xml:space="preserve"> </w:t>
      </w:r>
      <w:r w:rsidRPr="004E2CCB">
        <w:rPr>
          <w:rFonts w:ascii="Arial" w:hAnsi="Arial" w:cs="Arial"/>
          <w:bCs/>
        </w:rPr>
        <w:t>the first payment period is the period of time in which the student successfully completes half the number of credit or clock hours in the academic year and half the number of weeks of instructional time in the academic year, and (ii) the second payment period is the period of time in which the student successfully completes the academic year.</w:t>
      </w:r>
    </w:p>
    <w:p w14:paraId="61ACF4E1" w14:textId="5CD58C57" w:rsidR="004E2CCB" w:rsidRPr="004E2CCB" w:rsidRDefault="004E2CCB" w:rsidP="0047275E">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(b)</w:t>
      </w:r>
      <w:r w:rsidRPr="004E2CCB">
        <w:rPr>
          <w:rFonts w:ascii="Arial" w:hAnsi="Arial" w:cs="Arial"/>
          <w:bCs/>
        </w:rPr>
        <w:tab/>
        <w:t>For any remaining portion of an eligible program that is more than half (both measurements of hours and weeks exceed the institution’s academic year definition) but less than a full academic year in length (i) the first payment period is the period of time in which the student successfully completes half the number of credit or clock hours in the remaining portion of the program and half the number of weeks of instructional time in the remaining portion of the program, and (ii) the second payment period is the period of time in which the student successfully completes the remainder of the program.</w:t>
      </w:r>
    </w:p>
    <w:p w14:paraId="53E1C526" w14:textId="4AF8FA54" w:rsidR="004E2CCB" w:rsidRPr="004E2CCB" w:rsidRDefault="004E2CCB" w:rsidP="0047275E">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(c)</w:t>
      </w:r>
      <w:r w:rsidRPr="004E2CCB">
        <w:rPr>
          <w:rFonts w:ascii="Arial" w:hAnsi="Arial" w:cs="Arial"/>
          <w:bCs/>
        </w:rPr>
        <w:tab/>
        <w:t>For any remaining portion of an eligible program that is not more than half an academic year (only one or neither measurement of hours and weeks exceed the institution’s academic year definition), the final payment period is the remainder of the program.</w:t>
      </w:r>
    </w:p>
    <w:p w14:paraId="39130246" w14:textId="4EAD64FE" w:rsidR="004E2CCB" w:rsidRPr="004E2CCB" w:rsidRDefault="004E2CCB" w:rsidP="0047275E">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If an institution is unable to determine when a student has successfully completed half of the credit hours in a program, academic year, or remainder of a program, the student is considered to begin the second payment period of the program, academic year, or remainder of a program at the later of (i) the date the institution determines the student has completed half of the academic coursework in the program, academic year, or remainder of the program; or (ii) half the number of weeks of instructional time in the program, academic year, or remainder of the program (34 CFR 668.4(c)(3)).</w:t>
      </w:r>
    </w:p>
    <w:p w14:paraId="41666448" w14:textId="641F012E" w:rsidR="004E2CCB" w:rsidRPr="004E2CCB" w:rsidRDefault="004E2CCB" w:rsidP="0047275E">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lastRenderedPageBreak/>
        <w:t>If a student withdraws from a credit-hour program that does not have academic terms or a clock-hour program during a payment period and reenters the same program within 180 days, the student remains in that same payment period upon reentry and is eligible to receive, subject to conditions established by ED, any Title IV funds for which they were eligible for prior to withdrawal, including funds returned as a result of a Return of Title IV Aid calculation (34 CFR 668.4(f)).</w:t>
      </w:r>
    </w:p>
    <w:p w14:paraId="7F3FC551" w14:textId="7069A226" w:rsidR="004E2CCB" w:rsidRPr="004E2CCB" w:rsidRDefault="004E2CCB" w:rsidP="0047275E">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If a student withdraws from a credit-hour program that does not have academic terms or a clock-hour program during a payment period and reenters the same program after 180 days or transfers into another program (either at the same institution or at a different institution) at any time, the student generally starts a new payment period (34 CFR 668.4(g)). (See exception to this general rule in 34 CFR 668.4(g)(3).)</w:t>
      </w:r>
    </w:p>
    <w:p w14:paraId="0EFFDC95" w14:textId="54983B95" w:rsidR="004E2CCB" w:rsidRPr="004E2CCB" w:rsidRDefault="004E2CCB" w:rsidP="0047275E">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E2CCB">
        <w:rPr>
          <w:rFonts w:ascii="Arial" w:hAnsi="Arial" w:cs="Arial"/>
          <w:bCs/>
        </w:rPr>
        <w:t>An institution is required to confirm at the time of disbursement that the student is eligible for the type and amount of title IV, HEA program funds identified by that disbursement (34 CFR 668.164(b)(3)). This confirmation is in addition to the determination of individual eligibility under Compliance Requirement E – Eligibility and would include confirming such eligibility requirements as whether the student is maintaining satisfactory academic progress under the institution’s satisfactory academic progress requirements at 668.34.</w:t>
      </w:r>
    </w:p>
    <w:p w14:paraId="7865A7EE" w14:textId="28236EF5" w:rsidR="004E2CCB" w:rsidRPr="0047275E"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7275E">
        <w:rPr>
          <w:rFonts w:ascii="Arial" w:hAnsi="Arial" w:cs="Arial"/>
          <w:bCs/>
          <w:i/>
          <w:iCs/>
        </w:rPr>
        <w:t>Timing and Appropriateness of Disbursements</w:t>
      </w:r>
    </w:p>
    <w:p w14:paraId="5A33B826" w14:textId="05D80599" w:rsidR="004E2CCB" w:rsidRPr="0047275E"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7275E">
        <w:rPr>
          <w:rFonts w:ascii="Arial" w:hAnsi="Arial" w:cs="Arial"/>
          <w:bCs/>
        </w:rPr>
        <w:t>As described in 34 CFR 668.164(c), institutions may credit (charge) a student’s ledger account with Title IV funds to pay for allowable charges associated with the payment period and prior year charges of not more than $200, in accordance with the timeframes described below. A prior year is any loan period or award year prior to the current loan period or award year, as applicable. Institutions may include the cost of books and</w:t>
      </w:r>
      <w:r w:rsidR="0047275E" w:rsidRPr="0047275E">
        <w:rPr>
          <w:rFonts w:ascii="Arial" w:hAnsi="Arial" w:cs="Arial"/>
          <w:bCs/>
        </w:rPr>
        <w:t xml:space="preserve"> </w:t>
      </w:r>
      <w:r w:rsidRPr="0047275E">
        <w:rPr>
          <w:rFonts w:ascii="Arial" w:hAnsi="Arial" w:cs="Arial"/>
          <w:bCs/>
        </w:rPr>
        <w:t>supplies as allowable charges, provided that the requirements in 34 CFR 668.164(c)(2) are met.</w:t>
      </w:r>
    </w:p>
    <w:p w14:paraId="7EDFD59B" w14:textId="18BBD5F2" w:rsidR="004E2CCB" w:rsidRPr="0047275E"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7275E">
        <w:rPr>
          <w:rFonts w:ascii="Arial" w:hAnsi="Arial" w:cs="Arial"/>
          <w:bCs/>
        </w:rPr>
        <w:t>Except as discussed below, the earliest an institution may disburse SFA funds (other than FWS) (either by paying the student directly or crediting the student’s account) is:</w:t>
      </w:r>
    </w:p>
    <w:p w14:paraId="6C128C5F" w14:textId="77777777" w:rsidR="004E2CCB" w:rsidRPr="0047275E" w:rsidRDefault="004E2CCB" w:rsidP="0047275E">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7275E">
        <w:rPr>
          <w:rFonts w:ascii="Arial" w:hAnsi="Arial" w:cs="Arial"/>
          <w:bCs/>
        </w:rPr>
        <w:t>•</w:t>
      </w:r>
      <w:r w:rsidRPr="0047275E">
        <w:rPr>
          <w:rFonts w:ascii="Arial" w:hAnsi="Arial" w:cs="Arial"/>
          <w:bCs/>
        </w:rPr>
        <w:tab/>
        <w:t>For students enrolled in credit-hour programs with terms that are substantially equal in length (excluding subscription-based programs), 10 days before the first day of classes of the payment period or module for which the disbursement is intended (34 CFR 668.164(i)(1)(i)).</w:t>
      </w:r>
    </w:p>
    <w:p w14:paraId="1EA01C76" w14:textId="77777777" w:rsidR="004E2CCB" w:rsidRPr="0047275E" w:rsidRDefault="004E2CCB" w:rsidP="0047275E">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7275E">
        <w:rPr>
          <w:rFonts w:ascii="Arial" w:hAnsi="Arial" w:cs="Arial"/>
          <w:bCs/>
        </w:rPr>
        <w:t>•</w:t>
      </w:r>
      <w:r w:rsidRPr="0047275E">
        <w:rPr>
          <w:rFonts w:ascii="Arial" w:hAnsi="Arial" w:cs="Arial"/>
          <w:bCs/>
        </w:rPr>
        <w:tab/>
        <w:t>For students enrolled in credit-hour programs with terms that are not substantially equal in length (excluding subscription-based programs), non-term credit-hour programs, or clock-hour programs, the later of:</w:t>
      </w:r>
    </w:p>
    <w:p w14:paraId="7F70AFC2" w14:textId="77777777" w:rsidR="004E2CCB" w:rsidRPr="0047275E" w:rsidRDefault="004E2CCB" w:rsidP="0047275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47275E">
        <w:rPr>
          <w:rFonts w:ascii="Arial" w:hAnsi="Arial" w:cs="Arial"/>
          <w:bCs/>
        </w:rPr>
        <w:t>o</w:t>
      </w:r>
      <w:r w:rsidRPr="0047275E">
        <w:rPr>
          <w:rFonts w:ascii="Arial" w:hAnsi="Arial" w:cs="Arial"/>
          <w:bCs/>
        </w:rPr>
        <w:tab/>
        <w:t>10 days before the first day of classes of a payment period, or</w:t>
      </w:r>
    </w:p>
    <w:p w14:paraId="21139DF7" w14:textId="77777777" w:rsidR="004E2CCB" w:rsidRPr="0047275E" w:rsidRDefault="004E2CCB" w:rsidP="0047275E">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47275E">
        <w:rPr>
          <w:rFonts w:ascii="Arial" w:hAnsi="Arial" w:cs="Arial"/>
          <w:bCs/>
        </w:rPr>
        <w:t>o</w:t>
      </w:r>
      <w:r w:rsidRPr="0047275E">
        <w:rPr>
          <w:rFonts w:ascii="Arial" w:hAnsi="Arial" w:cs="Arial"/>
          <w:bCs/>
        </w:rPr>
        <w:tab/>
        <w:t>The date the student completed the previous payment period for which they received Title IV funds.</w:t>
      </w:r>
    </w:p>
    <w:p w14:paraId="089FC335" w14:textId="77777777"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w:t>
      </w:r>
      <w:r w:rsidRPr="000C04C5">
        <w:rPr>
          <w:rFonts w:ascii="Arial" w:hAnsi="Arial" w:cs="Arial"/>
          <w:bCs/>
        </w:rPr>
        <w:tab/>
        <w:t>For students enrolled in subscription-based programs, the later of:</w:t>
      </w:r>
    </w:p>
    <w:p w14:paraId="74107DC0" w14:textId="77777777" w:rsidR="004E2CCB" w:rsidRPr="000C04C5" w:rsidRDefault="004E2CCB" w:rsidP="000C04C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0C04C5">
        <w:rPr>
          <w:rFonts w:ascii="Arial" w:hAnsi="Arial" w:cs="Arial"/>
          <w:bCs/>
        </w:rPr>
        <w:t>o</w:t>
      </w:r>
      <w:r w:rsidRPr="000C04C5">
        <w:rPr>
          <w:rFonts w:ascii="Arial" w:hAnsi="Arial" w:cs="Arial"/>
          <w:bCs/>
        </w:rPr>
        <w:tab/>
        <w:t>10 days before the first day of classes of a payment period, or</w:t>
      </w:r>
    </w:p>
    <w:p w14:paraId="37B5231D" w14:textId="77777777" w:rsidR="004E2CCB" w:rsidRPr="000C04C5" w:rsidRDefault="004E2CCB" w:rsidP="000C04C5">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0C04C5">
        <w:rPr>
          <w:rFonts w:ascii="Arial" w:hAnsi="Arial" w:cs="Arial"/>
          <w:bCs/>
        </w:rPr>
        <w:t>o</w:t>
      </w:r>
      <w:r w:rsidRPr="000C04C5">
        <w:rPr>
          <w:rFonts w:ascii="Arial" w:hAnsi="Arial" w:cs="Arial"/>
          <w:bCs/>
        </w:rPr>
        <w:tab/>
        <w:t>The date the student completed the cumulative number of credit hours associated with the student’s enrollment status in all prior terms that the student attended under the definition of a subscription-based program in 34 CFR 668.2.</w:t>
      </w:r>
    </w:p>
    <w:p w14:paraId="135A139A" w14:textId="6FE2CE5F"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If an institution credits a student’s account with its own funds (i.e., funds not drawn down from ED) earlier than 10 days before the first day of classes, ED considers that the institution made that disbursement on the tenth day before the first day of classes (34 CFR 668.164(a)(2)(ii)).</w:t>
      </w:r>
    </w:p>
    <w:p w14:paraId="25AB33CE" w14:textId="424F79EF"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lastRenderedPageBreak/>
        <w:t>There are exceptions to this 10-day rule for Direct Loans and FWS:</w:t>
      </w:r>
    </w:p>
    <w:p w14:paraId="79069F93" w14:textId="62FD3759" w:rsidR="004E2CCB" w:rsidRPr="000C04C5" w:rsidRDefault="004E2CCB" w:rsidP="000C04C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0C04C5">
        <w:rPr>
          <w:rFonts w:ascii="Arial" w:hAnsi="Arial" w:cs="Arial"/>
          <w:bCs/>
        </w:rPr>
        <w:t>•</w:t>
      </w:r>
      <w:r w:rsidRPr="000C04C5">
        <w:rPr>
          <w:rFonts w:ascii="Arial" w:hAnsi="Arial" w:cs="Arial"/>
          <w:bCs/>
        </w:rPr>
        <w:tab/>
        <w:t>An institution may not make a disbursement of a Direct Loan to a first-year undergraduate who is a first-time borrower until 30 days after the first day of classes of the payment period (34 CFR 668.164(i)(2)(i) and 34 CFR 685.303(b)(5)). However, an institution is not subject to this delayed disbursement requirement for first-year, first-time borrowers if:</w:t>
      </w:r>
    </w:p>
    <w:p w14:paraId="359A0154" w14:textId="00612B7D" w:rsidR="004E2CCB" w:rsidRPr="000C04C5" w:rsidRDefault="004E2CCB" w:rsidP="000C04C5">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0C04C5">
        <w:rPr>
          <w:rFonts w:ascii="Arial" w:hAnsi="Arial" w:cs="Arial"/>
          <w:bCs/>
        </w:rPr>
        <w:t>o</w:t>
      </w:r>
      <w:r w:rsidRPr="000C04C5">
        <w:rPr>
          <w:rFonts w:ascii="Arial" w:hAnsi="Arial" w:cs="Arial"/>
          <w:bCs/>
        </w:rPr>
        <w:tab/>
        <w:t>The institution has a cohort default rate of less than 15 percent for each of the three most recent fiscal years for which data are available does not have to wait the 30 days, or</w:t>
      </w:r>
    </w:p>
    <w:p w14:paraId="175FC8DA" w14:textId="4C7F2FD3" w:rsidR="004E2CCB" w:rsidRPr="000C04C5" w:rsidRDefault="004E2CCB" w:rsidP="000C04C5">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0C04C5">
        <w:rPr>
          <w:rFonts w:ascii="Arial" w:hAnsi="Arial" w:cs="Arial"/>
          <w:bCs/>
        </w:rPr>
        <w:t>o</w:t>
      </w:r>
      <w:r w:rsidRPr="000C04C5">
        <w:rPr>
          <w:rFonts w:ascii="Arial" w:hAnsi="Arial" w:cs="Arial"/>
          <w:bCs/>
        </w:rPr>
        <w:tab/>
        <w:t>The institution is an eligible home institution originating a loan to cover the student’s cost of attendance in a study-abroad program and has a cohort default rate of less than 5 percent for the single most recent fiscal year for which data are available does not have to wait the 30 days (34 CFR 685.303(b)(5)(i)(A) and (B)).</w:t>
      </w:r>
    </w:p>
    <w:p w14:paraId="7E805104" w14:textId="268B22A2" w:rsidR="004E2CCB" w:rsidRPr="000C04C5" w:rsidRDefault="004E2CCB" w:rsidP="000C04C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0C04C5">
        <w:rPr>
          <w:rFonts w:ascii="Arial" w:hAnsi="Arial" w:cs="Arial"/>
          <w:bCs/>
        </w:rPr>
        <w:t>If an institution credits the account of a student who is subject to the 30-day delayed disbursement requirement for Direct Loans with its own funds (i.e., funds not drawn down from ED) earlier than 30 days before the first day after the beginning of the payment period, ED considers that the institution made that disbursement on the 30th day after the beginning of the payment period (34 CFR 668.164(a)(2)(i)).</w:t>
      </w:r>
    </w:p>
    <w:p w14:paraId="716A6C00" w14:textId="414F2325" w:rsidR="004E2CCB" w:rsidRPr="000C04C5" w:rsidRDefault="004E2CCB" w:rsidP="000C04C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0C04C5">
        <w:rPr>
          <w:rFonts w:ascii="Arial" w:hAnsi="Arial" w:cs="Arial"/>
          <w:bCs/>
        </w:rPr>
        <w:t>•</w:t>
      </w:r>
      <w:r w:rsidRPr="000C04C5">
        <w:rPr>
          <w:rFonts w:ascii="Arial" w:hAnsi="Arial" w:cs="Arial"/>
          <w:bCs/>
        </w:rPr>
        <w:tab/>
        <w:t>An institution may not compensate a student employed under the FWS program until the student earns that compensation (34 CFR 675.16(a)(5)).</w:t>
      </w:r>
    </w:p>
    <w:p w14:paraId="0C5DE7FE" w14:textId="42C40C90"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Notification of Disbursements</w:t>
      </w:r>
    </w:p>
    <w:p w14:paraId="6858E757" w14:textId="70D20169"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Prior to making a disbursement, the school must notify students of the amount and type of Title IV funds they are expected to receive, and how and when those disbursements will be made (often referred to as an award letter or college financing plan) (34 CFR 668.165(a)(1)).</w:t>
      </w:r>
    </w:p>
    <w:p w14:paraId="39F65EE1" w14:textId="504EDFFE"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Additionally, when Direct Loans or TEACH funds are being credited to a student’s account, the institution must notify the student, or parent, in writing of (1) the date and amount of the disbursement; (2) the student’s right, or parent’s right, to cancel all or a portion of that loan or loan disbursement and have the loan proceeds returned to the holder of that loan or the TEACH Grant payments returned to ED; and (3) the procedure and time by which the student or parent must notify the institution that he or she wishes to cancel the loan, TEACH Grant, or TEACH Grant disbursement (a minimum of 14 or 30 days depending on confirmation process). The notification requirement for loan funds applies only if the funds are disbursed by EFT payment or master check (34 CFR 668.165). Institutions that implement an affirmative confirmation process (as described in 34 CFR 668.165 (a)(6)(i)) must make this notification to the student or parent no earlier than 30 days before, and no later than 30 days after, crediting the student’s account at the institution with Direct Loan or TEACH Grants. Institutions that do not implement an affirmative confirmation process must notify a student no earlier than 30 days before, but no later than seven days after, crediting the student’s account and must give the student 30 days (instead of 14) to cancel all or part of the loan.</w:t>
      </w:r>
    </w:p>
    <w:p w14:paraId="6E3E055B" w14:textId="317B3EB4"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Credit Balances</w:t>
      </w:r>
    </w:p>
    <w:p w14:paraId="7859828A" w14:textId="49428269"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When Title IV funds are credited to a student account and they exceed the amount of tuition and fees, food and housing, and other authorized charges assessed the student, a credit balance is created. The institution must pay the resulting credit balance directly to the student or parent borrower within 14 days after (1) the first day of class of a payment period if the credit balance occurred on or before that day, or (2) the balance occurred if that was after the first day of class.</w:t>
      </w:r>
    </w:p>
    <w:p w14:paraId="5222B82C" w14:textId="55B4666D"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 xml:space="preserve">An institution is permitted to hold credit balances if it obtains a voluntary authorization from the student. Regardless of any authorization obtained by the institution, the institution must pay any remaining loan </w:t>
      </w:r>
      <w:r w:rsidRPr="000C04C5">
        <w:rPr>
          <w:rFonts w:ascii="Arial" w:hAnsi="Arial" w:cs="Arial"/>
          <w:bCs/>
        </w:rPr>
        <w:lastRenderedPageBreak/>
        <w:t>balance by the end of the loan period and any</w:t>
      </w:r>
      <w:r w:rsidR="0047275E" w:rsidRPr="000C04C5">
        <w:rPr>
          <w:rFonts w:ascii="Arial" w:hAnsi="Arial" w:cs="Arial"/>
          <w:bCs/>
        </w:rPr>
        <w:t xml:space="preserve"> </w:t>
      </w:r>
      <w:r w:rsidRPr="000C04C5">
        <w:rPr>
          <w:rFonts w:ascii="Arial" w:hAnsi="Arial" w:cs="Arial"/>
          <w:bCs/>
        </w:rPr>
        <w:t>other remaining Title IV funds by the end of the last payment period in the award year for which the funds were awarded.</w:t>
      </w:r>
    </w:p>
    <w:p w14:paraId="3A4B35C5" w14:textId="1C11F20F"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Returning Funds After 240 Days</w:t>
      </w:r>
    </w:p>
    <w:p w14:paraId="1772A25B" w14:textId="428C0005"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Note: As outlined under 34 CFR 668.164(l), an institution must have a process that ensures SFA funds never escheat to a state or revert to the institution or any other third party. A failure to have such a process in place would call into question an institution’s administrative capability, its fiscal responsibility, and its system of internal controls required under the FSA regulations.</w:t>
      </w:r>
    </w:p>
    <w:p w14:paraId="47003332" w14:textId="3F8766B4"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Pell</w:t>
      </w:r>
    </w:p>
    <w:p w14:paraId="6B411926" w14:textId="71AF00FB"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To disburse Pell funds, the institution must have received a valid ISIR from the central processor by the earlier of the student’s last date of enrollment or the deadline date established by the secretary in a notice published in the Federal Register (the deadline date is normally in the month of September following the end of the award year). Late disbursements of Pell for students that are now ineligible (e.g., no longer enrolled) are allowed if, before the date the student became ineligible, an ISIR or SAR was processed that contained an official EFC. The institution has discretion in disbursing funds within a payment period, but generally must disburse the full amount before the end of the payment period.</w:t>
      </w:r>
    </w:p>
    <w:p w14:paraId="22EF73D2" w14:textId="696F708D"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When making a late disbursement or retroactive payment of Pell for a completed period, an institution determines a student’s enrollment status for the completed period based only on the hours completed by the student for that period (34 CFR 690.76(b)).</w:t>
      </w:r>
    </w:p>
    <w:p w14:paraId="0FE40850" w14:textId="4D5F4159"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 xml:space="preserve">The institution must review and document the student’s eligibility before it disburses funds each payment period (34 CFR 690.61, 690.75, 690.76, and 668.164(b)(3)). (Requirements for student eligibility are found in </w:t>
      </w:r>
      <w:hyperlink r:id="rId78" w:history="1">
        <w:r w:rsidRPr="00DB4A83">
          <w:rPr>
            <w:rStyle w:val="Hyperlink"/>
            <w:rFonts w:cs="Arial"/>
            <w:bCs/>
          </w:rPr>
          <w:t xml:space="preserve">Appendix </w:t>
        </w:r>
        <w:r w:rsidRPr="00DB4A83">
          <w:rPr>
            <w:rStyle w:val="Hyperlink"/>
            <w:rFonts w:cs="Arial"/>
            <w:bCs/>
          </w:rPr>
          <w:t>A</w:t>
        </w:r>
      </w:hyperlink>
      <w:r w:rsidRPr="000C04C5">
        <w:rPr>
          <w:rFonts w:ascii="Arial" w:hAnsi="Arial" w:cs="Arial"/>
          <w:bCs/>
        </w:rPr>
        <w:t>.)</w:t>
      </w:r>
    </w:p>
    <w:p w14:paraId="7D7EE990" w14:textId="451C11CC"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Direct Loan</w:t>
      </w:r>
    </w:p>
    <w:p w14:paraId="26FF74FB" w14:textId="3E3F2E87"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Except in the case of an allowable late disbursement (34 CFR 685.303(d)), before disbursing the loan proceeds, the institution must determine that the student maintained continuous eligibility from the beginning of the loan period. In order for an institution to disburse Direct Loan funds to a student, the student must generally be enrolled at least half-time as a regular student. However, a student may be eligible to receive Direct Loan funds if the student is enrolled at least half-time in preparatory coursework for no longer than a 12-month consecutive period under 668.32(a)(1)(ii) and 685.203(a)(6). Students may also be eligible for Direct Loan funds if they are enrolled at least half-time in teacher certification coursework under 34 CFR 685.203(a)(7).</w:t>
      </w:r>
    </w:p>
    <w:p w14:paraId="3D12290D" w14:textId="4554A2EF" w:rsidR="004E2CCB" w:rsidRPr="000C04C5" w:rsidRDefault="004E2CCB" w:rsidP="004E2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0C04C5">
        <w:rPr>
          <w:rFonts w:ascii="Arial" w:hAnsi="Arial" w:cs="Arial"/>
          <w:bCs/>
        </w:rPr>
        <w:t xml:space="preserve">An institution under the advance payment method may not disburse loan proceeds until they have obtained a legally enforceable promissory note. An institution under reimbursement or cash monitoring payment method must have obtained a legally enforceable promissory note and may request funds only for those that they have already disbursed funds to students (34 CFR 685.301 and 685.303). (See III.C, “Cash Management,” for discussion of payment methods.) (Requirements for student eligibility are found in </w:t>
      </w:r>
      <w:hyperlink r:id="rId79" w:history="1">
        <w:r w:rsidRPr="009706B9">
          <w:rPr>
            <w:rStyle w:val="Hyperlink"/>
            <w:rFonts w:cs="Arial"/>
            <w:bCs/>
          </w:rPr>
          <w:t>Appe</w:t>
        </w:r>
        <w:r w:rsidRPr="009706B9">
          <w:rPr>
            <w:rStyle w:val="Hyperlink"/>
            <w:rFonts w:cs="Arial"/>
            <w:bCs/>
          </w:rPr>
          <w:t>n</w:t>
        </w:r>
        <w:r w:rsidRPr="009706B9">
          <w:rPr>
            <w:rStyle w:val="Hyperlink"/>
            <w:rFonts w:cs="Arial"/>
            <w:bCs/>
          </w:rPr>
          <w:t>dix A</w:t>
        </w:r>
      </w:hyperlink>
      <w:r w:rsidRPr="000C04C5">
        <w:rPr>
          <w:rFonts w:ascii="Arial" w:hAnsi="Arial" w:cs="Arial"/>
          <w:bCs/>
        </w:rPr>
        <w:t>.)</w:t>
      </w:r>
    </w:p>
    <w:p w14:paraId="29CC1866" w14:textId="473A66C0" w:rsidR="004E2CCB" w:rsidRPr="004E2CCB" w:rsidRDefault="004E2CCB" w:rsidP="004E2CCB">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7DB387B9" w14:textId="77777777" w:rsidR="00C44A80" w:rsidRPr="000706D1" w:rsidRDefault="00C44A80" w:rsidP="00C44A80">
      <w:pPr>
        <w:pStyle w:val="Heading3"/>
        <w:jc w:val="both"/>
        <w:rPr>
          <w:rFonts w:cs="Arial"/>
          <w:sz w:val="24"/>
          <w:szCs w:val="24"/>
        </w:rPr>
      </w:pPr>
      <w:bookmarkStart w:id="74" w:name="_Toc176355425"/>
      <w:r w:rsidRPr="000706D1">
        <w:rPr>
          <w:rFonts w:cs="Arial"/>
          <w:sz w:val="24"/>
          <w:szCs w:val="24"/>
        </w:rPr>
        <w:t>Additional Program Specific Information</w:t>
      </w:r>
      <w:bookmarkEnd w:id="74"/>
    </w:p>
    <w:p w14:paraId="6B6AB80B" w14:textId="77777777" w:rsidR="00C44A80" w:rsidRPr="00AA5B05" w:rsidRDefault="00C44A80" w:rsidP="00C44A80">
      <w:pPr>
        <w:spacing w:after="240"/>
        <w:jc w:val="both"/>
        <w:rPr>
          <w:rFonts w:ascii="Arial" w:hAnsi="Arial" w:cs="Arial"/>
          <w:b/>
          <w:highlight w:val="yellow"/>
        </w:rPr>
      </w:pPr>
      <w:r w:rsidRPr="00AA5B05">
        <w:rPr>
          <w:rFonts w:ascii="Arial" w:hAnsi="Arial" w:cs="Arial"/>
          <w:b/>
          <w:highlight w:val="yellow"/>
        </w:rPr>
        <w:t>Add program specific requirements from:</w:t>
      </w:r>
    </w:p>
    <w:p w14:paraId="7823774D" w14:textId="0C5FC3F3" w:rsidR="00C44A80" w:rsidRPr="00AA5B05" w:rsidRDefault="00C44A80" w:rsidP="00C44A8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706B9">
        <w:rPr>
          <w:rFonts w:ascii="Arial" w:hAnsi="Arial" w:cs="Arial"/>
          <w:b/>
          <w:highlight w:val="yellow"/>
        </w:rPr>
        <w:t xml:space="preserve"> and</w:t>
      </w:r>
    </w:p>
    <w:p w14:paraId="63A01BEB" w14:textId="77777777" w:rsidR="00C44A80" w:rsidRPr="00AA5B05" w:rsidRDefault="00C44A80" w:rsidP="00C44A8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p>
    <w:p w14:paraId="105C01B5" w14:textId="77777777" w:rsidR="00C44A80" w:rsidRPr="00AA5B05" w:rsidRDefault="00C44A80" w:rsidP="00C44A8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4BA2F7B" w14:textId="77777777" w:rsidR="00C44A80" w:rsidRPr="000706D1" w:rsidRDefault="00C44A80" w:rsidP="00C44A80">
      <w:pPr>
        <w:pStyle w:val="Heading3"/>
        <w:jc w:val="both"/>
        <w:rPr>
          <w:rFonts w:cs="Arial"/>
          <w:sz w:val="24"/>
          <w:szCs w:val="24"/>
        </w:rPr>
      </w:pPr>
      <w:bookmarkStart w:id="75" w:name="_Toc176355426"/>
      <w:r w:rsidRPr="000706D1">
        <w:rPr>
          <w:rFonts w:cs="Arial"/>
          <w:sz w:val="24"/>
          <w:szCs w:val="24"/>
        </w:rPr>
        <w:t>Audit Objectives and Control Testing</w:t>
      </w:r>
      <w:bookmarkEnd w:id="75"/>
    </w:p>
    <w:p w14:paraId="65BC5A66" w14:textId="77777777" w:rsidR="00C44A80" w:rsidRPr="00F00D94" w:rsidRDefault="00C44A80" w:rsidP="00C44A8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5E4D74C" w14:textId="77777777" w:rsidR="00C44A80" w:rsidRPr="00F00D94" w:rsidRDefault="00C44A80" w:rsidP="00C44A8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72422BA" w14:textId="77777777" w:rsidR="00C44A80"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055022E" w14:textId="7053D348" w:rsidR="00C44A80" w:rsidRDefault="000C04C5" w:rsidP="000C04C5">
      <w:pPr>
        <w:pStyle w:val="ListParagraph"/>
        <w:numPr>
          <w:ilvl w:val="0"/>
          <w:numId w:val="6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0C04C5">
        <w:rPr>
          <w:rFonts w:ascii="Arial" w:hAnsi="Arial" w:cs="Arial"/>
          <w:iCs/>
        </w:rPr>
        <w:t>Determine if the institution (1) followed ED requirements for timing and appropriateness of disbursements, (2) made appropriate and timely disbursement notifications, (3) complied with requirements for returning credit balances, and (4) returned to ED funds that it attempted to disburse after 240 days.</w:t>
      </w:r>
    </w:p>
    <w:p w14:paraId="1C328CCF" w14:textId="5EDCBF08" w:rsidR="000C04C5" w:rsidRPr="000C04C5" w:rsidRDefault="000C04C5" w:rsidP="000C04C5">
      <w:pPr>
        <w:spacing w:after="240"/>
        <w:jc w:val="both"/>
        <w:rPr>
          <w:rFonts w:ascii="Arial" w:hAnsi="Arial" w:cs="Arial"/>
          <w:bCs/>
        </w:rPr>
      </w:pPr>
      <w:r w:rsidRPr="000C04C5">
        <w:rPr>
          <w:rFonts w:ascii="Arial" w:hAnsi="Arial" w:cs="Arial"/>
          <w:bCs/>
          <w:i/>
        </w:rPr>
        <w:t>(Source: 2024 OMB Compliance Supplement, Part 5, Student Financial Assistance Cluster)</w:t>
      </w:r>
    </w:p>
    <w:p w14:paraId="5841528F" w14:textId="77777777" w:rsidR="00C44A80" w:rsidRPr="00634FA3" w:rsidRDefault="00C44A80" w:rsidP="00C44A8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A80" w:rsidRPr="00F00D94" w14:paraId="3D374725" w14:textId="77777777" w:rsidTr="00AB4349">
        <w:tc>
          <w:tcPr>
            <w:tcW w:w="5000" w:type="pct"/>
          </w:tcPr>
          <w:p w14:paraId="5D092C76" w14:textId="77777777" w:rsidR="00C44A80" w:rsidRPr="006F5FFA" w:rsidRDefault="00C44A80" w:rsidP="00AB4349">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3FBA467" w14:textId="77777777" w:rsidR="00C44A80" w:rsidRPr="00F00D94" w:rsidRDefault="00C44A80" w:rsidP="00AB4349">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7DECEB9" w14:textId="77777777" w:rsidR="00C44A80" w:rsidRPr="00F00D94" w:rsidRDefault="00C44A80" w:rsidP="00AB4349">
            <w:pPr>
              <w:pStyle w:val="AuditProcedureHeading"/>
              <w:spacing w:after="240"/>
              <w:jc w:val="both"/>
              <w:rPr>
                <w:rFonts w:cs="Arial"/>
                <w:b/>
                <w:bCs/>
                <w:szCs w:val="20"/>
                <w:u w:val="single"/>
              </w:rPr>
            </w:pPr>
          </w:p>
          <w:p w14:paraId="29AD57BD" w14:textId="77777777" w:rsidR="00C44A80" w:rsidRPr="00F00D94" w:rsidRDefault="00C44A80" w:rsidP="00AB4349">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A0BC0E7" w14:textId="77777777" w:rsidR="00C44A80" w:rsidRPr="00F00D94" w:rsidRDefault="00C44A80" w:rsidP="00AB4349">
            <w:pPr>
              <w:pStyle w:val="AuditProcedureHeading"/>
              <w:spacing w:after="240"/>
              <w:jc w:val="both"/>
              <w:rPr>
                <w:rFonts w:cs="Arial"/>
                <w:b/>
                <w:bCs/>
                <w:szCs w:val="20"/>
                <w:u w:val="single"/>
              </w:rPr>
            </w:pPr>
          </w:p>
          <w:p w14:paraId="2FF4568E" w14:textId="77777777" w:rsidR="00C44A80" w:rsidRPr="00F00D94" w:rsidRDefault="00C44A80" w:rsidP="00AB4349">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BA94A25" w14:textId="77777777" w:rsidR="00C44A80" w:rsidRPr="00F00D94" w:rsidRDefault="00C44A80" w:rsidP="00AB4349">
            <w:pPr>
              <w:spacing w:after="240"/>
              <w:jc w:val="both"/>
              <w:rPr>
                <w:rFonts w:ascii="Arial" w:hAnsi="Arial" w:cs="Arial"/>
                <w:b/>
                <w:sz w:val="20"/>
                <w:u w:val="single"/>
              </w:rPr>
            </w:pPr>
          </w:p>
          <w:p w14:paraId="388E4F00" w14:textId="77777777" w:rsidR="00C44A80" w:rsidRPr="00F00D94" w:rsidRDefault="00C44A80" w:rsidP="00AB4349">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6797982" w14:textId="77777777" w:rsidR="00C44A80" w:rsidRPr="00C35E5F" w:rsidRDefault="00C44A80" w:rsidP="00AB4349">
            <w:pPr>
              <w:spacing w:after="240"/>
              <w:jc w:val="both"/>
              <w:rPr>
                <w:rFonts w:ascii="Arial" w:eastAsiaTheme="minorHAnsi" w:hAnsi="Arial" w:cs="Arial"/>
                <w:sz w:val="20"/>
                <w:szCs w:val="20"/>
              </w:rPr>
            </w:pPr>
          </w:p>
        </w:tc>
      </w:tr>
    </w:tbl>
    <w:p w14:paraId="0CB124E5"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2E11F7D" w14:textId="77777777" w:rsidR="00C44A80" w:rsidRPr="000706D1" w:rsidRDefault="00C44A80" w:rsidP="00C44A80">
      <w:pPr>
        <w:pStyle w:val="Heading3"/>
        <w:jc w:val="both"/>
        <w:rPr>
          <w:rFonts w:cs="Arial"/>
          <w:sz w:val="24"/>
          <w:szCs w:val="24"/>
        </w:rPr>
      </w:pPr>
      <w:bookmarkStart w:id="76" w:name="_Toc176355427"/>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6"/>
    </w:p>
    <w:tbl>
      <w:tblPr>
        <w:tblStyle w:val="TableGrid"/>
        <w:tblW w:w="9558" w:type="dxa"/>
        <w:tblLayout w:type="fixed"/>
        <w:tblLook w:val="04A0" w:firstRow="1" w:lastRow="0" w:firstColumn="1" w:lastColumn="0" w:noHBand="0" w:noVBand="1"/>
      </w:tblPr>
      <w:tblGrid>
        <w:gridCol w:w="9558"/>
      </w:tblGrid>
      <w:tr w:rsidR="00C44A80" w:rsidRPr="00F00D94" w14:paraId="5C85462D" w14:textId="77777777" w:rsidTr="00AB4349">
        <w:tc>
          <w:tcPr>
            <w:tcW w:w="9558" w:type="dxa"/>
          </w:tcPr>
          <w:p w14:paraId="1181BE07" w14:textId="77777777" w:rsidR="00C44A80" w:rsidRDefault="00C44A80" w:rsidP="00AB4349">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963CE30" w14:textId="77777777" w:rsidR="00C44A80" w:rsidRPr="00AC7B25" w:rsidRDefault="00C44A80" w:rsidP="00AB4349">
            <w:pPr>
              <w:spacing w:after="240"/>
              <w:jc w:val="both"/>
              <w:rPr>
                <w:rFonts w:ascii="Arial" w:hAnsi="Arial" w:cs="Arial"/>
                <w:i/>
                <w:sz w:val="20"/>
                <w:szCs w:val="20"/>
              </w:rPr>
            </w:pPr>
            <w:r>
              <w:rPr>
                <w:rFonts w:ascii="Arial" w:hAnsi="Arial" w:cs="Arial"/>
                <w:i/>
                <w:sz w:val="20"/>
                <w:szCs w:val="20"/>
              </w:rPr>
              <w:t>(Source: 2024 OMB Compliance Supplement Part 3)</w:t>
            </w:r>
          </w:p>
          <w:p w14:paraId="77AA5289" w14:textId="1688CF74" w:rsidR="000C04C5" w:rsidRPr="000C04C5" w:rsidRDefault="000C04C5" w:rsidP="000C04C5">
            <w:pPr>
              <w:spacing w:after="240"/>
              <w:jc w:val="both"/>
              <w:rPr>
                <w:rFonts w:ascii="Arial" w:hAnsi="Arial" w:cs="Arial"/>
                <w:sz w:val="20"/>
              </w:rPr>
            </w:pPr>
            <w:r w:rsidRPr="000C04C5">
              <w:rPr>
                <w:rFonts w:ascii="Arial" w:hAnsi="Arial" w:cs="Arial"/>
                <w:sz w:val="20"/>
              </w:rPr>
              <w:t>a.</w:t>
            </w:r>
            <w:r w:rsidRPr="000C04C5">
              <w:rPr>
                <w:rFonts w:ascii="Arial" w:hAnsi="Arial" w:cs="Arial"/>
                <w:sz w:val="20"/>
              </w:rPr>
              <w:tab/>
              <w:t xml:space="preserve">For a sample of student disbursements, identify the student’s payment period and each </w:t>
            </w:r>
            <w:r w:rsidRPr="000C04C5">
              <w:rPr>
                <w:rFonts w:ascii="Arial" w:hAnsi="Arial" w:cs="Arial"/>
                <w:sz w:val="20"/>
              </w:rPr>
              <w:tab/>
              <w:t xml:space="preserve">disbursement date. Ascertain if the disbursement was made in accordance </w:t>
            </w:r>
            <w:r w:rsidRPr="000C04C5">
              <w:rPr>
                <w:rFonts w:ascii="Arial" w:hAnsi="Arial" w:cs="Arial"/>
                <w:sz w:val="20"/>
              </w:rPr>
              <w:tab/>
              <w:t xml:space="preserve">with the </w:t>
            </w:r>
            <w:r w:rsidRPr="000C04C5">
              <w:rPr>
                <w:rFonts w:ascii="Arial" w:hAnsi="Arial" w:cs="Arial"/>
                <w:sz w:val="20"/>
              </w:rPr>
              <w:tab/>
              <w:t xml:space="preserve">disbursement timing requirements and if the amount credited (charged) to student ledger </w:t>
            </w:r>
            <w:r w:rsidRPr="000C04C5">
              <w:rPr>
                <w:rFonts w:ascii="Arial" w:hAnsi="Arial" w:cs="Arial"/>
                <w:sz w:val="20"/>
              </w:rPr>
              <w:tab/>
              <w:t>accounts complied with the requirements for allowable current year and prior year charges.</w:t>
            </w:r>
          </w:p>
          <w:p w14:paraId="5C2D3BB7" w14:textId="3EC95A09" w:rsidR="000C04C5" w:rsidRPr="000C04C5" w:rsidRDefault="000C04C5" w:rsidP="000C04C5">
            <w:pPr>
              <w:spacing w:after="240"/>
              <w:jc w:val="both"/>
              <w:rPr>
                <w:rFonts w:ascii="Arial" w:hAnsi="Arial" w:cs="Arial"/>
                <w:sz w:val="20"/>
              </w:rPr>
            </w:pPr>
            <w:r w:rsidRPr="000C04C5">
              <w:rPr>
                <w:rFonts w:ascii="Arial" w:hAnsi="Arial" w:cs="Arial"/>
                <w:sz w:val="20"/>
              </w:rPr>
              <w:t>b.</w:t>
            </w:r>
            <w:r w:rsidRPr="000C04C5">
              <w:rPr>
                <w:rFonts w:ascii="Arial" w:hAnsi="Arial" w:cs="Arial"/>
                <w:sz w:val="20"/>
              </w:rPr>
              <w:tab/>
              <w:t xml:space="preserve">Determine whether the institution’s policies and procedures provide for determining a </w:t>
            </w:r>
            <w:r w:rsidRPr="000C04C5">
              <w:rPr>
                <w:rFonts w:ascii="Arial" w:hAnsi="Arial" w:cs="Arial"/>
                <w:sz w:val="20"/>
              </w:rPr>
              <w:tab/>
              <w:t>student’s eligibility at the time of disbursement.</w:t>
            </w:r>
          </w:p>
          <w:p w14:paraId="4E58D5B0" w14:textId="1EC1431B" w:rsidR="000C04C5" w:rsidRPr="000C04C5" w:rsidRDefault="000C04C5" w:rsidP="000C04C5">
            <w:pPr>
              <w:spacing w:after="240"/>
              <w:jc w:val="both"/>
              <w:rPr>
                <w:rFonts w:ascii="Arial" w:hAnsi="Arial" w:cs="Arial"/>
                <w:sz w:val="20"/>
              </w:rPr>
            </w:pPr>
            <w:r w:rsidRPr="000C04C5">
              <w:rPr>
                <w:rFonts w:ascii="Arial" w:hAnsi="Arial" w:cs="Arial"/>
                <w:sz w:val="20"/>
              </w:rPr>
              <w:t>c.</w:t>
            </w:r>
            <w:r w:rsidRPr="000C04C5">
              <w:rPr>
                <w:rFonts w:ascii="Arial" w:hAnsi="Arial" w:cs="Arial"/>
                <w:sz w:val="20"/>
              </w:rPr>
              <w:tab/>
              <w:t xml:space="preserve">For the disbursements selected in step a., determine whether the institution provided </w:t>
            </w:r>
            <w:r w:rsidRPr="000C04C5">
              <w:rPr>
                <w:rFonts w:ascii="Arial" w:hAnsi="Arial" w:cs="Arial"/>
                <w:sz w:val="20"/>
              </w:rPr>
              <w:tab/>
              <w:t xml:space="preserve">notification to the student of the amount and type of Title IV funds they are expected to receive and </w:t>
            </w:r>
            <w:r w:rsidRPr="000C04C5">
              <w:rPr>
                <w:rFonts w:ascii="Arial" w:hAnsi="Arial" w:cs="Arial"/>
                <w:b/>
                <w:bCs/>
                <w:sz w:val="20"/>
              </w:rPr>
              <w:tab/>
            </w:r>
            <w:r w:rsidRPr="000C04C5">
              <w:rPr>
                <w:rFonts w:ascii="Arial" w:hAnsi="Arial" w:cs="Arial"/>
                <w:sz w:val="20"/>
              </w:rPr>
              <w:t>how and when those disbursements will be made.</w:t>
            </w:r>
          </w:p>
          <w:p w14:paraId="410AA498" w14:textId="148B75BC" w:rsidR="000C04C5" w:rsidRPr="000C04C5" w:rsidRDefault="000C04C5" w:rsidP="000C04C5">
            <w:pPr>
              <w:spacing w:after="240"/>
              <w:jc w:val="both"/>
              <w:rPr>
                <w:rFonts w:ascii="Arial" w:hAnsi="Arial" w:cs="Arial"/>
                <w:sz w:val="20"/>
              </w:rPr>
            </w:pPr>
            <w:r w:rsidRPr="000C04C5">
              <w:rPr>
                <w:rFonts w:ascii="Arial" w:hAnsi="Arial" w:cs="Arial"/>
                <w:sz w:val="20"/>
              </w:rPr>
              <w:t>d.</w:t>
            </w:r>
            <w:r w:rsidRPr="000C04C5">
              <w:rPr>
                <w:rFonts w:ascii="Arial" w:hAnsi="Arial" w:cs="Arial"/>
                <w:sz w:val="20"/>
              </w:rPr>
              <w:tab/>
              <w:t xml:space="preserve">For Direct Loan or TEACH grant disbursements selected in step a., determine if the </w:t>
            </w:r>
            <w:r w:rsidRPr="000C04C5">
              <w:rPr>
                <w:rFonts w:ascii="Arial" w:hAnsi="Arial" w:cs="Arial"/>
                <w:sz w:val="20"/>
              </w:rPr>
              <w:tab/>
              <w:t xml:space="preserve">institution provided timely notification to the student of (1) the date and amount of the </w:t>
            </w:r>
            <w:r w:rsidRPr="000C04C5">
              <w:rPr>
                <w:rFonts w:ascii="Arial" w:hAnsi="Arial" w:cs="Arial"/>
                <w:sz w:val="20"/>
              </w:rPr>
              <w:tab/>
              <w:t xml:space="preserve">disbursement; (2) the student/parent’s right to cancel; and (3) the procedure and time by which the </w:t>
            </w:r>
            <w:r w:rsidRPr="000C04C5">
              <w:rPr>
                <w:rFonts w:ascii="Arial" w:hAnsi="Arial" w:cs="Arial"/>
                <w:b/>
                <w:bCs/>
                <w:sz w:val="20"/>
              </w:rPr>
              <w:tab/>
            </w:r>
            <w:r w:rsidRPr="000C04C5">
              <w:rPr>
                <w:rFonts w:ascii="Arial" w:hAnsi="Arial" w:cs="Arial"/>
                <w:sz w:val="20"/>
              </w:rPr>
              <w:t>student or parent must notify the institution that he or she wishes to cancel.</w:t>
            </w:r>
          </w:p>
          <w:p w14:paraId="44E9E865" w14:textId="241EB244" w:rsidR="000C04C5" w:rsidRPr="001B6A61" w:rsidRDefault="000C04C5" w:rsidP="000C04C5">
            <w:pPr>
              <w:spacing w:after="240"/>
              <w:jc w:val="both"/>
              <w:rPr>
                <w:rFonts w:ascii="Arial" w:hAnsi="Arial" w:cs="Arial"/>
                <w:b/>
                <w:bCs/>
                <w:sz w:val="20"/>
              </w:rPr>
            </w:pPr>
            <w:r w:rsidRPr="000C04C5">
              <w:rPr>
                <w:rFonts w:ascii="Arial" w:hAnsi="Arial" w:cs="Arial"/>
                <w:sz w:val="20"/>
              </w:rPr>
              <w:t>e.</w:t>
            </w:r>
            <w:r w:rsidRPr="000C04C5">
              <w:rPr>
                <w:rFonts w:ascii="Arial" w:hAnsi="Arial" w:cs="Arial"/>
                <w:sz w:val="20"/>
              </w:rPr>
              <w:tab/>
              <w:t xml:space="preserve">For a sample of students with a credit balance, determine if the credit balance was paid to </w:t>
            </w:r>
            <w:r w:rsidRPr="000C04C5">
              <w:rPr>
                <w:rFonts w:ascii="Arial" w:hAnsi="Arial" w:cs="Arial"/>
                <w:sz w:val="20"/>
              </w:rPr>
              <w:tab/>
              <w:t xml:space="preserve">the student or parent borrower (1) within 14 days or (2) if the institution obtained an </w:t>
            </w:r>
            <w:r w:rsidRPr="000C04C5">
              <w:rPr>
                <w:rFonts w:ascii="Arial" w:hAnsi="Arial" w:cs="Arial"/>
                <w:sz w:val="20"/>
              </w:rPr>
              <w:tab/>
              <w:t xml:space="preserve">authorization to hold credit balances and was not on the reimbursement or heightened cash </w:t>
            </w:r>
            <w:r w:rsidRPr="000C04C5">
              <w:rPr>
                <w:rFonts w:ascii="Arial" w:hAnsi="Arial" w:cs="Arial"/>
                <w:sz w:val="20"/>
              </w:rPr>
              <w:tab/>
              <w:t xml:space="preserve">monitoring payment methods, by the end of the loan period or last payment period in the award </w:t>
            </w:r>
            <w:r w:rsidRPr="000C04C5">
              <w:rPr>
                <w:rFonts w:ascii="Arial" w:hAnsi="Arial" w:cs="Arial"/>
                <w:b/>
                <w:bCs/>
                <w:sz w:val="20"/>
              </w:rPr>
              <w:tab/>
            </w:r>
            <w:r w:rsidRPr="000C04C5">
              <w:rPr>
                <w:rFonts w:ascii="Arial" w:hAnsi="Arial" w:cs="Arial"/>
                <w:sz w:val="20"/>
              </w:rPr>
              <w:t>year for which the funds were awarded.</w:t>
            </w:r>
          </w:p>
        </w:tc>
      </w:tr>
    </w:tbl>
    <w:p w14:paraId="7FE2243B"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194DD40" w14:textId="77777777" w:rsidR="00C44A80" w:rsidRPr="000706D1" w:rsidRDefault="00C44A80" w:rsidP="00C44A80">
      <w:pPr>
        <w:pStyle w:val="Heading3"/>
        <w:jc w:val="both"/>
        <w:rPr>
          <w:rFonts w:cs="Arial"/>
          <w:b w:val="0"/>
          <w:sz w:val="24"/>
          <w:szCs w:val="24"/>
        </w:rPr>
      </w:pPr>
      <w:bookmarkStart w:id="77" w:name="_Toc176355428"/>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C44A80" w:rsidRPr="00F00D94" w14:paraId="24C82C32" w14:textId="77777777" w:rsidTr="00AB4349">
        <w:tc>
          <w:tcPr>
            <w:tcW w:w="5000" w:type="pct"/>
          </w:tcPr>
          <w:p w14:paraId="66F8B6CA" w14:textId="77777777" w:rsidR="00C44A80" w:rsidRDefault="00C44A80" w:rsidP="00AB4349">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E895BB7" w14:textId="77777777" w:rsidR="00C44A80" w:rsidRPr="006E46AD" w:rsidRDefault="00C44A80" w:rsidP="00AB4349">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69070BF" w14:textId="77777777" w:rsidR="00C44A80" w:rsidRPr="006E46AD" w:rsidRDefault="00C44A80" w:rsidP="000C04C5">
            <w:pPr>
              <w:pStyle w:val="ListParagraph"/>
              <w:widowControl w:val="0"/>
              <w:numPr>
                <w:ilvl w:val="0"/>
                <w:numId w:val="6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E420D35" w14:textId="77777777" w:rsidR="00C44A80" w:rsidRPr="006E46AD" w:rsidRDefault="00C44A80" w:rsidP="00AB4349">
            <w:pPr>
              <w:widowControl w:val="0"/>
              <w:spacing w:after="240"/>
              <w:ind w:left="720"/>
              <w:jc w:val="both"/>
              <w:rPr>
                <w:rFonts w:ascii="Arial" w:hAnsi="Arial" w:cs="Arial"/>
                <w:b/>
                <w:sz w:val="20"/>
                <w:szCs w:val="20"/>
              </w:rPr>
            </w:pPr>
          </w:p>
          <w:p w14:paraId="1701581D" w14:textId="77777777" w:rsidR="00C44A80" w:rsidRPr="006E46AD" w:rsidRDefault="00C44A80" w:rsidP="000C04C5">
            <w:pPr>
              <w:widowControl w:val="0"/>
              <w:numPr>
                <w:ilvl w:val="0"/>
                <w:numId w:val="6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99E0A4E" w14:textId="77777777" w:rsidR="00C44A80" w:rsidRPr="00F00D94" w:rsidRDefault="00C44A80" w:rsidP="00AB4349">
            <w:pPr>
              <w:pStyle w:val="ListParagraph"/>
              <w:spacing w:after="240"/>
              <w:jc w:val="both"/>
              <w:rPr>
                <w:rFonts w:ascii="Arial" w:hAnsi="Arial" w:cs="Arial"/>
                <w:b/>
              </w:rPr>
            </w:pPr>
          </w:p>
          <w:p w14:paraId="2EFE2DE6" w14:textId="77777777" w:rsidR="00C44A80" w:rsidRPr="00F00D94" w:rsidRDefault="00C44A80" w:rsidP="000C04C5">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833A90B" w14:textId="77777777" w:rsidR="00C44A80" w:rsidRPr="00F00D94" w:rsidRDefault="00C44A80" w:rsidP="00AB4349">
            <w:pPr>
              <w:pStyle w:val="ListParagraph"/>
              <w:spacing w:after="240"/>
              <w:jc w:val="both"/>
              <w:rPr>
                <w:rFonts w:ascii="Arial" w:hAnsi="Arial" w:cs="Arial"/>
                <w:b/>
              </w:rPr>
            </w:pPr>
          </w:p>
          <w:p w14:paraId="20E8F8B1" w14:textId="77777777" w:rsidR="00C44A80" w:rsidRPr="00F00D94" w:rsidRDefault="00C44A80" w:rsidP="000C04C5">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4997525" w14:textId="77777777" w:rsidR="00C44A80" w:rsidRPr="00F00D94" w:rsidRDefault="00C44A80" w:rsidP="00AB4349">
            <w:pPr>
              <w:pStyle w:val="ListParagraph"/>
              <w:spacing w:after="240"/>
              <w:jc w:val="both"/>
              <w:rPr>
                <w:rFonts w:ascii="Arial" w:hAnsi="Arial" w:cs="Arial"/>
                <w:b/>
              </w:rPr>
            </w:pPr>
          </w:p>
          <w:p w14:paraId="2E2FD3ED" w14:textId="77777777" w:rsidR="00C44A80" w:rsidRPr="00F00D94" w:rsidRDefault="00C44A80" w:rsidP="000C04C5">
            <w:pPr>
              <w:widowControl w:val="0"/>
              <w:numPr>
                <w:ilvl w:val="0"/>
                <w:numId w:val="6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BE1E982" w14:textId="77777777" w:rsidR="00C44A80" w:rsidRPr="00F00D94" w:rsidRDefault="00C44A80" w:rsidP="00AB4349">
            <w:pPr>
              <w:pStyle w:val="APStepItem"/>
              <w:numPr>
                <w:ilvl w:val="0"/>
                <w:numId w:val="0"/>
              </w:numPr>
              <w:spacing w:after="240"/>
              <w:rPr>
                <w:rFonts w:cs="Arial"/>
                <w:b/>
              </w:rPr>
            </w:pPr>
          </w:p>
        </w:tc>
      </w:tr>
    </w:tbl>
    <w:p w14:paraId="4AB4E1BE" w14:textId="77777777" w:rsidR="00C44A80" w:rsidRDefault="00C44A80" w:rsidP="00C44A80">
      <w:pPr>
        <w:rPr>
          <w:rFonts w:ascii="Arial" w:hAnsi="Arial" w:cs="Arial"/>
        </w:rPr>
        <w:sectPr w:rsidR="00C44A80" w:rsidSect="00257772">
          <w:headerReference w:type="default" r:id="rId81"/>
          <w:pgSz w:w="12240" w:h="15840" w:code="1"/>
          <w:pgMar w:top="1440" w:right="1440" w:bottom="1440" w:left="1440" w:header="720" w:footer="720" w:gutter="0"/>
          <w:cols w:space="720"/>
          <w:docGrid w:linePitch="360"/>
        </w:sectPr>
      </w:pPr>
    </w:p>
    <w:p w14:paraId="7F4828E8" w14:textId="6978818A" w:rsidR="00C44A80" w:rsidRPr="000706D1" w:rsidRDefault="00C44A80" w:rsidP="00C44A80">
      <w:pPr>
        <w:pStyle w:val="Heading2"/>
        <w:jc w:val="both"/>
        <w:rPr>
          <w:rFonts w:cs="Arial"/>
          <w:sz w:val="24"/>
        </w:rPr>
      </w:pPr>
      <w:bookmarkStart w:id="78" w:name="_Toc176355429"/>
      <w:r w:rsidRPr="000706D1">
        <w:rPr>
          <w:rFonts w:cs="Arial"/>
          <w:sz w:val="24"/>
        </w:rPr>
        <w:lastRenderedPageBreak/>
        <w:t>N</w:t>
      </w:r>
      <w:r w:rsidR="000C04C5">
        <w:rPr>
          <w:rFonts w:cs="Arial"/>
          <w:sz w:val="24"/>
        </w:rPr>
        <w:t>4</w:t>
      </w:r>
      <w:r w:rsidRPr="000706D1">
        <w:rPr>
          <w:rFonts w:cs="Arial"/>
          <w:sz w:val="24"/>
        </w:rPr>
        <w:t>.  SPECIAL TESTS AND PROVISIONS</w:t>
      </w:r>
      <w:r w:rsidR="000C04C5">
        <w:rPr>
          <w:rFonts w:cs="Arial"/>
          <w:sz w:val="24"/>
        </w:rPr>
        <w:t xml:space="preserve"> – Using a Servicer or Financial Institution to Deliver Title IV Credit Balances to a Card or Other Access Device</w:t>
      </w:r>
      <w:bookmarkEnd w:id="78"/>
    </w:p>
    <w:p w14:paraId="0E564C0A" w14:textId="77777777" w:rsidR="00C44A80" w:rsidRPr="000706D1" w:rsidRDefault="00C44A80" w:rsidP="00C44A80">
      <w:pPr>
        <w:pStyle w:val="Heading3"/>
        <w:jc w:val="both"/>
        <w:rPr>
          <w:rFonts w:cs="Arial"/>
          <w:sz w:val="24"/>
          <w:szCs w:val="24"/>
        </w:rPr>
      </w:pPr>
      <w:bookmarkStart w:id="79" w:name="_Toc176355430"/>
      <w:r w:rsidRPr="000706D1">
        <w:rPr>
          <w:rFonts w:cs="Arial"/>
          <w:sz w:val="24"/>
          <w:szCs w:val="24"/>
        </w:rPr>
        <w:t>OMB Compliance Requirements</w:t>
      </w:r>
      <w:bookmarkEnd w:id="79"/>
    </w:p>
    <w:p w14:paraId="1FAFC392"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4EE8AC3"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E4E22B2" w14:textId="77777777" w:rsidR="00C44A80" w:rsidRPr="00F00D94" w:rsidRDefault="00C44A80" w:rsidP="00C44A80">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695E7EC" w14:textId="01E91986" w:rsidR="00C44A80" w:rsidRPr="000706D1" w:rsidRDefault="00C44A80" w:rsidP="00C44A80">
      <w:pPr>
        <w:spacing w:after="240"/>
        <w:jc w:val="both"/>
        <w:rPr>
          <w:rFonts w:ascii="Arial" w:hAnsi="Arial" w:cs="Arial"/>
          <w:b/>
          <w:sz w:val="24"/>
          <w:szCs w:val="24"/>
        </w:rPr>
      </w:pPr>
      <w:r w:rsidRPr="000706D1">
        <w:rPr>
          <w:rFonts w:ascii="Arial" w:hAnsi="Arial" w:cs="Arial"/>
          <w:b/>
          <w:sz w:val="24"/>
          <w:szCs w:val="24"/>
        </w:rPr>
        <w:t xml:space="preserve">Part </w:t>
      </w:r>
      <w:r w:rsidR="000C04C5">
        <w:rPr>
          <w:rFonts w:ascii="Arial" w:hAnsi="Arial" w:cs="Arial"/>
          <w:b/>
          <w:sz w:val="24"/>
          <w:szCs w:val="24"/>
        </w:rPr>
        <w:t>5</w:t>
      </w:r>
      <w:r w:rsidRPr="000706D1">
        <w:rPr>
          <w:rFonts w:ascii="Arial" w:hAnsi="Arial" w:cs="Arial"/>
          <w:b/>
          <w:sz w:val="24"/>
          <w:szCs w:val="24"/>
        </w:rPr>
        <w:t xml:space="preserve"> OMB Program Specific Requirements</w:t>
      </w:r>
    </w:p>
    <w:p w14:paraId="4DBFD672" w14:textId="506ACC6E" w:rsidR="000C04C5" w:rsidRPr="000C04C5" w:rsidRDefault="000C04C5" w:rsidP="000C04C5">
      <w:pPr>
        <w:spacing w:after="240"/>
        <w:jc w:val="both"/>
        <w:rPr>
          <w:rFonts w:ascii="Arial" w:hAnsi="Arial" w:cs="Arial"/>
          <w:bCs/>
          <w:iCs/>
        </w:rPr>
      </w:pPr>
      <w:r w:rsidRPr="000C04C5">
        <w:rPr>
          <w:rFonts w:ascii="Arial" w:hAnsi="Arial" w:cs="Arial"/>
          <w:bCs/>
          <w:iCs/>
        </w:rPr>
        <w:t>An institution may enter into an arrangement with a servicer or a financial institution to make a direct payment of FSA credit balances to students through electronic funds transfer to a bank account designated by a student or parent, to issue a check payment to the student or to use an access device such as a debit, demand, or smart card provided by the servicer or its financial partner. The regulations define an access device as a card, code, or other means of access to a financial account, or any combination thereof, that may be used by a student to initiate electronic fund transfers (34 CFR 668.161(a)(2)(i)).</w:t>
      </w:r>
    </w:p>
    <w:p w14:paraId="3F29CFF9" w14:textId="10D19C87" w:rsidR="000C04C5" w:rsidRPr="000C04C5" w:rsidRDefault="000C04C5" w:rsidP="000C04C5">
      <w:pPr>
        <w:spacing w:after="240"/>
        <w:jc w:val="both"/>
        <w:rPr>
          <w:rFonts w:ascii="Arial" w:hAnsi="Arial" w:cs="Arial"/>
          <w:bCs/>
          <w:iCs/>
        </w:rPr>
      </w:pPr>
      <w:r w:rsidRPr="000C04C5">
        <w:rPr>
          <w:rFonts w:ascii="Arial" w:hAnsi="Arial" w:cs="Arial"/>
          <w:bCs/>
          <w:iCs/>
        </w:rPr>
        <w:t>Regulations at 34 CFR 668.164(e) and (f) establish two different types of arrangements between schools and financial account providers: Tier One arrangements and Tier Two arrangements. The type of arrangement determines the provisions that are applicable to the school.</w:t>
      </w:r>
    </w:p>
    <w:p w14:paraId="54034BFD" w14:textId="696A4E61" w:rsidR="000C04C5" w:rsidRPr="000C04C5" w:rsidRDefault="000C04C5" w:rsidP="000C04C5">
      <w:pPr>
        <w:spacing w:after="240"/>
        <w:jc w:val="both"/>
        <w:rPr>
          <w:rFonts w:ascii="Arial" w:hAnsi="Arial" w:cs="Arial"/>
          <w:bCs/>
          <w:iCs/>
          <w:u w:val="single"/>
        </w:rPr>
      </w:pPr>
      <w:r w:rsidRPr="000C04C5">
        <w:rPr>
          <w:rFonts w:ascii="Arial" w:hAnsi="Arial" w:cs="Arial"/>
          <w:bCs/>
          <w:iCs/>
          <w:u w:val="single"/>
        </w:rPr>
        <w:t>Tier One Arrangement</w:t>
      </w:r>
    </w:p>
    <w:p w14:paraId="61A93897" w14:textId="66BCF290" w:rsidR="000C04C5" w:rsidRPr="000C04C5" w:rsidRDefault="000C04C5" w:rsidP="000C04C5">
      <w:pPr>
        <w:spacing w:after="240"/>
        <w:jc w:val="both"/>
        <w:rPr>
          <w:rFonts w:ascii="Arial" w:hAnsi="Arial" w:cs="Arial"/>
          <w:bCs/>
          <w:iCs/>
        </w:rPr>
      </w:pPr>
      <w:r w:rsidRPr="000C04C5">
        <w:rPr>
          <w:rFonts w:ascii="Arial" w:hAnsi="Arial" w:cs="Arial"/>
          <w:bCs/>
          <w:iCs/>
        </w:rPr>
        <w:t>A Tier One arrangement is an arrangement between a school and a third-party servicer, under which the servicer performs one or more of the functions associated with processing direct payments of Title IV funds on behalf of the school, and the school or third-party servicer makes payments to one of the following:</w:t>
      </w:r>
    </w:p>
    <w:p w14:paraId="33ECE0A2" w14:textId="77777777" w:rsidR="000C04C5" w:rsidRPr="000C04C5" w:rsidRDefault="000C04C5" w:rsidP="000C04C5">
      <w:pPr>
        <w:spacing w:after="240"/>
        <w:jc w:val="both"/>
        <w:rPr>
          <w:rFonts w:ascii="Arial" w:hAnsi="Arial" w:cs="Arial"/>
          <w:bCs/>
          <w:iCs/>
        </w:rPr>
      </w:pPr>
      <w:r w:rsidRPr="000C04C5">
        <w:rPr>
          <w:rFonts w:ascii="Arial" w:hAnsi="Arial" w:cs="Arial"/>
          <w:bCs/>
          <w:iCs/>
        </w:rPr>
        <w:t>•</w:t>
      </w:r>
      <w:r w:rsidRPr="000C04C5">
        <w:rPr>
          <w:rFonts w:ascii="Arial" w:hAnsi="Arial" w:cs="Arial"/>
          <w:bCs/>
          <w:iCs/>
        </w:rPr>
        <w:tab/>
        <w:t>One or more financial accounts that are offered to students under the contract;</w:t>
      </w:r>
    </w:p>
    <w:p w14:paraId="3E4A544C" w14:textId="7EFB44F2" w:rsidR="000C04C5" w:rsidRPr="000C04C5" w:rsidRDefault="000C04C5" w:rsidP="000C04C5">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t>A financial account where information about the account is communicated directly to students by the third-party servicer, or the school on behalf of or in conjunction with the third-party servicer; or</w:t>
      </w:r>
    </w:p>
    <w:p w14:paraId="7D8E6AA6" w14:textId="14726845" w:rsidR="000C04C5" w:rsidRPr="000C04C5" w:rsidRDefault="000C04C5" w:rsidP="000C04C5">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t>A financial account where information about the account is communicated directly to students by an entity contracted or affiliated with the third-party servicer. (34 CFR 668.164(e)(1)).</w:t>
      </w:r>
    </w:p>
    <w:p w14:paraId="6025C1DD" w14:textId="77777777" w:rsidR="000C04C5" w:rsidRPr="000C04C5" w:rsidRDefault="000C04C5" w:rsidP="000C04C5">
      <w:pPr>
        <w:spacing w:after="240"/>
        <w:jc w:val="both"/>
        <w:rPr>
          <w:rFonts w:ascii="Arial" w:hAnsi="Arial" w:cs="Arial"/>
          <w:bCs/>
          <w:iCs/>
        </w:rPr>
      </w:pPr>
      <w:r w:rsidRPr="000C04C5">
        <w:rPr>
          <w:rFonts w:ascii="Arial" w:hAnsi="Arial" w:cs="Arial"/>
          <w:bCs/>
          <w:iCs/>
        </w:rPr>
        <w:lastRenderedPageBreak/>
        <w:t xml:space="preserve">Examples of functions associated with processing direct payments of Title IV funds on behalf of the school include: receiving Title IV funds; posting Title IV funds to student accounts; calculating a student’s Title IV credit balance; processing documents for direct payment to students; and disbursing or delivering FSA funds. </w:t>
      </w:r>
    </w:p>
    <w:p w14:paraId="68B37604" w14:textId="5E25832A" w:rsidR="000C04C5" w:rsidRPr="000C04C5" w:rsidRDefault="000C04C5" w:rsidP="000C04C5">
      <w:pPr>
        <w:spacing w:after="240"/>
        <w:jc w:val="both"/>
        <w:rPr>
          <w:rFonts w:ascii="Arial" w:hAnsi="Arial" w:cs="Arial"/>
          <w:bCs/>
          <w:iCs/>
          <w:u w:val="single"/>
        </w:rPr>
      </w:pPr>
      <w:r w:rsidRPr="000C04C5">
        <w:rPr>
          <w:rFonts w:ascii="Arial" w:hAnsi="Arial" w:cs="Arial"/>
          <w:bCs/>
          <w:iCs/>
          <w:u w:val="single"/>
        </w:rPr>
        <w:t>Tier Two Arrangement</w:t>
      </w:r>
    </w:p>
    <w:p w14:paraId="3C102F74" w14:textId="1293D209" w:rsidR="000C04C5" w:rsidRPr="000C04C5" w:rsidRDefault="000C04C5" w:rsidP="000C04C5">
      <w:pPr>
        <w:spacing w:after="240"/>
        <w:jc w:val="both"/>
        <w:rPr>
          <w:rFonts w:ascii="Arial" w:hAnsi="Arial" w:cs="Arial"/>
          <w:bCs/>
          <w:iCs/>
        </w:rPr>
      </w:pPr>
      <w:r w:rsidRPr="000C04C5">
        <w:rPr>
          <w:rFonts w:ascii="Arial" w:hAnsi="Arial" w:cs="Arial"/>
          <w:bCs/>
          <w:iCs/>
        </w:rPr>
        <w:t>A Tier Two arrangement is an arrangement between a school and a financial institution, or entity that offers financial accounts through a financial institution, under which financial accounts are offered and marketed directly to students (34 CFR 668.164(f)(1)). ED considers that a financial account is marketed directly if: (a) the school communicates information directly to its students about the financial account and how it may be opened; (b)</w:t>
      </w:r>
      <w:r w:rsidRPr="000C04C5">
        <w:rPr>
          <w:rFonts w:ascii="Arial" w:hAnsi="Arial" w:cs="Arial"/>
          <w:bCs/>
          <w:iCs/>
        </w:rPr>
        <w:tab/>
        <w:t>the financial account or access device is cobranded with the school's name, logo, mascot, or other affiliation and is marketed principally to students at the institution; or (c) a card or tool that is provided to the student for school purposes, such as a student ID card, is validated, enabling the student to use the device to access a financial account (34 CFR 668.164(f)(3)).</w:t>
      </w:r>
    </w:p>
    <w:p w14:paraId="1B1EC9F9" w14:textId="5C50C719" w:rsidR="000C04C5" w:rsidRPr="000C04C5" w:rsidRDefault="000C04C5" w:rsidP="000C04C5">
      <w:pPr>
        <w:spacing w:after="240"/>
        <w:jc w:val="both"/>
        <w:rPr>
          <w:rFonts w:ascii="Arial" w:hAnsi="Arial" w:cs="Arial"/>
          <w:bCs/>
          <w:iCs/>
        </w:rPr>
      </w:pPr>
      <w:r w:rsidRPr="000C04C5">
        <w:rPr>
          <w:rFonts w:ascii="Arial" w:hAnsi="Arial" w:cs="Arial"/>
          <w:bCs/>
          <w:iCs/>
        </w:rPr>
        <w:t>The requirements applicable to schools with Tier Two arrangements differ depending on whether the school falls above or below certain thresholds (referred to as the credit balance thresholds). If, in the school’s prior three award years, the school had an average 500 or more students, or an average of 5 percent or more of its enrollment, receiving credit balances, then the school is considered above the credit balance thresholds and must comply with additional provisions (34 CFR 668.164(f)(2)(i) and (ii)).</w:t>
      </w:r>
    </w:p>
    <w:p w14:paraId="6A12F44E" w14:textId="2346DCE6" w:rsidR="000C04C5" w:rsidRPr="000C04C5" w:rsidRDefault="000C04C5" w:rsidP="000C04C5">
      <w:pPr>
        <w:spacing w:after="240"/>
        <w:jc w:val="both"/>
        <w:rPr>
          <w:rFonts w:ascii="Arial" w:hAnsi="Arial" w:cs="Arial"/>
          <w:bCs/>
          <w:iCs/>
          <w:u w:val="single"/>
        </w:rPr>
      </w:pPr>
      <w:r w:rsidRPr="000C04C5">
        <w:rPr>
          <w:rFonts w:ascii="Arial" w:hAnsi="Arial" w:cs="Arial"/>
          <w:bCs/>
          <w:iCs/>
          <w:u w:val="single"/>
        </w:rPr>
        <w:t>Required Disclosures</w:t>
      </w:r>
    </w:p>
    <w:p w14:paraId="701F653A" w14:textId="16976141" w:rsidR="000C04C5" w:rsidRPr="000C04C5" w:rsidRDefault="000C04C5" w:rsidP="000C04C5">
      <w:pPr>
        <w:spacing w:after="240"/>
        <w:jc w:val="both"/>
        <w:rPr>
          <w:rFonts w:ascii="Arial" w:hAnsi="Arial" w:cs="Arial"/>
          <w:bCs/>
          <w:iCs/>
        </w:rPr>
      </w:pPr>
      <w:r w:rsidRPr="000C04C5">
        <w:rPr>
          <w:rFonts w:ascii="Arial" w:hAnsi="Arial" w:cs="Arial"/>
          <w:bCs/>
          <w:iCs/>
        </w:rPr>
        <w:t>A school must disclose conspicuously on its Web site the contract(s) establishing the Tier One or Tier Two arrangement, except for any portions that, if disclosed, would compromise personal privacy, proprietary information technology, or the security of information technology or of physical facilities (34 CFR 668.164(e)(2)(vi) and 668.164(f)(4)(iii)).</w:t>
      </w:r>
    </w:p>
    <w:p w14:paraId="36B32003" w14:textId="57A92B9C" w:rsidR="000C04C5" w:rsidRPr="000C04C5" w:rsidRDefault="000C04C5" w:rsidP="000C04C5">
      <w:pPr>
        <w:spacing w:after="240"/>
        <w:jc w:val="both"/>
        <w:rPr>
          <w:rFonts w:ascii="Arial" w:hAnsi="Arial" w:cs="Arial"/>
          <w:bCs/>
          <w:iCs/>
        </w:rPr>
      </w:pPr>
      <w:r w:rsidRPr="000C04C5">
        <w:rPr>
          <w:rFonts w:ascii="Arial" w:hAnsi="Arial" w:cs="Arial"/>
          <w:bCs/>
          <w:iCs/>
        </w:rPr>
        <w:t>Schools with Tier One arrangements or Tier Two arrangements above the credit balance threshold must also disclose on their Web site: (a) the total consideration for the year, monetary and non-monetary, paid or received by the parties under the terms of the contract; (b) for any year in which the school's enrolled students open 30 or more financial accounts under the arrangement, (i) the number of students who had financial accounts under the contract at any time during the most recently completed award year, and (ii) the mean and median of the actual costs incurred by those account holders. This disclosure must be updated within 60 days after the end of each award year.</w:t>
      </w:r>
    </w:p>
    <w:p w14:paraId="77F34AC1" w14:textId="2EBA87D1" w:rsidR="000C04C5" w:rsidRPr="000C04C5" w:rsidRDefault="000C04C5" w:rsidP="000C04C5">
      <w:pPr>
        <w:spacing w:after="240"/>
        <w:jc w:val="both"/>
        <w:rPr>
          <w:rFonts w:ascii="Arial" w:hAnsi="Arial" w:cs="Arial"/>
          <w:bCs/>
          <w:iCs/>
        </w:rPr>
      </w:pPr>
      <w:r w:rsidRPr="000C04C5">
        <w:rPr>
          <w:rFonts w:ascii="Arial" w:hAnsi="Arial" w:cs="Arial"/>
          <w:bCs/>
          <w:iCs/>
        </w:rPr>
        <w:t>A school must also provide to ED an up-to-date URL for the contract for publication in a centralized database accessible to the public. Unless the school has a Tier Two arrangement under the credit balance threshold, the URL must also include the contract data described in the paragraph above (34 CFR 668.164(e)(2)(viii); 668.164(f)(4)(iii)(B); 668.164(f)(4)(v)).</w:t>
      </w:r>
    </w:p>
    <w:p w14:paraId="393BA15F" w14:textId="0828BFCD" w:rsidR="000C04C5" w:rsidRPr="000C04C5" w:rsidRDefault="000C04C5" w:rsidP="000C04C5">
      <w:pPr>
        <w:spacing w:after="240"/>
        <w:jc w:val="both"/>
        <w:rPr>
          <w:rFonts w:ascii="Arial" w:hAnsi="Arial" w:cs="Arial"/>
          <w:bCs/>
          <w:iCs/>
        </w:rPr>
      </w:pPr>
      <w:r w:rsidRPr="000C04C5">
        <w:rPr>
          <w:rFonts w:ascii="Arial" w:hAnsi="Arial" w:cs="Arial"/>
          <w:bCs/>
          <w:iCs/>
        </w:rPr>
        <w:t xml:space="preserve">For additional details, see </w:t>
      </w:r>
      <w:hyperlink r:id="rId82" w:history="1">
        <w:r w:rsidRPr="000C04C5">
          <w:rPr>
            <w:rStyle w:val="Hyperlink"/>
            <w:rFonts w:cs="Arial"/>
            <w:bCs/>
            <w:iCs/>
          </w:rPr>
          <w:t>Electronic Announcement Dated July 1, 2016</w:t>
        </w:r>
      </w:hyperlink>
      <w:r w:rsidRPr="000C04C5">
        <w:rPr>
          <w:rFonts w:ascii="Arial" w:hAnsi="Arial" w:cs="Arial"/>
          <w:bCs/>
          <w:iCs/>
        </w:rPr>
        <w:t xml:space="preserve">; Cash Management Electronic Announcement #2: Posting Contract Information and Providing Contract URL to the Department of Education and </w:t>
      </w:r>
      <w:hyperlink r:id="rId83" w:history="1">
        <w:r w:rsidRPr="000C04C5">
          <w:rPr>
            <w:rStyle w:val="Hyperlink"/>
            <w:rFonts w:cs="Arial"/>
            <w:bCs/>
            <w:iCs/>
          </w:rPr>
          <w:t>Electronic Announcement Dated June 16, 2017</w:t>
        </w:r>
      </w:hyperlink>
      <w:r w:rsidRPr="000C04C5">
        <w:rPr>
          <w:rFonts w:ascii="Arial" w:hAnsi="Arial" w:cs="Arial"/>
          <w:bCs/>
          <w:iCs/>
        </w:rPr>
        <w:t>; Cash Management Electronic Announcement #7: Tier One and Tier Two Contract Data Reporting Format.</w:t>
      </w:r>
    </w:p>
    <w:p w14:paraId="0E4E1096" w14:textId="614F2526" w:rsidR="000C04C5" w:rsidRPr="000C04C5" w:rsidRDefault="000C04C5" w:rsidP="000C04C5">
      <w:pPr>
        <w:spacing w:after="240"/>
        <w:jc w:val="both"/>
        <w:rPr>
          <w:rFonts w:ascii="Arial" w:hAnsi="Arial" w:cs="Arial"/>
          <w:bCs/>
          <w:iCs/>
          <w:u w:val="single"/>
        </w:rPr>
      </w:pPr>
      <w:r w:rsidRPr="000C04C5">
        <w:rPr>
          <w:rFonts w:ascii="Arial" w:hAnsi="Arial" w:cs="Arial"/>
          <w:bCs/>
          <w:iCs/>
          <w:u w:val="single"/>
        </w:rPr>
        <w:t>Other Requirements of Tier One and Tier Two Arrangements</w:t>
      </w:r>
    </w:p>
    <w:p w14:paraId="7CD603DB" w14:textId="51D21587" w:rsidR="000C04C5" w:rsidRPr="000C04C5" w:rsidRDefault="000C04C5" w:rsidP="000C04C5">
      <w:pPr>
        <w:spacing w:after="240"/>
        <w:jc w:val="both"/>
        <w:rPr>
          <w:rFonts w:ascii="Arial" w:hAnsi="Arial" w:cs="Arial"/>
          <w:bCs/>
          <w:iCs/>
        </w:rPr>
      </w:pPr>
      <w:r w:rsidRPr="000C04C5">
        <w:rPr>
          <w:rFonts w:ascii="Arial" w:hAnsi="Arial" w:cs="Arial"/>
          <w:bCs/>
          <w:iCs/>
        </w:rPr>
        <w:t>Schools have a series of obligations to ensure that students are protected when they enter into a Tier One or Tier Two arrangement:</w:t>
      </w:r>
    </w:p>
    <w:p w14:paraId="0A7022DE" w14:textId="6D771BAC" w:rsidR="000C04C5" w:rsidRPr="000C04C5" w:rsidRDefault="000C04C5" w:rsidP="000C04C5">
      <w:pPr>
        <w:spacing w:after="240"/>
        <w:ind w:left="720" w:hanging="720"/>
        <w:jc w:val="both"/>
        <w:rPr>
          <w:rFonts w:ascii="Arial" w:hAnsi="Arial" w:cs="Arial"/>
          <w:bCs/>
          <w:iCs/>
        </w:rPr>
      </w:pPr>
      <w:r w:rsidRPr="000C04C5">
        <w:rPr>
          <w:rFonts w:ascii="Arial" w:hAnsi="Arial" w:cs="Arial"/>
          <w:bCs/>
          <w:iCs/>
        </w:rPr>
        <w:lastRenderedPageBreak/>
        <w:t>•</w:t>
      </w:r>
      <w:r w:rsidRPr="000C04C5">
        <w:rPr>
          <w:rFonts w:ascii="Arial" w:hAnsi="Arial" w:cs="Arial"/>
          <w:bCs/>
          <w:iCs/>
        </w:rPr>
        <w:tab/>
      </w:r>
      <w:r w:rsidRPr="000C04C5">
        <w:rPr>
          <w:rFonts w:ascii="Arial" w:hAnsi="Arial" w:cs="Arial"/>
          <w:bCs/>
          <w:i/>
        </w:rPr>
        <w:t>Student Choice</w:t>
      </w:r>
      <w:r w:rsidRPr="000C04C5">
        <w:rPr>
          <w:rFonts w:ascii="Arial" w:hAnsi="Arial" w:cs="Arial"/>
          <w:bCs/>
          <w:iCs/>
        </w:rPr>
        <w:t>: All Tier One and Tier Two schools must establish a selection process under which the student chooses one of several options for receiving payments by electronic funds transfer. (34 CFR 668.164(d)(4)(i))</w:t>
      </w:r>
    </w:p>
    <w:p w14:paraId="26AB07F2" w14:textId="710683CA" w:rsidR="000C04C5" w:rsidRPr="000C04C5" w:rsidRDefault="000C04C5" w:rsidP="000C04C5">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Student Consent</w:t>
      </w:r>
      <w:r w:rsidRPr="000C04C5">
        <w:rPr>
          <w:rFonts w:ascii="Arial" w:hAnsi="Arial" w:cs="Arial"/>
          <w:bCs/>
          <w:iCs/>
        </w:rPr>
        <w:t>: For all Tier One and Tier Two arrangements, in any instance where an access device is provided to a student and that access device does not serve an institutional purpose other than electronic fund transfers, such as a student ID card, it is the institution’s responsibility to ensure that the student’s consent has been obtained before the access device is validated, even if the consent is obtained through the financial institution, allowing the student to access the financial account. For all Tier One and Tier Two arrangements, in any instance where an access device does serve an institutional purpose, other than electronic fund transfers is provided to a student prior to validation of the access device, the institution or the financial institution must obtain the student’s consent before validating the device and allowing the student access to the financial account. (34 CFR 668.164(e)(2)(i) and 668.164(f)(4)(i)(B), see EA for additional detail).</w:t>
      </w:r>
    </w:p>
    <w:p w14:paraId="1D084537" w14:textId="5128BCBC" w:rsidR="000C04C5" w:rsidRPr="000C04C5" w:rsidRDefault="000C04C5" w:rsidP="000C04C5">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Terms and Conditions</w:t>
      </w:r>
      <w:r w:rsidRPr="000C04C5">
        <w:rPr>
          <w:rFonts w:ascii="Arial" w:hAnsi="Arial" w:cs="Arial"/>
          <w:bCs/>
          <w:iCs/>
        </w:rPr>
        <w:t>: All Tier One and Tier Two schools must inform the student of the terms and conditions of the financial account before the financial account is opened (34 CFR 668.164(e)(2)(iii) and (f)(4)(ii)).</w:t>
      </w:r>
    </w:p>
    <w:p w14:paraId="6F762E18" w14:textId="09D0EFE9" w:rsidR="000C04C5" w:rsidRPr="000C04C5" w:rsidRDefault="000C04C5" w:rsidP="000C04C5">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Credit Cards and Extending Credit</w:t>
      </w:r>
      <w:r w:rsidRPr="000C04C5">
        <w:rPr>
          <w:rFonts w:ascii="Arial" w:hAnsi="Arial" w:cs="Arial"/>
          <w:bCs/>
          <w:iCs/>
        </w:rPr>
        <w:t>: All Tier One and Tier Two schools must ensure that financial accounts are not marketed or portrayed as, or converted into, credit cards. (34 CFR 668.164(e)(2)(v) and (f)(4)(vii)). Tier One schools must also ensure that no credit is extended or associated with the financial account (34 CFR 668.164(e)(2)(v)(B)).</w:t>
      </w:r>
    </w:p>
    <w:p w14:paraId="5E840F2B" w14:textId="37923372" w:rsidR="000C04C5" w:rsidRPr="000C04C5" w:rsidRDefault="000C04C5" w:rsidP="000C04C5">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Student Costs</w:t>
      </w:r>
      <w:r w:rsidRPr="000C04C5">
        <w:rPr>
          <w:rFonts w:ascii="Arial" w:hAnsi="Arial" w:cs="Arial"/>
          <w:bCs/>
          <w:iCs/>
        </w:rPr>
        <w:t>: All Tier One and Tier Two schools must ensure that the student does not incur any cost for opening the financial account or initially receiving an access device. (34 CFR 668.164(e)(2)(iv)(B)(1) and (f)(4)(x)). Tier One schools must also ensure that the student does not incur costs for conducting point-of-sale transactions in a State or conducting a balance inquiry or withdrawal of funds at an ATM in a State that belongs to the surcharge-free regional or national network (34 CFR 668.164(e)(2)(iv)(B)). Tier One schools must also ensure no fee is charged to the student for any transaction or withdrawal that exceeds the balance in the financial account or on the access device, except that a transaction or withdrawal that exceeds the balance may be permitted only for an inadvertently authorized overdraft, so long as no fee is charged to the student for such inadvertently authorized overdraft (34 CFR 668.164(e)(2)(v)(B)).</w:t>
      </w:r>
    </w:p>
    <w:p w14:paraId="37FC38E3" w14:textId="4D01CAA6" w:rsidR="000C04C5" w:rsidRPr="00792173" w:rsidRDefault="000C04C5" w:rsidP="00792173">
      <w:pPr>
        <w:spacing w:after="240"/>
        <w:ind w:left="720" w:hanging="720"/>
        <w:jc w:val="both"/>
        <w:rPr>
          <w:rFonts w:ascii="Arial" w:hAnsi="Arial" w:cs="Arial"/>
          <w:bCs/>
          <w:iCs/>
        </w:rPr>
      </w:pPr>
      <w:r w:rsidRPr="00792173">
        <w:rPr>
          <w:rFonts w:ascii="Arial" w:hAnsi="Arial" w:cs="Arial"/>
          <w:bCs/>
          <w:iCs/>
        </w:rPr>
        <w:t>•</w:t>
      </w:r>
      <w:r w:rsidRPr="00792173">
        <w:rPr>
          <w:rFonts w:ascii="Arial" w:hAnsi="Arial" w:cs="Arial"/>
          <w:bCs/>
          <w:iCs/>
        </w:rPr>
        <w:tab/>
      </w:r>
      <w:r w:rsidRPr="00792173">
        <w:rPr>
          <w:rFonts w:ascii="Arial" w:hAnsi="Arial" w:cs="Arial"/>
          <w:bCs/>
          <w:i/>
        </w:rPr>
        <w:t>Student Access</w:t>
      </w:r>
      <w:r w:rsidRPr="00792173">
        <w:rPr>
          <w:rFonts w:ascii="Arial" w:hAnsi="Arial" w:cs="Arial"/>
          <w:bCs/>
          <w:iCs/>
        </w:rPr>
        <w:t>: Tier One schools and any Tier Two schools above the credit balance threshold must ensure that the student has access to the funds in the financial account through a surcharge-free Automated Teller Machines (ATMs) sufficient in number and housed and serviced such that Title IV funds are reasonably available to students, including at the times the school or its third- party servicer makes direct payments into them (34 CFR 164(e)(2)(iv)(A) and (f)(4)(vi)). Tier One schools must also ensure that the student is provided convenient access to funds in part and in full up to the account balance via domestic withdrawals and transfers without charge, during the student's entire period of enrollment following the date that such title IV, HEA program funds are deposited or transferred to the financial account (34 CFR 668.164(e)(2)(v)(C)).</w:t>
      </w:r>
    </w:p>
    <w:p w14:paraId="0940404B" w14:textId="54099C89" w:rsidR="000C04C5" w:rsidRPr="00792173" w:rsidRDefault="000C04C5" w:rsidP="00792173">
      <w:pPr>
        <w:spacing w:after="240"/>
        <w:ind w:left="720" w:hanging="720"/>
        <w:jc w:val="both"/>
        <w:rPr>
          <w:rFonts w:ascii="Arial" w:hAnsi="Arial" w:cs="Arial"/>
          <w:bCs/>
          <w:iCs/>
        </w:rPr>
      </w:pPr>
      <w:r w:rsidRPr="00792173">
        <w:rPr>
          <w:rFonts w:ascii="Arial" w:hAnsi="Arial" w:cs="Arial"/>
          <w:bCs/>
          <w:iCs/>
        </w:rPr>
        <w:t>•</w:t>
      </w:r>
      <w:r w:rsidRPr="00792173">
        <w:rPr>
          <w:rFonts w:ascii="Arial" w:hAnsi="Arial" w:cs="Arial"/>
          <w:bCs/>
          <w:iCs/>
        </w:rPr>
        <w:tab/>
      </w:r>
      <w:r w:rsidRPr="00792173">
        <w:rPr>
          <w:rFonts w:ascii="Arial" w:hAnsi="Arial" w:cs="Arial"/>
          <w:bCs/>
          <w:i/>
        </w:rPr>
        <w:t>Best Financial Interest of Students</w:t>
      </w:r>
      <w:r w:rsidRPr="00792173">
        <w:rPr>
          <w:rFonts w:ascii="Arial" w:hAnsi="Arial" w:cs="Arial"/>
          <w:bCs/>
          <w:iCs/>
        </w:rPr>
        <w:t>: Tier One schools and any Tier Two schools above the credit balance threshold must ensure that the terms of the accounts offered pursuant to the arrangement are not inconsistent with the best financial interests of the students opening them. ED considers this requirement to be met if</w:t>
      </w:r>
      <w:r w:rsidR="00792173">
        <w:rPr>
          <w:rFonts w:ascii="Arial" w:hAnsi="Arial" w:cs="Arial"/>
          <w:bCs/>
          <w:iCs/>
        </w:rPr>
        <w:t xml:space="preserve"> </w:t>
      </w:r>
      <w:r w:rsidRPr="00792173">
        <w:rPr>
          <w:rFonts w:ascii="Arial" w:hAnsi="Arial" w:cs="Arial"/>
          <w:bCs/>
          <w:iCs/>
        </w:rPr>
        <w:t xml:space="preserve">(a) the school documents that it conducts reasonable due diligence reviews at least every two years to ascertain whether the fees imposed under the arrangement are, considered as a whole, consistent with or below prevailing market rates; and (b) all contracts for the marketing or offering of accounts pursuant to the arrangement to the school’s students make </w:t>
      </w:r>
      <w:r w:rsidRPr="00792173">
        <w:rPr>
          <w:rFonts w:ascii="Arial" w:hAnsi="Arial" w:cs="Arial"/>
          <w:bCs/>
          <w:iCs/>
        </w:rPr>
        <w:lastRenderedPageBreak/>
        <w:t>provision for termination of the arrangement by the school based on (i) complaints received from students or (ii) a determination by the school that the fees assessed under the arrangement are not consistent with or are higher than prevailing market rates. (34 CFR 668.164(e)(2)(ix) and (f)(4)(vii)).</w:t>
      </w:r>
    </w:p>
    <w:p w14:paraId="7366784A" w14:textId="4356464B" w:rsidR="000C04C5" w:rsidRPr="00792173" w:rsidRDefault="000C04C5" w:rsidP="000C04C5">
      <w:pPr>
        <w:spacing w:after="240"/>
        <w:jc w:val="both"/>
        <w:rPr>
          <w:rFonts w:ascii="Arial" w:hAnsi="Arial" w:cs="Arial"/>
          <w:bCs/>
          <w:iCs/>
        </w:rPr>
      </w:pPr>
      <w:r w:rsidRPr="00792173">
        <w:rPr>
          <w:rFonts w:ascii="Arial" w:hAnsi="Arial" w:cs="Arial"/>
          <w:bCs/>
          <w:iCs/>
        </w:rPr>
        <w:t>These schools must take affirmative steps, by way of contractual arrangements with the third-party servicer as necessary, to ensure that requirements for these arrangements are met with respect to all accounts offered pursuant to the arrangement (34 CFR 668.164(e)(2)(x) and (f)(4)(ix)).</w:t>
      </w:r>
    </w:p>
    <w:p w14:paraId="577171B0" w14:textId="77D28D9E" w:rsidR="000C04C5" w:rsidRPr="00792173" w:rsidRDefault="000C04C5" w:rsidP="000C04C5">
      <w:pPr>
        <w:spacing w:after="240"/>
        <w:jc w:val="both"/>
        <w:rPr>
          <w:rFonts w:ascii="Arial" w:hAnsi="Arial" w:cs="Arial"/>
          <w:bCs/>
          <w:iCs/>
        </w:rPr>
      </w:pPr>
      <w:r w:rsidRPr="00792173">
        <w:rPr>
          <w:rFonts w:ascii="Arial" w:hAnsi="Arial" w:cs="Arial"/>
          <w:bCs/>
          <w:iCs/>
        </w:rPr>
        <w:t xml:space="preserve">Additional guidance on Tier One and Tier Two arrangements can be found in Dear Colleague Letter </w:t>
      </w:r>
      <w:hyperlink r:id="rId84" w:history="1">
        <w:r w:rsidRPr="00792173">
          <w:rPr>
            <w:rStyle w:val="Hyperlink"/>
            <w:rFonts w:cs="Arial"/>
            <w:bCs/>
            <w:iCs/>
          </w:rPr>
          <w:t>GEN-22-14</w:t>
        </w:r>
      </w:hyperlink>
      <w:r w:rsidRPr="00792173">
        <w:rPr>
          <w:rFonts w:ascii="Arial" w:hAnsi="Arial" w:cs="Arial"/>
          <w:bCs/>
          <w:iCs/>
        </w:rPr>
        <w:t xml:space="preserve">; Volume 4, Chapter 2 of the FSA Handbook; and the </w:t>
      </w:r>
      <w:hyperlink r:id="rId85" w:history="1">
        <w:r w:rsidRPr="00546D39">
          <w:rPr>
            <w:rStyle w:val="Hyperlink"/>
            <w:rFonts w:cs="Arial"/>
            <w:bCs/>
            <w:iCs/>
          </w:rPr>
          <w:t>Cash Management Q&amp;A</w:t>
        </w:r>
      </w:hyperlink>
      <w:r w:rsidRPr="00792173">
        <w:rPr>
          <w:rFonts w:ascii="Arial" w:hAnsi="Arial" w:cs="Arial"/>
          <w:bCs/>
          <w:iCs/>
        </w:rPr>
        <w:t>.</w:t>
      </w:r>
    </w:p>
    <w:p w14:paraId="20438BB3" w14:textId="7F03FF98" w:rsidR="000C04C5" w:rsidRPr="000C04C5" w:rsidRDefault="000C04C5" w:rsidP="000C04C5">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7B556A31" w14:textId="77777777" w:rsidR="00C44A80" w:rsidRPr="000706D1" w:rsidRDefault="00C44A80" w:rsidP="00C44A80">
      <w:pPr>
        <w:pStyle w:val="Heading3"/>
        <w:jc w:val="both"/>
        <w:rPr>
          <w:rFonts w:cs="Arial"/>
          <w:sz w:val="24"/>
          <w:szCs w:val="24"/>
        </w:rPr>
      </w:pPr>
      <w:bookmarkStart w:id="80" w:name="_Toc176355431"/>
      <w:r w:rsidRPr="000706D1">
        <w:rPr>
          <w:rFonts w:cs="Arial"/>
          <w:sz w:val="24"/>
          <w:szCs w:val="24"/>
        </w:rPr>
        <w:t>Additional Program Specific Information</w:t>
      </w:r>
      <w:bookmarkEnd w:id="80"/>
    </w:p>
    <w:p w14:paraId="16D7C88C" w14:textId="77777777" w:rsidR="00C44A80" w:rsidRPr="00AA5B05" w:rsidRDefault="00C44A80" w:rsidP="00C44A80">
      <w:pPr>
        <w:spacing w:after="240"/>
        <w:jc w:val="both"/>
        <w:rPr>
          <w:rFonts w:ascii="Arial" w:hAnsi="Arial" w:cs="Arial"/>
          <w:b/>
          <w:highlight w:val="yellow"/>
        </w:rPr>
      </w:pPr>
      <w:r w:rsidRPr="00AA5B05">
        <w:rPr>
          <w:rFonts w:ascii="Arial" w:hAnsi="Arial" w:cs="Arial"/>
          <w:b/>
          <w:highlight w:val="yellow"/>
        </w:rPr>
        <w:t>Add program specific requirements from:</w:t>
      </w:r>
    </w:p>
    <w:p w14:paraId="6F356851" w14:textId="15DAB403" w:rsidR="00C44A80" w:rsidRPr="00AA5B05" w:rsidRDefault="00C44A80" w:rsidP="00C44A8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D6F3A">
        <w:rPr>
          <w:rFonts w:ascii="Arial" w:hAnsi="Arial" w:cs="Arial"/>
          <w:b/>
          <w:highlight w:val="yellow"/>
        </w:rPr>
        <w:t xml:space="preserve"> and</w:t>
      </w:r>
    </w:p>
    <w:p w14:paraId="01A01A4F" w14:textId="77777777" w:rsidR="00C44A80" w:rsidRPr="00AA5B05" w:rsidRDefault="00C44A80" w:rsidP="00C44A80">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61E0BC2" w14:textId="77777777" w:rsidR="00C44A80" w:rsidRPr="00AA5B05" w:rsidRDefault="00C44A80" w:rsidP="00C44A80">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9B6011E" w14:textId="77777777" w:rsidR="00C44A80" w:rsidRPr="000706D1" w:rsidRDefault="00C44A80" w:rsidP="00C44A80">
      <w:pPr>
        <w:pStyle w:val="Heading3"/>
        <w:jc w:val="both"/>
        <w:rPr>
          <w:rFonts w:cs="Arial"/>
          <w:sz w:val="24"/>
          <w:szCs w:val="24"/>
        </w:rPr>
      </w:pPr>
      <w:bookmarkStart w:id="81" w:name="_Toc176355432"/>
      <w:r w:rsidRPr="000706D1">
        <w:rPr>
          <w:rFonts w:cs="Arial"/>
          <w:sz w:val="24"/>
          <w:szCs w:val="24"/>
        </w:rPr>
        <w:t>Audit Objectives and Control Testing</w:t>
      </w:r>
      <w:bookmarkEnd w:id="81"/>
    </w:p>
    <w:p w14:paraId="5655DA00" w14:textId="77777777" w:rsidR="00C44A80" w:rsidRPr="00F00D94" w:rsidRDefault="00C44A80" w:rsidP="00C44A80">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9926D0" w14:textId="77777777" w:rsidR="00C44A80" w:rsidRPr="00F00D94" w:rsidRDefault="00C44A80" w:rsidP="00C44A80">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C72DA39" w14:textId="77777777" w:rsidR="00C44A80"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D2A7C52" w14:textId="7F00FB1B" w:rsidR="00C44A80" w:rsidRDefault="00546D39" w:rsidP="00546D39">
      <w:pPr>
        <w:pStyle w:val="ListParagraph"/>
        <w:numPr>
          <w:ilvl w:val="0"/>
          <w:numId w:val="6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46D39">
        <w:rPr>
          <w:rFonts w:ascii="Arial" w:hAnsi="Arial" w:cs="Arial"/>
          <w:iCs/>
        </w:rPr>
        <w:t>Determine if the institution uses a servicer or a financial institution to deliver Title IV credit balance refunds (or to make direct payments of FSA credit balances) and if the institution is following applicable ED requirements.</w:t>
      </w:r>
    </w:p>
    <w:p w14:paraId="2A0A856E" w14:textId="1853E329" w:rsidR="00546D39" w:rsidRPr="00546D39" w:rsidRDefault="00546D39" w:rsidP="00546D39">
      <w:pPr>
        <w:spacing w:after="240"/>
        <w:jc w:val="both"/>
        <w:rPr>
          <w:rFonts w:ascii="Arial" w:hAnsi="Arial" w:cs="Arial"/>
          <w:bCs/>
        </w:rPr>
      </w:pPr>
      <w:r w:rsidRPr="00546D39">
        <w:rPr>
          <w:rFonts w:ascii="Arial" w:hAnsi="Arial" w:cs="Arial"/>
          <w:bCs/>
          <w:i/>
        </w:rPr>
        <w:t>(Source: 2024 OMB Compliance Supplement, Part 5, Student Financial Assistance Cluster)</w:t>
      </w:r>
    </w:p>
    <w:p w14:paraId="71F037CB" w14:textId="77777777" w:rsidR="00C44A80" w:rsidRPr="00634FA3" w:rsidRDefault="00C44A80" w:rsidP="00C44A80">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44A80" w:rsidRPr="00F00D94" w14:paraId="19BB461F" w14:textId="77777777" w:rsidTr="00AB4349">
        <w:tc>
          <w:tcPr>
            <w:tcW w:w="5000" w:type="pct"/>
          </w:tcPr>
          <w:p w14:paraId="27995711" w14:textId="77777777" w:rsidR="00C44A80" w:rsidRPr="006F5FFA" w:rsidRDefault="00C44A80" w:rsidP="00AB4349">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0ADE571" w14:textId="77777777" w:rsidR="00C44A80" w:rsidRPr="00F00D94" w:rsidRDefault="00C44A80" w:rsidP="00AB4349">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A47F7B7" w14:textId="77777777" w:rsidR="00C44A80" w:rsidRPr="00F00D94" w:rsidRDefault="00C44A80" w:rsidP="00AB4349">
            <w:pPr>
              <w:pStyle w:val="AuditProcedureHeading"/>
              <w:spacing w:after="240"/>
              <w:jc w:val="both"/>
              <w:rPr>
                <w:rFonts w:cs="Arial"/>
                <w:b/>
                <w:bCs/>
                <w:szCs w:val="20"/>
                <w:u w:val="single"/>
              </w:rPr>
            </w:pPr>
          </w:p>
          <w:p w14:paraId="65F71540" w14:textId="77777777" w:rsidR="00C44A80" w:rsidRPr="00F00D94" w:rsidRDefault="00C44A80" w:rsidP="00AB4349">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2F7160F" w14:textId="77777777" w:rsidR="00C44A80" w:rsidRPr="00F00D94" w:rsidRDefault="00C44A80" w:rsidP="00AB4349">
            <w:pPr>
              <w:pStyle w:val="AuditProcedureHeading"/>
              <w:spacing w:after="240"/>
              <w:jc w:val="both"/>
              <w:rPr>
                <w:rFonts w:cs="Arial"/>
                <w:b/>
                <w:bCs/>
                <w:szCs w:val="20"/>
                <w:u w:val="single"/>
              </w:rPr>
            </w:pPr>
          </w:p>
          <w:p w14:paraId="6C16272C" w14:textId="77777777" w:rsidR="00C44A80" w:rsidRPr="00F00D94" w:rsidRDefault="00C44A80" w:rsidP="00AB4349">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8E9A824" w14:textId="77777777" w:rsidR="00C44A80" w:rsidRPr="00F00D94" w:rsidRDefault="00C44A80" w:rsidP="00AB4349">
            <w:pPr>
              <w:spacing w:after="240"/>
              <w:jc w:val="both"/>
              <w:rPr>
                <w:rFonts w:ascii="Arial" w:hAnsi="Arial" w:cs="Arial"/>
                <w:b/>
                <w:sz w:val="20"/>
                <w:u w:val="single"/>
              </w:rPr>
            </w:pPr>
          </w:p>
          <w:p w14:paraId="26E428F3" w14:textId="77777777" w:rsidR="00C44A80" w:rsidRPr="00F00D94" w:rsidRDefault="00C44A80" w:rsidP="00AB4349">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A03AAC7" w14:textId="77777777" w:rsidR="00C44A80" w:rsidRPr="00C35E5F" w:rsidRDefault="00C44A80" w:rsidP="00AB4349">
            <w:pPr>
              <w:spacing w:after="240"/>
              <w:jc w:val="both"/>
              <w:rPr>
                <w:rFonts w:ascii="Arial" w:eastAsiaTheme="minorHAnsi" w:hAnsi="Arial" w:cs="Arial"/>
                <w:sz w:val="20"/>
                <w:szCs w:val="20"/>
              </w:rPr>
            </w:pPr>
          </w:p>
        </w:tc>
      </w:tr>
    </w:tbl>
    <w:p w14:paraId="407DE515"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8CA3DF5" w14:textId="77777777" w:rsidR="00C44A80" w:rsidRPr="000706D1" w:rsidRDefault="00C44A80" w:rsidP="00C44A80">
      <w:pPr>
        <w:pStyle w:val="Heading3"/>
        <w:jc w:val="both"/>
        <w:rPr>
          <w:rFonts w:cs="Arial"/>
          <w:sz w:val="24"/>
          <w:szCs w:val="24"/>
        </w:rPr>
      </w:pPr>
      <w:bookmarkStart w:id="82" w:name="_Toc17635543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2"/>
    </w:p>
    <w:tbl>
      <w:tblPr>
        <w:tblStyle w:val="TableGrid"/>
        <w:tblW w:w="9558" w:type="dxa"/>
        <w:tblLayout w:type="fixed"/>
        <w:tblLook w:val="04A0" w:firstRow="1" w:lastRow="0" w:firstColumn="1" w:lastColumn="0" w:noHBand="0" w:noVBand="1"/>
      </w:tblPr>
      <w:tblGrid>
        <w:gridCol w:w="9558"/>
      </w:tblGrid>
      <w:tr w:rsidR="00C44A80" w:rsidRPr="00F00D94" w14:paraId="0AFD9717" w14:textId="77777777" w:rsidTr="00AB4349">
        <w:tc>
          <w:tcPr>
            <w:tcW w:w="9558" w:type="dxa"/>
          </w:tcPr>
          <w:p w14:paraId="41B7A5FD" w14:textId="77777777" w:rsidR="00C44A80" w:rsidRDefault="00C44A80" w:rsidP="00AB4349">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D67A76A" w14:textId="77777777" w:rsidR="00C44A80" w:rsidRPr="00AC7B25" w:rsidRDefault="00C44A80" w:rsidP="00AB4349">
            <w:pPr>
              <w:spacing w:after="240"/>
              <w:jc w:val="both"/>
              <w:rPr>
                <w:rFonts w:ascii="Arial" w:hAnsi="Arial" w:cs="Arial"/>
                <w:i/>
                <w:sz w:val="20"/>
                <w:szCs w:val="20"/>
              </w:rPr>
            </w:pPr>
            <w:r>
              <w:rPr>
                <w:rFonts w:ascii="Arial" w:hAnsi="Arial" w:cs="Arial"/>
                <w:i/>
                <w:sz w:val="20"/>
                <w:szCs w:val="20"/>
              </w:rPr>
              <w:t>(Source: 2024 OMB Compliance Supplement Part 3)</w:t>
            </w:r>
          </w:p>
          <w:p w14:paraId="335A36AA" w14:textId="41343EC7" w:rsidR="00546D39" w:rsidRPr="00546D39" w:rsidRDefault="00546D39" w:rsidP="00546D39">
            <w:pPr>
              <w:spacing w:after="240"/>
              <w:ind w:left="612" w:hanging="612"/>
              <w:jc w:val="both"/>
              <w:rPr>
                <w:rFonts w:ascii="Arial" w:hAnsi="Arial" w:cs="Arial"/>
                <w:i/>
                <w:iCs/>
                <w:sz w:val="20"/>
              </w:rPr>
            </w:pPr>
            <w:r w:rsidRPr="00546D39">
              <w:rPr>
                <w:rFonts w:ascii="Arial" w:hAnsi="Arial" w:cs="Arial"/>
                <w:sz w:val="20"/>
              </w:rPr>
              <w:t>a.</w:t>
            </w:r>
            <w:r w:rsidRPr="00546D39">
              <w:rPr>
                <w:rFonts w:ascii="Arial" w:hAnsi="Arial" w:cs="Arial"/>
                <w:sz w:val="20"/>
              </w:rPr>
              <w:tab/>
              <w:t xml:space="preserve">For any arrangements that the institution has with an outside entity to make direct payments of Title IV credit balances by EFT, obtain the full contract (including all attachments, appendices, affiliation agreements, and addendums) and any promotional materials provided by the entity to the school. Determine whether the arrangement is a Tier One Arrangement or a Tier Two Arrangement. </w:t>
            </w:r>
            <w:r w:rsidRPr="00546D39">
              <w:rPr>
                <w:rFonts w:ascii="Arial" w:hAnsi="Arial" w:cs="Arial"/>
                <w:i/>
                <w:iCs/>
                <w:sz w:val="20"/>
              </w:rPr>
              <w:t>Note: As you are reviewing these records, you should be alert to evidence that the entity is performing functions associated with processing direct payments, which would be indicative of a Tier One Arrangement, especially the following functions provided by ED as examples: receiving Title IV funds; posting Title IV funds to student accounts; calculating a student’s Title IV credit balance; processing documents for direct payment to students; and disbursing or delivering FSA funds.</w:t>
            </w:r>
          </w:p>
          <w:p w14:paraId="5ACFD1E3" w14:textId="5CEEFAA1" w:rsidR="00546D39" w:rsidRPr="00546D39" w:rsidRDefault="00546D39" w:rsidP="00546D39">
            <w:pPr>
              <w:spacing w:after="240"/>
              <w:ind w:left="612" w:hanging="612"/>
              <w:jc w:val="both"/>
              <w:rPr>
                <w:rFonts w:ascii="Arial" w:hAnsi="Arial" w:cs="Arial"/>
                <w:sz w:val="20"/>
              </w:rPr>
            </w:pPr>
            <w:r w:rsidRPr="00546D39">
              <w:rPr>
                <w:rFonts w:ascii="Arial" w:hAnsi="Arial" w:cs="Arial"/>
                <w:sz w:val="20"/>
              </w:rPr>
              <w:t>b.</w:t>
            </w:r>
            <w:r w:rsidRPr="00546D39">
              <w:rPr>
                <w:rFonts w:ascii="Arial" w:hAnsi="Arial" w:cs="Arial"/>
                <w:sz w:val="20"/>
              </w:rPr>
              <w:tab/>
              <w:t>For institutions with any Tier Two arrangements, confirm that the institution performed the required annual credit balance threshold calculation to determine if they were above or below the credit balance threshold and evaluate the annual calculation for accuracy.</w:t>
            </w:r>
          </w:p>
          <w:p w14:paraId="71B3D4D1" w14:textId="77777777" w:rsidR="00546D39" w:rsidRPr="00546D39" w:rsidRDefault="00546D39" w:rsidP="00546D39">
            <w:pPr>
              <w:spacing w:after="240"/>
              <w:ind w:left="612" w:hanging="612"/>
              <w:jc w:val="both"/>
              <w:rPr>
                <w:rFonts w:ascii="Arial" w:hAnsi="Arial" w:cs="Arial"/>
                <w:sz w:val="20"/>
              </w:rPr>
            </w:pPr>
            <w:r w:rsidRPr="00546D39">
              <w:rPr>
                <w:rFonts w:ascii="Arial" w:hAnsi="Arial" w:cs="Arial"/>
                <w:sz w:val="20"/>
              </w:rPr>
              <w:t>c.</w:t>
            </w:r>
            <w:r w:rsidRPr="00546D39">
              <w:rPr>
                <w:rFonts w:ascii="Arial" w:hAnsi="Arial" w:cs="Arial"/>
                <w:sz w:val="20"/>
              </w:rPr>
              <w:tab/>
              <w:t>For institutions with any Tier One or Tier Two arrangement,</w:t>
            </w:r>
          </w:p>
          <w:p w14:paraId="43384B4E" w14:textId="3B6A4236"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(1)</w:t>
            </w:r>
            <w:r w:rsidRPr="00546D39">
              <w:rPr>
                <w:rFonts w:ascii="Arial" w:hAnsi="Arial" w:cs="Arial"/>
                <w:sz w:val="20"/>
              </w:rPr>
              <w:tab/>
              <w:t>determine whether the school established a selection process under which the student chooses an option for receiving payments by electronic funds transfer;</w:t>
            </w:r>
          </w:p>
          <w:p w14:paraId="63BAED21" w14:textId="69D0DB64"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(2)</w:t>
            </w:r>
            <w:r w:rsidRPr="00546D39">
              <w:rPr>
                <w:rFonts w:ascii="Arial" w:hAnsi="Arial" w:cs="Arial"/>
                <w:sz w:val="20"/>
              </w:rPr>
              <w:tab/>
              <w:t>For a sample of students for whom a financial account under the arrangement was opened and the access device does not serve an institutional purpose other than electronic fund transfers, determine whether the school informed the student of the terms and conditions of the financial account and obtained the student’s consent before the access device was validated;</w:t>
            </w:r>
          </w:p>
          <w:p w14:paraId="1527F58A" w14:textId="77777777"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(3)</w:t>
            </w:r>
            <w:r w:rsidRPr="00546D39">
              <w:rPr>
                <w:rFonts w:ascii="Arial" w:hAnsi="Arial" w:cs="Arial"/>
                <w:sz w:val="20"/>
              </w:rPr>
              <w:tab/>
              <w:t>Through review of the contract between the school and servicer determine that</w:t>
            </w:r>
          </w:p>
          <w:p w14:paraId="39036DD9" w14:textId="77777777" w:rsidR="00546D39" w:rsidRPr="00546D39" w:rsidRDefault="00546D39" w:rsidP="00546D39">
            <w:pPr>
              <w:spacing w:after="240"/>
              <w:ind w:left="2052" w:hanging="720"/>
              <w:jc w:val="both"/>
              <w:rPr>
                <w:rFonts w:ascii="Arial" w:hAnsi="Arial" w:cs="Arial"/>
                <w:sz w:val="20"/>
              </w:rPr>
            </w:pPr>
            <w:r w:rsidRPr="00546D39">
              <w:rPr>
                <w:rFonts w:ascii="Arial" w:hAnsi="Arial" w:cs="Arial"/>
                <w:sz w:val="20"/>
              </w:rPr>
              <w:lastRenderedPageBreak/>
              <w:t>(A)</w:t>
            </w:r>
            <w:r w:rsidRPr="00546D39">
              <w:rPr>
                <w:rFonts w:ascii="Arial" w:hAnsi="Arial" w:cs="Arial"/>
                <w:sz w:val="20"/>
              </w:rPr>
              <w:tab/>
              <w:t>The financial account or access device is not marketed or portrayed as, or converted into, a credit card; and</w:t>
            </w:r>
          </w:p>
          <w:p w14:paraId="54F030F5" w14:textId="5AE9349B" w:rsidR="00546D39" w:rsidRPr="00546D39" w:rsidRDefault="00546D39" w:rsidP="00546D39">
            <w:pPr>
              <w:spacing w:after="240"/>
              <w:ind w:left="2052" w:hanging="720"/>
              <w:jc w:val="both"/>
              <w:rPr>
                <w:rFonts w:ascii="Arial" w:hAnsi="Arial" w:cs="Arial"/>
                <w:sz w:val="20"/>
              </w:rPr>
            </w:pPr>
            <w:r w:rsidRPr="00546D39">
              <w:rPr>
                <w:rFonts w:ascii="Arial" w:hAnsi="Arial" w:cs="Arial"/>
                <w:sz w:val="20"/>
              </w:rPr>
              <w:t>(B)</w:t>
            </w:r>
            <w:r w:rsidRPr="00546D39">
              <w:rPr>
                <w:rFonts w:ascii="Arial" w:hAnsi="Arial" w:cs="Arial"/>
                <w:sz w:val="20"/>
              </w:rPr>
              <w:tab/>
              <w:t>The student would not incur costs for opening the account or receiving the access device;</w:t>
            </w:r>
          </w:p>
          <w:p w14:paraId="2C82C568" w14:textId="478CFE87"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(4)</w:t>
            </w:r>
            <w:r w:rsidRPr="00546D39">
              <w:rPr>
                <w:rFonts w:ascii="Arial" w:hAnsi="Arial" w:cs="Arial"/>
                <w:sz w:val="20"/>
              </w:rPr>
              <w:tab/>
              <w:t>Determine whether the school contract(s) establishing the arrangement between the school and financial account provider exist on the school’s website;</w:t>
            </w:r>
          </w:p>
          <w:p w14:paraId="267B00A6" w14:textId="3FDEFD11"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(5)</w:t>
            </w:r>
            <w:r w:rsidRPr="00546D39">
              <w:rPr>
                <w:rFonts w:ascii="Arial" w:hAnsi="Arial" w:cs="Arial"/>
                <w:sz w:val="20"/>
              </w:rPr>
              <w:tab/>
              <w:t xml:space="preserve">Obtain documentation to determine if the school provided a URL for the contract to ED for publication in the Cash Management Contracts Database. (You may check the database directly at </w:t>
            </w:r>
            <w:hyperlink r:id="rId86" w:history="1">
              <w:r w:rsidRPr="00E97A14">
                <w:rPr>
                  <w:rStyle w:val="Hyperlink"/>
                  <w:rFonts w:cs="Arial"/>
                  <w:sz w:val="20"/>
                </w:rPr>
                <w:t>Cash Management Contracts | Federal Student Aid</w:t>
              </w:r>
            </w:hyperlink>
            <w:r w:rsidRPr="00546D39">
              <w:rPr>
                <w:rFonts w:ascii="Arial" w:hAnsi="Arial" w:cs="Arial"/>
                <w:sz w:val="20"/>
              </w:rPr>
              <w:t>)</w:t>
            </w:r>
          </w:p>
          <w:p w14:paraId="170A0E36" w14:textId="736ACE53" w:rsidR="00546D39" w:rsidRPr="00546D39" w:rsidRDefault="00546D39" w:rsidP="00546D39">
            <w:pPr>
              <w:spacing w:after="240"/>
              <w:ind w:left="612" w:hanging="612"/>
              <w:jc w:val="both"/>
              <w:rPr>
                <w:rFonts w:ascii="Arial" w:hAnsi="Arial" w:cs="Arial"/>
                <w:sz w:val="20"/>
              </w:rPr>
            </w:pPr>
            <w:r w:rsidRPr="00546D39">
              <w:rPr>
                <w:rFonts w:ascii="Arial" w:hAnsi="Arial" w:cs="Arial"/>
                <w:sz w:val="20"/>
              </w:rPr>
              <w:t>d.</w:t>
            </w:r>
            <w:r w:rsidRPr="00546D39">
              <w:rPr>
                <w:rFonts w:ascii="Arial" w:hAnsi="Arial" w:cs="Arial"/>
                <w:sz w:val="20"/>
              </w:rPr>
              <w:tab/>
              <w:t>For institutions with any Tier One arrangement or a Tier Two arrangement above the credit balance threshold -</w:t>
            </w:r>
          </w:p>
          <w:p w14:paraId="7E56F7BD" w14:textId="7606DC15"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(1)</w:t>
            </w:r>
            <w:r w:rsidRPr="00546D39">
              <w:rPr>
                <w:rFonts w:ascii="Arial" w:hAnsi="Arial" w:cs="Arial"/>
                <w:sz w:val="20"/>
              </w:rPr>
              <w:tab/>
              <w:t>Through review of the contract between the school and servicer,</w:t>
            </w:r>
          </w:p>
          <w:p w14:paraId="325551FF" w14:textId="139A560C" w:rsidR="00546D39" w:rsidRPr="00546D39" w:rsidRDefault="00546D39" w:rsidP="00546D39">
            <w:pPr>
              <w:spacing w:after="240"/>
              <w:ind w:left="2052" w:hanging="720"/>
              <w:jc w:val="both"/>
              <w:rPr>
                <w:rFonts w:ascii="Arial" w:hAnsi="Arial" w:cs="Arial"/>
                <w:sz w:val="20"/>
              </w:rPr>
            </w:pPr>
            <w:r w:rsidRPr="00546D39">
              <w:rPr>
                <w:rFonts w:ascii="Arial" w:hAnsi="Arial" w:cs="Arial"/>
                <w:sz w:val="20"/>
              </w:rPr>
              <w:t>(A)</w:t>
            </w:r>
            <w:r w:rsidRPr="00546D39">
              <w:rPr>
                <w:rFonts w:ascii="Arial" w:hAnsi="Arial" w:cs="Arial"/>
                <w:sz w:val="20"/>
              </w:rPr>
              <w:tab/>
              <w:t>Determine that students would have access to the funds through surcharge-free ATMs, including at the times payments are made; and</w:t>
            </w:r>
          </w:p>
          <w:p w14:paraId="01E3E25A" w14:textId="500C8B05" w:rsidR="00546D39" w:rsidRPr="00546D39" w:rsidRDefault="00546D39" w:rsidP="00546D39">
            <w:pPr>
              <w:spacing w:after="240"/>
              <w:ind w:left="2052" w:hanging="720"/>
              <w:jc w:val="both"/>
              <w:rPr>
                <w:rFonts w:ascii="Arial" w:hAnsi="Arial" w:cs="Arial"/>
                <w:sz w:val="20"/>
              </w:rPr>
            </w:pPr>
            <w:r w:rsidRPr="00546D39">
              <w:rPr>
                <w:rFonts w:ascii="Arial" w:hAnsi="Arial" w:cs="Arial"/>
                <w:sz w:val="20"/>
              </w:rPr>
              <w:t>(B)</w:t>
            </w:r>
            <w:r w:rsidRPr="00546D39">
              <w:rPr>
                <w:rFonts w:ascii="Arial" w:hAnsi="Arial" w:cs="Arial"/>
                <w:sz w:val="20"/>
              </w:rPr>
              <w:tab/>
              <w:t>Determine that the contracts make provisions for termination of the arrangement by the school based on i) complaints received from students or (ii) a determination by the school that the fees assessed under the arrangement are not consistent with or are higher than prevailing market rates;</w:t>
            </w:r>
          </w:p>
          <w:p w14:paraId="2B559000" w14:textId="33F916A7"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(2)</w:t>
            </w:r>
            <w:r w:rsidRPr="00546D39">
              <w:rPr>
                <w:rFonts w:ascii="Arial" w:hAnsi="Arial" w:cs="Arial"/>
                <w:sz w:val="20"/>
              </w:rPr>
              <w:tab/>
              <w:t>Through review of the latest due diligence review performed by the school, determine that the school is ascertaining whether the fees imposed under the arrangement are consistent with or below prevailing market rates through its due diligence reviews at least every two years;</w:t>
            </w:r>
          </w:p>
          <w:p w14:paraId="773E7DC7" w14:textId="0A2DC556"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(3)</w:t>
            </w:r>
            <w:r w:rsidRPr="00546D39">
              <w:rPr>
                <w:rFonts w:ascii="Arial" w:hAnsi="Arial" w:cs="Arial"/>
                <w:sz w:val="20"/>
              </w:rPr>
              <w:tab/>
              <w:t>Determine whether all required cost information related to the arrangement existed on the school’s website and that the cost information was updated within 60 days after the end of each award year; and</w:t>
            </w:r>
          </w:p>
          <w:p w14:paraId="5708AD5A" w14:textId="209A525E" w:rsidR="00546D39" w:rsidRPr="00546D39" w:rsidRDefault="00546D39" w:rsidP="00546D39">
            <w:pPr>
              <w:spacing w:after="240"/>
              <w:ind w:left="1332" w:hanging="720"/>
              <w:jc w:val="both"/>
              <w:rPr>
                <w:rFonts w:ascii="Arial" w:hAnsi="Arial" w:cs="Arial"/>
                <w:sz w:val="20"/>
              </w:rPr>
            </w:pPr>
            <w:r w:rsidRPr="00546D39">
              <w:rPr>
                <w:rFonts w:ascii="Arial" w:hAnsi="Arial" w:cs="Arial"/>
                <w:sz w:val="20"/>
              </w:rPr>
              <w:t>(4)</w:t>
            </w:r>
            <w:r w:rsidRPr="00546D39">
              <w:rPr>
                <w:rFonts w:ascii="Arial" w:hAnsi="Arial" w:cs="Arial"/>
                <w:sz w:val="20"/>
              </w:rPr>
              <w:tab/>
              <w:t xml:space="preserve">Obtain documentation to determine if the school provided a URL for the cost information to ED for publication in the Cash Management Contracts Database. (You may check the database directly at </w:t>
            </w:r>
            <w:hyperlink r:id="rId87" w:history="1">
              <w:r w:rsidRPr="00E97A14">
                <w:rPr>
                  <w:rStyle w:val="Hyperlink"/>
                  <w:rFonts w:cs="Arial"/>
                  <w:sz w:val="20"/>
                </w:rPr>
                <w:t>Cash Management Contracts | Federal Student Aid</w:t>
              </w:r>
            </w:hyperlink>
            <w:r w:rsidRPr="00546D39">
              <w:rPr>
                <w:rFonts w:ascii="Arial" w:hAnsi="Arial" w:cs="Arial"/>
                <w:sz w:val="20"/>
              </w:rPr>
              <w:t>)</w:t>
            </w:r>
          </w:p>
          <w:p w14:paraId="4C8E5271" w14:textId="02EF414C" w:rsidR="00546D39" w:rsidRPr="001B6A61" w:rsidRDefault="00546D39" w:rsidP="00546D39">
            <w:pPr>
              <w:spacing w:after="240"/>
              <w:ind w:left="612" w:hanging="612"/>
              <w:jc w:val="both"/>
              <w:rPr>
                <w:rFonts w:ascii="Arial" w:hAnsi="Arial" w:cs="Arial"/>
                <w:b/>
                <w:bCs/>
                <w:sz w:val="20"/>
              </w:rPr>
            </w:pPr>
            <w:r w:rsidRPr="00546D39">
              <w:rPr>
                <w:rFonts w:ascii="Arial" w:hAnsi="Arial" w:cs="Arial"/>
                <w:sz w:val="20"/>
              </w:rPr>
              <w:t>e.</w:t>
            </w:r>
            <w:r w:rsidRPr="00546D39">
              <w:rPr>
                <w:rFonts w:ascii="Arial" w:hAnsi="Arial" w:cs="Arial"/>
                <w:sz w:val="20"/>
              </w:rPr>
              <w:tab/>
              <w:t>For institutions with any Tier One arrangement, through review of the contract between the school and servicer, determine that the student (1) would not be extended any credit with the financial account; (2) would not incur costs for conducting point-of-sale transactions and balance inquiries, or as overdraft fees; and (3) would be provided access to funds up to the account balance without charge during the student's entire period of enrollment.</w:t>
            </w:r>
          </w:p>
        </w:tc>
      </w:tr>
    </w:tbl>
    <w:p w14:paraId="3D99FF42" w14:textId="77777777" w:rsidR="00C44A80" w:rsidRPr="00F00D94" w:rsidRDefault="00C44A80" w:rsidP="00C44A80">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7E25FC4" w14:textId="77777777" w:rsidR="00C44A80" w:rsidRPr="000706D1" w:rsidRDefault="00C44A80" w:rsidP="00C44A80">
      <w:pPr>
        <w:pStyle w:val="Heading3"/>
        <w:jc w:val="both"/>
        <w:rPr>
          <w:rFonts w:cs="Arial"/>
          <w:b w:val="0"/>
          <w:sz w:val="24"/>
          <w:szCs w:val="24"/>
        </w:rPr>
      </w:pPr>
      <w:bookmarkStart w:id="83" w:name="_Toc176355434"/>
      <w:r w:rsidRPr="000706D1">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C44A80" w:rsidRPr="00F00D94" w14:paraId="020FD349" w14:textId="77777777" w:rsidTr="00AB4349">
        <w:tc>
          <w:tcPr>
            <w:tcW w:w="5000" w:type="pct"/>
          </w:tcPr>
          <w:p w14:paraId="2280C569" w14:textId="77777777" w:rsidR="00C44A80" w:rsidRDefault="00C44A80" w:rsidP="00AB4349">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1221381" w14:textId="77777777" w:rsidR="00C44A80" w:rsidRPr="006E46AD" w:rsidRDefault="00C44A80" w:rsidP="00AB4349">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8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35304D8" w14:textId="77777777" w:rsidR="00C44A80" w:rsidRPr="006E46AD" w:rsidRDefault="00C44A80" w:rsidP="00546D39">
            <w:pPr>
              <w:pStyle w:val="ListParagraph"/>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2EDA929" w14:textId="77777777" w:rsidR="00C44A80" w:rsidRPr="006E46AD" w:rsidRDefault="00C44A80" w:rsidP="00AB4349">
            <w:pPr>
              <w:widowControl w:val="0"/>
              <w:spacing w:after="240"/>
              <w:ind w:left="720"/>
              <w:jc w:val="both"/>
              <w:rPr>
                <w:rFonts w:ascii="Arial" w:hAnsi="Arial" w:cs="Arial"/>
                <w:b/>
                <w:sz w:val="20"/>
                <w:szCs w:val="20"/>
              </w:rPr>
            </w:pPr>
          </w:p>
          <w:p w14:paraId="627F69CD" w14:textId="77777777" w:rsidR="00C44A80" w:rsidRPr="006E46AD" w:rsidRDefault="00C44A80" w:rsidP="00546D39">
            <w:pPr>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D0ACA7E" w14:textId="77777777" w:rsidR="00C44A80" w:rsidRPr="00F00D94" w:rsidRDefault="00C44A80" w:rsidP="00AB4349">
            <w:pPr>
              <w:pStyle w:val="ListParagraph"/>
              <w:spacing w:after="240"/>
              <w:jc w:val="both"/>
              <w:rPr>
                <w:rFonts w:ascii="Arial" w:hAnsi="Arial" w:cs="Arial"/>
                <w:b/>
              </w:rPr>
            </w:pPr>
          </w:p>
          <w:p w14:paraId="320728A1" w14:textId="77777777" w:rsidR="00C44A80" w:rsidRPr="00F00D94" w:rsidRDefault="00C44A80" w:rsidP="00546D39">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7AE6EB2" w14:textId="77777777" w:rsidR="00C44A80" w:rsidRPr="00F00D94" w:rsidRDefault="00C44A80" w:rsidP="00AB4349">
            <w:pPr>
              <w:pStyle w:val="ListParagraph"/>
              <w:spacing w:after="240"/>
              <w:jc w:val="both"/>
              <w:rPr>
                <w:rFonts w:ascii="Arial" w:hAnsi="Arial" w:cs="Arial"/>
                <w:b/>
              </w:rPr>
            </w:pPr>
          </w:p>
          <w:p w14:paraId="59D98412" w14:textId="77777777" w:rsidR="00C44A80" w:rsidRPr="00F00D94" w:rsidRDefault="00C44A80" w:rsidP="00546D39">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8AC857A" w14:textId="77777777" w:rsidR="00C44A80" w:rsidRPr="00F00D94" w:rsidRDefault="00C44A80" w:rsidP="00AB4349">
            <w:pPr>
              <w:pStyle w:val="ListParagraph"/>
              <w:spacing w:after="240"/>
              <w:jc w:val="both"/>
              <w:rPr>
                <w:rFonts w:ascii="Arial" w:hAnsi="Arial" w:cs="Arial"/>
                <w:b/>
              </w:rPr>
            </w:pPr>
          </w:p>
          <w:p w14:paraId="5D89521D" w14:textId="77777777" w:rsidR="00C44A80" w:rsidRPr="00F00D94" w:rsidRDefault="00C44A80" w:rsidP="00546D39">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201699" w14:textId="77777777" w:rsidR="00C44A80" w:rsidRPr="00F00D94" w:rsidRDefault="00C44A80" w:rsidP="00AB4349">
            <w:pPr>
              <w:pStyle w:val="APStepItem"/>
              <w:numPr>
                <w:ilvl w:val="0"/>
                <w:numId w:val="0"/>
              </w:numPr>
              <w:spacing w:after="240"/>
              <w:rPr>
                <w:rFonts w:cs="Arial"/>
                <w:b/>
              </w:rPr>
            </w:pPr>
          </w:p>
        </w:tc>
      </w:tr>
    </w:tbl>
    <w:p w14:paraId="0F4DAE07" w14:textId="77777777" w:rsidR="00C44A80" w:rsidRDefault="00C44A80" w:rsidP="00C44A80">
      <w:pPr>
        <w:rPr>
          <w:rFonts w:ascii="Arial" w:hAnsi="Arial" w:cs="Arial"/>
        </w:rPr>
      </w:pPr>
    </w:p>
    <w:p w14:paraId="27C97D75" w14:textId="77777777" w:rsidR="000C04C5" w:rsidRDefault="000C04C5" w:rsidP="000C04C5">
      <w:pPr>
        <w:rPr>
          <w:rFonts w:ascii="Arial" w:hAnsi="Arial" w:cs="Arial"/>
        </w:rPr>
      </w:pPr>
    </w:p>
    <w:p w14:paraId="4BC6E98C" w14:textId="77777777" w:rsidR="000C04C5" w:rsidRDefault="000C04C5" w:rsidP="000C04C5">
      <w:pPr>
        <w:rPr>
          <w:rFonts w:ascii="Arial" w:hAnsi="Arial" w:cs="Arial"/>
        </w:rPr>
        <w:sectPr w:rsidR="000C04C5" w:rsidSect="00257772">
          <w:headerReference w:type="default" r:id="rId89"/>
          <w:pgSz w:w="12240" w:h="15840" w:code="1"/>
          <w:pgMar w:top="1440" w:right="1440" w:bottom="1440" w:left="1440" w:header="720" w:footer="720" w:gutter="0"/>
          <w:cols w:space="720"/>
          <w:docGrid w:linePitch="360"/>
        </w:sectPr>
      </w:pPr>
    </w:p>
    <w:p w14:paraId="4B76A350" w14:textId="0492B6A5" w:rsidR="000C04C5" w:rsidRPr="000706D1" w:rsidRDefault="000C04C5" w:rsidP="000C04C5">
      <w:pPr>
        <w:pStyle w:val="Heading2"/>
        <w:jc w:val="both"/>
        <w:rPr>
          <w:rFonts w:cs="Arial"/>
          <w:sz w:val="24"/>
        </w:rPr>
      </w:pPr>
      <w:bookmarkStart w:id="84" w:name="_Toc176355435"/>
      <w:r w:rsidRPr="000706D1">
        <w:rPr>
          <w:rFonts w:cs="Arial"/>
          <w:sz w:val="24"/>
        </w:rPr>
        <w:lastRenderedPageBreak/>
        <w:t>N</w:t>
      </w:r>
      <w:r w:rsidR="00E97A14">
        <w:rPr>
          <w:rFonts w:cs="Arial"/>
          <w:sz w:val="24"/>
        </w:rPr>
        <w:t>5</w:t>
      </w:r>
      <w:r w:rsidRPr="000706D1">
        <w:rPr>
          <w:rFonts w:cs="Arial"/>
          <w:sz w:val="24"/>
        </w:rPr>
        <w:t>.  SPECIAL TESTS AND PROVISIONS</w:t>
      </w:r>
      <w:r w:rsidR="00E97A14">
        <w:rPr>
          <w:rFonts w:cs="Arial"/>
          <w:sz w:val="24"/>
        </w:rPr>
        <w:t xml:space="preserve"> – Return of Title IV Funds</w:t>
      </w:r>
      <w:bookmarkEnd w:id="84"/>
    </w:p>
    <w:p w14:paraId="2163FFE4" w14:textId="77777777" w:rsidR="000C04C5" w:rsidRPr="000706D1" w:rsidRDefault="000C04C5" w:rsidP="000C04C5">
      <w:pPr>
        <w:pStyle w:val="Heading3"/>
        <w:jc w:val="both"/>
        <w:rPr>
          <w:rFonts w:cs="Arial"/>
          <w:sz w:val="24"/>
          <w:szCs w:val="24"/>
        </w:rPr>
      </w:pPr>
      <w:bookmarkStart w:id="85" w:name="_Toc176355436"/>
      <w:r w:rsidRPr="000706D1">
        <w:rPr>
          <w:rFonts w:cs="Arial"/>
          <w:sz w:val="24"/>
          <w:szCs w:val="24"/>
        </w:rPr>
        <w:t>OMB Compliance Requirements</w:t>
      </w:r>
      <w:bookmarkEnd w:id="85"/>
    </w:p>
    <w:p w14:paraId="145CA0C7"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090A8B1"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8A46333" w14:textId="77777777" w:rsidR="000C04C5" w:rsidRPr="00F00D94" w:rsidRDefault="000C04C5" w:rsidP="000C04C5">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57E474A" w14:textId="77777777" w:rsidR="000C04C5" w:rsidRPr="000706D1" w:rsidRDefault="000C04C5" w:rsidP="000C04C5">
      <w:pPr>
        <w:spacing w:after="240"/>
        <w:jc w:val="both"/>
        <w:rPr>
          <w:rFonts w:ascii="Arial" w:hAnsi="Arial" w:cs="Arial"/>
          <w:b/>
          <w:sz w:val="24"/>
          <w:szCs w:val="24"/>
        </w:rPr>
      </w:pPr>
      <w:r w:rsidRPr="000706D1">
        <w:rPr>
          <w:rFonts w:ascii="Arial" w:hAnsi="Arial" w:cs="Arial"/>
          <w:b/>
          <w:sz w:val="24"/>
          <w:szCs w:val="24"/>
        </w:rPr>
        <w:t xml:space="preserve">Part </w:t>
      </w:r>
      <w:r>
        <w:rPr>
          <w:rFonts w:ascii="Arial" w:hAnsi="Arial" w:cs="Arial"/>
          <w:b/>
          <w:sz w:val="24"/>
          <w:szCs w:val="24"/>
        </w:rPr>
        <w:t>5</w:t>
      </w:r>
      <w:r w:rsidRPr="000706D1">
        <w:rPr>
          <w:rFonts w:ascii="Arial" w:hAnsi="Arial" w:cs="Arial"/>
          <w:b/>
          <w:sz w:val="24"/>
          <w:szCs w:val="24"/>
        </w:rPr>
        <w:t xml:space="preserve"> OMB Program Specific Requirements</w:t>
      </w:r>
    </w:p>
    <w:p w14:paraId="4DA7782D" w14:textId="1C731A20" w:rsidR="00044890" w:rsidRPr="00044890" w:rsidRDefault="00044890" w:rsidP="00044890">
      <w:pPr>
        <w:spacing w:after="240"/>
        <w:jc w:val="both"/>
        <w:rPr>
          <w:rFonts w:ascii="Arial" w:hAnsi="Arial" w:cs="Arial"/>
          <w:bCs/>
          <w:iCs/>
        </w:rPr>
      </w:pPr>
      <w:r w:rsidRPr="00044890">
        <w:rPr>
          <w:rFonts w:ascii="Arial" w:hAnsi="Arial" w:cs="Arial"/>
          <w:bCs/>
          <w:iCs/>
        </w:rPr>
        <w:t>When a recipient of Title IV grant or loan assistance withdraws from an institution during a payment period or period of enrollment in which the recipient began attendance, the institution must determine the amount of Title IV aid earned by the student as of the student’s withdrawal date. If the total amount of Title IV assistance earned by the student is less than the amount that was disbursed to the student or on his or her behalf as of the date of the institution’s determination that the student withdrew, the difference must be returned to the Title IV programs as outlined in this section and no additional disbursements may be made to the student for the payment period or period of enrollment. If the amount the student earned is greater than the amount disbursed, the difference between the amounts must be treated as a post- withdrawal disbursement (34 CFR 668.22(a)(1) through (a)(5)).</w:t>
      </w:r>
    </w:p>
    <w:p w14:paraId="7283A8A1" w14:textId="562AE791" w:rsidR="00044890" w:rsidRPr="00044890" w:rsidRDefault="00044890" w:rsidP="00044890">
      <w:pPr>
        <w:spacing w:after="240"/>
        <w:jc w:val="both"/>
        <w:rPr>
          <w:rFonts w:ascii="Arial" w:hAnsi="Arial" w:cs="Arial"/>
          <w:bCs/>
          <w:iCs/>
        </w:rPr>
      </w:pPr>
      <w:r w:rsidRPr="00044890">
        <w:rPr>
          <w:rFonts w:ascii="Arial" w:hAnsi="Arial" w:cs="Arial"/>
          <w:bCs/>
          <w:iCs/>
        </w:rPr>
        <w:t>A student is considered to have withdrawn from a payment period or period of enrollment (34 CFR 668.22(a)(2)) if the student does not meet one of the withdrawal exemptions and:</w:t>
      </w:r>
    </w:p>
    <w:p w14:paraId="4189F7DC" w14:textId="64DEC49B"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w:t>
      </w:r>
      <w:r w:rsidRPr="00044890">
        <w:rPr>
          <w:rFonts w:ascii="Arial" w:hAnsi="Arial" w:cs="Arial"/>
          <w:bCs/>
          <w:iCs/>
        </w:rPr>
        <w:tab/>
        <w:t>For credit hour programs, a student is considered to have withdrawn if the student does not complete all the scheduled days in the payment period or period of enrollment.</w:t>
      </w:r>
    </w:p>
    <w:p w14:paraId="620CE04D" w14:textId="6623B387"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w:t>
      </w:r>
      <w:r w:rsidRPr="00044890">
        <w:rPr>
          <w:rFonts w:ascii="Arial" w:hAnsi="Arial" w:cs="Arial"/>
          <w:bCs/>
          <w:iCs/>
        </w:rPr>
        <w:tab/>
        <w:t>For clock hour programs, a student is considered to have withdrawn if the student does not complete all the clock hours and weeks of instructional time in the payment period or period of enrollment.</w:t>
      </w:r>
    </w:p>
    <w:p w14:paraId="33FE5D25" w14:textId="1AF9300B"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w:t>
      </w:r>
      <w:r w:rsidRPr="00044890">
        <w:rPr>
          <w:rFonts w:ascii="Arial" w:hAnsi="Arial" w:cs="Arial"/>
          <w:bCs/>
          <w:iCs/>
        </w:rPr>
        <w:tab/>
        <w:t>For a student in a standard or non-standard-term program, excluding a subscription-based program, is considered to have withdrawn if he or she is not scheduled to begin another course within a payment period or period of enrollment for more than 45 calendar days after the end of the module the student ceased attending unless the student is on an approved leave of absence.</w:t>
      </w:r>
    </w:p>
    <w:p w14:paraId="27B2050B" w14:textId="756BEEF4"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lastRenderedPageBreak/>
        <w:t>•</w:t>
      </w:r>
      <w:r w:rsidRPr="00044890">
        <w:rPr>
          <w:rFonts w:ascii="Arial" w:hAnsi="Arial" w:cs="Arial"/>
          <w:bCs/>
          <w:iCs/>
        </w:rPr>
        <w:tab/>
        <w:t>For a student in a subscription-based or a non-term program, the student is unable to resume attendance within a payment period or period of enrollment for more than 60 days after ceasing attendance, unless the student is on approved leave of absence.</w:t>
      </w:r>
    </w:p>
    <w:p w14:paraId="670A52B5" w14:textId="1CB031DA" w:rsidR="00044890" w:rsidRPr="00044890" w:rsidRDefault="00044890" w:rsidP="00044890">
      <w:pPr>
        <w:spacing w:after="240"/>
        <w:jc w:val="both"/>
        <w:rPr>
          <w:rFonts w:ascii="Arial" w:hAnsi="Arial" w:cs="Arial"/>
          <w:bCs/>
          <w:iCs/>
        </w:rPr>
      </w:pPr>
      <w:r w:rsidRPr="00044890">
        <w:rPr>
          <w:rFonts w:ascii="Arial" w:hAnsi="Arial" w:cs="Arial"/>
          <w:bCs/>
          <w:iCs/>
        </w:rPr>
        <w:t>Under the September 2, 2020, final regulations, ED revised the definition of a program “offered in modules” for Title IV purposes to only include a program that uses a standard term or nonstandard-term academic calendar, is not a subscription-based program, and has a course or courses in the program that do not span the entire length of the payment period or period of enrollment (34 CFR 668.22(l)). A student is not considered to have withdrawn from a program offered in modules if the institution obtains written confirmation from the student, at the time that otherwise would have been a withdrawal, of the date that he or she will attend a module that begins later in the same payment period or period of enrollment and, for standard and non-standard-term programs offered in modules, excluding subscription-based programs, that module begins no later than 45 calendar days after the end of the module the student ceased attending.</w:t>
      </w:r>
    </w:p>
    <w:p w14:paraId="20EC2EB6" w14:textId="2C66B8D4" w:rsidR="00044890" w:rsidRPr="00044890" w:rsidRDefault="00044890" w:rsidP="00044890">
      <w:pPr>
        <w:spacing w:after="240"/>
        <w:jc w:val="both"/>
        <w:rPr>
          <w:rFonts w:ascii="Arial" w:hAnsi="Arial" w:cs="Arial"/>
          <w:bCs/>
          <w:iCs/>
        </w:rPr>
      </w:pPr>
      <w:r w:rsidRPr="00044890">
        <w:rPr>
          <w:rFonts w:ascii="Arial" w:hAnsi="Arial" w:cs="Arial"/>
          <w:bCs/>
          <w:iCs/>
        </w:rPr>
        <w:t>For a subscription-based program, a student is not considered to have withdrawn if the institution obtains written confirmation from the student at the time that otherwise would have been a withdrawal, of the date that he or she will resume attendance, and that date occurs within the same payment period or period of enrollment and is no later than 60 calendar days after the student ceased attendance.</w:t>
      </w:r>
    </w:p>
    <w:p w14:paraId="75E4B3C3" w14:textId="5C587160" w:rsidR="00044890" w:rsidRPr="00044890" w:rsidRDefault="00044890" w:rsidP="00044890">
      <w:pPr>
        <w:spacing w:after="240"/>
        <w:jc w:val="both"/>
        <w:rPr>
          <w:rFonts w:ascii="Arial" w:hAnsi="Arial" w:cs="Arial"/>
          <w:bCs/>
          <w:iCs/>
        </w:rPr>
      </w:pPr>
      <w:r w:rsidRPr="00044890">
        <w:rPr>
          <w:rFonts w:ascii="Arial" w:hAnsi="Arial" w:cs="Arial"/>
          <w:bCs/>
          <w:iCs/>
        </w:rPr>
        <w:t>For a non-term program, a student is not considered to have withdrawn if the institution obtains written confirmation from the student at the time that otherwise would have been a withdrawal, of the date that he or she will resume attendance, and that date is no later than 60 calendar days after the student ceased attendance.</w:t>
      </w:r>
    </w:p>
    <w:p w14:paraId="480DFC02" w14:textId="25B141A3" w:rsidR="00044890" w:rsidRPr="00044890" w:rsidRDefault="00044890" w:rsidP="00044890">
      <w:pPr>
        <w:spacing w:after="240"/>
        <w:jc w:val="both"/>
        <w:rPr>
          <w:rFonts w:ascii="Arial" w:hAnsi="Arial" w:cs="Arial"/>
          <w:bCs/>
          <w:iCs/>
        </w:rPr>
      </w:pPr>
      <w:r w:rsidRPr="00044890">
        <w:rPr>
          <w:rFonts w:ascii="Arial" w:hAnsi="Arial" w:cs="Arial"/>
          <w:bCs/>
          <w:iCs/>
        </w:rPr>
        <w:t>If the institution obtains the written confirmation, but the student does not return as scheduled, the student is considered to have withdrawn. The student’s withdrawal date and the total number of calendar days in the payment period or period of enrollment are the date and days that would have applied had the student not provided written confirmation of future attendance (34 CFR 668.22(a)(2)(ii)(C)).</w:t>
      </w:r>
    </w:p>
    <w:p w14:paraId="4ECA7CDF" w14:textId="78BF7BDA" w:rsidR="00044890" w:rsidRPr="00044890" w:rsidRDefault="00044890" w:rsidP="00044890">
      <w:pPr>
        <w:spacing w:after="240"/>
        <w:jc w:val="both"/>
        <w:rPr>
          <w:rFonts w:ascii="Arial" w:hAnsi="Arial" w:cs="Arial"/>
          <w:bCs/>
          <w:i/>
        </w:rPr>
      </w:pPr>
      <w:r w:rsidRPr="00044890">
        <w:rPr>
          <w:rFonts w:ascii="Arial" w:hAnsi="Arial" w:cs="Arial"/>
          <w:bCs/>
          <w:i/>
        </w:rPr>
        <w:t>R2T4 Withdrawal Exemptions</w:t>
      </w:r>
    </w:p>
    <w:p w14:paraId="369BB861" w14:textId="19429A1C" w:rsidR="00044890" w:rsidRPr="00044890" w:rsidRDefault="00044890" w:rsidP="00044890">
      <w:pPr>
        <w:spacing w:after="240"/>
        <w:jc w:val="both"/>
        <w:rPr>
          <w:rFonts w:ascii="Arial" w:hAnsi="Arial" w:cs="Arial"/>
          <w:bCs/>
          <w:iCs/>
        </w:rPr>
      </w:pPr>
      <w:r w:rsidRPr="00044890">
        <w:rPr>
          <w:rFonts w:ascii="Arial" w:hAnsi="Arial" w:cs="Arial"/>
          <w:bCs/>
          <w:iCs/>
        </w:rPr>
        <w:t>Under 34 CFR 668.22(a)(2)(ii)(A), ED established withdrawal exemption criteria which, if met, allows a student who has withdrawn or otherwise ceased attendance to not be considered a withdrawn student for Title IV purposes, which means that no R2T4 calculation is necessary for that student. Prior to conducting an R2T4 calculation for a student who has ceased attendance during a payment period or period of enrollment, an institution should review the student’s circumstances to see if the student qualifies for any of the R2T4 withdrawal exemptions.</w:t>
      </w:r>
    </w:p>
    <w:p w14:paraId="21383DD0" w14:textId="69DCB587" w:rsidR="00044890" w:rsidRPr="00044890" w:rsidRDefault="00044890" w:rsidP="00044890">
      <w:pPr>
        <w:spacing w:after="240"/>
        <w:jc w:val="both"/>
        <w:rPr>
          <w:rFonts w:ascii="Arial" w:hAnsi="Arial" w:cs="Arial"/>
          <w:bCs/>
          <w:iCs/>
        </w:rPr>
      </w:pPr>
      <w:r w:rsidRPr="00044890">
        <w:rPr>
          <w:rFonts w:ascii="Arial" w:hAnsi="Arial" w:cs="Arial"/>
          <w:bCs/>
          <w:iCs/>
        </w:rPr>
        <w:t>The withdrawal exemption categories are as follows:</w:t>
      </w:r>
    </w:p>
    <w:p w14:paraId="1EE6A427" w14:textId="2AB4B801" w:rsidR="00044890" w:rsidRPr="00044890" w:rsidRDefault="00044890" w:rsidP="00044890">
      <w:pPr>
        <w:spacing w:after="240"/>
        <w:jc w:val="both"/>
        <w:rPr>
          <w:rFonts w:ascii="Arial" w:hAnsi="Arial" w:cs="Arial"/>
          <w:bCs/>
          <w:iCs/>
        </w:rPr>
      </w:pPr>
      <w:r w:rsidRPr="00044890">
        <w:rPr>
          <w:rFonts w:ascii="Arial" w:hAnsi="Arial" w:cs="Arial"/>
          <w:bCs/>
          <w:iCs/>
        </w:rPr>
        <w:t>a.</w:t>
      </w:r>
      <w:r w:rsidRPr="00044890">
        <w:rPr>
          <w:rFonts w:ascii="Arial" w:hAnsi="Arial" w:cs="Arial"/>
          <w:bCs/>
          <w:iCs/>
        </w:rPr>
        <w:tab/>
        <w:t>Withdrawal exemption for graduates/completers</w:t>
      </w:r>
    </w:p>
    <w:p w14:paraId="1C7FF723" w14:textId="25944C2A" w:rsidR="00044890" w:rsidRPr="00044890" w:rsidRDefault="00044890" w:rsidP="00044890">
      <w:pPr>
        <w:spacing w:after="240"/>
        <w:ind w:left="1440" w:hanging="720"/>
        <w:jc w:val="both"/>
        <w:rPr>
          <w:rFonts w:ascii="Arial" w:hAnsi="Arial" w:cs="Arial"/>
          <w:bCs/>
          <w:iCs/>
        </w:rPr>
      </w:pPr>
      <w:r w:rsidRPr="00044890">
        <w:rPr>
          <w:rFonts w:ascii="Arial" w:hAnsi="Arial" w:cs="Arial"/>
          <w:bCs/>
          <w:iCs/>
        </w:rPr>
        <w:t>•</w:t>
      </w:r>
      <w:r w:rsidRPr="00044890">
        <w:rPr>
          <w:rFonts w:ascii="Arial" w:hAnsi="Arial" w:cs="Arial"/>
          <w:bCs/>
          <w:iCs/>
        </w:rPr>
        <w:tab/>
        <w:t>A student who completes all the requirements for graduation from his or her program before completing the days or hours in the period that he or she was scheduled to complete is not considered to have withdrawn</w:t>
      </w:r>
    </w:p>
    <w:p w14:paraId="3CCC28CF" w14:textId="030CD06C" w:rsidR="00044890" w:rsidRPr="00044890" w:rsidRDefault="00044890" w:rsidP="00044890">
      <w:pPr>
        <w:spacing w:after="240"/>
        <w:ind w:left="720"/>
        <w:jc w:val="both"/>
        <w:rPr>
          <w:rFonts w:ascii="Arial" w:hAnsi="Arial" w:cs="Arial"/>
          <w:bCs/>
          <w:iCs/>
        </w:rPr>
      </w:pPr>
      <w:r w:rsidRPr="00044890">
        <w:rPr>
          <w:rFonts w:ascii="Arial" w:hAnsi="Arial" w:cs="Arial"/>
          <w:bCs/>
          <w:iCs/>
        </w:rPr>
        <w:t>Note: Institutions with clock-hour programs in which a student graduates without successfully completing all of the established hours in the program must re- prorate the amount of Title IV aid and only pay the student for the hours successfully completed. See the 2023-2024 FSA Handbook, Volumes 5, 7 and 8 for more information and examples.</w:t>
      </w:r>
    </w:p>
    <w:p w14:paraId="4C616B7E" w14:textId="2DF5491F" w:rsidR="00044890" w:rsidRPr="00044890" w:rsidRDefault="00044890" w:rsidP="00044890">
      <w:pPr>
        <w:spacing w:after="240"/>
        <w:jc w:val="both"/>
        <w:rPr>
          <w:rFonts w:ascii="Arial" w:hAnsi="Arial" w:cs="Arial"/>
          <w:bCs/>
          <w:iCs/>
        </w:rPr>
      </w:pPr>
      <w:r w:rsidRPr="00044890">
        <w:rPr>
          <w:rFonts w:ascii="Arial" w:hAnsi="Arial" w:cs="Arial"/>
          <w:bCs/>
          <w:iCs/>
        </w:rPr>
        <w:t>b.</w:t>
      </w:r>
      <w:r w:rsidRPr="00044890">
        <w:rPr>
          <w:rFonts w:ascii="Arial" w:hAnsi="Arial" w:cs="Arial"/>
          <w:bCs/>
          <w:iCs/>
        </w:rPr>
        <w:tab/>
        <w:t>Withdrawal exemptions for programs offered in modules</w:t>
      </w:r>
    </w:p>
    <w:p w14:paraId="650BC927" w14:textId="65805CA8" w:rsidR="00044890" w:rsidRPr="00044890" w:rsidRDefault="00044890" w:rsidP="00044890">
      <w:pPr>
        <w:spacing w:after="240"/>
        <w:ind w:left="1440" w:hanging="720"/>
        <w:jc w:val="both"/>
        <w:rPr>
          <w:rFonts w:ascii="Arial" w:hAnsi="Arial" w:cs="Arial"/>
          <w:bCs/>
          <w:iCs/>
        </w:rPr>
      </w:pPr>
      <w:r w:rsidRPr="00044890">
        <w:rPr>
          <w:rFonts w:ascii="Arial" w:hAnsi="Arial" w:cs="Arial"/>
          <w:bCs/>
          <w:iCs/>
        </w:rPr>
        <w:lastRenderedPageBreak/>
        <w:t>(1)</w:t>
      </w:r>
      <w:r w:rsidRPr="00044890">
        <w:rPr>
          <w:rFonts w:ascii="Arial" w:hAnsi="Arial" w:cs="Arial"/>
          <w:bCs/>
          <w:iCs/>
        </w:rPr>
        <w:tab/>
        <w:t>A student is not considered to have withdrawn if the student successfully completes one module that includes 49 percent or more of the number of days in the payment period, excluding scheduled breaks of five or more consecutive days and all days between modules</w:t>
      </w:r>
    </w:p>
    <w:p w14:paraId="3BEEAB1A" w14:textId="29F22B2E" w:rsidR="00044890" w:rsidRPr="00044890" w:rsidRDefault="00044890" w:rsidP="00044890">
      <w:pPr>
        <w:spacing w:after="240"/>
        <w:ind w:left="1440" w:hanging="720"/>
        <w:jc w:val="both"/>
        <w:rPr>
          <w:rFonts w:ascii="Arial" w:hAnsi="Arial" w:cs="Arial"/>
          <w:bCs/>
          <w:iCs/>
        </w:rPr>
      </w:pPr>
      <w:r w:rsidRPr="00044890">
        <w:rPr>
          <w:rFonts w:ascii="Arial" w:hAnsi="Arial" w:cs="Arial"/>
          <w:bCs/>
          <w:iCs/>
        </w:rPr>
        <w:t>(2)</w:t>
      </w:r>
      <w:r w:rsidRPr="00044890">
        <w:rPr>
          <w:rFonts w:ascii="Arial" w:hAnsi="Arial" w:cs="Arial"/>
          <w:bCs/>
          <w:iCs/>
        </w:rPr>
        <w:tab/>
        <w:t>A student is not considered to have withdrawn if the student successfully completes a combination of modules that when combined contain 49 percent or more of the number of days in the payment period, excluding scheduled breaks of five or more consecutive days and all days between modules</w:t>
      </w:r>
    </w:p>
    <w:p w14:paraId="4178873B" w14:textId="7CC0FC17" w:rsidR="00044890" w:rsidRPr="00044890" w:rsidRDefault="00044890" w:rsidP="00044890">
      <w:pPr>
        <w:spacing w:after="240"/>
        <w:ind w:left="1440" w:hanging="720"/>
        <w:jc w:val="both"/>
        <w:rPr>
          <w:rFonts w:ascii="Arial" w:hAnsi="Arial" w:cs="Arial"/>
          <w:bCs/>
          <w:iCs/>
        </w:rPr>
      </w:pPr>
      <w:r w:rsidRPr="00044890">
        <w:rPr>
          <w:rFonts w:ascii="Arial" w:hAnsi="Arial" w:cs="Arial"/>
          <w:bCs/>
          <w:iCs/>
        </w:rPr>
        <w:t>(3)</w:t>
      </w:r>
      <w:r w:rsidRPr="00044890">
        <w:rPr>
          <w:rFonts w:ascii="Arial" w:hAnsi="Arial" w:cs="Arial"/>
          <w:bCs/>
          <w:iCs/>
        </w:rPr>
        <w:tab/>
        <w:t>A student is not considered to have withdrawn if the student successfully completes coursework equal to or greater than the coursework required for the institution’s definition of a half-time student under section 668.2 for the payment period</w:t>
      </w:r>
    </w:p>
    <w:p w14:paraId="0154A10C" w14:textId="2C9F4B4B" w:rsidR="00044890" w:rsidRPr="00044890" w:rsidRDefault="00044890" w:rsidP="00044890">
      <w:pPr>
        <w:spacing w:after="240"/>
        <w:jc w:val="both"/>
        <w:rPr>
          <w:rFonts w:ascii="Arial" w:hAnsi="Arial" w:cs="Arial"/>
          <w:bCs/>
          <w:iCs/>
        </w:rPr>
      </w:pPr>
      <w:r w:rsidRPr="00044890">
        <w:rPr>
          <w:rFonts w:ascii="Arial" w:hAnsi="Arial" w:cs="Arial"/>
          <w:bCs/>
          <w:iCs/>
        </w:rPr>
        <w:t>For additional information and examples regarding withdrawal exemptions, please see the 2023-2024 FSA Handbook, Volume 5, Chapter 1.</w:t>
      </w:r>
    </w:p>
    <w:p w14:paraId="3886D2DA" w14:textId="34E8BA00" w:rsidR="00044890" w:rsidRPr="00044890" w:rsidRDefault="00044890" w:rsidP="00044890">
      <w:pPr>
        <w:spacing w:after="240"/>
        <w:jc w:val="both"/>
        <w:rPr>
          <w:rFonts w:ascii="Arial" w:hAnsi="Arial" w:cs="Arial"/>
          <w:bCs/>
          <w:i/>
        </w:rPr>
      </w:pPr>
      <w:r w:rsidRPr="00044890">
        <w:rPr>
          <w:rFonts w:ascii="Arial" w:hAnsi="Arial" w:cs="Arial"/>
          <w:bCs/>
          <w:i/>
        </w:rPr>
        <w:t>Post-withdrawal Disbursements</w:t>
      </w:r>
    </w:p>
    <w:p w14:paraId="53A0C068" w14:textId="3DEB02C1" w:rsidR="00044890" w:rsidRPr="00044890" w:rsidRDefault="00044890" w:rsidP="00044890">
      <w:pPr>
        <w:spacing w:after="240"/>
        <w:jc w:val="both"/>
        <w:rPr>
          <w:rFonts w:ascii="Arial" w:hAnsi="Arial" w:cs="Arial"/>
          <w:bCs/>
          <w:iCs/>
        </w:rPr>
      </w:pPr>
      <w:r w:rsidRPr="00044890">
        <w:rPr>
          <w:rFonts w:ascii="Arial" w:hAnsi="Arial" w:cs="Arial"/>
          <w:bCs/>
          <w:iCs/>
        </w:rPr>
        <w:t>Post-withdrawal disbursements must be made from available grant funds before available loan funds (34 CFR 668.22(a)(6)). Post-withdrawal disbursements of grant funds may be credited to the student’s account, without the student’s authorization, for current-year outstanding charges for tuition, fees, and food and housing (if contracted with the institution) on the student’s account, up to the amount of those outstanding charges. For current-year outstanding charges other than tuition, fees, and food and housing (if contracted with the institution), the institution must have the student’s authorization to credit the student’s account with grant funds. Any grant funds not disbursed to the student’s account must be disbursed to the student no later than 45 days after the date of the institution’s determination that the student withdrew (34 CFR 668.22(a)(6)(ii)(B)(1)).</w:t>
      </w:r>
    </w:p>
    <w:p w14:paraId="4622DED4" w14:textId="117E1479" w:rsidR="00044890" w:rsidRPr="00044890" w:rsidRDefault="00044890" w:rsidP="00044890">
      <w:pPr>
        <w:spacing w:after="240"/>
        <w:jc w:val="both"/>
        <w:rPr>
          <w:rFonts w:ascii="Arial" w:hAnsi="Arial" w:cs="Arial"/>
          <w:bCs/>
          <w:iCs/>
        </w:rPr>
      </w:pPr>
      <w:r w:rsidRPr="00044890">
        <w:rPr>
          <w:rFonts w:ascii="Arial" w:hAnsi="Arial" w:cs="Arial"/>
          <w:bCs/>
          <w:iCs/>
        </w:rPr>
        <w:t>Post-withdrawal disbursements of loan funds may be credited to the student’s account if current-year outstanding charges exist on the student’s account, up to the amount of the current-year outstanding charges only after obtaining confirmation from the student, or parent in the case of a parent PLUS loan, that he or she still wishes to have some or all of the loan funds disbursed.</w:t>
      </w:r>
    </w:p>
    <w:p w14:paraId="097F69DB" w14:textId="03FCD235" w:rsidR="00044890" w:rsidRPr="00044890" w:rsidRDefault="00044890" w:rsidP="00044890">
      <w:pPr>
        <w:spacing w:after="240"/>
        <w:jc w:val="both"/>
        <w:rPr>
          <w:rFonts w:ascii="Arial" w:hAnsi="Arial" w:cs="Arial"/>
          <w:bCs/>
          <w:iCs/>
        </w:rPr>
      </w:pPr>
      <w:r w:rsidRPr="00044890">
        <w:rPr>
          <w:rFonts w:ascii="Arial" w:hAnsi="Arial" w:cs="Arial"/>
          <w:bCs/>
          <w:iCs/>
        </w:rPr>
        <w:t>If the institution wishes to credit the student’s account with a post-withdrawal disbursement of loan funds or wishes to pay a post-withdrawal disbursement of loan funds directly to the student, or parent in the case of a parent PLUS loan, the institution must, within 30 days of the date the institution determines that the student withdrew, send a written notification to the student, or parent in the case of a parent PLUS loan, that</w:t>
      </w:r>
    </w:p>
    <w:p w14:paraId="47627D5B" w14:textId="3FEB3F90"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a.</w:t>
      </w:r>
      <w:r w:rsidRPr="00044890">
        <w:rPr>
          <w:rFonts w:ascii="Arial" w:hAnsi="Arial" w:cs="Arial"/>
          <w:bCs/>
          <w:iCs/>
        </w:rPr>
        <w:tab/>
        <w:t>Asks the student or parent if he or she wants a post-withdrawal disbursement of</w:t>
      </w:r>
      <w:r>
        <w:rPr>
          <w:rFonts w:ascii="Arial" w:hAnsi="Arial" w:cs="Arial"/>
          <w:bCs/>
          <w:iCs/>
        </w:rPr>
        <w:t xml:space="preserve"> </w:t>
      </w:r>
      <w:r w:rsidRPr="00044890">
        <w:rPr>
          <w:rFonts w:ascii="Arial" w:hAnsi="Arial" w:cs="Arial"/>
          <w:bCs/>
          <w:iCs/>
        </w:rPr>
        <w:t>some or all of the loan funds credited to the student’s account, or a post- withdrawal disbursement of some or all of the loan funds as a direct</w:t>
      </w:r>
      <w:r>
        <w:rPr>
          <w:rFonts w:ascii="Arial" w:hAnsi="Arial" w:cs="Arial"/>
          <w:bCs/>
          <w:iCs/>
        </w:rPr>
        <w:t xml:space="preserve"> </w:t>
      </w:r>
      <w:r w:rsidRPr="00044890">
        <w:rPr>
          <w:rFonts w:ascii="Arial" w:hAnsi="Arial" w:cs="Arial"/>
          <w:bCs/>
          <w:iCs/>
        </w:rPr>
        <w:t>disbursement;</w:t>
      </w:r>
    </w:p>
    <w:p w14:paraId="286FE53A" w14:textId="77777777"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b.</w:t>
      </w:r>
      <w:r w:rsidRPr="00044890">
        <w:rPr>
          <w:rFonts w:ascii="Arial" w:hAnsi="Arial" w:cs="Arial"/>
          <w:bCs/>
          <w:iCs/>
        </w:rPr>
        <w:tab/>
        <w:t>Explains that, if the borrower does not want the loan funds credited to the student’s account, it is up to the institution to decide whether it will disburse the loan funds as a direct disbursement to the borrower;</w:t>
      </w:r>
    </w:p>
    <w:p w14:paraId="67B99B63" w14:textId="77777777" w:rsidR="00044890" w:rsidRPr="00044890" w:rsidRDefault="00044890" w:rsidP="00044890">
      <w:pPr>
        <w:spacing w:after="240"/>
        <w:jc w:val="both"/>
        <w:rPr>
          <w:rFonts w:ascii="Arial" w:hAnsi="Arial" w:cs="Arial"/>
          <w:bCs/>
          <w:iCs/>
        </w:rPr>
      </w:pPr>
      <w:r w:rsidRPr="00044890">
        <w:rPr>
          <w:rFonts w:ascii="Arial" w:hAnsi="Arial" w:cs="Arial"/>
          <w:bCs/>
          <w:iCs/>
        </w:rPr>
        <w:t>c.</w:t>
      </w:r>
      <w:r w:rsidRPr="00044890">
        <w:rPr>
          <w:rFonts w:ascii="Arial" w:hAnsi="Arial" w:cs="Arial"/>
          <w:bCs/>
          <w:iCs/>
        </w:rPr>
        <w:tab/>
        <w:t>Explains the obligation of the borrower to repay any loan funds disbursed; and</w:t>
      </w:r>
    </w:p>
    <w:p w14:paraId="2D46F727" w14:textId="6EB6B890"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d.</w:t>
      </w:r>
      <w:r w:rsidRPr="00044890">
        <w:rPr>
          <w:rFonts w:ascii="Arial" w:hAnsi="Arial" w:cs="Arial"/>
          <w:bCs/>
          <w:iCs/>
        </w:rPr>
        <w:tab/>
        <w:t xml:space="preserve">Explains that no post-withdrawal disbursement will be made (other than a credit of grant funds to the student’s account for tuition and fees and food and housing, if contracted for with the institution, or a credit of grant funds for other institutional charges for which the institution has the student’s authorization or a direct disbursement of grant funds) unless the student or parent responds within </w:t>
      </w:r>
      <w:r w:rsidRPr="00044890">
        <w:rPr>
          <w:rFonts w:ascii="Arial" w:hAnsi="Arial" w:cs="Arial"/>
          <w:bCs/>
          <w:iCs/>
        </w:rPr>
        <w:lastRenderedPageBreak/>
        <w:t>14 days of the date the institution sent the notification (or a later time frame set by the institution), or the institution chooses to make a post-withdrawal disbursement</w:t>
      </w:r>
      <w:r>
        <w:rPr>
          <w:rFonts w:ascii="Arial" w:hAnsi="Arial" w:cs="Arial"/>
          <w:bCs/>
          <w:iCs/>
        </w:rPr>
        <w:t xml:space="preserve"> </w:t>
      </w:r>
      <w:r w:rsidRPr="00044890">
        <w:rPr>
          <w:rFonts w:ascii="Arial" w:hAnsi="Arial" w:cs="Arial"/>
          <w:bCs/>
          <w:iCs/>
        </w:rPr>
        <w:t>based on a late response (34 CFR668.22(a)(6) and 668.164(c)).</w:t>
      </w:r>
    </w:p>
    <w:p w14:paraId="21CA3103" w14:textId="018C3FC2" w:rsidR="00044890" w:rsidRPr="00044890" w:rsidRDefault="00044890" w:rsidP="00044890">
      <w:pPr>
        <w:spacing w:after="240"/>
        <w:jc w:val="both"/>
        <w:rPr>
          <w:rFonts w:ascii="Arial" w:hAnsi="Arial" w:cs="Arial"/>
          <w:bCs/>
          <w:iCs/>
        </w:rPr>
      </w:pPr>
      <w:r w:rsidRPr="00044890">
        <w:rPr>
          <w:rFonts w:ascii="Arial" w:hAnsi="Arial" w:cs="Arial"/>
          <w:bCs/>
          <w:iCs/>
        </w:rPr>
        <w:t>If a student or parent accepts a post-withdrawal disbursement of loan funds, the institution must make the disbursement within 180 days after the date of the institution’s</w:t>
      </w:r>
      <w:r>
        <w:rPr>
          <w:rFonts w:ascii="Arial" w:hAnsi="Arial" w:cs="Arial"/>
          <w:bCs/>
          <w:iCs/>
        </w:rPr>
        <w:t xml:space="preserve"> </w:t>
      </w:r>
      <w:r w:rsidRPr="00044890">
        <w:rPr>
          <w:rFonts w:ascii="Arial" w:hAnsi="Arial" w:cs="Arial"/>
          <w:bCs/>
          <w:iCs/>
        </w:rPr>
        <w:t>determination that the student withdrew and in accordance with the request of the recipient (34 CFR668.22(a)(6)(iii)(C) and 668.164(c)(1), (c)(2), (c)(3), and (j)).</w:t>
      </w:r>
    </w:p>
    <w:p w14:paraId="3F8932B4" w14:textId="1BDF2FAF" w:rsidR="00044890" w:rsidRPr="00044890" w:rsidRDefault="00044890" w:rsidP="00044890">
      <w:pPr>
        <w:spacing w:after="240"/>
        <w:jc w:val="both"/>
        <w:rPr>
          <w:rFonts w:ascii="Arial" w:hAnsi="Arial" w:cs="Arial"/>
          <w:bCs/>
          <w:iCs/>
        </w:rPr>
      </w:pPr>
      <w:r w:rsidRPr="00044890">
        <w:rPr>
          <w:rFonts w:ascii="Arial" w:hAnsi="Arial" w:cs="Arial"/>
          <w:bCs/>
          <w:iCs/>
        </w:rPr>
        <w:t>Subject to the above, an institution may credit a student’s account for minor prior-award- year charges, if not more than $200 (34 CFR668.164(c)(3)).</w:t>
      </w:r>
    </w:p>
    <w:p w14:paraId="5959D672" w14:textId="626C6718" w:rsidR="00044890" w:rsidRPr="00044890" w:rsidRDefault="00044890" w:rsidP="00044890">
      <w:pPr>
        <w:spacing w:after="240"/>
        <w:jc w:val="both"/>
        <w:rPr>
          <w:rFonts w:ascii="Arial" w:hAnsi="Arial" w:cs="Arial"/>
          <w:bCs/>
          <w:i/>
        </w:rPr>
      </w:pPr>
      <w:r w:rsidRPr="00044890">
        <w:rPr>
          <w:rFonts w:ascii="Arial" w:hAnsi="Arial" w:cs="Arial"/>
          <w:bCs/>
          <w:i/>
        </w:rPr>
        <w:t>Withdrawal Date</w:t>
      </w:r>
    </w:p>
    <w:p w14:paraId="0BF73CC7" w14:textId="6E8CBC11" w:rsidR="00044890" w:rsidRPr="00044890" w:rsidRDefault="00044890" w:rsidP="00044890">
      <w:pPr>
        <w:spacing w:after="240"/>
        <w:jc w:val="both"/>
        <w:rPr>
          <w:rFonts w:ascii="Arial" w:hAnsi="Arial" w:cs="Arial"/>
          <w:bCs/>
          <w:iCs/>
        </w:rPr>
      </w:pPr>
      <w:r w:rsidRPr="00044890">
        <w:rPr>
          <w:rFonts w:ascii="Arial" w:hAnsi="Arial" w:cs="Arial"/>
          <w:bCs/>
          <w:iCs/>
        </w:rPr>
        <w:t>If an institution is required to take attendance, the withdrawal date is the last date of academic attendance, as determined by the institution from its attendance records. An institution is required to take attendance if:</w:t>
      </w:r>
    </w:p>
    <w:p w14:paraId="7C3A47EA" w14:textId="665DD07F"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a.</w:t>
      </w:r>
      <w:r w:rsidRPr="00044890">
        <w:rPr>
          <w:rFonts w:ascii="Arial" w:hAnsi="Arial" w:cs="Arial"/>
          <w:bCs/>
          <w:iCs/>
        </w:rPr>
        <w:tab/>
        <w:t>The institution is required to take attendance for some or all of its students by an entity outside of the institution (such as the institution’s accrediting agency or state agency);</w:t>
      </w:r>
    </w:p>
    <w:p w14:paraId="242758DB" w14:textId="3736B2FE" w:rsidR="00044890" w:rsidRPr="00044890" w:rsidRDefault="00044890" w:rsidP="00044890">
      <w:pPr>
        <w:spacing w:after="240"/>
        <w:jc w:val="both"/>
        <w:rPr>
          <w:rFonts w:ascii="Arial" w:hAnsi="Arial" w:cs="Arial"/>
          <w:bCs/>
          <w:iCs/>
        </w:rPr>
      </w:pPr>
      <w:r w:rsidRPr="00044890">
        <w:rPr>
          <w:rFonts w:ascii="Arial" w:hAnsi="Arial" w:cs="Arial"/>
          <w:bCs/>
          <w:iCs/>
        </w:rPr>
        <w:t>b.</w:t>
      </w:r>
      <w:r w:rsidRPr="00044890">
        <w:rPr>
          <w:rFonts w:ascii="Arial" w:hAnsi="Arial" w:cs="Arial"/>
          <w:bCs/>
          <w:iCs/>
        </w:rPr>
        <w:tab/>
        <w:t>The institution itself has a requirement that its instructors take attendance; or</w:t>
      </w:r>
    </w:p>
    <w:p w14:paraId="563C90E5" w14:textId="2B39681E" w:rsidR="00044890" w:rsidRPr="00044890" w:rsidRDefault="00044890" w:rsidP="00044890">
      <w:pPr>
        <w:spacing w:after="240"/>
        <w:ind w:left="720" w:hanging="720"/>
        <w:jc w:val="both"/>
        <w:rPr>
          <w:rFonts w:ascii="Arial" w:hAnsi="Arial" w:cs="Arial"/>
          <w:bCs/>
          <w:iCs/>
        </w:rPr>
      </w:pPr>
      <w:r w:rsidRPr="00044890">
        <w:rPr>
          <w:rFonts w:ascii="Arial" w:hAnsi="Arial" w:cs="Arial"/>
          <w:bCs/>
          <w:iCs/>
        </w:rPr>
        <w:t>c.</w:t>
      </w:r>
      <w:r w:rsidRPr="00044890">
        <w:rPr>
          <w:rFonts w:ascii="Arial" w:hAnsi="Arial" w:cs="Arial"/>
          <w:bCs/>
          <w:iCs/>
        </w:rPr>
        <w:tab/>
        <w:t>The institution or an outside entity has a requirement that can only be met by taking attendance or a comparable process, including, but not limited to, requiring that students in a program demonstrate attendance in the classes of that program or a portion of that program (34 CFR 668.22(b)(3)).</w:t>
      </w:r>
    </w:p>
    <w:p w14:paraId="6C8F764F" w14:textId="350467F4" w:rsidR="00044890" w:rsidRPr="00044890" w:rsidRDefault="00044890" w:rsidP="00044890">
      <w:pPr>
        <w:spacing w:after="240"/>
        <w:ind w:left="720"/>
        <w:jc w:val="both"/>
        <w:rPr>
          <w:rFonts w:ascii="Arial" w:hAnsi="Arial" w:cs="Arial"/>
          <w:bCs/>
          <w:iCs/>
        </w:rPr>
      </w:pPr>
      <w:r w:rsidRPr="00044890">
        <w:rPr>
          <w:rFonts w:ascii="Arial" w:hAnsi="Arial" w:cs="Arial"/>
          <w:bCs/>
          <w:iCs/>
        </w:rPr>
        <w:t xml:space="preserve">Note: As provided in </w:t>
      </w:r>
      <w:hyperlink r:id="rId90" w:history="1">
        <w:r w:rsidRPr="00044890">
          <w:rPr>
            <w:rStyle w:val="Hyperlink"/>
            <w:rFonts w:cs="Arial"/>
            <w:bCs/>
            <w:iCs/>
          </w:rPr>
          <w:t>ED’s Program Integrity Q&amp;As for Return of Title IV Funds</w:t>
        </w:r>
      </w:hyperlink>
      <w:r w:rsidRPr="00044890">
        <w:rPr>
          <w:rFonts w:ascii="Arial" w:hAnsi="Arial" w:cs="Arial"/>
          <w:bCs/>
          <w:iCs/>
        </w:rPr>
        <w:t>, the monitoring of whether online students log into classes does not by itself result in an institution being an institution that is required to take attendance for Title IV, HEA program purposes because monitoring logins alone is not monitoring academic engagement (as defined under 34 CFR 600.2). However, an institution that collects and maintains information about students’ online activities for the purpose of tracking academic engagement is considered to be an institution that is required to take attendance for programs involving such tracking if that tracking:</w:t>
      </w:r>
    </w:p>
    <w:p w14:paraId="56BA9BB9" w14:textId="77777777" w:rsidR="00044890" w:rsidRPr="00044890" w:rsidRDefault="00044890" w:rsidP="00044890">
      <w:pPr>
        <w:spacing w:after="240"/>
        <w:ind w:left="1440" w:hanging="720"/>
        <w:jc w:val="both"/>
        <w:rPr>
          <w:rFonts w:ascii="Arial" w:hAnsi="Arial" w:cs="Arial"/>
          <w:bCs/>
          <w:iCs/>
        </w:rPr>
      </w:pPr>
      <w:r w:rsidRPr="00044890">
        <w:rPr>
          <w:rFonts w:ascii="Arial" w:hAnsi="Arial" w:cs="Arial"/>
          <w:bCs/>
          <w:iCs/>
        </w:rPr>
        <w:t>(1)</w:t>
      </w:r>
      <w:r w:rsidRPr="00044890">
        <w:rPr>
          <w:rFonts w:ascii="Arial" w:hAnsi="Arial" w:cs="Arial"/>
          <w:bCs/>
          <w:iCs/>
        </w:rPr>
        <w:tab/>
        <w:t>Involves monitoring student attendance in a synchronous class, lecture, recitation, or field or laboratory activity, physically or online via a distance education platform, where there is an opportunity for interaction between the instructor and students; or</w:t>
      </w:r>
    </w:p>
    <w:p w14:paraId="4FF4FF1E" w14:textId="77777777" w:rsidR="00044890" w:rsidRPr="00044890" w:rsidRDefault="00044890" w:rsidP="00044890">
      <w:pPr>
        <w:spacing w:after="240"/>
        <w:ind w:left="1440" w:hanging="720"/>
        <w:jc w:val="both"/>
        <w:rPr>
          <w:rFonts w:ascii="Arial" w:hAnsi="Arial" w:cs="Arial"/>
          <w:bCs/>
          <w:iCs/>
        </w:rPr>
      </w:pPr>
      <w:r w:rsidRPr="00044890">
        <w:rPr>
          <w:rFonts w:ascii="Arial" w:hAnsi="Arial" w:cs="Arial"/>
          <w:bCs/>
          <w:iCs/>
        </w:rPr>
        <w:t>(2)</w:t>
      </w:r>
      <w:r w:rsidRPr="00044890">
        <w:rPr>
          <w:rFonts w:ascii="Arial" w:hAnsi="Arial" w:cs="Arial"/>
          <w:bCs/>
          <w:iCs/>
        </w:rPr>
        <w:tab/>
        <w:t>Is used to administratively withdraw students or to enforce an institutional attendance policy.</w:t>
      </w:r>
    </w:p>
    <w:p w14:paraId="308A828E" w14:textId="03939E6C" w:rsidR="00044890" w:rsidRPr="00044890" w:rsidRDefault="00044890" w:rsidP="00044890">
      <w:pPr>
        <w:spacing w:after="240"/>
        <w:jc w:val="both"/>
        <w:rPr>
          <w:rFonts w:ascii="Arial" w:hAnsi="Arial" w:cs="Arial"/>
          <w:bCs/>
          <w:iCs/>
        </w:rPr>
      </w:pPr>
      <w:r w:rsidRPr="00044890">
        <w:rPr>
          <w:rFonts w:ascii="Arial" w:hAnsi="Arial" w:cs="Arial"/>
          <w:bCs/>
          <w:iCs/>
        </w:rPr>
        <w:t>If an institution is not required to take attendance, the withdrawal date is (1) the date, as determined by the institution, that the student began the withdrawal process prescribed by the institution; (2) the date, as determined by the institution, that the student otherwise provided official notification to the institution, in writing or orally, of his or her intent to withdraw; (3) if the student ceases attendance without providing official notification to the institution of his or her withdrawal, the midpoint of the payment period or, if applicable, the period of enrollment; (4) if the institution determines that a student did not begin the withdrawal process or otherwise notify the institution of the intent to withdraw due to illness, accident, grievous personal loss or other circumstances beyond the</w:t>
      </w:r>
      <w:r>
        <w:rPr>
          <w:rFonts w:ascii="Arial" w:hAnsi="Arial" w:cs="Arial"/>
          <w:bCs/>
          <w:iCs/>
        </w:rPr>
        <w:t xml:space="preserve"> </w:t>
      </w:r>
      <w:r w:rsidRPr="00044890">
        <w:rPr>
          <w:rFonts w:ascii="Arial" w:hAnsi="Arial" w:cs="Arial"/>
          <w:bCs/>
          <w:iCs/>
        </w:rPr>
        <w:t>student’s control, the date the institution determines is related to that circumstance; (5) if a student does not return from an approved leave of absence, the date that the institution determines the student began the leave of absence; or (6) if the student takes an unapproved leave of absence, the date that the student began the leave of absence.</w:t>
      </w:r>
      <w:r>
        <w:rPr>
          <w:rFonts w:ascii="Arial" w:hAnsi="Arial" w:cs="Arial"/>
          <w:bCs/>
          <w:iCs/>
        </w:rPr>
        <w:t xml:space="preserve"> </w:t>
      </w:r>
      <w:r w:rsidRPr="00044890">
        <w:rPr>
          <w:rFonts w:ascii="Arial" w:hAnsi="Arial" w:cs="Arial"/>
          <w:bCs/>
          <w:iCs/>
        </w:rPr>
        <w:t xml:space="preserve">Notwithstanding the above, an institution that is not required to take attendance may use as the withdrawal </w:t>
      </w:r>
      <w:r w:rsidRPr="00044890">
        <w:rPr>
          <w:rFonts w:ascii="Arial" w:hAnsi="Arial" w:cs="Arial"/>
          <w:bCs/>
          <w:iCs/>
        </w:rPr>
        <w:lastRenderedPageBreak/>
        <w:t>date, the last date of attendance at an academically related activity as documented by the institution (34 CFR668.22(c) and (l)).</w:t>
      </w:r>
    </w:p>
    <w:p w14:paraId="638DBCFE" w14:textId="4A55BB26" w:rsidR="00044890" w:rsidRPr="00044890" w:rsidRDefault="00044890" w:rsidP="00044890">
      <w:pPr>
        <w:spacing w:after="240"/>
        <w:jc w:val="both"/>
        <w:rPr>
          <w:rFonts w:ascii="Arial" w:hAnsi="Arial" w:cs="Arial"/>
          <w:bCs/>
          <w:iCs/>
        </w:rPr>
      </w:pPr>
      <w:r w:rsidRPr="00044890">
        <w:rPr>
          <w:rFonts w:ascii="Arial" w:hAnsi="Arial" w:cs="Arial"/>
          <w:bCs/>
          <w:iCs/>
        </w:rPr>
        <w:t>Title IV funds may be expended only towards the education of the students who can be proven to have been in attendance at the institution. In a distance education context, documenting that a student has logged into an online distance education platform or system is not sufficient, by itself, to demonstrate attendance by the student. To avoid returning all funds for a student that did not begin attendance, an institution must be able to document “attendance at any class.” To qualify as a last date of attendance for Return of Title IV purposes, an institution must demonstrate that a student participated in class or was otherwise engaged in an academically related activity, such as by contributing to an online discussion or initiating contact with a faculty member to ask a course-related question.</w:t>
      </w:r>
    </w:p>
    <w:p w14:paraId="20ADE230" w14:textId="0F983177" w:rsidR="00044890" w:rsidRPr="00044890" w:rsidRDefault="00044890" w:rsidP="00044890">
      <w:pPr>
        <w:spacing w:after="240"/>
        <w:jc w:val="both"/>
        <w:rPr>
          <w:rFonts w:ascii="Arial" w:hAnsi="Arial" w:cs="Arial"/>
          <w:bCs/>
          <w:iCs/>
        </w:rPr>
      </w:pPr>
      <w:r w:rsidRPr="00044890">
        <w:rPr>
          <w:rFonts w:ascii="Arial" w:hAnsi="Arial" w:cs="Arial"/>
          <w:bCs/>
          <w:iCs/>
        </w:rPr>
        <w:t>An institution that requires attendance be taken on only one specified day (e.g., to meet a census reporting requirement), is not considered an institution required to take attendance (34 CFR 668.22(b)(3)(iv)).</w:t>
      </w:r>
    </w:p>
    <w:p w14:paraId="0DF80DC9" w14:textId="5B22F724" w:rsidR="00044890" w:rsidRPr="00044890" w:rsidRDefault="00044890" w:rsidP="00044890">
      <w:pPr>
        <w:spacing w:after="240"/>
        <w:jc w:val="both"/>
        <w:rPr>
          <w:rFonts w:ascii="Arial" w:hAnsi="Arial" w:cs="Arial"/>
          <w:bCs/>
          <w:i/>
        </w:rPr>
      </w:pPr>
      <w:r w:rsidRPr="00044890">
        <w:rPr>
          <w:rFonts w:ascii="Arial" w:hAnsi="Arial" w:cs="Arial"/>
          <w:bCs/>
          <w:i/>
        </w:rPr>
        <w:t>Calculation of the Amount of Title IV Assistance Earned</w:t>
      </w:r>
    </w:p>
    <w:p w14:paraId="1F2A3059" w14:textId="6A1EA3BE" w:rsidR="00044890" w:rsidRPr="00044890" w:rsidRDefault="00044890" w:rsidP="00044890">
      <w:pPr>
        <w:spacing w:after="240"/>
        <w:jc w:val="both"/>
        <w:rPr>
          <w:rFonts w:ascii="Arial" w:hAnsi="Arial" w:cs="Arial"/>
          <w:bCs/>
          <w:iCs/>
        </w:rPr>
      </w:pPr>
      <w:r w:rsidRPr="00044890">
        <w:rPr>
          <w:rFonts w:ascii="Arial" w:hAnsi="Arial" w:cs="Arial"/>
          <w:bCs/>
          <w:iCs/>
        </w:rPr>
        <w:t>The amount of earned Title IV grant or loan assistance is calculated by determining the percentage of Title IV grant or loan assistance that has been earned by the student and applying that percentage to the total amount of Title IV grant or loan assistance that was or could have been disbursed to the student for the payment period or period of enrollment as of the student’s withdrawal date. A student earns 100 percent if his or her withdrawal date is after the completion of 60 percent of (1) the calendar days in the payment period or period of enrollment for a program measured in credit hours, or (2) the clock hours scheduled to be completed for the payment period or period of enrollment for a program measured in clock hours (34 CFR 668.22(e)(2)). Otherwise, the percentage earned by the student is equal to the percentage (60 percent or less) of the payment period or period of enrollment that was completed as of the student’s withdrawal date. The percentage of Title IV grant or loan assistance that has not been earned by the student is the complement of one of these calculations. Standard term-based institutions must always use the payment period as the basis for the determination.</w:t>
      </w:r>
    </w:p>
    <w:p w14:paraId="2CCD379E" w14:textId="3723E52B" w:rsidR="00044890" w:rsidRPr="00044890" w:rsidRDefault="00044890" w:rsidP="00044890">
      <w:pPr>
        <w:spacing w:after="240"/>
        <w:jc w:val="both"/>
        <w:rPr>
          <w:rFonts w:ascii="Arial" w:hAnsi="Arial" w:cs="Arial"/>
          <w:bCs/>
          <w:iCs/>
        </w:rPr>
      </w:pPr>
      <w:r w:rsidRPr="00044890">
        <w:rPr>
          <w:rFonts w:ascii="Arial" w:hAnsi="Arial" w:cs="Arial"/>
          <w:bCs/>
          <w:iCs/>
        </w:rPr>
        <w:t>The unearned amount of Title IV assistance to be returned is calculated by subtracting the amount of Title IV assistance earned by the student from the amount of Title IV aid that was disbursed to the student as of the date of the institution’s determination that the student withdrew (34 CFR 668.22(e)).</w:t>
      </w:r>
    </w:p>
    <w:p w14:paraId="165D66AB" w14:textId="72457A8E" w:rsidR="00044890" w:rsidRPr="00044890" w:rsidRDefault="00044890" w:rsidP="00044890">
      <w:pPr>
        <w:spacing w:after="240"/>
        <w:jc w:val="both"/>
        <w:rPr>
          <w:rFonts w:ascii="Arial" w:hAnsi="Arial" w:cs="Arial"/>
          <w:bCs/>
          <w:i/>
        </w:rPr>
      </w:pPr>
      <w:r w:rsidRPr="00044890">
        <w:rPr>
          <w:rFonts w:ascii="Arial" w:hAnsi="Arial" w:cs="Arial"/>
          <w:bCs/>
          <w:i/>
        </w:rPr>
        <w:t>Use of Payment Period or Period of Enrollment</w:t>
      </w:r>
    </w:p>
    <w:p w14:paraId="4FAB790B" w14:textId="79B4CCEA" w:rsidR="00044890" w:rsidRPr="00044890" w:rsidRDefault="00044890" w:rsidP="00044890">
      <w:pPr>
        <w:spacing w:after="240"/>
        <w:jc w:val="both"/>
        <w:rPr>
          <w:rFonts w:ascii="Arial" w:hAnsi="Arial" w:cs="Arial"/>
          <w:bCs/>
          <w:iCs/>
        </w:rPr>
      </w:pPr>
      <w:r w:rsidRPr="00044890">
        <w:rPr>
          <w:rFonts w:ascii="Arial" w:hAnsi="Arial" w:cs="Arial"/>
          <w:bCs/>
          <w:iCs/>
        </w:rPr>
        <w:t>The treatment of Title IV grant or loan funds if a student withdraws must be determined on a payment period basis for a student who attended a standard term-based (semester, trimester, or quarter) educational program. The treatment of Title IV grant or loan funds if a student withdraws may be determined on either a payment period basis or a period of enrollment basis for a student who attended a non-term based or a non-standard term- based educational program. The institution must use the chosen period consistently for all students in the program, except that an institution may make a separate selection of payment period or period of enrollment for students that transfer to the institution or reenter the institution for students who attend a non-term-based or non-standard term- based program (34 CFR668.22(e)(5)). An institution must use the payment period that ends later to calculate a “Return of Title IV Funds” when a student withdraws from a</w:t>
      </w:r>
      <w:r>
        <w:rPr>
          <w:rFonts w:ascii="Arial" w:hAnsi="Arial" w:cs="Arial"/>
          <w:bCs/>
          <w:iCs/>
        </w:rPr>
        <w:t xml:space="preserve"> </w:t>
      </w:r>
      <w:r w:rsidRPr="00044890">
        <w:rPr>
          <w:rFonts w:ascii="Arial" w:hAnsi="Arial" w:cs="Arial"/>
          <w:bCs/>
          <w:iCs/>
        </w:rPr>
        <w:t>non-standard term credit hour program with terms that are not substantially equal in length, and the student was disbursed or could have been disbursed Title IV aid under more than one payment period definition (34 CFR668.22(e)(5)(iii)).</w:t>
      </w:r>
    </w:p>
    <w:p w14:paraId="05670EB7" w14:textId="01874F6B" w:rsidR="00044890" w:rsidRPr="00044890" w:rsidRDefault="00044890" w:rsidP="00044890">
      <w:pPr>
        <w:spacing w:after="240"/>
        <w:jc w:val="both"/>
        <w:rPr>
          <w:rFonts w:ascii="Arial" w:hAnsi="Arial" w:cs="Arial"/>
          <w:bCs/>
          <w:i/>
        </w:rPr>
      </w:pPr>
      <w:r w:rsidRPr="00044890">
        <w:rPr>
          <w:rFonts w:ascii="Arial" w:hAnsi="Arial" w:cs="Arial"/>
          <w:bCs/>
          <w:i/>
        </w:rPr>
        <w:t>Percentage of Payment Period or Period of Enrollment Completed</w:t>
      </w:r>
    </w:p>
    <w:p w14:paraId="631CD81D" w14:textId="435EC64E" w:rsidR="00044890" w:rsidRPr="00044890" w:rsidRDefault="00044890" w:rsidP="00044890">
      <w:pPr>
        <w:spacing w:after="240"/>
        <w:jc w:val="both"/>
        <w:rPr>
          <w:rFonts w:ascii="Arial" w:hAnsi="Arial" w:cs="Arial"/>
          <w:bCs/>
          <w:iCs/>
        </w:rPr>
      </w:pPr>
      <w:r w:rsidRPr="00044890">
        <w:rPr>
          <w:rFonts w:ascii="Arial" w:hAnsi="Arial" w:cs="Arial"/>
          <w:bCs/>
          <w:iCs/>
        </w:rPr>
        <w:t xml:space="preserve">The percentage of the payment period completed or period of enrollment completed is determined in the case of a program that is measured in (1) credit hours, by dividing the total number of calendar days in the payment period or period of enrollment into the number of calendar days completed in that period as of the </w:t>
      </w:r>
      <w:r w:rsidRPr="00044890">
        <w:rPr>
          <w:rFonts w:ascii="Arial" w:hAnsi="Arial" w:cs="Arial"/>
          <w:bCs/>
          <w:iCs/>
        </w:rPr>
        <w:lastRenderedPageBreak/>
        <w:t>student’s withdrawal date; or</w:t>
      </w:r>
      <w:r>
        <w:rPr>
          <w:rFonts w:ascii="Arial" w:hAnsi="Arial" w:cs="Arial"/>
          <w:bCs/>
          <w:iCs/>
        </w:rPr>
        <w:t xml:space="preserve"> </w:t>
      </w:r>
      <w:r w:rsidRPr="00044890">
        <w:rPr>
          <w:rFonts w:ascii="Arial" w:hAnsi="Arial" w:cs="Arial"/>
          <w:bCs/>
          <w:iCs/>
        </w:rPr>
        <w:t>(2) clock hours, by dividing the total number of clock hours in the payment period or period of enrollment into the number of clock hours scheduled to be completed as of the student’s withdrawal date. The total number of calendar days in a payment or enrollment period includes all days within the period, except that institutionally scheduled breaks of at least five consecutive calendar days (including module programs that a student is not required to attend for five consecutive calendar days) and days in which the student was on an approved leave of absence are excluded from the total number of calendar days in a payment period or period of enrollment and the number of calendar days completed in that period (34 CFR 668.22(f)).</w:t>
      </w:r>
    </w:p>
    <w:p w14:paraId="430954DE" w14:textId="58614510" w:rsidR="00044890" w:rsidRPr="00044890" w:rsidRDefault="00044890" w:rsidP="00044890">
      <w:pPr>
        <w:spacing w:after="240"/>
        <w:jc w:val="both"/>
        <w:rPr>
          <w:rFonts w:ascii="Arial" w:hAnsi="Arial" w:cs="Arial"/>
          <w:bCs/>
          <w:iCs/>
        </w:rPr>
      </w:pPr>
      <w:r w:rsidRPr="00044890">
        <w:rPr>
          <w:rFonts w:ascii="Arial" w:hAnsi="Arial" w:cs="Arial"/>
          <w:bCs/>
          <w:iCs/>
        </w:rPr>
        <w:t>The September 2, 2020, final regulations added a definition of the number of days a student was scheduled to complete in a module by indicating under 34 CFR 668.22(l)(9) that a student in a program offered in modules is scheduled to complete the days in a module if the student’s coursework in that module was used to determine the amount of the student’s eligibility for title IV, HEA funds for the payment period or period of enrollment.</w:t>
      </w:r>
    </w:p>
    <w:p w14:paraId="0252A21D" w14:textId="358B7007" w:rsidR="00044890" w:rsidRPr="00044890" w:rsidRDefault="00044890" w:rsidP="00044890">
      <w:pPr>
        <w:spacing w:after="240"/>
        <w:jc w:val="both"/>
        <w:rPr>
          <w:rFonts w:ascii="Arial" w:hAnsi="Arial" w:cs="Arial"/>
          <w:bCs/>
          <w:iCs/>
        </w:rPr>
      </w:pPr>
      <w:r w:rsidRPr="00044890">
        <w:rPr>
          <w:rFonts w:ascii="Arial" w:hAnsi="Arial" w:cs="Arial"/>
          <w:bCs/>
          <w:iCs/>
        </w:rPr>
        <w:t>When a student enrolls in a module during a payment period or period of enrollment, the student is considered to be enrolled in a program offered in modules and the institution must determine the number of days in the denominator of the R2T4 calculation based on whether the coursework, including full-term courses, was used to determine the amount of eligibility for Title IV aid. This determination will depend on several factors:</w:t>
      </w:r>
    </w:p>
    <w:p w14:paraId="623A929A" w14:textId="1C6BFDFE" w:rsidR="00044890" w:rsidRPr="00044890" w:rsidRDefault="00044890" w:rsidP="00044890">
      <w:pPr>
        <w:spacing w:after="240"/>
        <w:jc w:val="both"/>
        <w:rPr>
          <w:rFonts w:ascii="Arial" w:hAnsi="Arial" w:cs="Arial"/>
          <w:bCs/>
          <w:iCs/>
        </w:rPr>
      </w:pPr>
      <w:r w:rsidRPr="00044890">
        <w:rPr>
          <w:rFonts w:ascii="Arial" w:hAnsi="Arial" w:cs="Arial"/>
          <w:bCs/>
          <w:iCs/>
        </w:rPr>
        <w:t>•</w:t>
      </w:r>
      <w:r w:rsidRPr="00044890">
        <w:rPr>
          <w:rFonts w:ascii="Arial" w:hAnsi="Arial" w:cs="Arial"/>
          <w:bCs/>
          <w:iCs/>
        </w:rPr>
        <w:tab/>
        <w:t>Whether the institution uses an R2T4 Freeze Date;</w:t>
      </w:r>
    </w:p>
    <w:p w14:paraId="1CB31793" w14:textId="4D59932B" w:rsidR="00044890" w:rsidRPr="00044890" w:rsidRDefault="00044890" w:rsidP="00044890">
      <w:pPr>
        <w:spacing w:after="240"/>
        <w:jc w:val="both"/>
        <w:rPr>
          <w:rFonts w:ascii="Arial" w:hAnsi="Arial" w:cs="Arial"/>
          <w:bCs/>
          <w:iCs/>
        </w:rPr>
      </w:pPr>
      <w:r w:rsidRPr="00044890">
        <w:rPr>
          <w:rFonts w:ascii="Arial" w:hAnsi="Arial" w:cs="Arial"/>
          <w:bCs/>
          <w:iCs/>
        </w:rPr>
        <w:t>•</w:t>
      </w:r>
      <w:r w:rsidRPr="00044890">
        <w:rPr>
          <w:rFonts w:ascii="Arial" w:hAnsi="Arial" w:cs="Arial"/>
          <w:bCs/>
          <w:iCs/>
        </w:rPr>
        <w:tab/>
        <w:t>The Title IV programs for which the student was eligible; and</w:t>
      </w:r>
    </w:p>
    <w:p w14:paraId="0C053C1D" w14:textId="677AA7AA" w:rsidR="00044890" w:rsidRPr="00044890" w:rsidRDefault="00044890" w:rsidP="00044890">
      <w:pPr>
        <w:spacing w:after="240"/>
        <w:jc w:val="both"/>
        <w:rPr>
          <w:rFonts w:ascii="Arial" w:hAnsi="Arial" w:cs="Arial"/>
          <w:bCs/>
          <w:iCs/>
        </w:rPr>
      </w:pPr>
      <w:r w:rsidRPr="00044890">
        <w:rPr>
          <w:rFonts w:ascii="Arial" w:hAnsi="Arial" w:cs="Arial"/>
          <w:bCs/>
          <w:iCs/>
        </w:rPr>
        <w:t>•</w:t>
      </w:r>
      <w:r w:rsidRPr="00044890">
        <w:rPr>
          <w:rFonts w:ascii="Arial" w:hAnsi="Arial" w:cs="Arial"/>
          <w:bCs/>
          <w:iCs/>
        </w:rPr>
        <w:tab/>
        <w:t>Which modules/courses the student attended during the period.</w:t>
      </w:r>
    </w:p>
    <w:p w14:paraId="0C7C9997" w14:textId="589B00A5" w:rsidR="00044890" w:rsidRPr="00044890" w:rsidRDefault="00044890" w:rsidP="00044890">
      <w:pPr>
        <w:spacing w:after="240"/>
        <w:jc w:val="both"/>
        <w:rPr>
          <w:rFonts w:ascii="Arial" w:hAnsi="Arial" w:cs="Arial"/>
          <w:bCs/>
          <w:iCs/>
        </w:rPr>
      </w:pPr>
      <w:r w:rsidRPr="00044890">
        <w:rPr>
          <w:rFonts w:ascii="Arial" w:hAnsi="Arial" w:cs="Arial"/>
          <w:bCs/>
          <w:iCs/>
        </w:rPr>
        <w:t>An R2T4 Freeze Date is an optional (not required) policy that uses the student’s enrollment schedule at a fixed calendar point to determine the number of days the student is scheduled to attend during the period for R2T4 purposes. If the institution uses an R2T4 Freeze Date, the days in a module/course are included in the R2T4 calculation if the student attends the module/course or is enrolled in the module/course on the R2T4 Freeze Date, regardless of the types of Title IV aid awarded.</w:t>
      </w:r>
    </w:p>
    <w:p w14:paraId="231CE07E" w14:textId="77777777" w:rsidR="00044890" w:rsidRPr="00044890" w:rsidRDefault="00044890" w:rsidP="00044890">
      <w:pPr>
        <w:spacing w:after="240"/>
        <w:jc w:val="both"/>
        <w:rPr>
          <w:rFonts w:ascii="Arial" w:hAnsi="Arial" w:cs="Arial"/>
          <w:bCs/>
          <w:iCs/>
        </w:rPr>
      </w:pPr>
      <w:r w:rsidRPr="00044890">
        <w:rPr>
          <w:rFonts w:ascii="Arial" w:hAnsi="Arial" w:cs="Arial"/>
          <w:bCs/>
          <w:iCs/>
        </w:rPr>
        <w:t>Institutions that choose to not establish an R2T4 Freeze Date will monitor changes in the student’s enrollment throughout the period and which module/course days to include in the R2T4 calculation will, in part, depend on the type of Title IV aid awarded.</w:t>
      </w:r>
    </w:p>
    <w:p w14:paraId="2AC1B284" w14:textId="6F4C1AD1" w:rsidR="00044890" w:rsidRPr="00044890" w:rsidRDefault="00044890" w:rsidP="00044890">
      <w:pPr>
        <w:spacing w:after="240"/>
        <w:jc w:val="both"/>
        <w:rPr>
          <w:rFonts w:ascii="Arial" w:hAnsi="Arial" w:cs="Arial"/>
          <w:bCs/>
          <w:iCs/>
        </w:rPr>
      </w:pPr>
      <w:r w:rsidRPr="00044890">
        <w:rPr>
          <w:rFonts w:ascii="Arial" w:hAnsi="Arial" w:cs="Arial"/>
          <w:bCs/>
          <w:iCs/>
        </w:rPr>
        <w:t>If the student is only eligible for Pell Grant, Iraq-Afghanistan Service Grant, and/or TEACH Grant funds during the period and the institution does not use an R2T4 Freeze Date, the days in a module/course must be included in the denominator of the R2T4 calculation only if the student actually attends the module/course.</w:t>
      </w:r>
    </w:p>
    <w:p w14:paraId="2BCCBA8D" w14:textId="2FFFB360" w:rsidR="00044890" w:rsidRPr="00044890" w:rsidRDefault="00044890" w:rsidP="00044890">
      <w:pPr>
        <w:spacing w:after="240"/>
        <w:jc w:val="both"/>
        <w:rPr>
          <w:rFonts w:ascii="Arial" w:hAnsi="Arial" w:cs="Arial"/>
          <w:bCs/>
          <w:iCs/>
        </w:rPr>
      </w:pPr>
      <w:r w:rsidRPr="00044890">
        <w:rPr>
          <w:rFonts w:ascii="Arial" w:hAnsi="Arial" w:cs="Arial"/>
          <w:bCs/>
          <w:iCs/>
        </w:rPr>
        <w:t>If the student is eligible for Direct Loan or FSEOG funds during the period (regardless of eligibility for other Title IV programs) and does not use an R2T4 Freeze Date, the days in a module/course must be included in the R2T4 calculation if the student was enrolled in the module/ course on the first day of the period or enrolled in the module/course at any time during the period.</w:t>
      </w:r>
    </w:p>
    <w:p w14:paraId="50D34F52" w14:textId="74040875" w:rsidR="00044890" w:rsidRPr="00044890" w:rsidRDefault="00044890" w:rsidP="00044890">
      <w:pPr>
        <w:spacing w:after="240"/>
        <w:jc w:val="both"/>
        <w:rPr>
          <w:rFonts w:ascii="Arial" w:hAnsi="Arial" w:cs="Arial"/>
          <w:bCs/>
          <w:iCs/>
        </w:rPr>
      </w:pPr>
      <w:r w:rsidRPr="00044890">
        <w:rPr>
          <w:rFonts w:ascii="Arial" w:hAnsi="Arial" w:cs="Arial"/>
          <w:bCs/>
          <w:iCs/>
        </w:rPr>
        <w:t>For additional information, please review the 2023-2024 FSA Handbook, Volume 5, Chapter 2.</w:t>
      </w:r>
    </w:p>
    <w:p w14:paraId="16D44EBE" w14:textId="4C478554" w:rsidR="00044890" w:rsidRPr="009610FF" w:rsidRDefault="00044890" w:rsidP="00044890">
      <w:pPr>
        <w:spacing w:after="240"/>
        <w:jc w:val="both"/>
        <w:rPr>
          <w:rFonts w:ascii="Arial" w:hAnsi="Arial" w:cs="Arial"/>
          <w:bCs/>
          <w:i/>
        </w:rPr>
      </w:pPr>
      <w:r w:rsidRPr="009610FF">
        <w:rPr>
          <w:rFonts w:ascii="Arial" w:hAnsi="Arial" w:cs="Arial"/>
          <w:bCs/>
          <w:i/>
        </w:rPr>
        <w:t>Institution’s Return of Unearned Aid</w:t>
      </w:r>
    </w:p>
    <w:p w14:paraId="70C7A6F9" w14:textId="6571D79B" w:rsidR="00044890" w:rsidRPr="00044890" w:rsidRDefault="00044890" w:rsidP="00044890">
      <w:pPr>
        <w:spacing w:after="240"/>
        <w:jc w:val="both"/>
        <w:rPr>
          <w:rFonts w:ascii="Arial" w:hAnsi="Arial" w:cs="Arial"/>
          <w:bCs/>
          <w:iCs/>
        </w:rPr>
      </w:pPr>
      <w:r w:rsidRPr="00044890">
        <w:rPr>
          <w:rFonts w:ascii="Arial" w:hAnsi="Arial" w:cs="Arial"/>
          <w:bCs/>
          <w:iCs/>
        </w:rPr>
        <w:t xml:space="preserve">The institution must return the lesser of (1) the total amount of unearned Title IV assistance to be returned as described above, or (2) an amount equal to the total institutional charges incurred by the student for the payment period or period of enrollment multiplied by the percentage of Title IV grant or loan assistance that </w:t>
      </w:r>
      <w:r w:rsidRPr="00044890">
        <w:rPr>
          <w:rFonts w:ascii="Arial" w:hAnsi="Arial" w:cs="Arial"/>
          <w:bCs/>
          <w:iCs/>
        </w:rPr>
        <w:lastRenderedPageBreak/>
        <w:t>has not been earned by the student. If, for a non-term program an institution chooses to calculate the treatment of Title IV assistance on a payment period basis, but the institution charges for a period that is longer than the payment period, “total institutional charges incurred by the student for the payment period” is the greater of (1) the prorated amount of institutional charges for the longer period, or (2) the amount of Title IV assistance retained for institutional charges as of the student’s withdrawal date (34 CFR 668.22(g)).</w:t>
      </w:r>
    </w:p>
    <w:p w14:paraId="3E71C42D" w14:textId="197A9A8B" w:rsidR="00044890" w:rsidRPr="00044890" w:rsidRDefault="00044890" w:rsidP="00044890">
      <w:pPr>
        <w:spacing w:after="240"/>
        <w:jc w:val="both"/>
        <w:rPr>
          <w:rFonts w:ascii="Arial" w:hAnsi="Arial" w:cs="Arial"/>
          <w:bCs/>
          <w:iCs/>
        </w:rPr>
      </w:pPr>
      <w:r w:rsidRPr="00044890">
        <w:rPr>
          <w:rFonts w:ascii="Arial" w:hAnsi="Arial" w:cs="Arial"/>
          <w:bCs/>
          <w:iCs/>
        </w:rPr>
        <w:t>Note: The FAFSA Simplification Act eliminated the Subsidized Loan usage requirements for all loans that were first disbursed on or after July 1, 2021.</w:t>
      </w:r>
    </w:p>
    <w:p w14:paraId="2A933142" w14:textId="2B05CD50" w:rsidR="00044890" w:rsidRPr="009610FF" w:rsidRDefault="00044890" w:rsidP="00044890">
      <w:pPr>
        <w:spacing w:after="240"/>
        <w:jc w:val="both"/>
        <w:rPr>
          <w:rFonts w:ascii="Arial" w:hAnsi="Arial" w:cs="Arial"/>
          <w:bCs/>
          <w:i/>
        </w:rPr>
      </w:pPr>
      <w:r w:rsidRPr="009610FF">
        <w:rPr>
          <w:rFonts w:ascii="Arial" w:hAnsi="Arial" w:cs="Arial"/>
          <w:bCs/>
          <w:i/>
        </w:rPr>
        <w:t>Student’s Return of Unearned Aid</w:t>
      </w:r>
    </w:p>
    <w:p w14:paraId="786C7A6A" w14:textId="0120B0DD" w:rsidR="00044890" w:rsidRPr="00044890" w:rsidRDefault="00044890" w:rsidP="00044890">
      <w:pPr>
        <w:spacing w:after="240"/>
        <w:jc w:val="both"/>
        <w:rPr>
          <w:rFonts w:ascii="Arial" w:hAnsi="Arial" w:cs="Arial"/>
          <w:bCs/>
          <w:iCs/>
        </w:rPr>
      </w:pPr>
      <w:r w:rsidRPr="00044890">
        <w:rPr>
          <w:rFonts w:ascii="Arial" w:hAnsi="Arial" w:cs="Arial"/>
          <w:bCs/>
          <w:iCs/>
        </w:rPr>
        <w:t>The amount a student is responsible for returning is calculated by subtracting the amount of unearned aid that the institution is required to return from the total amount of unearned Title IV assistance to be returned. However, the student need only return 50 percent of the total grant assistance that was disbursed (and that could have been disbursed) for the payment period or period of enrollment. After the 50 percent rule is applied, a student does not have to return an overpayment amount of $50 or less.</w:t>
      </w:r>
    </w:p>
    <w:p w14:paraId="6913A8FB" w14:textId="2E59013E" w:rsidR="00044890" w:rsidRPr="00044890" w:rsidRDefault="00044890" w:rsidP="00044890">
      <w:pPr>
        <w:spacing w:after="240"/>
        <w:jc w:val="both"/>
        <w:rPr>
          <w:rFonts w:ascii="Arial" w:hAnsi="Arial" w:cs="Arial"/>
          <w:bCs/>
          <w:iCs/>
        </w:rPr>
      </w:pPr>
      <w:r w:rsidRPr="00044890">
        <w:rPr>
          <w:rFonts w:ascii="Arial" w:hAnsi="Arial" w:cs="Arial"/>
          <w:bCs/>
          <w:iCs/>
        </w:rPr>
        <w:t>In addition, the secretary may waive grant overpayments that students are required to return if the students who withdrew were residing in, employed in, or attending an institution located in an area where the President has declared that a major disaster exists (34 CFR 668.22(g), 668.22(h)(3), and 668.22(h)(5)).</w:t>
      </w:r>
    </w:p>
    <w:p w14:paraId="58527A85" w14:textId="3685B79D" w:rsidR="00044890" w:rsidRPr="009610FF" w:rsidRDefault="00044890" w:rsidP="00044890">
      <w:pPr>
        <w:spacing w:after="240"/>
        <w:jc w:val="both"/>
        <w:rPr>
          <w:rFonts w:ascii="Arial" w:hAnsi="Arial" w:cs="Arial"/>
          <w:bCs/>
          <w:i/>
        </w:rPr>
      </w:pPr>
      <w:r w:rsidRPr="009610FF">
        <w:rPr>
          <w:rFonts w:ascii="Arial" w:hAnsi="Arial" w:cs="Arial"/>
          <w:bCs/>
          <w:i/>
        </w:rPr>
        <w:t>Allocation of Return of Title IV Funds</w:t>
      </w:r>
    </w:p>
    <w:p w14:paraId="1742B969" w14:textId="6F0415FB" w:rsidR="00044890" w:rsidRPr="00044890" w:rsidRDefault="00044890" w:rsidP="00044890">
      <w:pPr>
        <w:spacing w:after="240"/>
        <w:jc w:val="both"/>
        <w:rPr>
          <w:rFonts w:ascii="Arial" w:hAnsi="Arial" w:cs="Arial"/>
          <w:bCs/>
          <w:iCs/>
        </w:rPr>
      </w:pPr>
      <w:r w:rsidRPr="00044890">
        <w:rPr>
          <w:rFonts w:ascii="Arial" w:hAnsi="Arial" w:cs="Arial"/>
          <w:bCs/>
          <w:iCs/>
        </w:rPr>
        <w:t>Returns of Title IV funds must be distributed in the order prescribed below. The prescribed order must be followed regardless of the institution’s agreements with other state agencies or private agencies (34 CFR 668.22(i)).</w:t>
      </w:r>
    </w:p>
    <w:p w14:paraId="75CFBEFE" w14:textId="77777777" w:rsidR="00044890" w:rsidRPr="00044890" w:rsidRDefault="00044890" w:rsidP="00044890">
      <w:pPr>
        <w:spacing w:after="240"/>
        <w:jc w:val="both"/>
        <w:rPr>
          <w:rFonts w:ascii="Arial" w:hAnsi="Arial" w:cs="Arial"/>
          <w:bCs/>
          <w:iCs/>
        </w:rPr>
      </w:pPr>
      <w:r w:rsidRPr="00044890">
        <w:rPr>
          <w:rFonts w:ascii="Arial" w:hAnsi="Arial" w:cs="Arial"/>
          <w:bCs/>
          <w:iCs/>
        </w:rPr>
        <w:t>a.</w:t>
      </w:r>
      <w:r w:rsidRPr="00044890">
        <w:rPr>
          <w:rFonts w:ascii="Arial" w:hAnsi="Arial" w:cs="Arial"/>
          <w:bCs/>
          <w:iCs/>
        </w:rPr>
        <w:tab/>
        <w:t>Unsubsidized Federal Direct Stafford Loans</w:t>
      </w:r>
    </w:p>
    <w:p w14:paraId="3DDF0BE9" w14:textId="77777777" w:rsidR="00044890" w:rsidRPr="00044890" w:rsidRDefault="00044890" w:rsidP="00044890">
      <w:pPr>
        <w:spacing w:after="240"/>
        <w:jc w:val="both"/>
        <w:rPr>
          <w:rFonts w:ascii="Arial" w:hAnsi="Arial" w:cs="Arial"/>
          <w:bCs/>
          <w:iCs/>
        </w:rPr>
      </w:pPr>
      <w:r w:rsidRPr="00044890">
        <w:rPr>
          <w:rFonts w:ascii="Arial" w:hAnsi="Arial" w:cs="Arial"/>
          <w:bCs/>
          <w:iCs/>
        </w:rPr>
        <w:t>b.</w:t>
      </w:r>
      <w:r w:rsidRPr="00044890">
        <w:rPr>
          <w:rFonts w:ascii="Arial" w:hAnsi="Arial" w:cs="Arial"/>
          <w:bCs/>
          <w:iCs/>
        </w:rPr>
        <w:tab/>
        <w:t>Subsidized Federal Direct Stafford Loans</w:t>
      </w:r>
    </w:p>
    <w:p w14:paraId="30D8CA61" w14:textId="77777777" w:rsidR="00044890" w:rsidRPr="00044890" w:rsidRDefault="00044890" w:rsidP="00044890">
      <w:pPr>
        <w:spacing w:after="240"/>
        <w:jc w:val="both"/>
        <w:rPr>
          <w:rFonts w:ascii="Arial" w:hAnsi="Arial" w:cs="Arial"/>
          <w:bCs/>
          <w:iCs/>
        </w:rPr>
      </w:pPr>
      <w:r w:rsidRPr="00044890">
        <w:rPr>
          <w:rFonts w:ascii="Arial" w:hAnsi="Arial" w:cs="Arial"/>
          <w:bCs/>
          <w:iCs/>
        </w:rPr>
        <w:t>c.</w:t>
      </w:r>
      <w:r w:rsidRPr="00044890">
        <w:rPr>
          <w:rFonts w:ascii="Arial" w:hAnsi="Arial" w:cs="Arial"/>
          <w:bCs/>
          <w:iCs/>
        </w:rPr>
        <w:tab/>
        <w:t>Federal Direct PLUS</w:t>
      </w:r>
    </w:p>
    <w:p w14:paraId="07D8B1D3" w14:textId="77777777" w:rsidR="00044890" w:rsidRPr="00044890" w:rsidRDefault="00044890" w:rsidP="00044890">
      <w:pPr>
        <w:spacing w:after="240"/>
        <w:jc w:val="both"/>
        <w:rPr>
          <w:rFonts w:ascii="Arial" w:hAnsi="Arial" w:cs="Arial"/>
          <w:bCs/>
          <w:iCs/>
        </w:rPr>
      </w:pPr>
      <w:r w:rsidRPr="00044890">
        <w:rPr>
          <w:rFonts w:ascii="Arial" w:hAnsi="Arial" w:cs="Arial"/>
          <w:bCs/>
          <w:iCs/>
        </w:rPr>
        <w:t>d.</w:t>
      </w:r>
      <w:r w:rsidRPr="00044890">
        <w:rPr>
          <w:rFonts w:ascii="Arial" w:hAnsi="Arial" w:cs="Arial"/>
          <w:bCs/>
          <w:iCs/>
        </w:rPr>
        <w:tab/>
        <w:t>Federal Pell Grant</w:t>
      </w:r>
    </w:p>
    <w:p w14:paraId="1F2AA32D" w14:textId="77777777" w:rsidR="00044890" w:rsidRPr="00044890" w:rsidRDefault="00044890" w:rsidP="00044890">
      <w:pPr>
        <w:spacing w:after="240"/>
        <w:jc w:val="both"/>
        <w:rPr>
          <w:rFonts w:ascii="Arial" w:hAnsi="Arial" w:cs="Arial"/>
          <w:bCs/>
          <w:iCs/>
        </w:rPr>
      </w:pPr>
      <w:r w:rsidRPr="00044890">
        <w:rPr>
          <w:rFonts w:ascii="Arial" w:hAnsi="Arial" w:cs="Arial"/>
          <w:bCs/>
          <w:iCs/>
        </w:rPr>
        <w:t>e.</w:t>
      </w:r>
      <w:r w:rsidRPr="00044890">
        <w:rPr>
          <w:rFonts w:ascii="Arial" w:hAnsi="Arial" w:cs="Arial"/>
          <w:bCs/>
          <w:iCs/>
        </w:rPr>
        <w:tab/>
        <w:t>Iraq and Afghanistan Service Grant</w:t>
      </w:r>
    </w:p>
    <w:p w14:paraId="41C2BFAD" w14:textId="77777777" w:rsidR="00044890" w:rsidRPr="00044890" w:rsidRDefault="00044890" w:rsidP="00044890">
      <w:pPr>
        <w:spacing w:after="240"/>
        <w:jc w:val="both"/>
        <w:rPr>
          <w:rFonts w:ascii="Arial" w:hAnsi="Arial" w:cs="Arial"/>
          <w:bCs/>
          <w:iCs/>
        </w:rPr>
      </w:pPr>
      <w:r w:rsidRPr="00044890">
        <w:rPr>
          <w:rFonts w:ascii="Arial" w:hAnsi="Arial" w:cs="Arial"/>
          <w:bCs/>
          <w:iCs/>
        </w:rPr>
        <w:t>f.</w:t>
      </w:r>
      <w:r w:rsidRPr="00044890">
        <w:rPr>
          <w:rFonts w:ascii="Arial" w:hAnsi="Arial" w:cs="Arial"/>
          <w:bCs/>
          <w:iCs/>
        </w:rPr>
        <w:tab/>
        <w:t>Federal Supplemental Educational Opportunity Grants</w:t>
      </w:r>
    </w:p>
    <w:p w14:paraId="24A00A32" w14:textId="5F216ABE" w:rsidR="00044890" w:rsidRPr="00044890" w:rsidRDefault="00044890" w:rsidP="00044890">
      <w:pPr>
        <w:spacing w:after="240"/>
        <w:jc w:val="both"/>
        <w:rPr>
          <w:rFonts w:ascii="Arial" w:hAnsi="Arial" w:cs="Arial"/>
          <w:bCs/>
          <w:iCs/>
        </w:rPr>
      </w:pPr>
      <w:r w:rsidRPr="00044890">
        <w:rPr>
          <w:rFonts w:ascii="Arial" w:hAnsi="Arial" w:cs="Arial"/>
          <w:bCs/>
          <w:iCs/>
        </w:rPr>
        <w:t>g.</w:t>
      </w:r>
      <w:r w:rsidRPr="00044890">
        <w:rPr>
          <w:rFonts w:ascii="Arial" w:hAnsi="Arial" w:cs="Arial"/>
          <w:bCs/>
          <w:iCs/>
        </w:rPr>
        <w:tab/>
        <w:t>Teacher Education Assistance for College and Higher Education Grants</w:t>
      </w:r>
    </w:p>
    <w:p w14:paraId="53AD9F81" w14:textId="717AAE2C" w:rsidR="00044890" w:rsidRPr="009610FF" w:rsidRDefault="00044890" w:rsidP="00044890">
      <w:pPr>
        <w:spacing w:after="240"/>
        <w:jc w:val="both"/>
        <w:rPr>
          <w:rFonts w:ascii="Arial" w:hAnsi="Arial" w:cs="Arial"/>
          <w:bCs/>
          <w:i/>
        </w:rPr>
      </w:pPr>
      <w:r w:rsidRPr="009610FF">
        <w:rPr>
          <w:rFonts w:ascii="Arial" w:hAnsi="Arial" w:cs="Arial"/>
          <w:bCs/>
          <w:i/>
        </w:rPr>
        <w:t>Timing of Return of Title IV Funds</w:t>
      </w:r>
    </w:p>
    <w:p w14:paraId="3E58E3F6" w14:textId="2749ABE8" w:rsidR="00044890" w:rsidRPr="00044890" w:rsidRDefault="00044890" w:rsidP="00044890">
      <w:pPr>
        <w:spacing w:after="240"/>
        <w:jc w:val="both"/>
        <w:rPr>
          <w:rFonts w:ascii="Arial" w:hAnsi="Arial" w:cs="Arial"/>
          <w:bCs/>
          <w:iCs/>
        </w:rPr>
      </w:pPr>
      <w:r w:rsidRPr="00044890">
        <w:rPr>
          <w:rFonts w:ascii="Arial" w:hAnsi="Arial" w:cs="Arial"/>
          <w:bCs/>
          <w:iCs/>
        </w:rPr>
        <w:t>Returns of Title IV funds are required to be deposited or transferred into the SFA account or electronic fund transfers initiated to ED as soon as possible, but no later than 45 days after the date the institution determines that the student withdrew. Returns by check are late if the check is issued more than 45 days after the institution determined the student withdrew or the date on the canceled check shows the check was endorsed more than 60 days after the date the institution determined that the student withdrew (34 CFR 668.173(b)).</w:t>
      </w:r>
    </w:p>
    <w:p w14:paraId="622FDD40" w14:textId="44785B01" w:rsidR="00044890" w:rsidRPr="00044890" w:rsidRDefault="00044890" w:rsidP="00044890">
      <w:pPr>
        <w:spacing w:after="240"/>
        <w:jc w:val="both"/>
        <w:rPr>
          <w:rFonts w:ascii="Arial" w:hAnsi="Arial" w:cs="Arial"/>
          <w:bCs/>
          <w:iCs/>
        </w:rPr>
      </w:pPr>
      <w:r w:rsidRPr="00044890">
        <w:rPr>
          <w:rFonts w:ascii="Arial" w:hAnsi="Arial" w:cs="Arial"/>
          <w:bCs/>
          <w:iCs/>
        </w:rPr>
        <w:t xml:space="preserve">An institution that is not required to take attendance must determine the withdrawal date for a student who withdraws without providing notification to the institution no later than 30 days after the end of the earlier of the (1) payment period or period of enrollment, (2) academic year in which the student withdrew, or (3) </w:t>
      </w:r>
      <w:r w:rsidRPr="00044890">
        <w:rPr>
          <w:rFonts w:ascii="Arial" w:hAnsi="Arial" w:cs="Arial"/>
          <w:bCs/>
          <w:iCs/>
        </w:rPr>
        <w:lastRenderedPageBreak/>
        <w:t>educational program from which the student withdrew (34 CFR 668.22(j)). The institution must also notify the recipient of Title IV loans returned (34 CFR 685.306(a)(2)).</w:t>
      </w:r>
    </w:p>
    <w:p w14:paraId="1BBA27FD" w14:textId="744F66CC" w:rsidR="00044890" w:rsidRPr="00044890" w:rsidRDefault="00044890" w:rsidP="00044890">
      <w:pPr>
        <w:spacing w:after="240"/>
        <w:jc w:val="both"/>
        <w:rPr>
          <w:rFonts w:ascii="Arial" w:hAnsi="Arial" w:cs="Arial"/>
          <w:bCs/>
          <w:iCs/>
        </w:rPr>
      </w:pPr>
      <w:r w:rsidRPr="009610FF">
        <w:rPr>
          <w:rFonts w:ascii="Arial" w:hAnsi="Arial" w:cs="Arial"/>
          <w:b/>
          <w:iCs/>
        </w:rPr>
        <w:t>Compliance Requirements Applicable for a Student Who Does Not Begin Attendance</w:t>
      </w:r>
      <w:r w:rsidRPr="00044890">
        <w:rPr>
          <w:rFonts w:ascii="Arial" w:hAnsi="Arial" w:cs="Arial"/>
          <w:bCs/>
          <w:iCs/>
        </w:rPr>
        <w:t xml:space="preserve"> When a recipient of Title IV grant or loan assistance does not begin attendance at an institution during a payment period or period of enrollment, all disbursed Title IV grant and loan funds must be returned. The institution must determine which Title IV funds it must return or if it has to notify the lender or the secretary to issue a final demand letter (34 CFR 668.21).</w:t>
      </w:r>
    </w:p>
    <w:p w14:paraId="510A5E3C" w14:textId="189ECE7D" w:rsidR="00044890" w:rsidRPr="008019AA" w:rsidRDefault="00044890" w:rsidP="00044890">
      <w:pPr>
        <w:spacing w:after="240"/>
        <w:jc w:val="both"/>
        <w:rPr>
          <w:rFonts w:ascii="Arial" w:hAnsi="Arial" w:cs="Arial"/>
          <w:bCs/>
          <w:i/>
        </w:rPr>
      </w:pPr>
      <w:r w:rsidRPr="009610FF">
        <w:rPr>
          <w:rFonts w:ascii="Arial" w:hAnsi="Arial" w:cs="Arial"/>
          <w:bCs/>
          <w:i/>
        </w:rPr>
        <w:t>Not beginning attendance</w:t>
      </w:r>
    </w:p>
    <w:p w14:paraId="1A432AFE" w14:textId="34BA13E2" w:rsidR="00044890" w:rsidRPr="00044890" w:rsidRDefault="00044890" w:rsidP="00044890">
      <w:pPr>
        <w:spacing w:after="240"/>
        <w:jc w:val="both"/>
        <w:rPr>
          <w:rFonts w:ascii="Arial" w:hAnsi="Arial" w:cs="Arial"/>
          <w:bCs/>
          <w:iCs/>
        </w:rPr>
      </w:pPr>
      <w:r w:rsidRPr="00044890">
        <w:rPr>
          <w:rFonts w:ascii="Arial" w:hAnsi="Arial" w:cs="Arial"/>
          <w:bCs/>
          <w:iCs/>
        </w:rPr>
        <w:t>A student is considered to have not begun attendance in a payment period or period of enrollment if the institution is unable to document the student’s attendance at any class during the payment period or period of enrollment (34 CFR 668.21(c)).</w:t>
      </w:r>
    </w:p>
    <w:p w14:paraId="138C02EC" w14:textId="30BA2707" w:rsidR="00044890" w:rsidRPr="008019AA" w:rsidRDefault="00044890" w:rsidP="00044890">
      <w:pPr>
        <w:spacing w:after="240"/>
        <w:jc w:val="both"/>
        <w:rPr>
          <w:rFonts w:ascii="Arial" w:hAnsi="Arial" w:cs="Arial"/>
          <w:bCs/>
          <w:i/>
        </w:rPr>
      </w:pPr>
      <w:r w:rsidRPr="008019AA">
        <w:rPr>
          <w:rFonts w:ascii="Arial" w:hAnsi="Arial" w:cs="Arial"/>
          <w:bCs/>
          <w:i/>
        </w:rPr>
        <w:t>FSEOG, TEACH Grants, Pell Grant, and IASG program funds</w:t>
      </w:r>
    </w:p>
    <w:p w14:paraId="51873327" w14:textId="60AF44EF" w:rsidR="00044890" w:rsidRPr="00044890" w:rsidRDefault="00044890" w:rsidP="00044890">
      <w:pPr>
        <w:spacing w:after="240"/>
        <w:jc w:val="both"/>
        <w:rPr>
          <w:rFonts w:ascii="Arial" w:hAnsi="Arial" w:cs="Arial"/>
          <w:bCs/>
          <w:iCs/>
        </w:rPr>
      </w:pPr>
      <w:r w:rsidRPr="00044890">
        <w:rPr>
          <w:rFonts w:ascii="Arial" w:hAnsi="Arial" w:cs="Arial"/>
          <w:bCs/>
          <w:iCs/>
        </w:rPr>
        <w:t>If a student does not begin attendance, the institution must return all FSEOG, TEACH Grants, Pell Grant, and IASG program funds that were credited to the student’s account or disbursed directly to the student for that payment period or period of enrollment (34 CFR 668.21(a)(1)).</w:t>
      </w:r>
    </w:p>
    <w:p w14:paraId="1828D25E" w14:textId="7402A422" w:rsidR="00044890" w:rsidRPr="008019AA" w:rsidRDefault="00044890" w:rsidP="00044890">
      <w:pPr>
        <w:spacing w:after="240"/>
        <w:jc w:val="both"/>
        <w:rPr>
          <w:rFonts w:ascii="Arial" w:hAnsi="Arial" w:cs="Arial"/>
          <w:bCs/>
          <w:i/>
        </w:rPr>
      </w:pPr>
      <w:r w:rsidRPr="008019AA">
        <w:rPr>
          <w:rFonts w:ascii="Arial" w:hAnsi="Arial" w:cs="Arial"/>
          <w:bCs/>
          <w:i/>
        </w:rPr>
        <w:t>Direct Loan Funds</w:t>
      </w:r>
    </w:p>
    <w:p w14:paraId="378A6A43" w14:textId="3213E37F" w:rsidR="00044890" w:rsidRPr="00044890" w:rsidRDefault="00044890" w:rsidP="00044890">
      <w:pPr>
        <w:spacing w:after="240"/>
        <w:jc w:val="both"/>
        <w:rPr>
          <w:rFonts w:ascii="Arial" w:hAnsi="Arial" w:cs="Arial"/>
          <w:bCs/>
          <w:iCs/>
        </w:rPr>
      </w:pPr>
      <w:r w:rsidRPr="00044890">
        <w:rPr>
          <w:rFonts w:ascii="Arial" w:hAnsi="Arial" w:cs="Arial"/>
          <w:bCs/>
          <w:iCs/>
        </w:rPr>
        <w:t>The institution must return all Direct Loan funds that were</w:t>
      </w:r>
    </w:p>
    <w:p w14:paraId="541B6248" w14:textId="77777777" w:rsidR="00044890" w:rsidRPr="00044890" w:rsidRDefault="00044890" w:rsidP="00044890">
      <w:pPr>
        <w:spacing w:after="240"/>
        <w:jc w:val="both"/>
        <w:rPr>
          <w:rFonts w:ascii="Arial" w:hAnsi="Arial" w:cs="Arial"/>
          <w:bCs/>
          <w:iCs/>
        </w:rPr>
      </w:pPr>
      <w:r w:rsidRPr="00044890">
        <w:rPr>
          <w:rFonts w:ascii="Arial" w:hAnsi="Arial" w:cs="Arial"/>
          <w:bCs/>
          <w:iCs/>
        </w:rPr>
        <w:t>a.</w:t>
      </w:r>
      <w:r w:rsidRPr="00044890">
        <w:rPr>
          <w:rFonts w:ascii="Arial" w:hAnsi="Arial" w:cs="Arial"/>
          <w:bCs/>
          <w:iCs/>
        </w:rPr>
        <w:tab/>
        <w:t>Credited to the student’s account for that payment period or period of enrollment;</w:t>
      </w:r>
    </w:p>
    <w:p w14:paraId="39964B1C" w14:textId="77777777" w:rsidR="00044890" w:rsidRPr="00044890" w:rsidRDefault="00044890" w:rsidP="008019AA">
      <w:pPr>
        <w:spacing w:after="240"/>
        <w:ind w:left="720" w:hanging="720"/>
        <w:jc w:val="both"/>
        <w:rPr>
          <w:rFonts w:ascii="Arial" w:hAnsi="Arial" w:cs="Arial"/>
          <w:bCs/>
          <w:iCs/>
        </w:rPr>
      </w:pPr>
      <w:r w:rsidRPr="00044890">
        <w:rPr>
          <w:rFonts w:ascii="Arial" w:hAnsi="Arial" w:cs="Arial"/>
          <w:bCs/>
          <w:iCs/>
        </w:rPr>
        <w:t>b.</w:t>
      </w:r>
      <w:r w:rsidRPr="00044890">
        <w:rPr>
          <w:rFonts w:ascii="Arial" w:hAnsi="Arial" w:cs="Arial"/>
          <w:bCs/>
          <w:iCs/>
        </w:rPr>
        <w:tab/>
        <w:t>Payments made directly by or on behalf of the student to the institution for that payment period or period of enrollment, up to the total amount of the loan funds disbursed; or</w:t>
      </w:r>
    </w:p>
    <w:p w14:paraId="16F3DFF5" w14:textId="733D588D" w:rsidR="00044890" w:rsidRPr="00044890" w:rsidRDefault="00044890" w:rsidP="008019AA">
      <w:pPr>
        <w:spacing w:after="240"/>
        <w:ind w:left="720" w:hanging="720"/>
        <w:jc w:val="both"/>
        <w:rPr>
          <w:rFonts w:ascii="Arial" w:hAnsi="Arial" w:cs="Arial"/>
          <w:bCs/>
          <w:iCs/>
        </w:rPr>
      </w:pPr>
      <w:r w:rsidRPr="00044890">
        <w:rPr>
          <w:rFonts w:ascii="Arial" w:hAnsi="Arial" w:cs="Arial"/>
          <w:bCs/>
          <w:iCs/>
        </w:rPr>
        <w:t>c.</w:t>
      </w:r>
      <w:r w:rsidRPr="00044890">
        <w:rPr>
          <w:rFonts w:ascii="Arial" w:hAnsi="Arial" w:cs="Arial"/>
          <w:bCs/>
          <w:iCs/>
        </w:rPr>
        <w:tab/>
        <w:t>Disbursed directly to the student if the institution knew that a student would not begin attendance prior to disbursing the funds directly to the student for that payment period or period of enrollment (e.g., the student notified the institution that he or she would not attend, or the institution expelled the student).</w:t>
      </w:r>
    </w:p>
    <w:p w14:paraId="4641BE75" w14:textId="5E75F836" w:rsidR="00044890" w:rsidRPr="00044890" w:rsidRDefault="00044890" w:rsidP="00044890">
      <w:pPr>
        <w:spacing w:after="240"/>
        <w:jc w:val="both"/>
        <w:rPr>
          <w:rFonts w:ascii="Arial" w:hAnsi="Arial" w:cs="Arial"/>
          <w:bCs/>
          <w:iCs/>
        </w:rPr>
      </w:pPr>
      <w:r w:rsidRPr="00044890">
        <w:rPr>
          <w:rFonts w:ascii="Arial" w:hAnsi="Arial" w:cs="Arial"/>
          <w:bCs/>
          <w:iCs/>
        </w:rPr>
        <w:t>For remaining amounts of Direct Loan funds disbursed directly to the student for the payment period or period of enrollment (including funds disbursed directly to the student by the lender for a study-abroad program or for a student enrolled in a foreign institution), the institution must immediately notify the lender or the secretary, as appropriate, when it becomes aware that the student will not or has not begun attendance so that the lender or the secretary will issue a final demand letter to the borrower in accordance with 34 CFR 685.211 (34 CFR 668.21(a)(2)).</w:t>
      </w:r>
    </w:p>
    <w:p w14:paraId="6A88A12D" w14:textId="30C17747" w:rsidR="00044890" w:rsidRPr="008019AA" w:rsidRDefault="00044890" w:rsidP="00044890">
      <w:pPr>
        <w:spacing w:after="240"/>
        <w:jc w:val="both"/>
        <w:rPr>
          <w:rFonts w:ascii="Arial" w:hAnsi="Arial" w:cs="Arial"/>
          <w:bCs/>
          <w:i/>
        </w:rPr>
      </w:pPr>
      <w:r w:rsidRPr="008019AA">
        <w:rPr>
          <w:rFonts w:ascii="Arial" w:hAnsi="Arial" w:cs="Arial"/>
          <w:bCs/>
          <w:i/>
        </w:rPr>
        <w:t>Deadline for return of funds by the institution</w:t>
      </w:r>
    </w:p>
    <w:p w14:paraId="7C9D9D93" w14:textId="176049A3" w:rsidR="00044890" w:rsidRPr="00044890" w:rsidRDefault="00044890" w:rsidP="00044890">
      <w:pPr>
        <w:spacing w:after="240"/>
        <w:jc w:val="both"/>
        <w:rPr>
          <w:rFonts w:ascii="Arial" w:hAnsi="Arial" w:cs="Arial"/>
          <w:bCs/>
          <w:iCs/>
        </w:rPr>
      </w:pPr>
      <w:r w:rsidRPr="00044890">
        <w:rPr>
          <w:rFonts w:ascii="Arial" w:hAnsi="Arial" w:cs="Arial"/>
          <w:bCs/>
          <w:iCs/>
        </w:rPr>
        <w:t>The institution must return those funds for which it is responsible as soon as possible, but no later than 30 days after the date that the institution becomes aware that the student will not or has not begun attendance (34 CFR 668.21(b)).</w:t>
      </w:r>
    </w:p>
    <w:p w14:paraId="7E943E74" w14:textId="69E050DF" w:rsidR="00044890" w:rsidRPr="008019AA" w:rsidRDefault="00044890" w:rsidP="00044890">
      <w:pPr>
        <w:spacing w:after="240"/>
        <w:jc w:val="both"/>
        <w:rPr>
          <w:rFonts w:ascii="Arial" w:hAnsi="Arial" w:cs="Arial"/>
          <w:bCs/>
          <w:i/>
        </w:rPr>
      </w:pPr>
      <w:r w:rsidRPr="008019AA">
        <w:rPr>
          <w:rFonts w:ascii="Arial" w:hAnsi="Arial" w:cs="Arial"/>
          <w:bCs/>
          <w:i/>
        </w:rPr>
        <w:t>Timely return of funds by the institution</w:t>
      </w:r>
    </w:p>
    <w:p w14:paraId="0C61BA96" w14:textId="49E89646" w:rsidR="00044890" w:rsidRPr="00044890" w:rsidRDefault="00044890" w:rsidP="00044890">
      <w:pPr>
        <w:spacing w:after="240"/>
        <w:jc w:val="both"/>
        <w:rPr>
          <w:rFonts w:ascii="Arial" w:hAnsi="Arial" w:cs="Arial"/>
          <w:bCs/>
          <w:iCs/>
        </w:rPr>
      </w:pPr>
      <w:r w:rsidRPr="00044890">
        <w:rPr>
          <w:rFonts w:ascii="Arial" w:hAnsi="Arial" w:cs="Arial"/>
          <w:bCs/>
          <w:iCs/>
        </w:rPr>
        <w:t>An institution returns Title IV funds timely if:</w:t>
      </w:r>
    </w:p>
    <w:p w14:paraId="1C3FC24B" w14:textId="77777777" w:rsidR="00044890" w:rsidRPr="00044890" w:rsidRDefault="00044890" w:rsidP="008019AA">
      <w:pPr>
        <w:spacing w:after="240"/>
        <w:ind w:left="720" w:hanging="720"/>
        <w:jc w:val="both"/>
        <w:rPr>
          <w:rFonts w:ascii="Arial" w:hAnsi="Arial" w:cs="Arial"/>
          <w:bCs/>
          <w:iCs/>
        </w:rPr>
      </w:pPr>
      <w:r w:rsidRPr="00044890">
        <w:rPr>
          <w:rFonts w:ascii="Arial" w:hAnsi="Arial" w:cs="Arial"/>
          <w:bCs/>
          <w:iCs/>
        </w:rPr>
        <w:lastRenderedPageBreak/>
        <w:t>a.</w:t>
      </w:r>
      <w:r w:rsidRPr="00044890">
        <w:rPr>
          <w:rFonts w:ascii="Arial" w:hAnsi="Arial" w:cs="Arial"/>
          <w:bCs/>
          <w:iCs/>
        </w:rPr>
        <w:tab/>
        <w:t>The institution deposits or transfers the funds into the bank account it maintains under 34 CFR 668.163 as soon as possible, but no later than 30 days after the date that the institution becomes aware that the student will not or has not begun attendance;</w:t>
      </w:r>
    </w:p>
    <w:p w14:paraId="012B3135" w14:textId="15813C8E" w:rsidR="00044890" w:rsidRPr="00044890" w:rsidRDefault="00044890" w:rsidP="008019AA">
      <w:pPr>
        <w:spacing w:after="240"/>
        <w:ind w:left="720" w:hanging="720"/>
        <w:jc w:val="both"/>
        <w:rPr>
          <w:rFonts w:ascii="Arial" w:hAnsi="Arial" w:cs="Arial"/>
          <w:bCs/>
          <w:iCs/>
        </w:rPr>
      </w:pPr>
      <w:r w:rsidRPr="00044890">
        <w:rPr>
          <w:rFonts w:ascii="Arial" w:hAnsi="Arial" w:cs="Arial"/>
          <w:bCs/>
          <w:iCs/>
        </w:rPr>
        <w:t>b.</w:t>
      </w:r>
      <w:r w:rsidRPr="00044890">
        <w:rPr>
          <w:rFonts w:ascii="Arial" w:hAnsi="Arial" w:cs="Arial"/>
          <w:bCs/>
          <w:iCs/>
        </w:rPr>
        <w:tab/>
        <w:t>The institution initiates an EFT as soon as possible, but no later than 30 days after the date that the institution becomes aware that the student will not or has not</w:t>
      </w:r>
      <w:r w:rsidR="008019AA">
        <w:rPr>
          <w:rFonts w:ascii="Arial" w:hAnsi="Arial" w:cs="Arial"/>
          <w:bCs/>
          <w:iCs/>
        </w:rPr>
        <w:t xml:space="preserve"> </w:t>
      </w:r>
      <w:r w:rsidRPr="00044890">
        <w:rPr>
          <w:rFonts w:ascii="Arial" w:hAnsi="Arial" w:cs="Arial"/>
          <w:bCs/>
          <w:iCs/>
        </w:rPr>
        <w:t>begun attendance;</w:t>
      </w:r>
    </w:p>
    <w:p w14:paraId="710B71BA" w14:textId="77777777" w:rsidR="00044890" w:rsidRPr="00044890" w:rsidRDefault="00044890" w:rsidP="008019AA">
      <w:pPr>
        <w:spacing w:after="240"/>
        <w:ind w:left="720" w:hanging="720"/>
        <w:jc w:val="both"/>
        <w:rPr>
          <w:rFonts w:ascii="Arial" w:hAnsi="Arial" w:cs="Arial"/>
          <w:bCs/>
          <w:iCs/>
        </w:rPr>
      </w:pPr>
      <w:r w:rsidRPr="00044890">
        <w:rPr>
          <w:rFonts w:ascii="Arial" w:hAnsi="Arial" w:cs="Arial"/>
          <w:bCs/>
          <w:iCs/>
        </w:rPr>
        <w:t>c.</w:t>
      </w:r>
      <w:r w:rsidRPr="00044890">
        <w:rPr>
          <w:rFonts w:ascii="Arial" w:hAnsi="Arial" w:cs="Arial"/>
          <w:bCs/>
          <w:iCs/>
        </w:rPr>
        <w:tab/>
        <w:t>The institution initiates an electronic transaction, as soon as possible, but no later than 30 days after the date that the institution becomes aware that the student will not or has not begun attendance, that informs the lender to adjust the borrower’s loan account for the amount returned; or</w:t>
      </w:r>
    </w:p>
    <w:p w14:paraId="0C4CF33E" w14:textId="1EF73946" w:rsidR="00044890" w:rsidRPr="00044890" w:rsidRDefault="00044890" w:rsidP="008019AA">
      <w:pPr>
        <w:spacing w:after="240"/>
        <w:ind w:left="720" w:hanging="720"/>
        <w:jc w:val="both"/>
        <w:rPr>
          <w:rFonts w:ascii="Arial" w:hAnsi="Arial" w:cs="Arial"/>
          <w:bCs/>
          <w:iCs/>
        </w:rPr>
      </w:pPr>
      <w:r w:rsidRPr="00044890">
        <w:rPr>
          <w:rFonts w:ascii="Arial" w:hAnsi="Arial" w:cs="Arial"/>
          <w:bCs/>
          <w:iCs/>
        </w:rPr>
        <w:t>d.</w:t>
      </w:r>
      <w:r w:rsidRPr="00044890">
        <w:rPr>
          <w:rFonts w:ascii="Arial" w:hAnsi="Arial" w:cs="Arial"/>
          <w:bCs/>
          <w:iCs/>
        </w:rPr>
        <w:tab/>
        <w:t>The institution issues a check as soon as possible, but no later than 30 days after the date that the institution becomes aware that the student will not or has not</w:t>
      </w:r>
      <w:r w:rsidR="008019AA">
        <w:rPr>
          <w:rFonts w:ascii="Arial" w:hAnsi="Arial" w:cs="Arial"/>
          <w:bCs/>
          <w:iCs/>
        </w:rPr>
        <w:t xml:space="preserve"> </w:t>
      </w:r>
      <w:r w:rsidRPr="00044890">
        <w:rPr>
          <w:rFonts w:ascii="Arial" w:hAnsi="Arial" w:cs="Arial"/>
          <w:bCs/>
          <w:iCs/>
        </w:rPr>
        <w:t>begun attendance; an institution does not satisfy this requirement if</w:t>
      </w:r>
    </w:p>
    <w:p w14:paraId="7F1C3855" w14:textId="46DC822D" w:rsidR="00044890" w:rsidRPr="00044890" w:rsidRDefault="00044890" w:rsidP="008019AA">
      <w:pPr>
        <w:spacing w:after="240"/>
        <w:ind w:left="1440" w:hanging="720"/>
        <w:jc w:val="both"/>
        <w:rPr>
          <w:rFonts w:ascii="Arial" w:hAnsi="Arial" w:cs="Arial"/>
          <w:bCs/>
          <w:iCs/>
        </w:rPr>
      </w:pPr>
      <w:r w:rsidRPr="00044890">
        <w:rPr>
          <w:rFonts w:ascii="Arial" w:hAnsi="Arial" w:cs="Arial"/>
          <w:bCs/>
          <w:iCs/>
        </w:rPr>
        <w:t>(1)</w:t>
      </w:r>
      <w:r w:rsidRPr="00044890">
        <w:rPr>
          <w:rFonts w:ascii="Arial" w:hAnsi="Arial" w:cs="Arial"/>
          <w:bCs/>
          <w:iCs/>
        </w:rPr>
        <w:tab/>
        <w:t>The institution’s records show that the check was issued more than 30 days after the date that the institution becomes aware that the student will not or has not begun attendance; or</w:t>
      </w:r>
    </w:p>
    <w:p w14:paraId="157C49E3" w14:textId="2DF05B70" w:rsidR="000C04C5" w:rsidRPr="00044890" w:rsidRDefault="00044890" w:rsidP="008019AA">
      <w:pPr>
        <w:spacing w:after="240"/>
        <w:ind w:left="1440" w:hanging="720"/>
        <w:jc w:val="both"/>
        <w:rPr>
          <w:rFonts w:ascii="Arial" w:hAnsi="Arial" w:cs="Arial"/>
          <w:bCs/>
          <w:iCs/>
        </w:rPr>
      </w:pPr>
      <w:r w:rsidRPr="00044890">
        <w:rPr>
          <w:rFonts w:ascii="Arial" w:hAnsi="Arial" w:cs="Arial"/>
          <w:bCs/>
          <w:iCs/>
        </w:rPr>
        <w:t>(2)</w:t>
      </w:r>
      <w:r w:rsidRPr="00044890">
        <w:rPr>
          <w:rFonts w:ascii="Arial" w:hAnsi="Arial" w:cs="Arial"/>
          <w:bCs/>
          <w:iCs/>
        </w:rPr>
        <w:tab/>
        <w:t>The date on the cancelled check shows that the bank used by the secretary endorsed that check more than 45 days after the date that the institution becomes aware that the student will not or has not begun attendance</w:t>
      </w:r>
      <w:r w:rsidR="008019AA">
        <w:rPr>
          <w:rFonts w:ascii="Arial" w:hAnsi="Arial" w:cs="Arial"/>
          <w:bCs/>
          <w:iCs/>
        </w:rPr>
        <w:t xml:space="preserve"> </w:t>
      </w:r>
      <w:r w:rsidRPr="00044890">
        <w:rPr>
          <w:rFonts w:ascii="Arial" w:hAnsi="Arial" w:cs="Arial"/>
          <w:bCs/>
          <w:iCs/>
        </w:rPr>
        <w:t>(34 CFR 668.21(d)).</w:t>
      </w:r>
    </w:p>
    <w:p w14:paraId="5C2B4E3F" w14:textId="77777777" w:rsidR="000C04C5" w:rsidRPr="000C04C5" w:rsidRDefault="000C04C5" w:rsidP="000C04C5">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0465BD5A" w14:textId="77777777" w:rsidR="000C04C5" w:rsidRPr="000706D1" w:rsidRDefault="000C04C5" w:rsidP="000C04C5">
      <w:pPr>
        <w:pStyle w:val="Heading3"/>
        <w:jc w:val="both"/>
        <w:rPr>
          <w:rFonts w:cs="Arial"/>
          <w:sz w:val="24"/>
          <w:szCs w:val="24"/>
        </w:rPr>
      </w:pPr>
      <w:bookmarkStart w:id="86" w:name="_Toc176355437"/>
      <w:r w:rsidRPr="000706D1">
        <w:rPr>
          <w:rFonts w:cs="Arial"/>
          <w:sz w:val="24"/>
          <w:szCs w:val="24"/>
        </w:rPr>
        <w:t>Additional Program Specific Information</w:t>
      </w:r>
      <w:bookmarkEnd w:id="86"/>
    </w:p>
    <w:p w14:paraId="4E1DDFD7" w14:textId="77777777" w:rsidR="000C04C5" w:rsidRPr="00AA5B05" w:rsidRDefault="000C04C5" w:rsidP="000C04C5">
      <w:pPr>
        <w:spacing w:after="240"/>
        <w:jc w:val="both"/>
        <w:rPr>
          <w:rFonts w:ascii="Arial" w:hAnsi="Arial" w:cs="Arial"/>
          <w:b/>
          <w:highlight w:val="yellow"/>
        </w:rPr>
      </w:pPr>
      <w:r w:rsidRPr="00AA5B05">
        <w:rPr>
          <w:rFonts w:ascii="Arial" w:hAnsi="Arial" w:cs="Arial"/>
          <w:b/>
          <w:highlight w:val="yellow"/>
        </w:rPr>
        <w:t>Add program specific requirements from:</w:t>
      </w:r>
    </w:p>
    <w:p w14:paraId="6B211325" w14:textId="0A157855"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D6F3A">
        <w:rPr>
          <w:rFonts w:ascii="Arial" w:hAnsi="Arial" w:cs="Arial"/>
          <w:b/>
          <w:highlight w:val="yellow"/>
        </w:rPr>
        <w:t xml:space="preserve"> and</w:t>
      </w:r>
    </w:p>
    <w:p w14:paraId="6EE85CB0" w14:textId="77777777"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338BBA7" w14:textId="77777777" w:rsidR="000C04C5" w:rsidRPr="00AA5B05" w:rsidRDefault="000C04C5" w:rsidP="000C04C5">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283EF48" w14:textId="77777777" w:rsidR="000C04C5" w:rsidRPr="000706D1" w:rsidRDefault="000C04C5" w:rsidP="000C04C5">
      <w:pPr>
        <w:pStyle w:val="Heading3"/>
        <w:jc w:val="both"/>
        <w:rPr>
          <w:rFonts w:cs="Arial"/>
          <w:sz w:val="24"/>
          <w:szCs w:val="24"/>
        </w:rPr>
      </w:pPr>
      <w:bookmarkStart w:id="87" w:name="_Toc176355438"/>
      <w:r w:rsidRPr="000706D1">
        <w:rPr>
          <w:rFonts w:cs="Arial"/>
          <w:sz w:val="24"/>
          <w:szCs w:val="24"/>
        </w:rPr>
        <w:t>Audit Objectives and Control Testing</w:t>
      </w:r>
      <w:bookmarkEnd w:id="87"/>
    </w:p>
    <w:p w14:paraId="6A7F4910" w14:textId="77777777" w:rsidR="000C04C5" w:rsidRPr="00F00D94" w:rsidRDefault="000C04C5" w:rsidP="000C04C5">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022D596" w14:textId="77777777" w:rsidR="000C04C5" w:rsidRPr="00F00D94" w:rsidRDefault="000C04C5" w:rsidP="000C04C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368AF1D" w14:textId="77777777" w:rsidR="000C04C5"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AF145DE" w14:textId="574D23AB" w:rsidR="008019AA" w:rsidRPr="008019AA" w:rsidRDefault="008019AA" w:rsidP="008019AA">
      <w:pPr>
        <w:pStyle w:val="ListParagraph"/>
        <w:numPr>
          <w:ilvl w:val="0"/>
          <w:numId w:val="7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019AA">
        <w:rPr>
          <w:rFonts w:ascii="Arial" w:hAnsi="Arial" w:cs="Arial"/>
          <w:iCs/>
        </w:rPr>
        <w:t>Determine if the institution—</w:t>
      </w:r>
    </w:p>
    <w:p w14:paraId="2C063D69" w14:textId="77777777" w:rsidR="008019AA" w:rsidRPr="008019AA" w:rsidRDefault="008019AA" w:rsidP="008019AA">
      <w:pPr>
        <w:pStyle w:val="ListParagraph"/>
        <w:numPr>
          <w:ilvl w:val="0"/>
          <w:numId w:val="7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019AA">
        <w:rPr>
          <w:rFonts w:ascii="Arial" w:hAnsi="Arial" w:cs="Arial"/>
          <w:iCs/>
        </w:rPr>
        <w:t>Accurately calculated return of Title IV funds for withdrawn students who began attendance, allocated the return of Title IV funds as required, returned Title IV funds timely (unless the student met one of the R2T4 withdrawal exemptions), and notified borrowers of returned loans;</w:t>
      </w:r>
    </w:p>
    <w:p w14:paraId="65177269" w14:textId="77777777" w:rsidR="008019AA" w:rsidRPr="008019AA" w:rsidRDefault="008019AA" w:rsidP="008019AA">
      <w:pPr>
        <w:pStyle w:val="ListParagraph"/>
        <w:numPr>
          <w:ilvl w:val="0"/>
          <w:numId w:val="7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019AA">
        <w:rPr>
          <w:rFonts w:ascii="Arial" w:hAnsi="Arial" w:cs="Arial"/>
          <w:iCs/>
        </w:rPr>
        <w:lastRenderedPageBreak/>
        <w:t>Timely returned all Title IV funds when a student did not begin attendance as required; and</w:t>
      </w:r>
    </w:p>
    <w:p w14:paraId="2212BA49" w14:textId="18AAA20C" w:rsidR="000C04C5" w:rsidRPr="008019AA" w:rsidRDefault="008019AA" w:rsidP="008019AA">
      <w:pPr>
        <w:pStyle w:val="ListParagraph"/>
        <w:numPr>
          <w:ilvl w:val="0"/>
          <w:numId w:val="7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019AA">
        <w:rPr>
          <w:rFonts w:ascii="Arial" w:hAnsi="Arial" w:cs="Arial"/>
          <w:iCs/>
        </w:rPr>
        <w:t>Followed the requirements for post-withdrawal disbursements as applicable.</w:t>
      </w:r>
    </w:p>
    <w:p w14:paraId="5364614F" w14:textId="1F507A58" w:rsidR="008019AA" w:rsidRPr="008019AA" w:rsidRDefault="008019AA" w:rsidP="008019AA">
      <w:pPr>
        <w:spacing w:after="240"/>
        <w:jc w:val="both"/>
        <w:rPr>
          <w:rFonts w:ascii="Arial" w:hAnsi="Arial" w:cs="Arial"/>
          <w:bCs/>
        </w:rPr>
      </w:pPr>
      <w:r w:rsidRPr="008019AA">
        <w:rPr>
          <w:rFonts w:ascii="Arial" w:hAnsi="Arial" w:cs="Arial"/>
          <w:bCs/>
          <w:i/>
        </w:rPr>
        <w:t>(Source: 2024 OMB Compliance Supplement, Part 5, Student Financial Assistance Cluster)</w:t>
      </w:r>
    </w:p>
    <w:p w14:paraId="438158B0" w14:textId="77777777" w:rsidR="000C04C5" w:rsidRPr="00634FA3" w:rsidRDefault="000C04C5" w:rsidP="000C04C5">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0C04C5" w:rsidRPr="00F00D94" w14:paraId="6C3E376C" w14:textId="77777777" w:rsidTr="004F1F50">
        <w:tc>
          <w:tcPr>
            <w:tcW w:w="5000" w:type="pct"/>
          </w:tcPr>
          <w:p w14:paraId="54342D6E" w14:textId="77777777" w:rsidR="000C04C5" w:rsidRPr="006F5FFA" w:rsidRDefault="000C04C5" w:rsidP="004F1F5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0BFB877"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6148F77" w14:textId="77777777" w:rsidR="000C04C5" w:rsidRPr="00F00D94" w:rsidRDefault="000C04C5" w:rsidP="004F1F50">
            <w:pPr>
              <w:pStyle w:val="AuditProcedureHeading"/>
              <w:spacing w:after="240"/>
              <w:jc w:val="both"/>
              <w:rPr>
                <w:rFonts w:cs="Arial"/>
                <w:b/>
                <w:bCs/>
                <w:szCs w:val="20"/>
                <w:u w:val="single"/>
              </w:rPr>
            </w:pPr>
          </w:p>
          <w:p w14:paraId="5DD080CD" w14:textId="77777777" w:rsidR="000C04C5" w:rsidRPr="00F00D94" w:rsidRDefault="000C04C5" w:rsidP="004F1F5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2EA17A2" w14:textId="77777777" w:rsidR="000C04C5" w:rsidRPr="00F00D94" w:rsidRDefault="000C04C5" w:rsidP="004F1F50">
            <w:pPr>
              <w:pStyle w:val="AuditProcedureHeading"/>
              <w:spacing w:after="240"/>
              <w:jc w:val="both"/>
              <w:rPr>
                <w:rFonts w:cs="Arial"/>
                <w:b/>
                <w:bCs/>
                <w:szCs w:val="20"/>
                <w:u w:val="single"/>
              </w:rPr>
            </w:pPr>
          </w:p>
          <w:p w14:paraId="09996F8E"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E595BEC" w14:textId="77777777" w:rsidR="000C04C5" w:rsidRPr="00F00D94" w:rsidRDefault="000C04C5" w:rsidP="004F1F50">
            <w:pPr>
              <w:spacing w:after="240"/>
              <w:jc w:val="both"/>
              <w:rPr>
                <w:rFonts w:ascii="Arial" w:hAnsi="Arial" w:cs="Arial"/>
                <w:b/>
                <w:sz w:val="20"/>
                <w:u w:val="single"/>
              </w:rPr>
            </w:pPr>
          </w:p>
          <w:p w14:paraId="25285590" w14:textId="77777777" w:rsidR="000C04C5" w:rsidRPr="00F00D94" w:rsidRDefault="000C04C5" w:rsidP="004F1F5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7672D36" w14:textId="77777777" w:rsidR="000C04C5" w:rsidRPr="00C35E5F" w:rsidRDefault="000C04C5" w:rsidP="004F1F50">
            <w:pPr>
              <w:spacing w:after="240"/>
              <w:jc w:val="both"/>
              <w:rPr>
                <w:rFonts w:ascii="Arial" w:eastAsiaTheme="minorHAnsi" w:hAnsi="Arial" w:cs="Arial"/>
                <w:sz w:val="20"/>
                <w:szCs w:val="20"/>
              </w:rPr>
            </w:pPr>
          </w:p>
        </w:tc>
      </w:tr>
    </w:tbl>
    <w:p w14:paraId="29E11D07"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C235382" w14:textId="77777777" w:rsidR="000C04C5" w:rsidRPr="000706D1" w:rsidRDefault="000C04C5" w:rsidP="000C04C5">
      <w:pPr>
        <w:pStyle w:val="Heading3"/>
        <w:jc w:val="both"/>
        <w:rPr>
          <w:rFonts w:cs="Arial"/>
          <w:sz w:val="24"/>
          <w:szCs w:val="24"/>
        </w:rPr>
      </w:pPr>
      <w:bookmarkStart w:id="88" w:name="_Toc17635543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8"/>
    </w:p>
    <w:tbl>
      <w:tblPr>
        <w:tblStyle w:val="TableGrid"/>
        <w:tblW w:w="9558" w:type="dxa"/>
        <w:tblLayout w:type="fixed"/>
        <w:tblLook w:val="04A0" w:firstRow="1" w:lastRow="0" w:firstColumn="1" w:lastColumn="0" w:noHBand="0" w:noVBand="1"/>
      </w:tblPr>
      <w:tblGrid>
        <w:gridCol w:w="9558"/>
      </w:tblGrid>
      <w:tr w:rsidR="000C04C5" w:rsidRPr="00F00D94" w14:paraId="2699B671" w14:textId="77777777" w:rsidTr="004F1F50">
        <w:tc>
          <w:tcPr>
            <w:tcW w:w="9558" w:type="dxa"/>
          </w:tcPr>
          <w:p w14:paraId="32478462" w14:textId="77777777" w:rsidR="000C04C5" w:rsidRDefault="000C04C5" w:rsidP="004F1F5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CAE7B7D" w14:textId="77777777" w:rsidR="000C04C5" w:rsidRPr="00AC7B25" w:rsidRDefault="000C04C5" w:rsidP="004F1F50">
            <w:pPr>
              <w:spacing w:after="240"/>
              <w:jc w:val="both"/>
              <w:rPr>
                <w:rFonts w:ascii="Arial" w:hAnsi="Arial" w:cs="Arial"/>
                <w:i/>
                <w:sz w:val="20"/>
                <w:szCs w:val="20"/>
              </w:rPr>
            </w:pPr>
            <w:r>
              <w:rPr>
                <w:rFonts w:ascii="Arial" w:hAnsi="Arial" w:cs="Arial"/>
                <w:i/>
                <w:sz w:val="20"/>
                <w:szCs w:val="20"/>
              </w:rPr>
              <w:t>(Source: 2024 OMB Compliance Supplement Part 3)</w:t>
            </w:r>
          </w:p>
          <w:p w14:paraId="6833C5DA" w14:textId="3864146F" w:rsidR="008019AA" w:rsidRPr="008019AA" w:rsidRDefault="008019AA" w:rsidP="008019AA">
            <w:pPr>
              <w:spacing w:after="240"/>
              <w:ind w:left="612" w:hanging="612"/>
              <w:jc w:val="both"/>
              <w:rPr>
                <w:rFonts w:ascii="Arial" w:hAnsi="Arial" w:cs="Arial"/>
                <w:sz w:val="20"/>
              </w:rPr>
            </w:pPr>
            <w:r w:rsidRPr="008019AA">
              <w:rPr>
                <w:rFonts w:ascii="Arial" w:hAnsi="Arial" w:cs="Arial"/>
                <w:sz w:val="20"/>
              </w:rPr>
              <w:t>a.</w:t>
            </w:r>
            <w:r w:rsidRPr="008019AA">
              <w:rPr>
                <w:rFonts w:ascii="Arial" w:hAnsi="Arial" w:cs="Arial"/>
                <w:sz w:val="20"/>
              </w:rPr>
              <w:tab/>
              <w:t>Using a sample of students who ceased attendance during a payment period or period of enrollment (including those who met one of the withdrawal exemptions), dropped, on a leave of absence, never began attendance or terminated during the audit period ascertain if returns of Title IV funds were properly calculated. Obtain and inspect student academic and financial aid files, student ledger accounts, financial records, and, if applicable, attendance records. Ensure that for students enrolled in distance education courses, documented attendance includes academic engagement, not merely logging in to an online platform; when applicable to the determination of last day of attendance (See the discussion under FSA Handbook, Volume 5, Chapter 2: Documenting attendance when students are enrolled in distance education courses). From the records determine:</w:t>
            </w:r>
          </w:p>
          <w:p w14:paraId="45CFEADD" w14:textId="4676FF50" w:rsidR="008019AA" w:rsidRPr="008019AA" w:rsidRDefault="008019AA" w:rsidP="008019AA">
            <w:pPr>
              <w:spacing w:after="240"/>
              <w:ind w:left="1332" w:hanging="720"/>
              <w:jc w:val="both"/>
              <w:rPr>
                <w:rFonts w:ascii="Arial" w:hAnsi="Arial" w:cs="Arial"/>
                <w:sz w:val="20"/>
              </w:rPr>
            </w:pPr>
            <w:r w:rsidRPr="008019AA">
              <w:rPr>
                <w:rFonts w:ascii="Arial" w:hAnsi="Arial" w:cs="Arial"/>
                <w:sz w:val="20"/>
              </w:rPr>
              <w:t>(1)</w:t>
            </w:r>
            <w:r w:rsidRPr="008019AA">
              <w:rPr>
                <w:rFonts w:ascii="Arial" w:hAnsi="Arial" w:cs="Arial"/>
                <w:sz w:val="20"/>
              </w:rPr>
              <w:tab/>
              <w:t>If the student’s enrollment status is correct (official or unofficial withdrawal or enrolled or graduated only if the student met the requirements for one of the withdrawal exemptions).</w:t>
            </w:r>
          </w:p>
          <w:p w14:paraId="3608131B" w14:textId="7C9B1870" w:rsidR="008019AA" w:rsidRPr="008019AA" w:rsidRDefault="008019AA" w:rsidP="008019AA">
            <w:pPr>
              <w:spacing w:after="240"/>
              <w:ind w:left="1332" w:hanging="720"/>
              <w:jc w:val="both"/>
              <w:rPr>
                <w:rFonts w:ascii="Arial" w:hAnsi="Arial" w:cs="Arial"/>
                <w:sz w:val="20"/>
              </w:rPr>
            </w:pPr>
            <w:r w:rsidRPr="008019AA">
              <w:rPr>
                <w:rFonts w:ascii="Arial" w:hAnsi="Arial" w:cs="Arial"/>
                <w:sz w:val="20"/>
              </w:rPr>
              <w:lastRenderedPageBreak/>
              <w:t>(2)</w:t>
            </w:r>
            <w:r w:rsidRPr="008019AA">
              <w:rPr>
                <w:rFonts w:ascii="Arial" w:hAnsi="Arial" w:cs="Arial"/>
                <w:sz w:val="20"/>
              </w:rPr>
              <w:tab/>
              <w:t>Whether the calculation is calculated accurately. Calculating return of Title IV funds may be made using the worksheets found in the Appendix to Volume 5 of the FSA Handbook.</w:t>
            </w:r>
          </w:p>
          <w:p w14:paraId="7F2C6A6D" w14:textId="7BF56AFF" w:rsidR="008019AA" w:rsidRPr="008019AA" w:rsidRDefault="008019AA" w:rsidP="008019AA">
            <w:pPr>
              <w:spacing w:after="240"/>
              <w:ind w:left="612" w:hanging="612"/>
              <w:jc w:val="both"/>
              <w:rPr>
                <w:rFonts w:ascii="Arial" w:hAnsi="Arial" w:cs="Arial"/>
                <w:sz w:val="20"/>
              </w:rPr>
            </w:pPr>
            <w:r w:rsidRPr="008019AA">
              <w:rPr>
                <w:rFonts w:ascii="Arial" w:hAnsi="Arial" w:cs="Arial"/>
                <w:sz w:val="20"/>
              </w:rPr>
              <w:t>b.</w:t>
            </w:r>
            <w:r w:rsidRPr="008019AA">
              <w:rPr>
                <w:rFonts w:ascii="Arial" w:hAnsi="Arial" w:cs="Arial"/>
                <w:sz w:val="20"/>
              </w:rPr>
              <w:tab/>
              <w:t>For instances in the sample tested in procedure a. above where a return of Title IV was required, trace the return of Title IV funds to disbursement and accounting records (including canceled checks to ED and students) to verify that returned Title IV funds were applied to programs in the required order and were timely. Ascertain that within 45 days (or within 30 days for students that never began attendance) of becoming aware that the student had withdrawn, deposits or transfers were made into the federal funds account, electronic transfers were initiated, or checks were issued. When an institution issues a check, the return of Title IV is not timely if the institution’s records show that the check was issued more than 45 days after the institution becomes aware that the student withdrew (or more than 30 days for students that never began attendance) or the date on the cancelled check shows that the bank used by ED endorsed the check more than 60 days after the institution becomes aware that the student withdrew (or more than 45 days for students that never began attendance).</w:t>
            </w:r>
          </w:p>
          <w:p w14:paraId="076ABE0E" w14:textId="68639D64" w:rsidR="008019AA" w:rsidRPr="008019AA" w:rsidRDefault="008019AA" w:rsidP="008019AA">
            <w:pPr>
              <w:spacing w:after="240"/>
              <w:ind w:left="612" w:hanging="612"/>
              <w:jc w:val="both"/>
              <w:rPr>
                <w:rFonts w:ascii="Arial" w:hAnsi="Arial" w:cs="Arial"/>
                <w:sz w:val="20"/>
              </w:rPr>
            </w:pPr>
            <w:r w:rsidRPr="008019AA">
              <w:rPr>
                <w:rFonts w:ascii="Arial" w:hAnsi="Arial" w:cs="Arial"/>
                <w:sz w:val="20"/>
              </w:rPr>
              <w:t>c.</w:t>
            </w:r>
            <w:r w:rsidRPr="008019AA">
              <w:rPr>
                <w:rFonts w:ascii="Arial" w:hAnsi="Arial" w:cs="Arial"/>
                <w:sz w:val="20"/>
              </w:rPr>
              <w:tab/>
              <w:t>For a sample of students who received Title IV assistance, for which no return of Title IV funds were made, review academic and enrollment records (including class attendance records if they are required) to ascertain whether the students sufficiently completed the payment or enrollment period to earn the Title IV funds received (earned 100% of Title IV funds received if completed more than 60% of the payment period/period of enrollment) or met one of the withdrawal exemptions. When doing this, for students who received all failing and/or all incomplete grades, review records to ascertain whether the students had attended the institution or had attended but withdrawn (unofficial withdrawals). Ensure that for students enrolled in distance education courses, documented attendance includes academic engagement, not merely logging in to an online platform.</w:t>
            </w:r>
          </w:p>
          <w:p w14:paraId="4CC46D16" w14:textId="2FEE8E27" w:rsidR="008019AA" w:rsidRPr="001B6A61" w:rsidRDefault="008019AA" w:rsidP="008019AA">
            <w:pPr>
              <w:spacing w:after="240"/>
              <w:ind w:left="612" w:hanging="612"/>
              <w:jc w:val="both"/>
              <w:rPr>
                <w:rFonts w:ascii="Arial" w:hAnsi="Arial" w:cs="Arial"/>
                <w:b/>
                <w:bCs/>
                <w:sz w:val="20"/>
              </w:rPr>
            </w:pPr>
            <w:r w:rsidRPr="008019AA">
              <w:rPr>
                <w:rFonts w:ascii="Arial" w:hAnsi="Arial" w:cs="Arial"/>
                <w:sz w:val="20"/>
              </w:rPr>
              <w:t>d.</w:t>
            </w:r>
            <w:r w:rsidRPr="008019AA">
              <w:rPr>
                <w:rFonts w:ascii="Arial" w:hAnsi="Arial" w:cs="Arial"/>
                <w:sz w:val="20"/>
              </w:rPr>
              <w:tab/>
              <w:t>For instances in the sample tested in procedure a. above where the student or parent was eligible for a post-withdrawal disbursement, ascertain if appropriate notification of the post-withdrawal disbursement was given to the student or parent. Review evidence of the student or parent’s acceptance or rejection of the post-withdrawal disbursement. Determine if the institution followed the student or parent’s instructions regarding the post-withdrawal disbursement.</w:t>
            </w:r>
          </w:p>
        </w:tc>
      </w:tr>
    </w:tbl>
    <w:p w14:paraId="71F8D188"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18B4F5B" w14:textId="77777777" w:rsidR="000C04C5" w:rsidRPr="000706D1" w:rsidRDefault="000C04C5" w:rsidP="000C04C5">
      <w:pPr>
        <w:pStyle w:val="Heading3"/>
        <w:jc w:val="both"/>
        <w:rPr>
          <w:rFonts w:cs="Arial"/>
          <w:b w:val="0"/>
          <w:sz w:val="24"/>
          <w:szCs w:val="24"/>
        </w:rPr>
      </w:pPr>
      <w:bookmarkStart w:id="89" w:name="_Toc176355440"/>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0C04C5" w:rsidRPr="00F00D94" w14:paraId="6C79DB69" w14:textId="77777777" w:rsidTr="004F1F50">
        <w:tc>
          <w:tcPr>
            <w:tcW w:w="5000" w:type="pct"/>
          </w:tcPr>
          <w:p w14:paraId="08704721" w14:textId="77777777" w:rsidR="000C04C5" w:rsidRDefault="000C04C5" w:rsidP="004F1F5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6657436" w14:textId="77777777" w:rsidR="000C04C5" w:rsidRPr="006E46AD" w:rsidRDefault="000C04C5" w:rsidP="004F1F5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D281070" w14:textId="77777777" w:rsidR="000C04C5" w:rsidRPr="006E46AD" w:rsidRDefault="000C04C5" w:rsidP="008019AA">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50B63D7" w14:textId="77777777" w:rsidR="000C04C5" w:rsidRPr="006E46AD" w:rsidRDefault="000C04C5" w:rsidP="004F1F50">
            <w:pPr>
              <w:widowControl w:val="0"/>
              <w:spacing w:after="240"/>
              <w:ind w:left="720"/>
              <w:jc w:val="both"/>
              <w:rPr>
                <w:rFonts w:ascii="Arial" w:hAnsi="Arial" w:cs="Arial"/>
                <w:b/>
                <w:sz w:val="20"/>
                <w:szCs w:val="20"/>
              </w:rPr>
            </w:pPr>
          </w:p>
          <w:p w14:paraId="31021010" w14:textId="77777777" w:rsidR="000C04C5" w:rsidRPr="006E46AD" w:rsidRDefault="000C04C5" w:rsidP="008019AA">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72F114D" w14:textId="77777777" w:rsidR="000C04C5" w:rsidRPr="00F00D94" w:rsidRDefault="000C04C5" w:rsidP="004F1F50">
            <w:pPr>
              <w:pStyle w:val="ListParagraph"/>
              <w:spacing w:after="240"/>
              <w:jc w:val="both"/>
              <w:rPr>
                <w:rFonts w:ascii="Arial" w:hAnsi="Arial" w:cs="Arial"/>
                <w:b/>
              </w:rPr>
            </w:pPr>
          </w:p>
          <w:p w14:paraId="23B7887F" w14:textId="77777777" w:rsidR="000C04C5" w:rsidRPr="00F00D94" w:rsidRDefault="000C04C5" w:rsidP="008019AA">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2FC3B97" w14:textId="77777777" w:rsidR="000C04C5" w:rsidRPr="00F00D94" w:rsidRDefault="000C04C5" w:rsidP="004F1F50">
            <w:pPr>
              <w:pStyle w:val="ListParagraph"/>
              <w:spacing w:after="240"/>
              <w:jc w:val="both"/>
              <w:rPr>
                <w:rFonts w:ascii="Arial" w:hAnsi="Arial" w:cs="Arial"/>
                <w:b/>
              </w:rPr>
            </w:pPr>
          </w:p>
          <w:p w14:paraId="3186E653" w14:textId="77777777" w:rsidR="000C04C5" w:rsidRPr="00F00D94" w:rsidRDefault="000C04C5" w:rsidP="008019AA">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F3EC928" w14:textId="77777777" w:rsidR="000C04C5" w:rsidRPr="00F00D94" w:rsidRDefault="000C04C5" w:rsidP="004F1F50">
            <w:pPr>
              <w:pStyle w:val="ListParagraph"/>
              <w:spacing w:after="240"/>
              <w:jc w:val="both"/>
              <w:rPr>
                <w:rFonts w:ascii="Arial" w:hAnsi="Arial" w:cs="Arial"/>
                <w:b/>
              </w:rPr>
            </w:pPr>
          </w:p>
          <w:p w14:paraId="46B7D68D" w14:textId="77777777" w:rsidR="000C04C5" w:rsidRPr="00F00D94" w:rsidRDefault="000C04C5" w:rsidP="008019AA">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5AEC2F5" w14:textId="77777777" w:rsidR="000C04C5" w:rsidRPr="00F00D94" w:rsidRDefault="000C04C5" w:rsidP="004F1F50">
            <w:pPr>
              <w:pStyle w:val="APStepItem"/>
              <w:numPr>
                <w:ilvl w:val="0"/>
                <w:numId w:val="0"/>
              </w:numPr>
              <w:spacing w:after="240"/>
              <w:rPr>
                <w:rFonts w:cs="Arial"/>
                <w:b/>
              </w:rPr>
            </w:pPr>
          </w:p>
        </w:tc>
      </w:tr>
    </w:tbl>
    <w:p w14:paraId="6B1067D3" w14:textId="77777777" w:rsidR="000C04C5" w:rsidRDefault="000C04C5" w:rsidP="000C04C5">
      <w:pPr>
        <w:rPr>
          <w:rFonts w:ascii="Arial" w:hAnsi="Arial" w:cs="Arial"/>
        </w:rPr>
        <w:sectPr w:rsidR="000C04C5" w:rsidSect="00257772">
          <w:headerReference w:type="default" r:id="rId92"/>
          <w:pgSz w:w="12240" w:h="15840" w:code="1"/>
          <w:pgMar w:top="1440" w:right="1440" w:bottom="1440" w:left="1440" w:header="720" w:footer="720" w:gutter="0"/>
          <w:cols w:space="720"/>
          <w:docGrid w:linePitch="360"/>
        </w:sectPr>
      </w:pPr>
    </w:p>
    <w:p w14:paraId="146B8EC8" w14:textId="45409029" w:rsidR="000C04C5" w:rsidRPr="000706D1" w:rsidRDefault="000C04C5" w:rsidP="000C04C5">
      <w:pPr>
        <w:pStyle w:val="Heading2"/>
        <w:jc w:val="both"/>
        <w:rPr>
          <w:rFonts w:cs="Arial"/>
          <w:sz w:val="24"/>
        </w:rPr>
      </w:pPr>
      <w:bookmarkStart w:id="90" w:name="_Toc176355441"/>
      <w:r w:rsidRPr="000706D1">
        <w:rPr>
          <w:rFonts w:cs="Arial"/>
          <w:sz w:val="24"/>
        </w:rPr>
        <w:lastRenderedPageBreak/>
        <w:t>N</w:t>
      </w:r>
      <w:r w:rsidR="00FD3902">
        <w:rPr>
          <w:rFonts w:cs="Arial"/>
          <w:sz w:val="24"/>
        </w:rPr>
        <w:t>6</w:t>
      </w:r>
      <w:r w:rsidRPr="000706D1">
        <w:rPr>
          <w:rFonts w:cs="Arial"/>
          <w:sz w:val="24"/>
        </w:rPr>
        <w:t>.  SPECIAL TESTS AND PROVISIONS</w:t>
      </w:r>
      <w:r w:rsidR="00FD3902">
        <w:rPr>
          <w:rFonts w:cs="Arial"/>
          <w:sz w:val="24"/>
        </w:rPr>
        <w:t xml:space="preserve"> – Enrollment Reporting</w:t>
      </w:r>
      <w:bookmarkEnd w:id="90"/>
    </w:p>
    <w:p w14:paraId="7D51383D" w14:textId="77777777" w:rsidR="000C04C5" w:rsidRPr="000706D1" w:rsidRDefault="000C04C5" w:rsidP="000C04C5">
      <w:pPr>
        <w:pStyle w:val="Heading3"/>
        <w:jc w:val="both"/>
        <w:rPr>
          <w:rFonts w:cs="Arial"/>
          <w:sz w:val="24"/>
          <w:szCs w:val="24"/>
        </w:rPr>
      </w:pPr>
      <w:bookmarkStart w:id="91" w:name="_Toc176355442"/>
      <w:r w:rsidRPr="000706D1">
        <w:rPr>
          <w:rFonts w:cs="Arial"/>
          <w:sz w:val="24"/>
          <w:szCs w:val="24"/>
        </w:rPr>
        <w:t>OMB Compliance Requirements</w:t>
      </w:r>
      <w:bookmarkEnd w:id="91"/>
    </w:p>
    <w:p w14:paraId="2FE77519"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D83FA26"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2B207B3E" w14:textId="77777777" w:rsidR="000C04C5" w:rsidRPr="00F00D94" w:rsidRDefault="000C04C5" w:rsidP="000C04C5">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824C188" w14:textId="77777777" w:rsidR="000C04C5" w:rsidRPr="000706D1" w:rsidRDefault="000C04C5" w:rsidP="000C04C5">
      <w:pPr>
        <w:spacing w:after="240"/>
        <w:jc w:val="both"/>
        <w:rPr>
          <w:rFonts w:ascii="Arial" w:hAnsi="Arial" w:cs="Arial"/>
          <w:b/>
          <w:sz w:val="24"/>
          <w:szCs w:val="24"/>
        </w:rPr>
      </w:pPr>
      <w:r w:rsidRPr="000706D1">
        <w:rPr>
          <w:rFonts w:ascii="Arial" w:hAnsi="Arial" w:cs="Arial"/>
          <w:b/>
          <w:sz w:val="24"/>
          <w:szCs w:val="24"/>
        </w:rPr>
        <w:t xml:space="preserve">Part </w:t>
      </w:r>
      <w:r>
        <w:rPr>
          <w:rFonts w:ascii="Arial" w:hAnsi="Arial" w:cs="Arial"/>
          <w:b/>
          <w:sz w:val="24"/>
          <w:szCs w:val="24"/>
        </w:rPr>
        <w:t>5</w:t>
      </w:r>
      <w:r w:rsidRPr="000706D1">
        <w:rPr>
          <w:rFonts w:ascii="Arial" w:hAnsi="Arial" w:cs="Arial"/>
          <w:b/>
          <w:sz w:val="24"/>
          <w:szCs w:val="24"/>
        </w:rPr>
        <w:t xml:space="preserve"> OMB Program Specific Requirements</w:t>
      </w:r>
    </w:p>
    <w:p w14:paraId="00DF6838" w14:textId="2C89C35C" w:rsidR="00FD3902" w:rsidRPr="00FD3902" w:rsidRDefault="00FD3902" w:rsidP="00FD3902">
      <w:pPr>
        <w:spacing w:after="240"/>
        <w:jc w:val="both"/>
        <w:rPr>
          <w:rFonts w:ascii="Arial" w:hAnsi="Arial" w:cs="Arial"/>
          <w:bCs/>
          <w:iCs/>
        </w:rPr>
      </w:pPr>
      <w:r w:rsidRPr="00FD3902">
        <w:rPr>
          <w:rFonts w:ascii="Arial" w:hAnsi="Arial" w:cs="Arial"/>
          <w:bCs/>
          <w:iCs/>
        </w:rPr>
        <w:t xml:space="preserve">Institutions are required to report enrollment information under the Pell grant and the Direct and FFEL loan programs via the NSLDS (OMB No. 1845-0035), although FFEL loans are no longer made or a part of the SFA Cluster, a student may have a FFEL loan from previous years that would require enrollment reporting for that student (Pell, 34 CFR 690.83(b)(2); FFEL, 34 CFR 682.610; Direct Loan, 34 CFR 685.309; Perkins 34 CFR 674.19(f)). The administration of the Title IV programs depends heavily on the accuracy and timeliness of the enrollment information reported by institutions. Institutions must review, update, and certify student enrollment statuses, program information, and effective dates that appear on the Enrollment Reporting Roster file or on the Enrollment Maintenance page of the NSLDS Professional Access (NSLDSFAP) website which the financial aid administrator can access for the auditor. The data on the institution’s Enrollment Reporting Roster, or Enrollment Maintenance page, is what NSLDS has as the most recently certified enrollment. There are two categories of enrollment information, “Campus Level” and “Program Level,” both of which need to be reported accurately and have separate record types. The NSLDS Enrollment Reporting Guide provides the requirements and guidance for reporting enrollment details using the NSLDS Enrollment Reporting Process. The guide can be accessed at </w:t>
      </w:r>
      <w:hyperlink r:id="rId93" w:history="1">
        <w:r w:rsidRPr="00B94236">
          <w:rPr>
            <w:rStyle w:val="Hyperlink"/>
            <w:rFonts w:cs="Arial"/>
            <w:bCs/>
            <w:iCs/>
          </w:rPr>
          <w:t>https://fsapartners.ed.gov/knowledge-center/library/resource-type/NSLDS%20User%20Resources?nslds_type=NSLDS%20User%20Documentation</w:t>
        </w:r>
      </w:hyperlink>
      <w:r w:rsidRPr="00FD3902">
        <w:rPr>
          <w:rFonts w:ascii="Arial" w:hAnsi="Arial" w:cs="Arial"/>
          <w:bCs/>
          <w:iCs/>
        </w:rPr>
        <w:t>.</w:t>
      </w:r>
    </w:p>
    <w:p w14:paraId="4AACAA3F" w14:textId="20F90752" w:rsidR="00FD3902" w:rsidRPr="00FD3902" w:rsidRDefault="00FD3902" w:rsidP="00FD3902">
      <w:pPr>
        <w:spacing w:after="240"/>
        <w:jc w:val="both"/>
        <w:rPr>
          <w:rFonts w:ascii="Arial" w:hAnsi="Arial" w:cs="Arial"/>
          <w:bCs/>
          <w:iCs/>
        </w:rPr>
      </w:pPr>
      <w:r w:rsidRPr="00FD3902">
        <w:rPr>
          <w:rFonts w:ascii="Arial" w:hAnsi="Arial" w:cs="Arial"/>
          <w:bCs/>
          <w:iCs/>
        </w:rPr>
        <w:t>Institutions are responsible for accurately reporting all Campus-Level Record data elements. ED considers the following data elements to be high risk:</w:t>
      </w:r>
    </w:p>
    <w:p w14:paraId="32807B12" w14:textId="1EEBA489" w:rsidR="00FD3902" w:rsidRPr="00FD3902" w:rsidRDefault="00FD3902" w:rsidP="00FD3902">
      <w:pPr>
        <w:spacing w:after="240"/>
        <w:jc w:val="both"/>
        <w:rPr>
          <w:rFonts w:ascii="Arial" w:hAnsi="Arial" w:cs="Arial"/>
          <w:bCs/>
          <w:iCs/>
        </w:rPr>
      </w:pPr>
      <w:r w:rsidRPr="00FD3902">
        <w:rPr>
          <w:rFonts w:ascii="Arial" w:hAnsi="Arial" w:cs="Arial"/>
          <w:bCs/>
          <w:iCs/>
        </w:rPr>
        <w:t>•</w:t>
      </w:r>
      <w:r w:rsidRPr="00FD3902">
        <w:rPr>
          <w:rFonts w:ascii="Arial" w:hAnsi="Arial" w:cs="Arial"/>
          <w:bCs/>
          <w:iCs/>
        </w:rPr>
        <w:tab/>
        <w:t>OPEID Number – This is the OPEID for the location that the student is actually attending.</w:t>
      </w:r>
    </w:p>
    <w:p w14:paraId="05F0C1A3" w14:textId="01B72C5E"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 xml:space="preserve">Enrollment Effective Date – The date that the current enrollment status reported for a student was first effective. (See 4.4.2 of the NSLDS Enrollment Reporting Guide for the specific requirements for reporting the Enrollment Effective Date. Also see 4.4.3 of the NSLDS Enrollment Reporting Guide for additional guidance on effective dates for Withdrawal versus Graduation and Electronic Announcement titled – NSLDS Enrollment Reporting – Submission Dates, Effective Dates and </w:t>
      </w:r>
      <w:r w:rsidRPr="00FD3902">
        <w:rPr>
          <w:rFonts w:ascii="Arial" w:hAnsi="Arial" w:cs="Arial"/>
          <w:bCs/>
          <w:iCs/>
        </w:rPr>
        <w:lastRenderedPageBreak/>
        <w:t xml:space="preserve">Certification Dates, dated April 20, 2017, for additional information and examples at </w:t>
      </w:r>
      <w:hyperlink r:id="rId94" w:history="1">
        <w:r w:rsidRPr="00B94236">
          <w:rPr>
            <w:rStyle w:val="Hyperlink"/>
            <w:rFonts w:cs="Arial"/>
            <w:bCs/>
            <w:iCs/>
          </w:rPr>
          <w:t>https://fsapartners.ed.gov/knowledge-center/library/electronic-announcements/2017-04-20/general-subject-nslds-enrollment-reporting-submission-dates-effective-dates-and-certification-dates</w:t>
        </w:r>
      </w:hyperlink>
      <w:r w:rsidRPr="00FD3902">
        <w:rPr>
          <w:rFonts w:ascii="Arial" w:hAnsi="Arial" w:cs="Arial"/>
          <w:bCs/>
          <w:iCs/>
        </w:rPr>
        <w:t>.)</w:t>
      </w:r>
    </w:p>
    <w:p w14:paraId="7E58A172" w14:textId="1166F216"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Enrollment Status – The student’s enrollment status as of the reporting date; full- time (F), three-quarter time (Q), half-time (H), less than half-time (L), leave of absence (A), graduated (G), withdrawn (W), deceased (D), never attended (X) and record not found (Z). (See 4.4.4 of the NSLDS Enrollment Reporting Guide for additional guidance on reporting graduated and withdrawn for the Campus-Level Record versus the Program Level Record and 4.4.10 for further guidance on Enrollment Status reporting at the Campus-Level Record and the Program-Level Record.)</w:t>
      </w:r>
    </w:p>
    <w:p w14:paraId="2D029064" w14:textId="698D160C"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Certification Date – The Date enrollment certified by institution. At a minimum, institutions are required to certify enrollment every 60 days or every other month.</w:t>
      </w:r>
    </w:p>
    <w:p w14:paraId="566A06EC" w14:textId="77777777" w:rsidR="00FD3902" w:rsidRPr="00FD3902" w:rsidRDefault="00FD3902" w:rsidP="00FD3902">
      <w:pPr>
        <w:spacing w:after="240"/>
        <w:jc w:val="both"/>
        <w:rPr>
          <w:rFonts w:ascii="Arial" w:hAnsi="Arial" w:cs="Arial"/>
          <w:bCs/>
          <w:iCs/>
        </w:rPr>
      </w:pPr>
      <w:r w:rsidRPr="00FD3902">
        <w:rPr>
          <w:rFonts w:ascii="Arial" w:hAnsi="Arial" w:cs="Arial"/>
          <w:bCs/>
          <w:iCs/>
        </w:rPr>
        <w:t>Institutions are responsible for accurately reporting all Program-Level Record data elements. ED considers the following data elements to be high risk:</w:t>
      </w:r>
    </w:p>
    <w:p w14:paraId="0E33EDE4" w14:textId="2DE59C5B" w:rsidR="00FD3902" w:rsidRPr="00FD3902" w:rsidRDefault="00FD3902" w:rsidP="00FD3902">
      <w:pPr>
        <w:spacing w:after="240"/>
        <w:jc w:val="both"/>
        <w:rPr>
          <w:rFonts w:ascii="Arial" w:hAnsi="Arial" w:cs="Arial"/>
          <w:bCs/>
          <w:iCs/>
        </w:rPr>
      </w:pPr>
      <w:r w:rsidRPr="00FD3902">
        <w:rPr>
          <w:rFonts w:ascii="Arial" w:hAnsi="Arial" w:cs="Arial"/>
          <w:bCs/>
          <w:iCs/>
        </w:rPr>
        <w:t>•</w:t>
      </w:r>
      <w:r w:rsidRPr="00FD3902">
        <w:rPr>
          <w:rFonts w:ascii="Arial" w:hAnsi="Arial" w:cs="Arial"/>
          <w:bCs/>
          <w:iCs/>
        </w:rPr>
        <w:tab/>
        <w:t>OPEID Number – This is the OPEID for the location that the student is actually attending.</w:t>
      </w:r>
    </w:p>
    <w:p w14:paraId="3F4FE2D4" w14:textId="6882648F"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 xml:space="preserve">CIP Code – The Classification of Instructional Programs (CIP) is a set of codes that define fields of study. CIP Codes are maintained by ED's National Center for Education Statistics (NCES). They were most recently updated in 2020 and are usually updated every ten years. A listing of current CIP codes is available at: </w:t>
      </w:r>
      <w:hyperlink r:id="rId95" w:history="1">
        <w:r w:rsidRPr="00B94236">
          <w:rPr>
            <w:rStyle w:val="Hyperlink"/>
            <w:rFonts w:cs="Arial"/>
            <w:bCs/>
            <w:iCs/>
          </w:rPr>
          <w:t>https://nces.ed.gov/ipeds/cipcode/resources.aspx?y=56</w:t>
        </w:r>
      </w:hyperlink>
      <w:r w:rsidRPr="00FD3902">
        <w:rPr>
          <w:rFonts w:ascii="Arial" w:hAnsi="Arial" w:cs="Arial"/>
          <w:bCs/>
          <w:iCs/>
        </w:rPr>
        <w:t>.</w:t>
      </w:r>
    </w:p>
    <w:p w14:paraId="6666C6DE" w14:textId="4FB6F96E"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CIP Year – Year for the corresponding CIP code. The CIP Year for the codes currently used by NSLDS is 2020.</w:t>
      </w:r>
    </w:p>
    <w:p w14:paraId="57F9BDA1" w14:textId="505F994A"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 xml:space="preserve">Credential Level – Indicates the level of a credential the student will receive for the program the student is attending, for example undergraduate certificate, associate degree, or bachelor’s degree. (See 4.4.7 of the </w:t>
      </w:r>
      <w:r w:rsidRPr="00E476AC">
        <w:rPr>
          <w:rFonts w:ascii="Arial" w:hAnsi="Arial" w:cs="Arial"/>
          <w:bCs/>
          <w:i/>
        </w:rPr>
        <w:t>NSLDS Enrollment Reporting Guide</w:t>
      </w:r>
      <w:r w:rsidRPr="00FD3902">
        <w:rPr>
          <w:rFonts w:ascii="Arial" w:hAnsi="Arial" w:cs="Arial"/>
          <w:bCs/>
          <w:iCs/>
        </w:rPr>
        <w:t xml:space="preserve"> for additional guidance on reporting the Credential Level.)</w:t>
      </w:r>
    </w:p>
    <w:p w14:paraId="6AA7662B" w14:textId="4C03CF2C"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Published Program Length Measurement – The institution identifies whether the Published Program Length is in days, weeks, or years.</w:t>
      </w:r>
    </w:p>
    <w:p w14:paraId="4089214B" w14:textId="7CADF7E9"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Published Program Length - Published Program Length should be reported based on the definition of “normal time” to completion in the regulations at 34 CFR 668.41(a), as follows:</w:t>
      </w:r>
    </w:p>
    <w:p w14:paraId="0BE6BCD3" w14:textId="1A5DE547" w:rsidR="00FD3902" w:rsidRPr="00FD3902" w:rsidRDefault="00FD3902" w:rsidP="00FD3902">
      <w:pPr>
        <w:spacing w:after="240"/>
        <w:ind w:left="1440"/>
        <w:jc w:val="both"/>
        <w:rPr>
          <w:rFonts w:ascii="Arial" w:hAnsi="Arial" w:cs="Arial"/>
          <w:bCs/>
          <w:iCs/>
        </w:rPr>
      </w:pPr>
      <w:r w:rsidRPr="00FD3902">
        <w:rPr>
          <w:rFonts w:ascii="Arial" w:hAnsi="Arial" w:cs="Arial"/>
          <w:bCs/>
          <w:iCs/>
        </w:rPr>
        <w:t>If the institution has published, in its catalog, on its website, or in any promotional materials, the length of the program in weeks, months, or years, the program length reported must a be the same as the program length that the institution has published.</w:t>
      </w:r>
    </w:p>
    <w:p w14:paraId="63E2D304" w14:textId="11BDCF8A" w:rsidR="00FD3902" w:rsidRPr="00FD3902" w:rsidRDefault="00FD3902" w:rsidP="00FD3902">
      <w:pPr>
        <w:spacing w:after="240"/>
        <w:ind w:left="1440"/>
        <w:jc w:val="both"/>
        <w:rPr>
          <w:rFonts w:ascii="Arial" w:hAnsi="Arial" w:cs="Arial"/>
          <w:bCs/>
          <w:iCs/>
        </w:rPr>
      </w:pPr>
      <w:r w:rsidRPr="00FD3902">
        <w:rPr>
          <w:rFonts w:ascii="Arial" w:hAnsi="Arial" w:cs="Arial"/>
          <w:bCs/>
          <w:iCs/>
        </w:rPr>
        <w:t>If the institution has not published a program length and the program is an associate or bachelor’s degree program, the program length to be reported should be two years (associate) or four years (bachelor), respectively, unless the academic design of the program makes it longer or shorter than the typical program length.</w:t>
      </w:r>
    </w:p>
    <w:p w14:paraId="0FC63DF6" w14:textId="77777777" w:rsidR="00FD3902" w:rsidRPr="00FD3902" w:rsidRDefault="00FD3902" w:rsidP="00FD3902">
      <w:pPr>
        <w:spacing w:after="240"/>
        <w:ind w:left="1440"/>
        <w:jc w:val="both"/>
        <w:rPr>
          <w:rFonts w:ascii="Arial" w:hAnsi="Arial" w:cs="Arial"/>
          <w:bCs/>
          <w:iCs/>
        </w:rPr>
      </w:pPr>
      <w:r w:rsidRPr="00FD3902">
        <w:rPr>
          <w:rFonts w:ascii="Arial" w:hAnsi="Arial" w:cs="Arial"/>
          <w:bCs/>
          <w:iCs/>
        </w:rPr>
        <w:t>For all other programs for which the institution has not published a program length, the program length is based on the institution’s determination of how long, in weeks, months, or years, the program is designed for a full-time student to complete.</w:t>
      </w:r>
    </w:p>
    <w:p w14:paraId="3B4C7795" w14:textId="026F85FE" w:rsidR="00FD3902" w:rsidRPr="00FD3902" w:rsidRDefault="00FD3902" w:rsidP="00FD3902">
      <w:pPr>
        <w:spacing w:after="240"/>
        <w:jc w:val="both"/>
        <w:rPr>
          <w:rFonts w:ascii="Arial" w:hAnsi="Arial" w:cs="Arial"/>
          <w:bCs/>
          <w:iCs/>
        </w:rPr>
      </w:pPr>
      <w:r w:rsidRPr="00FD3902">
        <w:rPr>
          <w:rFonts w:ascii="Arial" w:hAnsi="Arial" w:cs="Arial"/>
          <w:bCs/>
          <w:iCs/>
        </w:rPr>
        <w:t xml:space="preserve">(See 4.4.6 of the </w:t>
      </w:r>
      <w:r w:rsidRPr="00E476AC">
        <w:rPr>
          <w:rFonts w:ascii="Arial" w:hAnsi="Arial" w:cs="Arial"/>
          <w:bCs/>
          <w:i/>
        </w:rPr>
        <w:t>NSLDS Enrollment Reporting Guide</w:t>
      </w:r>
      <w:r w:rsidRPr="00FD3902">
        <w:rPr>
          <w:rFonts w:ascii="Arial" w:hAnsi="Arial" w:cs="Arial"/>
          <w:bCs/>
          <w:iCs/>
        </w:rPr>
        <w:t xml:space="preserve"> for additional guidance.)</w:t>
      </w:r>
    </w:p>
    <w:p w14:paraId="7B2FC7E7" w14:textId="3B1EC416"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lastRenderedPageBreak/>
        <w:t>•</w:t>
      </w:r>
      <w:r w:rsidRPr="00FD3902">
        <w:rPr>
          <w:rFonts w:ascii="Arial" w:hAnsi="Arial" w:cs="Arial"/>
          <w:bCs/>
          <w:iCs/>
        </w:rPr>
        <w:tab/>
        <w:t>Program Begin Date – The Program Begin Date is the date the student first began attending the program being reported. Typically, this would be the first day of the term in which the student began enrollment in the program, unless the student enrolled in the program on an earlier date. (See 4.4.8 of the NSLDS Enrollment Reporting Guide for additional guidance.)</w:t>
      </w:r>
    </w:p>
    <w:p w14:paraId="00F8C1C7" w14:textId="5054869C"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Program Enrollment Status – The student’s enrollment status as of the reporting date; full-time (F), three-quarter time (Q), half-time (H), less than half-time (L), leave of absence (A), graduated (G), withdrawn (W), deceased (D), never attended (X) and record not found (Z). (See 4.4.4 of the NSLDS Enrollment Reporting Guide for additional guidance on reporting graduated and withdrawn for the Campus-Level Record versus the Program Level Record and 4.4.10 for further guidance on Enrollment Status reporting at the Campus-Level Record and the Program-Level Record.)</w:t>
      </w:r>
    </w:p>
    <w:p w14:paraId="2F80CFC3" w14:textId="66C41FBC" w:rsidR="00FD3902" w:rsidRPr="00FD3902" w:rsidRDefault="00FD3902" w:rsidP="00FD3902">
      <w:pPr>
        <w:spacing w:after="240"/>
        <w:ind w:left="720" w:hanging="720"/>
        <w:jc w:val="both"/>
        <w:rPr>
          <w:rFonts w:ascii="Arial" w:hAnsi="Arial" w:cs="Arial"/>
          <w:bCs/>
          <w:iCs/>
        </w:rPr>
      </w:pPr>
      <w:r w:rsidRPr="00FD3902">
        <w:rPr>
          <w:rFonts w:ascii="Arial" w:hAnsi="Arial" w:cs="Arial"/>
          <w:bCs/>
          <w:iCs/>
        </w:rPr>
        <w:t>•</w:t>
      </w:r>
      <w:r w:rsidRPr="00FD3902">
        <w:rPr>
          <w:rFonts w:ascii="Arial" w:hAnsi="Arial" w:cs="Arial"/>
          <w:bCs/>
          <w:iCs/>
        </w:rPr>
        <w:tab/>
        <w:t>Program Enrollment Effective Date – The date when the student's current program status first took effect.</w:t>
      </w:r>
    </w:p>
    <w:p w14:paraId="14BA7429" w14:textId="7BAF37D0" w:rsidR="000C04C5" w:rsidRPr="00FD3902" w:rsidRDefault="00FD3902" w:rsidP="00FD3902">
      <w:pPr>
        <w:spacing w:after="240"/>
        <w:jc w:val="both"/>
        <w:rPr>
          <w:rFonts w:ascii="Arial" w:hAnsi="Arial" w:cs="Arial"/>
          <w:bCs/>
          <w:iCs/>
        </w:rPr>
      </w:pPr>
      <w:r w:rsidRPr="00FD3902">
        <w:rPr>
          <w:rFonts w:ascii="Arial" w:hAnsi="Arial" w:cs="Arial"/>
          <w:bCs/>
          <w:iCs/>
        </w:rPr>
        <w:t>When a Direct Loan was made to or on behalf of a student who was enrolled or accepted for enrollment at the institution, and the student ceased to be enrolled on at least a half- time basis or failed to enroll on at least a half-time basis for the period for which the loan was intended; or a student who is enrolled at the institution and who received a loan under Title IV has changed his or her permanent address, the institution must report the change in its next updated Enrollment Reporting Roster file (due within 60 days of the change).</w:t>
      </w:r>
    </w:p>
    <w:p w14:paraId="50070EF4" w14:textId="77777777" w:rsidR="000C04C5" w:rsidRPr="000C04C5" w:rsidRDefault="000C04C5" w:rsidP="000C04C5">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39D57A1D" w14:textId="77777777" w:rsidR="000C04C5" w:rsidRPr="000706D1" w:rsidRDefault="000C04C5" w:rsidP="000C04C5">
      <w:pPr>
        <w:pStyle w:val="Heading3"/>
        <w:jc w:val="both"/>
        <w:rPr>
          <w:rFonts w:cs="Arial"/>
          <w:sz w:val="24"/>
          <w:szCs w:val="24"/>
        </w:rPr>
      </w:pPr>
      <w:bookmarkStart w:id="92" w:name="_Toc176355443"/>
      <w:r w:rsidRPr="000706D1">
        <w:rPr>
          <w:rFonts w:cs="Arial"/>
          <w:sz w:val="24"/>
          <w:szCs w:val="24"/>
        </w:rPr>
        <w:t>Additional Program Specific Information</w:t>
      </w:r>
      <w:bookmarkEnd w:id="92"/>
    </w:p>
    <w:p w14:paraId="4DBA6B59" w14:textId="77777777" w:rsidR="000C04C5" w:rsidRPr="00AA5B05" w:rsidRDefault="000C04C5" w:rsidP="000C04C5">
      <w:pPr>
        <w:spacing w:after="240"/>
        <w:jc w:val="both"/>
        <w:rPr>
          <w:rFonts w:ascii="Arial" w:hAnsi="Arial" w:cs="Arial"/>
          <w:b/>
          <w:highlight w:val="yellow"/>
        </w:rPr>
      </w:pPr>
      <w:r w:rsidRPr="00AA5B05">
        <w:rPr>
          <w:rFonts w:ascii="Arial" w:hAnsi="Arial" w:cs="Arial"/>
          <w:b/>
          <w:highlight w:val="yellow"/>
        </w:rPr>
        <w:t>Add program specific requirements from:</w:t>
      </w:r>
    </w:p>
    <w:p w14:paraId="03B513BF" w14:textId="4D99AF49"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476AC">
        <w:rPr>
          <w:rFonts w:ascii="Arial" w:hAnsi="Arial" w:cs="Arial"/>
          <w:b/>
          <w:highlight w:val="yellow"/>
        </w:rPr>
        <w:t xml:space="preserve"> and</w:t>
      </w:r>
    </w:p>
    <w:p w14:paraId="54C334C4" w14:textId="77777777"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FCC2DC0" w14:textId="77777777" w:rsidR="000C04C5" w:rsidRPr="00AA5B05" w:rsidRDefault="000C04C5" w:rsidP="000C04C5">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70403D4" w14:textId="77777777" w:rsidR="000C04C5" w:rsidRPr="000706D1" w:rsidRDefault="000C04C5" w:rsidP="000C04C5">
      <w:pPr>
        <w:pStyle w:val="Heading3"/>
        <w:jc w:val="both"/>
        <w:rPr>
          <w:rFonts w:cs="Arial"/>
          <w:sz w:val="24"/>
          <w:szCs w:val="24"/>
        </w:rPr>
      </w:pPr>
      <w:bookmarkStart w:id="93" w:name="_Toc176355444"/>
      <w:r w:rsidRPr="000706D1">
        <w:rPr>
          <w:rFonts w:cs="Arial"/>
          <w:sz w:val="24"/>
          <w:szCs w:val="24"/>
        </w:rPr>
        <w:t>Audit Objectives and Control Testing</w:t>
      </w:r>
      <w:bookmarkEnd w:id="93"/>
    </w:p>
    <w:p w14:paraId="3013B721" w14:textId="77777777" w:rsidR="000C04C5" w:rsidRPr="00F00D94" w:rsidRDefault="000C04C5" w:rsidP="000C04C5">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F654207" w14:textId="77777777" w:rsidR="000C04C5" w:rsidRPr="00F00D94" w:rsidRDefault="000C04C5" w:rsidP="000C04C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A30CF6" w14:textId="77777777" w:rsidR="000C04C5"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C35347A" w14:textId="44D228D1" w:rsidR="000C04C5" w:rsidRDefault="00FD3902" w:rsidP="00FD3902">
      <w:pPr>
        <w:pStyle w:val="ListParagraph"/>
        <w:numPr>
          <w:ilvl w:val="0"/>
          <w:numId w:val="7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D3902">
        <w:rPr>
          <w:rFonts w:ascii="Arial" w:hAnsi="Arial" w:cs="Arial"/>
          <w:iCs/>
        </w:rPr>
        <w:t>Determine whether the institution is accurately notifying ED of changes in student enrollment information at the Campus Level and Program Level and is timely notifying ED of certain changes for Direct Loan borrowers.</w:t>
      </w:r>
    </w:p>
    <w:p w14:paraId="7B5AF18F" w14:textId="2091CA21" w:rsidR="00FD3902" w:rsidRPr="00FD3902" w:rsidRDefault="00FD3902" w:rsidP="00FD3902">
      <w:pPr>
        <w:spacing w:after="240"/>
        <w:jc w:val="both"/>
        <w:rPr>
          <w:rFonts w:ascii="Arial" w:hAnsi="Arial" w:cs="Arial"/>
          <w:bCs/>
        </w:rPr>
      </w:pPr>
      <w:r w:rsidRPr="00FD3902">
        <w:rPr>
          <w:rFonts w:ascii="Arial" w:hAnsi="Arial" w:cs="Arial"/>
          <w:bCs/>
          <w:i/>
        </w:rPr>
        <w:t>(Source: 2024 OMB Compliance Supplement, Part 5, Student Financial Assistance Cluster)</w:t>
      </w:r>
    </w:p>
    <w:p w14:paraId="702AF081" w14:textId="77777777" w:rsidR="000C04C5" w:rsidRPr="00634FA3" w:rsidRDefault="000C04C5" w:rsidP="000C04C5">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0C04C5" w:rsidRPr="00F00D94" w14:paraId="03DF27AE" w14:textId="77777777" w:rsidTr="004F1F50">
        <w:tc>
          <w:tcPr>
            <w:tcW w:w="5000" w:type="pct"/>
          </w:tcPr>
          <w:p w14:paraId="3A5969F1" w14:textId="77777777" w:rsidR="000C04C5" w:rsidRPr="006F5FFA" w:rsidRDefault="000C04C5" w:rsidP="004F1F50">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421DBE"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A7BB7AB" w14:textId="77777777" w:rsidR="000C04C5" w:rsidRPr="00F00D94" w:rsidRDefault="000C04C5" w:rsidP="004F1F50">
            <w:pPr>
              <w:pStyle w:val="AuditProcedureHeading"/>
              <w:spacing w:after="240"/>
              <w:jc w:val="both"/>
              <w:rPr>
                <w:rFonts w:cs="Arial"/>
                <w:b/>
                <w:bCs/>
                <w:szCs w:val="20"/>
                <w:u w:val="single"/>
              </w:rPr>
            </w:pPr>
          </w:p>
          <w:p w14:paraId="27421D6C" w14:textId="77777777" w:rsidR="000C04C5" w:rsidRPr="00F00D94" w:rsidRDefault="000C04C5" w:rsidP="004F1F5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E6F8D34" w14:textId="77777777" w:rsidR="000C04C5" w:rsidRPr="00F00D94" w:rsidRDefault="000C04C5" w:rsidP="004F1F50">
            <w:pPr>
              <w:pStyle w:val="AuditProcedureHeading"/>
              <w:spacing w:after="240"/>
              <w:jc w:val="both"/>
              <w:rPr>
                <w:rFonts w:cs="Arial"/>
                <w:b/>
                <w:bCs/>
                <w:szCs w:val="20"/>
                <w:u w:val="single"/>
              </w:rPr>
            </w:pPr>
          </w:p>
          <w:p w14:paraId="0888DCFC"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59261E7" w14:textId="77777777" w:rsidR="000C04C5" w:rsidRPr="00F00D94" w:rsidRDefault="000C04C5" w:rsidP="004F1F50">
            <w:pPr>
              <w:spacing w:after="240"/>
              <w:jc w:val="both"/>
              <w:rPr>
                <w:rFonts w:ascii="Arial" w:hAnsi="Arial" w:cs="Arial"/>
                <w:b/>
                <w:sz w:val="20"/>
                <w:u w:val="single"/>
              </w:rPr>
            </w:pPr>
          </w:p>
          <w:p w14:paraId="5BC290CA" w14:textId="77777777" w:rsidR="000C04C5" w:rsidRPr="00F00D94" w:rsidRDefault="000C04C5" w:rsidP="004F1F5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2398639" w14:textId="77777777" w:rsidR="000C04C5" w:rsidRPr="00C35E5F" w:rsidRDefault="000C04C5" w:rsidP="004F1F50">
            <w:pPr>
              <w:spacing w:after="240"/>
              <w:jc w:val="both"/>
              <w:rPr>
                <w:rFonts w:ascii="Arial" w:eastAsiaTheme="minorHAnsi" w:hAnsi="Arial" w:cs="Arial"/>
                <w:sz w:val="20"/>
                <w:szCs w:val="20"/>
              </w:rPr>
            </w:pPr>
          </w:p>
        </w:tc>
      </w:tr>
    </w:tbl>
    <w:p w14:paraId="2301F210"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CB01DF7" w14:textId="77777777" w:rsidR="000C04C5" w:rsidRPr="000706D1" w:rsidRDefault="000C04C5" w:rsidP="000C04C5">
      <w:pPr>
        <w:pStyle w:val="Heading3"/>
        <w:jc w:val="both"/>
        <w:rPr>
          <w:rFonts w:cs="Arial"/>
          <w:sz w:val="24"/>
          <w:szCs w:val="24"/>
        </w:rPr>
      </w:pPr>
      <w:bookmarkStart w:id="94" w:name="_Toc17635544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4"/>
    </w:p>
    <w:tbl>
      <w:tblPr>
        <w:tblStyle w:val="TableGrid"/>
        <w:tblW w:w="9558" w:type="dxa"/>
        <w:tblLayout w:type="fixed"/>
        <w:tblLook w:val="04A0" w:firstRow="1" w:lastRow="0" w:firstColumn="1" w:lastColumn="0" w:noHBand="0" w:noVBand="1"/>
      </w:tblPr>
      <w:tblGrid>
        <w:gridCol w:w="9558"/>
      </w:tblGrid>
      <w:tr w:rsidR="000C04C5" w:rsidRPr="00F00D94" w14:paraId="1345437A" w14:textId="77777777" w:rsidTr="004F1F50">
        <w:tc>
          <w:tcPr>
            <w:tcW w:w="9558" w:type="dxa"/>
          </w:tcPr>
          <w:p w14:paraId="2B7A5184" w14:textId="77777777" w:rsidR="000C04C5" w:rsidRDefault="000C04C5" w:rsidP="004F1F5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E96050E" w14:textId="77777777" w:rsidR="000C04C5" w:rsidRPr="00AC7B25" w:rsidRDefault="000C04C5" w:rsidP="004F1F50">
            <w:pPr>
              <w:spacing w:after="240"/>
              <w:jc w:val="both"/>
              <w:rPr>
                <w:rFonts w:ascii="Arial" w:hAnsi="Arial" w:cs="Arial"/>
                <w:i/>
                <w:sz w:val="20"/>
                <w:szCs w:val="20"/>
              </w:rPr>
            </w:pPr>
            <w:r>
              <w:rPr>
                <w:rFonts w:ascii="Arial" w:hAnsi="Arial" w:cs="Arial"/>
                <w:i/>
                <w:sz w:val="20"/>
                <w:szCs w:val="20"/>
              </w:rPr>
              <w:t>(Source: 2024 OMB Compliance Supplement Part 3)</w:t>
            </w:r>
          </w:p>
          <w:p w14:paraId="4BF704F1" w14:textId="54891FE9" w:rsidR="00FD3902" w:rsidRPr="00FD3902" w:rsidRDefault="00FD3902" w:rsidP="00FD3902">
            <w:pPr>
              <w:spacing w:after="240"/>
              <w:ind w:left="612" w:hanging="612"/>
              <w:jc w:val="both"/>
              <w:rPr>
                <w:rFonts w:ascii="Arial" w:hAnsi="Arial" w:cs="Arial"/>
                <w:sz w:val="20"/>
              </w:rPr>
            </w:pPr>
            <w:r w:rsidRPr="00FD3902">
              <w:rPr>
                <w:rFonts w:ascii="Arial" w:hAnsi="Arial" w:cs="Arial"/>
                <w:sz w:val="20"/>
              </w:rPr>
              <w:t>a.</w:t>
            </w:r>
            <w:r w:rsidRPr="00FD3902">
              <w:rPr>
                <w:rFonts w:ascii="Arial" w:hAnsi="Arial" w:cs="Arial"/>
                <w:sz w:val="20"/>
              </w:rPr>
              <w:tab/>
              <w:t>Identify a population of Pell and Direct Loan students from the institution’s records that had a reduction or increase in attendance levels impacting enrollment status, graduated, withdrew, dropped out, or enrolled but never attended during the audit period and for whom the institution was required to report such change in enrollment status from the beginning of the institution’s fiscal year up to the last regularly scheduled Enrollment Roster From the population identified, select a sample of students and compare the data in the student’s NSLDS Enrollment Detail to the students’ academic files and other institutional records and verify that the institution is accurately reporting the significant Campus-Level and Program-Level enrollment data elements that ED considers high risk.</w:t>
            </w:r>
          </w:p>
          <w:p w14:paraId="2C4CA43B" w14:textId="5E856E16" w:rsidR="00FD3902" w:rsidRPr="001B6A61" w:rsidRDefault="00FD3902" w:rsidP="00FD3902">
            <w:pPr>
              <w:spacing w:after="240"/>
              <w:ind w:left="612" w:hanging="612"/>
              <w:jc w:val="both"/>
              <w:rPr>
                <w:rFonts w:ascii="Arial" w:hAnsi="Arial" w:cs="Arial"/>
                <w:b/>
                <w:bCs/>
                <w:sz w:val="20"/>
              </w:rPr>
            </w:pPr>
            <w:r w:rsidRPr="00FD3902">
              <w:rPr>
                <w:rFonts w:ascii="Arial" w:hAnsi="Arial" w:cs="Arial"/>
                <w:sz w:val="20"/>
              </w:rPr>
              <w:t>b.</w:t>
            </w:r>
            <w:r w:rsidRPr="00FD3902">
              <w:rPr>
                <w:rFonts w:ascii="Arial" w:hAnsi="Arial" w:cs="Arial"/>
                <w:sz w:val="20"/>
              </w:rPr>
              <w:tab/>
              <w:t>For instances in the sample tested in procedure a. above where a Direct loan was made to or on behalf of a student who was enrolled or accepted for enrollment at the institution, and the student ceased to be enrolled on at least a half-time basis or failed to enroll on at least a half-time basis for the period for which the loan was intended; or a student who is enrolled at the institution and who received a loan under Title IV has changed his or her permanent address, determine whether the institution reported the change in its next updated Enrollment Reporting Roster file.</w:t>
            </w:r>
          </w:p>
        </w:tc>
      </w:tr>
    </w:tbl>
    <w:p w14:paraId="633A6334"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1FCB175" w14:textId="77777777" w:rsidR="000C04C5" w:rsidRPr="000706D1" w:rsidRDefault="000C04C5" w:rsidP="000C04C5">
      <w:pPr>
        <w:pStyle w:val="Heading3"/>
        <w:jc w:val="both"/>
        <w:rPr>
          <w:rFonts w:cs="Arial"/>
          <w:b w:val="0"/>
          <w:sz w:val="24"/>
          <w:szCs w:val="24"/>
        </w:rPr>
      </w:pPr>
      <w:bookmarkStart w:id="95" w:name="_Toc176355446"/>
      <w:r w:rsidRPr="000706D1">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0C04C5" w:rsidRPr="00F00D94" w14:paraId="1C03E780" w14:textId="77777777" w:rsidTr="004F1F50">
        <w:tc>
          <w:tcPr>
            <w:tcW w:w="5000" w:type="pct"/>
          </w:tcPr>
          <w:p w14:paraId="6630C119" w14:textId="77777777" w:rsidR="000C04C5" w:rsidRDefault="000C04C5" w:rsidP="004F1F50">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776CD5FD" w14:textId="77777777" w:rsidR="000C04C5" w:rsidRPr="006E46AD" w:rsidRDefault="000C04C5" w:rsidP="004F1F5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55A390F" w14:textId="77777777" w:rsidR="000C04C5" w:rsidRPr="006E46AD" w:rsidRDefault="000C04C5" w:rsidP="00FD3902">
            <w:pPr>
              <w:pStyle w:val="ListParagraph"/>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14BA887" w14:textId="77777777" w:rsidR="000C04C5" w:rsidRPr="006E46AD" w:rsidRDefault="000C04C5" w:rsidP="004F1F50">
            <w:pPr>
              <w:widowControl w:val="0"/>
              <w:spacing w:after="240"/>
              <w:ind w:left="720"/>
              <w:jc w:val="both"/>
              <w:rPr>
                <w:rFonts w:ascii="Arial" w:hAnsi="Arial" w:cs="Arial"/>
                <w:b/>
                <w:sz w:val="20"/>
                <w:szCs w:val="20"/>
              </w:rPr>
            </w:pPr>
          </w:p>
          <w:p w14:paraId="1E8CFFBD" w14:textId="77777777" w:rsidR="000C04C5" w:rsidRPr="006E46AD" w:rsidRDefault="000C04C5" w:rsidP="00FD3902">
            <w:pPr>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23BAE15" w14:textId="77777777" w:rsidR="000C04C5" w:rsidRPr="00F00D94" w:rsidRDefault="000C04C5" w:rsidP="004F1F50">
            <w:pPr>
              <w:pStyle w:val="ListParagraph"/>
              <w:spacing w:after="240"/>
              <w:jc w:val="both"/>
              <w:rPr>
                <w:rFonts w:ascii="Arial" w:hAnsi="Arial" w:cs="Arial"/>
                <w:b/>
              </w:rPr>
            </w:pPr>
          </w:p>
          <w:p w14:paraId="66922CD9" w14:textId="77777777" w:rsidR="000C04C5" w:rsidRPr="00F00D94" w:rsidRDefault="000C04C5" w:rsidP="00FD3902">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0CF7D24" w14:textId="77777777" w:rsidR="000C04C5" w:rsidRPr="00F00D94" w:rsidRDefault="000C04C5" w:rsidP="004F1F50">
            <w:pPr>
              <w:pStyle w:val="ListParagraph"/>
              <w:spacing w:after="240"/>
              <w:jc w:val="both"/>
              <w:rPr>
                <w:rFonts w:ascii="Arial" w:hAnsi="Arial" w:cs="Arial"/>
                <w:b/>
              </w:rPr>
            </w:pPr>
          </w:p>
          <w:p w14:paraId="03008EAC" w14:textId="77777777" w:rsidR="000C04C5" w:rsidRPr="00F00D94" w:rsidRDefault="000C04C5" w:rsidP="00FD3902">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76DFFA0" w14:textId="77777777" w:rsidR="000C04C5" w:rsidRPr="00F00D94" w:rsidRDefault="000C04C5" w:rsidP="004F1F50">
            <w:pPr>
              <w:pStyle w:val="ListParagraph"/>
              <w:spacing w:after="240"/>
              <w:jc w:val="both"/>
              <w:rPr>
                <w:rFonts w:ascii="Arial" w:hAnsi="Arial" w:cs="Arial"/>
                <w:b/>
              </w:rPr>
            </w:pPr>
          </w:p>
          <w:p w14:paraId="61F47E3C" w14:textId="77777777" w:rsidR="000C04C5" w:rsidRPr="00F00D94" w:rsidRDefault="000C04C5" w:rsidP="00FD3902">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B9B9DDB" w14:textId="77777777" w:rsidR="000C04C5" w:rsidRPr="00F00D94" w:rsidRDefault="000C04C5" w:rsidP="004F1F50">
            <w:pPr>
              <w:pStyle w:val="APStepItem"/>
              <w:numPr>
                <w:ilvl w:val="0"/>
                <w:numId w:val="0"/>
              </w:numPr>
              <w:spacing w:after="240"/>
              <w:rPr>
                <w:rFonts w:cs="Arial"/>
                <w:b/>
              </w:rPr>
            </w:pPr>
          </w:p>
        </w:tc>
      </w:tr>
    </w:tbl>
    <w:p w14:paraId="5ECEADF0" w14:textId="77777777" w:rsidR="000C04C5" w:rsidRDefault="000C04C5" w:rsidP="000C04C5">
      <w:pPr>
        <w:rPr>
          <w:rFonts w:ascii="Arial" w:hAnsi="Arial" w:cs="Arial"/>
        </w:rPr>
        <w:sectPr w:rsidR="000C04C5" w:rsidSect="00257772">
          <w:headerReference w:type="default" r:id="rId97"/>
          <w:pgSz w:w="12240" w:h="15840" w:code="1"/>
          <w:pgMar w:top="1440" w:right="1440" w:bottom="1440" w:left="1440" w:header="720" w:footer="720" w:gutter="0"/>
          <w:cols w:space="720"/>
          <w:docGrid w:linePitch="360"/>
        </w:sectPr>
      </w:pPr>
    </w:p>
    <w:p w14:paraId="4F288974" w14:textId="370E194D" w:rsidR="000C04C5" w:rsidRPr="000706D1" w:rsidRDefault="000C04C5" w:rsidP="000C04C5">
      <w:pPr>
        <w:pStyle w:val="Heading2"/>
        <w:jc w:val="both"/>
        <w:rPr>
          <w:rFonts w:cs="Arial"/>
          <w:sz w:val="24"/>
        </w:rPr>
      </w:pPr>
      <w:bookmarkStart w:id="96" w:name="_Toc176355447"/>
      <w:r w:rsidRPr="000706D1">
        <w:rPr>
          <w:rFonts w:cs="Arial"/>
          <w:sz w:val="24"/>
        </w:rPr>
        <w:lastRenderedPageBreak/>
        <w:t>N</w:t>
      </w:r>
      <w:r w:rsidR="00B96645">
        <w:rPr>
          <w:rFonts w:cs="Arial"/>
          <w:sz w:val="24"/>
        </w:rPr>
        <w:t>9</w:t>
      </w:r>
      <w:r w:rsidRPr="000706D1">
        <w:rPr>
          <w:rFonts w:cs="Arial"/>
          <w:sz w:val="24"/>
        </w:rPr>
        <w:t>.  SPECIAL TESTS AND PROVISIONS</w:t>
      </w:r>
      <w:r w:rsidR="00F7017C">
        <w:rPr>
          <w:rFonts w:cs="Arial"/>
          <w:sz w:val="24"/>
        </w:rPr>
        <w:t xml:space="preserve"> – Incentive Compensation</w:t>
      </w:r>
      <w:bookmarkEnd w:id="96"/>
    </w:p>
    <w:p w14:paraId="612E0938" w14:textId="77777777" w:rsidR="000C04C5" w:rsidRPr="000706D1" w:rsidRDefault="000C04C5" w:rsidP="000C04C5">
      <w:pPr>
        <w:pStyle w:val="Heading3"/>
        <w:jc w:val="both"/>
        <w:rPr>
          <w:rFonts w:cs="Arial"/>
          <w:sz w:val="24"/>
          <w:szCs w:val="24"/>
        </w:rPr>
      </w:pPr>
      <w:bookmarkStart w:id="97" w:name="_Toc176355448"/>
      <w:r w:rsidRPr="000706D1">
        <w:rPr>
          <w:rFonts w:cs="Arial"/>
          <w:sz w:val="24"/>
          <w:szCs w:val="24"/>
        </w:rPr>
        <w:t>OMB Compliance Requirements</w:t>
      </w:r>
      <w:bookmarkEnd w:id="97"/>
    </w:p>
    <w:p w14:paraId="3E24A0A1"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E3320EC"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2A82CECF" w14:textId="77777777" w:rsidR="000C04C5" w:rsidRPr="00F00D94" w:rsidRDefault="000C04C5" w:rsidP="000C04C5">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744A334" w14:textId="77777777" w:rsidR="000C04C5" w:rsidRPr="000706D1" w:rsidRDefault="000C04C5" w:rsidP="000C04C5">
      <w:pPr>
        <w:spacing w:after="240"/>
        <w:jc w:val="both"/>
        <w:rPr>
          <w:rFonts w:ascii="Arial" w:hAnsi="Arial" w:cs="Arial"/>
          <w:b/>
          <w:sz w:val="24"/>
          <w:szCs w:val="24"/>
        </w:rPr>
      </w:pPr>
      <w:r w:rsidRPr="000706D1">
        <w:rPr>
          <w:rFonts w:ascii="Arial" w:hAnsi="Arial" w:cs="Arial"/>
          <w:b/>
          <w:sz w:val="24"/>
          <w:szCs w:val="24"/>
        </w:rPr>
        <w:t xml:space="preserve">Part </w:t>
      </w:r>
      <w:r>
        <w:rPr>
          <w:rFonts w:ascii="Arial" w:hAnsi="Arial" w:cs="Arial"/>
          <w:b/>
          <w:sz w:val="24"/>
          <w:szCs w:val="24"/>
        </w:rPr>
        <w:t>5</w:t>
      </w:r>
      <w:r w:rsidRPr="000706D1">
        <w:rPr>
          <w:rFonts w:ascii="Arial" w:hAnsi="Arial" w:cs="Arial"/>
          <w:b/>
          <w:sz w:val="24"/>
          <w:szCs w:val="24"/>
        </w:rPr>
        <w:t xml:space="preserve"> OMB Program Specific Requirements</w:t>
      </w:r>
    </w:p>
    <w:p w14:paraId="5A00C67B" w14:textId="10C7F07E" w:rsidR="00F7017C" w:rsidRPr="00F7017C" w:rsidRDefault="00F7017C" w:rsidP="00F7017C">
      <w:pPr>
        <w:spacing w:after="240"/>
        <w:jc w:val="both"/>
        <w:rPr>
          <w:rFonts w:ascii="Arial" w:hAnsi="Arial" w:cs="Arial"/>
          <w:bCs/>
          <w:iCs/>
        </w:rPr>
      </w:pPr>
      <w:r w:rsidRPr="00F7017C">
        <w:rPr>
          <w:rFonts w:ascii="Arial" w:hAnsi="Arial" w:cs="Arial"/>
          <w:bCs/>
          <w:iCs/>
        </w:rPr>
        <w:t xml:space="preserve">According to 34 CFR 668.14(b)(22)(i), an institution agrees in its Program Participation Agreement that “[i]t will not provide any commission, bonus, or other incentive payment based in any part, directly or indirectly, upon success in securing enrollments or the award of financial aid, to any person or entity who is engaged in any student recruitment or admission activity, or in making decisions regarding the award of title IV, HEA program funds.” Dear Colleague Letter </w:t>
      </w:r>
      <w:hyperlink r:id="rId98" w:history="1">
        <w:r w:rsidRPr="00F7017C">
          <w:rPr>
            <w:rStyle w:val="Hyperlink"/>
            <w:rFonts w:cs="Arial"/>
            <w:bCs/>
            <w:iCs/>
          </w:rPr>
          <w:t>GEN-11-05</w:t>
        </w:r>
      </w:hyperlink>
      <w:r w:rsidRPr="00F7017C">
        <w:rPr>
          <w:rFonts w:ascii="Arial" w:hAnsi="Arial" w:cs="Arial"/>
          <w:bCs/>
          <w:iCs/>
        </w:rPr>
        <w:t xml:space="preserve"> includes a Q&amp;A on Incentive Compensation that provides additional information.</w:t>
      </w:r>
    </w:p>
    <w:p w14:paraId="6ACB3433" w14:textId="77777777" w:rsidR="00F7017C" w:rsidRPr="00F7017C" w:rsidRDefault="00F7017C" w:rsidP="00F7017C">
      <w:pPr>
        <w:spacing w:after="240"/>
        <w:jc w:val="both"/>
        <w:rPr>
          <w:rFonts w:ascii="Arial" w:hAnsi="Arial" w:cs="Arial"/>
          <w:bCs/>
          <w:i/>
        </w:rPr>
      </w:pPr>
      <w:r w:rsidRPr="00F7017C">
        <w:rPr>
          <w:rFonts w:ascii="Arial" w:hAnsi="Arial" w:cs="Arial"/>
          <w:bCs/>
          <w:i/>
        </w:rPr>
        <w:t>Applicable definitions:</w:t>
      </w:r>
    </w:p>
    <w:p w14:paraId="2816778D" w14:textId="281AFD80" w:rsidR="00F7017C" w:rsidRPr="00F7017C" w:rsidRDefault="00F7017C" w:rsidP="00F7017C">
      <w:pPr>
        <w:spacing w:after="240"/>
        <w:jc w:val="both"/>
        <w:rPr>
          <w:rFonts w:ascii="Arial" w:hAnsi="Arial" w:cs="Arial"/>
          <w:bCs/>
          <w:iCs/>
        </w:rPr>
      </w:pPr>
      <w:r w:rsidRPr="00F7017C">
        <w:rPr>
          <w:rFonts w:ascii="Arial" w:hAnsi="Arial" w:cs="Arial"/>
          <w:bCs/>
          <w:iCs/>
        </w:rPr>
        <w:t>A commission, bonus, or other incentive payment is a sum of money or something of value, other than a fixed salary or wages, paid to or given to a person or an entity for services rendered (34 CFR 668.14(b)(22)(iii)(A)).</w:t>
      </w:r>
    </w:p>
    <w:p w14:paraId="57B8118C" w14:textId="32E2BC73" w:rsidR="00F7017C" w:rsidRPr="00F7017C" w:rsidRDefault="00F7017C" w:rsidP="00F7017C">
      <w:pPr>
        <w:spacing w:after="240"/>
        <w:jc w:val="both"/>
        <w:rPr>
          <w:rFonts w:ascii="Arial" w:hAnsi="Arial" w:cs="Arial"/>
          <w:bCs/>
          <w:iCs/>
        </w:rPr>
      </w:pPr>
      <w:r w:rsidRPr="00F7017C">
        <w:rPr>
          <w:rFonts w:ascii="Arial" w:hAnsi="Arial" w:cs="Arial"/>
          <w:bCs/>
          <w:iCs/>
        </w:rPr>
        <w:t>Enrollment is the admission or matriculation of a student into an eligible institution (34 CFR 668.14(b)(22)(iii)(D)).</w:t>
      </w:r>
    </w:p>
    <w:p w14:paraId="4B860D2A" w14:textId="77777777" w:rsidR="00F7017C" w:rsidRPr="00F7017C" w:rsidRDefault="00F7017C" w:rsidP="00F7017C">
      <w:pPr>
        <w:spacing w:after="240"/>
        <w:jc w:val="both"/>
        <w:rPr>
          <w:rFonts w:ascii="Arial" w:hAnsi="Arial" w:cs="Arial"/>
          <w:bCs/>
          <w:iCs/>
        </w:rPr>
      </w:pPr>
      <w:r w:rsidRPr="00F7017C">
        <w:rPr>
          <w:rFonts w:ascii="Arial" w:hAnsi="Arial" w:cs="Arial"/>
          <w:bCs/>
          <w:iCs/>
        </w:rPr>
        <w:t>Securing enrollments or the award of financial aid means activities that a person or entity engages in at any point in time through completion of an educational program for the purpose of the admission or matriculation of students for any period of time or the award of financial aid to students. Securing enrollments or the award of financial aid includes contact in any form with a prospective student, such as, but not limited to - contact through preadmission or advising activities, scheduling an appointment to visit the enrollment office or any other office of the institution, attendance at such an appointment, or involvement in a prospective student's signing of an enrollment agreement or financial aid application (34 CFR 668.14(b)(22)(iii)(B)(1)).</w:t>
      </w:r>
    </w:p>
    <w:p w14:paraId="2C595478" w14:textId="307EFDEF" w:rsidR="00F7017C" w:rsidRPr="00F7017C" w:rsidRDefault="00F7017C" w:rsidP="00F7017C">
      <w:pPr>
        <w:spacing w:after="240"/>
        <w:jc w:val="both"/>
        <w:rPr>
          <w:rFonts w:ascii="Arial" w:hAnsi="Arial" w:cs="Arial"/>
          <w:bCs/>
          <w:iCs/>
        </w:rPr>
      </w:pPr>
      <w:r w:rsidRPr="00F7017C">
        <w:rPr>
          <w:rFonts w:ascii="Arial" w:hAnsi="Arial" w:cs="Arial"/>
          <w:bCs/>
          <w:iCs/>
        </w:rPr>
        <w:t xml:space="preserve">Securing enrollments or the award of financial aid does not include making a payment to a third party for the provision of student contact information for prospective students provided that such payment is not based on any additional conduct or action by the third party or the prospective students, such as </w:t>
      </w:r>
      <w:r w:rsidRPr="00F7017C">
        <w:rPr>
          <w:rFonts w:ascii="Arial" w:hAnsi="Arial" w:cs="Arial"/>
          <w:bCs/>
          <w:iCs/>
        </w:rPr>
        <w:lastRenderedPageBreak/>
        <w:t>participation in preadmission or advising activities, scheduling an appointment to visit the enrollment office or any other office of the institution or attendance at such an appointment, or the signing, or being involved in the signing, of a prospective student's enrollment agreement or financial aid application; or the number of students (calculated at any point in time of an educational program) who apply for enrollment, are awarded financial aid, or are enrolled for any period of time, including through completion of an educational program (34 CFR 668.14(b)(22)(iii)(B)(2)(i) and (ii)).</w:t>
      </w:r>
    </w:p>
    <w:p w14:paraId="75DA19C0" w14:textId="0EB343E4" w:rsidR="00F7017C" w:rsidRPr="00F7017C" w:rsidRDefault="00F7017C" w:rsidP="00F7017C">
      <w:pPr>
        <w:spacing w:after="240"/>
        <w:jc w:val="both"/>
        <w:rPr>
          <w:rFonts w:ascii="Arial" w:hAnsi="Arial" w:cs="Arial"/>
          <w:bCs/>
          <w:iCs/>
        </w:rPr>
      </w:pPr>
      <w:r w:rsidRPr="00F7017C">
        <w:rPr>
          <w:rFonts w:ascii="Arial" w:hAnsi="Arial" w:cs="Arial"/>
          <w:bCs/>
          <w:iCs/>
        </w:rPr>
        <w:t>An entity or person engaged in any student recruitment or admission activity or in making decisions about the award of financial aid is-</w:t>
      </w:r>
    </w:p>
    <w:p w14:paraId="3289216E" w14:textId="14CB892F"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w:t>
      </w:r>
      <w:r w:rsidRPr="00F7017C">
        <w:rPr>
          <w:rFonts w:ascii="Arial" w:hAnsi="Arial" w:cs="Arial"/>
          <w:bCs/>
          <w:iCs/>
        </w:rPr>
        <w:tab/>
        <w:t>With respect to an entity engaged in any student recruitment or admission activity or in making decisions about the award of financial aid, any institution or organization that undertakes the recruiting or the admitting of students or that makes decisions about and awards title IV, HEA program funds; and</w:t>
      </w:r>
    </w:p>
    <w:p w14:paraId="51D436C7" w14:textId="77777777"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w:t>
      </w:r>
      <w:r w:rsidRPr="00F7017C">
        <w:rPr>
          <w:rFonts w:ascii="Arial" w:hAnsi="Arial" w:cs="Arial"/>
          <w:bCs/>
          <w:iCs/>
        </w:rPr>
        <w:tab/>
        <w:t>With respect to a person engaged in any student recruitment or admission activity or in making decisions about the award of financial aid, any employee who undertakes recruiting or admitting of students or who makes decisions about and awards title IV, HEA program funds, and any higher level employee with responsibility for recruitment or admission of students, or making decisions about awarding title IV, HEA program funds (34 CFR 668.14(b)(22)(iii)(C)(1) and (2)).</w:t>
      </w:r>
    </w:p>
    <w:p w14:paraId="03BF35BA" w14:textId="33713F4C" w:rsidR="00F7017C" w:rsidRPr="00F7017C" w:rsidRDefault="00F7017C" w:rsidP="00F7017C">
      <w:pPr>
        <w:spacing w:after="240"/>
        <w:jc w:val="both"/>
        <w:rPr>
          <w:rFonts w:ascii="Arial" w:hAnsi="Arial" w:cs="Arial"/>
          <w:bCs/>
          <w:iCs/>
        </w:rPr>
      </w:pPr>
      <w:r w:rsidRPr="00F7017C">
        <w:rPr>
          <w:rFonts w:ascii="Arial" w:hAnsi="Arial" w:cs="Arial"/>
          <w:bCs/>
          <w:iCs/>
        </w:rPr>
        <w:t xml:space="preserve">Although the definitions refer to recruiter enrollment activities that may occur “through completion,” ED clarified that it does not interpret the regulations to ban compensation for recruiters that is based upon students’ graduation from, or completion of, educational programs (see </w:t>
      </w:r>
      <w:hyperlink r:id="rId99" w:history="1">
        <w:r w:rsidRPr="00F7017C">
          <w:rPr>
            <w:rStyle w:val="Hyperlink"/>
            <w:rFonts w:cs="Arial"/>
            <w:bCs/>
            <w:iCs/>
          </w:rPr>
          <w:t>80 FR 73991 (Nov. 27, 2015)</w:t>
        </w:r>
      </w:hyperlink>
      <w:r w:rsidRPr="00F7017C">
        <w:rPr>
          <w:rFonts w:ascii="Arial" w:hAnsi="Arial" w:cs="Arial"/>
          <w:bCs/>
          <w:iCs/>
        </w:rPr>
        <w:t>).</w:t>
      </w:r>
    </w:p>
    <w:p w14:paraId="597CD5C5" w14:textId="77777777" w:rsidR="00F7017C" w:rsidRPr="00F7017C" w:rsidRDefault="00F7017C" w:rsidP="00F7017C">
      <w:pPr>
        <w:spacing w:after="240"/>
        <w:jc w:val="both"/>
        <w:rPr>
          <w:rFonts w:ascii="Arial" w:hAnsi="Arial" w:cs="Arial"/>
          <w:bCs/>
          <w:i/>
        </w:rPr>
      </w:pPr>
      <w:r w:rsidRPr="00F7017C">
        <w:rPr>
          <w:rFonts w:ascii="Arial" w:hAnsi="Arial" w:cs="Arial"/>
          <w:bCs/>
          <w:i/>
        </w:rPr>
        <w:t>Merit-based adjustments</w:t>
      </w:r>
    </w:p>
    <w:p w14:paraId="1AAB69C9" w14:textId="77777777" w:rsidR="00F7017C" w:rsidRPr="00F7017C" w:rsidRDefault="00F7017C" w:rsidP="00F7017C">
      <w:pPr>
        <w:spacing w:after="240"/>
        <w:jc w:val="both"/>
        <w:rPr>
          <w:rFonts w:ascii="Arial" w:hAnsi="Arial" w:cs="Arial"/>
          <w:bCs/>
          <w:iCs/>
        </w:rPr>
      </w:pPr>
      <w:r w:rsidRPr="00F7017C">
        <w:rPr>
          <w:rFonts w:ascii="Arial" w:hAnsi="Arial" w:cs="Arial"/>
          <w:bCs/>
          <w:iCs/>
        </w:rPr>
        <w:t>The regulation specifies in 34 CFR 668.14(b)(22)(ii) that, notwithstanding 34 CFR 668.14(b)(22)(i), eligible institutions, organizations that are contractors to eligible institutions, and other entities may make merit-based adjustments to employee compensation provided that such adjustments are not based in any part, directly or indirectly, upon success in securing enrollments or the award of financial aid; and profit- sharing payments so long as such payments are not provided to any person or entity engaged in student recruitment or admission activity or in making decisions regarding the award of title IV, HEA program funds.</w:t>
      </w:r>
    </w:p>
    <w:p w14:paraId="288199FC" w14:textId="0A62A065" w:rsidR="00F7017C" w:rsidRPr="00F7017C" w:rsidRDefault="00F7017C" w:rsidP="00F7017C">
      <w:pPr>
        <w:spacing w:after="240"/>
        <w:jc w:val="both"/>
        <w:rPr>
          <w:rFonts w:ascii="Arial" w:hAnsi="Arial" w:cs="Arial"/>
          <w:bCs/>
          <w:iCs/>
        </w:rPr>
      </w:pPr>
      <w:r w:rsidRPr="00F7017C">
        <w:rPr>
          <w:rFonts w:ascii="Arial" w:hAnsi="Arial" w:cs="Arial"/>
          <w:bCs/>
          <w:iCs/>
        </w:rPr>
        <w:t xml:space="preserve">In </w:t>
      </w:r>
      <w:hyperlink r:id="rId100" w:history="1">
        <w:r w:rsidRPr="00F7017C">
          <w:rPr>
            <w:rStyle w:val="Hyperlink"/>
            <w:rFonts w:cs="Arial"/>
            <w:bCs/>
            <w:iCs/>
          </w:rPr>
          <w:t>GEN-11-05</w:t>
        </w:r>
      </w:hyperlink>
      <w:r w:rsidRPr="00F7017C">
        <w:rPr>
          <w:rFonts w:ascii="Arial" w:hAnsi="Arial" w:cs="Arial"/>
          <w:bCs/>
          <w:iCs/>
        </w:rPr>
        <w:t>, ED has stated that incentive payments in the form of tuition sharing with entities may be permitted in limited circumstances when an unrelated third party provides recruiting services as part of a bundle of services.</w:t>
      </w:r>
    </w:p>
    <w:p w14:paraId="6705CF9F" w14:textId="3F0D1B02" w:rsidR="00F7017C" w:rsidRPr="00F7017C" w:rsidRDefault="00F7017C" w:rsidP="00F7017C">
      <w:pPr>
        <w:spacing w:after="240"/>
        <w:jc w:val="both"/>
        <w:rPr>
          <w:rFonts w:ascii="Arial" w:hAnsi="Arial" w:cs="Arial"/>
          <w:bCs/>
          <w:i/>
        </w:rPr>
      </w:pPr>
      <w:r w:rsidRPr="00F7017C">
        <w:rPr>
          <w:rFonts w:ascii="Arial" w:hAnsi="Arial" w:cs="Arial"/>
          <w:bCs/>
          <w:i/>
        </w:rPr>
        <w:t>Applicability to Title IV and non-Title IV educational offerings</w:t>
      </w:r>
    </w:p>
    <w:p w14:paraId="083C5D79" w14:textId="0DCE83EC" w:rsidR="00F7017C" w:rsidRPr="00F7017C" w:rsidRDefault="00F7017C" w:rsidP="00F7017C">
      <w:pPr>
        <w:spacing w:after="240"/>
        <w:jc w:val="both"/>
        <w:rPr>
          <w:rFonts w:ascii="Arial" w:hAnsi="Arial" w:cs="Arial"/>
          <w:bCs/>
          <w:iCs/>
        </w:rPr>
      </w:pPr>
      <w:r w:rsidRPr="00F7017C">
        <w:rPr>
          <w:rFonts w:ascii="Arial" w:hAnsi="Arial" w:cs="Arial"/>
          <w:bCs/>
          <w:iCs/>
        </w:rPr>
        <w:t>Section 487(a)(20) of the HEA provides that compensation may not be based upon success in securing enrollments whether the students receive title IV, HEA funds, or some other form of student financial assistance (Federal Register, Volume 75, Number 117, Page 34817). Thus, the prohibition on the provision of any commission, bonus, or other incentive payment based in any part, directly or indirectly, upon success in securing enrollments or the award of financial aid, to any person or entity who is engaged in any student recruitment or admission activity, or in making decisions regarding the award of title IV, HEA program funds applies to all educational offerings that an institution provides whether or not those educational offerings are eligible for title IV, HEA program funds.</w:t>
      </w:r>
    </w:p>
    <w:p w14:paraId="7541AB61" w14:textId="46ED0913" w:rsidR="00F7017C" w:rsidRPr="00F7017C" w:rsidRDefault="00F7017C" w:rsidP="00F7017C">
      <w:pPr>
        <w:spacing w:after="240"/>
        <w:jc w:val="both"/>
        <w:rPr>
          <w:rFonts w:ascii="Arial" w:hAnsi="Arial" w:cs="Arial"/>
          <w:bCs/>
          <w:i/>
        </w:rPr>
      </w:pPr>
      <w:r w:rsidRPr="00F7017C">
        <w:rPr>
          <w:rFonts w:ascii="Arial" w:hAnsi="Arial" w:cs="Arial"/>
          <w:bCs/>
          <w:i/>
        </w:rPr>
        <w:t>Applicability to contractors and employees of contractors used for covered services</w:t>
      </w:r>
    </w:p>
    <w:p w14:paraId="4C998CD6" w14:textId="41019A82" w:rsidR="00F7017C" w:rsidRPr="00F7017C" w:rsidRDefault="00F7017C" w:rsidP="00F7017C">
      <w:pPr>
        <w:spacing w:after="240"/>
        <w:jc w:val="both"/>
        <w:rPr>
          <w:rFonts w:ascii="Arial" w:hAnsi="Arial" w:cs="Arial"/>
          <w:bCs/>
          <w:iCs/>
        </w:rPr>
      </w:pPr>
      <w:r w:rsidRPr="00F7017C">
        <w:rPr>
          <w:rFonts w:ascii="Arial" w:hAnsi="Arial" w:cs="Arial"/>
          <w:bCs/>
          <w:iCs/>
        </w:rPr>
        <w:t xml:space="preserve">Many institutions offer programs that may or may not be eligible for title IV, HEA program funds that are managed by organizations that are contractors to the institution and the prohibition on the provision of any commission, bonus, or other incentive payment would apply to any agreement between the institution and </w:t>
      </w:r>
      <w:r w:rsidRPr="00F7017C">
        <w:rPr>
          <w:rFonts w:ascii="Arial" w:hAnsi="Arial" w:cs="Arial"/>
          <w:bCs/>
          <w:iCs/>
        </w:rPr>
        <w:lastRenderedPageBreak/>
        <w:t>any organization it contracts with for any educational offerings provided for in the contract. The Government Accountability Office issued a report on one such type of agreement known as Online Program Manager (OPM) agreements, where prohibited commissions, bonuses, or incentive payments were included in the agreements and not identified by either the institution or the institution’s auditor (GAO-22-104463). When identifying entities that institutions may utilize for recruiting and other activities, in addition to agreements such as OPM agreements, auditors should be aware of contractors used to identify and provide prospective students to institutions, which may be referred to as “lead generators” or “aggregators.”</w:t>
      </w:r>
    </w:p>
    <w:p w14:paraId="76400489" w14:textId="193BDC92" w:rsidR="000C04C5" w:rsidRPr="00F7017C" w:rsidRDefault="00F7017C" w:rsidP="00F7017C">
      <w:pPr>
        <w:spacing w:after="240"/>
        <w:jc w:val="both"/>
        <w:rPr>
          <w:rFonts w:ascii="Arial" w:hAnsi="Arial" w:cs="Arial"/>
          <w:bCs/>
          <w:iCs/>
        </w:rPr>
      </w:pPr>
      <w:r w:rsidRPr="00F7017C">
        <w:rPr>
          <w:rFonts w:ascii="Arial" w:hAnsi="Arial" w:cs="Arial"/>
          <w:bCs/>
          <w:iCs/>
        </w:rPr>
        <w:t>Even though an institution may have a contract with an organization that is free from any commission, bonus or other incentive payment on its face, the organization the institution is contracting with may be providing commissions, bonuses, or other incentive payments to its employees in violation of the prohibition on commissions, bonuses, or other incentive payments. The prohibition on commissions, bonuses or other incentive payments extends to any individual involved in securing enrollment or the awarding of financial aid and the organization that the institution is contracting with is prohibited from such commissions, bonuses or other incentive payments to individuals performing under the contract.</w:t>
      </w:r>
    </w:p>
    <w:p w14:paraId="10FAE832" w14:textId="77777777" w:rsidR="000C04C5" w:rsidRPr="000C04C5" w:rsidRDefault="000C04C5" w:rsidP="000C04C5">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04AA735A" w14:textId="77777777" w:rsidR="000C04C5" w:rsidRPr="000706D1" w:rsidRDefault="000C04C5" w:rsidP="000C04C5">
      <w:pPr>
        <w:pStyle w:val="Heading3"/>
        <w:jc w:val="both"/>
        <w:rPr>
          <w:rFonts w:cs="Arial"/>
          <w:sz w:val="24"/>
          <w:szCs w:val="24"/>
        </w:rPr>
      </w:pPr>
      <w:bookmarkStart w:id="98" w:name="_Toc176355449"/>
      <w:r w:rsidRPr="000706D1">
        <w:rPr>
          <w:rFonts w:cs="Arial"/>
          <w:sz w:val="24"/>
          <w:szCs w:val="24"/>
        </w:rPr>
        <w:t>Additional Program Specific Information</w:t>
      </w:r>
      <w:bookmarkEnd w:id="98"/>
    </w:p>
    <w:p w14:paraId="1A17E51E" w14:textId="77777777" w:rsidR="000C04C5" w:rsidRPr="00AA5B05" w:rsidRDefault="000C04C5" w:rsidP="000C04C5">
      <w:pPr>
        <w:spacing w:after="240"/>
        <w:jc w:val="both"/>
        <w:rPr>
          <w:rFonts w:ascii="Arial" w:hAnsi="Arial" w:cs="Arial"/>
          <w:b/>
          <w:highlight w:val="yellow"/>
        </w:rPr>
      </w:pPr>
      <w:r w:rsidRPr="00AA5B05">
        <w:rPr>
          <w:rFonts w:ascii="Arial" w:hAnsi="Arial" w:cs="Arial"/>
          <w:b/>
          <w:highlight w:val="yellow"/>
        </w:rPr>
        <w:t>Add program specific requirements from:</w:t>
      </w:r>
    </w:p>
    <w:p w14:paraId="21BD63D3" w14:textId="5C4C4645"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A7C0B">
        <w:rPr>
          <w:rFonts w:ascii="Arial" w:hAnsi="Arial" w:cs="Arial"/>
          <w:b/>
          <w:highlight w:val="yellow"/>
        </w:rPr>
        <w:t xml:space="preserve"> and</w:t>
      </w:r>
    </w:p>
    <w:p w14:paraId="79AB6AC5" w14:textId="77777777"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02BEE98" w14:textId="77777777" w:rsidR="000C04C5" w:rsidRPr="00AA5B05" w:rsidRDefault="000C04C5" w:rsidP="000C04C5">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06D0DC4" w14:textId="77777777" w:rsidR="000C04C5" w:rsidRPr="000706D1" w:rsidRDefault="000C04C5" w:rsidP="000C04C5">
      <w:pPr>
        <w:pStyle w:val="Heading3"/>
        <w:jc w:val="both"/>
        <w:rPr>
          <w:rFonts w:cs="Arial"/>
          <w:sz w:val="24"/>
          <w:szCs w:val="24"/>
        </w:rPr>
      </w:pPr>
      <w:bookmarkStart w:id="99" w:name="_Toc176355450"/>
      <w:r w:rsidRPr="000706D1">
        <w:rPr>
          <w:rFonts w:cs="Arial"/>
          <w:sz w:val="24"/>
          <w:szCs w:val="24"/>
        </w:rPr>
        <w:t>Audit Objectives and Control Testing</w:t>
      </w:r>
      <w:bookmarkEnd w:id="99"/>
    </w:p>
    <w:p w14:paraId="22B5FC29" w14:textId="77777777" w:rsidR="000C04C5" w:rsidRPr="00F00D94" w:rsidRDefault="000C04C5" w:rsidP="000C04C5">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A97705C" w14:textId="77777777" w:rsidR="000C04C5" w:rsidRPr="00F00D94" w:rsidRDefault="000C04C5" w:rsidP="000C04C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EBE4D7D" w14:textId="77777777" w:rsidR="000C04C5"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5AFACF8" w14:textId="6174879F" w:rsidR="000C04C5" w:rsidRDefault="00F7017C" w:rsidP="00F7017C">
      <w:pPr>
        <w:pStyle w:val="ListParagraph"/>
        <w:numPr>
          <w:ilvl w:val="0"/>
          <w:numId w:val="7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7017C">
        <w:rPr>
          <w:rFonts w:ascii="Arial" w:hAnsi="Arial" w:cs="Arial"/>
          <w:iCs/>
        </w:rPr>
        <w:t>Determine if the institution complied with the ban on incentive payments to any person in the admissions/recruiting, financial aid, and registrar offices (or the equivalent of those offices) that the institution relies on to recruit, admit, and/or enroll its students, or to award Title IV funds or any contracted entity engaged in any student recruitment, enrollment, or admission activity or in making decisions regarding the award of Title IV funds.</w:t>
      </w:r>
    </w:p>
    <w:p w14:paraId="13F84EBB" w14:textId="439424E5" w:rsidR="00F7017C" w:rsidRPr="00F7017C" w:rsidRDefault="00F7017C" w:rsidP="00F7017C">
      <w:pPr>
        <w:spacing w:after="240"/>
        <w:jc w:val="both"/>
        <w:rPr>
          <w:rFonts w:ascii="Arial" w:hAnsi="Arial" w:cs="Arial"/>
          <w:bCs/>
        </w:rPr>
      </w:pPr>
      <w:r w:rsidRPr="00F7017C">
        <w:rPr>
          <w:rFonts w:ascii="Arial" w:hAnsi="Arial" w:cs="Arial"/>
          <w:bCs/>
          <w:i/>
        </w:rPr>
        <w:t>(Source: 2024 OMB Compliance Supplement, Part 5, Student Financial Assistance Cluster)</w:t>
      </w:r>
    </w:p>
    <w:p w14:paraId="7F8B89E5" w14:textId="77777777" w:rsidR="000C04C5" w:rsidRPr="00634FA3" w:rsidRDefault="000C04C5" w:rsidP="000C04C5">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0C04C5" w:rsidRPr="00F00D94" w14:paraId="5C3CC47A" w14:textId="77777777" w:rsidTr="004F1F50">
        <w:tc>
          <w:tcPr>
            <w:tcW w:w="5000" w:type="pct"/>
          </w:tcPr>
          <w:p w14:paraId="2736144C" w14:textId="77777777" w:rsidR="000C04C5" w:rsidRPr="006F5FFA" w:rsidRDefault="000C04C5" w:rsidP="004F1F5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0B5760F"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C7EFE1C" w14:textId="77777777" w:rsidR="000C04C5" w:rsidRPr="00F00D94" w:rsidRDefault="000C04C5" w:rsidP="004F1F50">
            <w:pPr>
              <w:pStyle w:val="AuditProcedureHeading"/>
              <w:spacing w:after="240"/>
              <w:jc w:val="both"/>
              <w:rPr>
                <w:rFonts w:cs="Arial"/>
                <w:b/>
                <w:bCs/>
                <w:szCs w:val="20"/>
                <w:u w:val="single"/>
              </w:rPr>
            </w:pPr>
          </w:p>
          <w:p w14:paraId="1EE737CA" w14:textId="77777777" w:rsidR="000C04C5" w:rsidRPr="00F00D94" w:rsidRDefault="000C04C5" w:rsidP="004F1F5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753FC07" w14:textId="77777777" w:rsidR="000C04C5" w:rsidRPr="00F00D94" w:rsidRDefault="000C04C5" w:rsidP="004F1F50">
            <w:pPr>
              <w:pStyle w:val="AuditProcedureHeading"/>
              <w:spacing w:after="240"/>
              <w:jc w:val="both"/>
              <w:rPr>
                <w:rFonts w:cs="Arial"/>
                <w:b/>
                <w:bCs/>
                <w:szCs w:val="20"/>
                <w:u w:val="single"/>
              </w:rPr>
            </w:pPr>
          </w:p>
          <w:p w14:paraId="5BF8627F"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E786B0" w14:textId="77777777" w:rsidR="000C04C5" w:rsidRPr="00F00D94" w:rsidRDefault="000C04C5" w:rsidP="004F1F50">
            <w:pPr>
              <w:spacing w:after="240"/>
              <w:jc w:val="both"/>
              <w:rPr>
                <w:rFonts w:ascii="Arial" w:hAnsi="Arial" w:cs="Arial"/>
                <w:b/>
                <w:sz w:val="20"/>
                <w:u w:val="single"/>
              </w:rPr>
            </w:pPr>
          </w:p>
          <w:p w14:paraId="672704FF" w14:textId="77777777" w:rsidR="000C04C5" w:rsidRPr="00F00D94" w:rsidRDefault="000C04C5" w:rsidP="004F1F5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EF79C87" w14:textId="77777777" w:rsidR="000C04C5" w:rsidRPr="00C35E5F" w:rsidRDefault="000C04C5" w:rsidP="004F1F50">
            <w:pPr>
              <w:spacing w:after="240"/>
              <w:jc w:val="both"/>
              <w:rPr>
                <w:rFonts w:ascii="Arial" w:eastAsiaTheme="minorHAnsi" w:hAnsi="Arial" w:cs="Arial"/>
                <w:sz w:val="20"/>
                <w:szCs w:val="20"/>
              </w:rPr>
            </w:pPr>
          </w:p>
        </w:tc>
      </w:tr>
    </w:tbl>
    <w:p w14:paraId="224A6991"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BC0B313" w14:textId="77777777" w:rsidR="000C04C5" w:rsidRPr="000706D1" w:rsidRDefault="000C04C5" w:rsidP="000C04C5">
      <w:pPr>
        <w:pStyle w:val="Heading3"/>
        <w:jc w:val="both"/>
        <w:rPr>
          <w:rFonts w:cs="Arial"/>
          <w:sz w:val="24"/>
          <w:szCs w:val="24"/>
        </w:rPr>
      </w:pPr>
      <w:bookmarkStart w:id="100" w:name="_Toc17635545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0"/>
    </w:p>
    <w:tbl>
      <w:tblPr>
        <w:tblStyle w:val="TableGrid"/>
        <w:tblW w:w="9558" w:type="dxa"/>
        <w:tblLayout w:type="fixed"/>
        <w:tblLook w:val="04A0" w:firstRow="1" w:lastRow="0" w:firstColumn="1" w:lastColumn="0" w:noHBand="0" w:noVBand="1"/>
      </w:tblPr>
      <w:tblGrid>
        <w:gridCol w:w="9558"/>
      </w:tblGrid>
      <w:tr w:rsidR="000C04C5" w:rsidRPr="00F00D94" w14:paraId="6BC785BA" w14:textId="77777777" w:rsidTr="004F1F50">
        <w:tc>
          <w:tcPr>
            <w:tcW w:w="9558" w:type="dxa"/>
          </w:tcPr>
          <w:p w14:paraId="4AA299BF" w14:textId="77777777" w:rsidR="000C04C5" w:rsidRDefault="000C04C5" w:rsidP="004F1F5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AF116EB" w14:textId="77777777" w:rsidR="000C04C5" w:rsidRPr="00AC7B25" w:rsidRDefault="000C04C5" w:rsidP="004F1F50">
            <w:pPr>
              <w:spacing w:after="240"/>
              <w:jc w:val="both"/>
              <w:rPr>
                <w:rFonts w:ascii="Arial" w:hAnsi="Arial" w:cs="Arial"/>
                <w:i/>
                <w:sz w:val="20"/>
                <w:szCs w:val="20"/>
              </w:rPr>
            </w:pPr>
            <w:r>
              <w:rPr>
                <w:rFonts w:ascii="Arial" w:hAnsi="Arial" w:cs="Arial"/>
                <w:i/>
                <w:sz w:val="20"/>
                <w:szCs w:val="20"/>
              </w:rPr>
              <w:t>(Source: 2024 OMB Compliance Supplement Part 3)</w:t>
            </w:r>
          </w:p>
          <w:p w14:paraId="39D44BDB" w14:textId="6EAC488B" w:rsidR="00F7017C" w:rsidRPr="00F7017C" w:rsidRDefault="00F7017C" w:rsidP="00F7017C">
            <w:pPr>
              <w:spacing w:after="240"/>
              <w:ind w:left="612" w:hanging="612"/>
              <w:jc w:val="both"/>
              <w:rPr>
                <w:rFonts w:ascii="Arial" w:hAnsi="Arial" w:cs="Arial"/>
                <w:sz w:val="20"/>
              </w:rPr>
            </w:pPr>
            <w:r w:rsidRPr="00F7017C">
              <w:rPr>
                <w:rFonts w:ascii="Arial" w:hAnsi="Arial" w:cs="Arial"/>
                <w:sz w:val="20"/>
              </w:rPr>
              <w:t>a.</w:t>
            </w:r>
            <w:r w:rsidRPr="00F7017C">
              <w:rPr>
                <w:rFonts w:ascii="Arial" w:hAnsi="Arial" w:cs="Arial"/>
                <w:sz w:val="20"/>
              </w:rPr>
              <w:tab/>
              <w:t>Identify those positions within the institution’s admissions/recruiting, financial aid, and registrar offices (or the equivalent of those offices) involved in recruitment, enrollment, admissions, or securing financial aid activities (covered positions) and those entities the institution contracts with to recruit, admit, or enroll students into any program offered by the institution, including OPM agreements (covered entities). Determine whether the institution’s written policies and procedures, compensation plans, performance plans, contracts, or other documentation or guidelines for evaluating and compensating covered positions or covered entities indicate a potential incentive compensation violation.</w:t>
            </w:r>
          </w:p>
          <w:p w14:paraId="513C2F83" w14:textId="0864CB85" w:rsidR="00F7017C" w:rsidRPr="00F7017C" w:rsidRDefault="00F7017C" w:rsidP="00F7017C">
            <w:pPr>
              <w:spacing w:after="240"/>
              <w:ind w:left="612" w:hanging="612"/>
              <w:jc w:val="both"/>
              <w:rPr>
                <w:rFonts w:ascii="Arial" w:hAnsi="Arial" w:cs="Arial"/>
                <w:sz w:val="20"/>
              </w:rPr>
            </w:pPr>
            <w:r w:rsidRPr="00F7017C">
              <w:rPr>
                <w:rFonts w:ascii="Arial" w:hAnsi="Arial" w:cs="Arial"/>
                <w:sz w:val="20"/>
              </w:rPr>
              <w:t>b.</w:t>
            </w:r>
            <w:r w:rsidRPr="00F7017C">
              <w:rPr>
                <w:rFonts w:ascii="Arial" w:hAnsi="Arial" w:cs="Arial"/>
                <w:sz w:val="20"/>
              </w:rPr>
              <w:tab/>
              <w:t>For any covered position or covered entity from procedure a. where the auditor determined documentation reviewed indicated a potential incentive compensation violation, test performance, compensation, and payment records for a sample of employees in those covered positions and a sample of covered entities to determine whether the employees or entities received incentive compensation based on success in recruiting, admitting, or enrolling students in any program offered by the institution or for the awarding of Title IV funds.</w:t>
            </w:r>
          </w:p>
          <w:p w14:paraId="6E0909BD" w14:textId="0CF7A7C2" w:rsidR="00F7017C" w:rsidRPr="001B6A61" w:rsidRDefault="00F7017C" w:rsidP="00F7017C">
            <w:pPr>
              <w:spacing w:after="240"/>
              <w:ind w:left="612" w:hanging="612"/>
              <w:jc w:val="both"/>
              <w:rPr>
                <w:rFonts w:ascii="Arial" w:hAnsi="Arial" w:cs="Arial"/>
                <w:b/>
                <w:bCs/>
                <w:sz w:val="20"/>
              </w:rPr>
            </w:pPr>
            <w:r w:rsidRPr="00F7017C">
              <w:rPr>
                <w:rFonts w:ascii="Arial" w:hAnsi="Arial" w:cs="Arial"/>
                <w:sz w:val="20"/>
              </w:rPr>
              <w:t>c.</w:t>
            </w:r>
            <w:r w:rsidRPr="00F7017C">
              <w:rPr>
                <w:rFonts w:ascii="Arial" w:hAnsi="Arial" w:cs="Arial"/>
                <w:sz w:val="20"/>
              </w:rPr>
              <w:tab/>
              <w:t>If the institution has tuition sharing with an entity that provides recruiting services as part of a bundle of services, review the institution’s records identified in procedure c for evidence that the contracted entity is related to the institution.</w:t>
            </w:r>
          </w:p>
        </w:tc>
      </w:tr>
    </w:tbl>
    <w:p w14:paraId="60622A54"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0FEB8CD" w14:textId="77777777" w:rsidR="000C04C5" w:rsidRPr="000706D1" w:rsidRDefault="000C04C5" w:rsidP="000C04C5">
      <w:pPr>
        <w:pStyle w:val="Heading3"/>
        <w:jc w:val="both"/>
        <w:rPr>
          <w:rFonts w:cs="Arial"/>
          <w:b w:val="0"/>
          <w:sz w:val="24"/>
          <w:szCs w:val="24"/>
        </w:rPr>
      </w:pPr>
      <w:bookmarkStart w:id="101" w:name="_Toc176355452"/>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0C04C5" w:rsidRPr="00F00D94" w14:paraId="7CCB79E2" w14:textId="77777777" w:rsidTr="004F1F50">
        <w:tc>
          <w:tcPr>
            <w:tcW w:w="5000" w:type="pct"/>
          </w:tcPr>
          <w:p w14:paraId="3704539C" w14:textId="77777777" w:rsidR="000C04C5" w:rsidRDefault="000C04C5" w:rsidP="004F1F50">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3C0857EC" w14:textId="77777777" w:rsidR="000C04C5" w:rsidRPr="006E46AD" w:rsidRDefault="000C04C5" w:rsidP="004F1F5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721C0D1" w14:textId="77777777" w:rsidR="000C04C5" w:rsidRPr="006E46AD" w:rsidRDefault="000C04C5" w:rsidP="00F7017C">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4EEE1B9" w14:textId="77777777" w:rsidR="000C04C5" w:rsidRPr="006E46AD" w:rsidRDefault="000C04C5" w:rsidP="004F1F50">
            <w:pPr>
              <w:widowControl w:val="0"/>
              <w:spacing w:after="240"/>
              <w:ind w:left="720"/>
              <w:jc w:val="both"/>
              <w:rPr>
                <w:rFonts w:ascii="Arial" w:hAnsi="Arial" w:cs="Arial"/>
                <w:b/>
                <w:sz w:val="20"/>
                <w:szCs w:val="20"/>
              </w:rPr>
            </w:pPr>
          </w:p>
          <w:p w14:paraId="6B566134" w14:textId="77777777" w:rsidR="000C04C5" w:rsidRPr="006E46AD" w:rsidRDefault="000C04C5" w:rsidP="00F7017C">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BDBF06A" w14:textId="77777777" w:rsidR="000C04C5" w:rsidRPr="00F00D94" w:rsidRDefault="000C04C5" w:rsidP="004F1F50">
            <w:pPr>
              <w:pStyle w:val="ListParagraph"/>
              <w:spacing w:after="240"/>
              <w:jc w:val="both"/>
              <w:rPr>
                <w:rFonts w:ascii="Arial" w:hAnsi="Arial" w:cs="Arial"/>
                <w:b/>
              </w:rPr>
            </w:pPr>
          </w:p>
          <w:p w14:paraId="6FA2FB54" w14:textId="77777777" w:rsidR="000C04C5" w:rsidRPr="00F00D94" w:rsidRDefault="000C04C5" w:rsidP="00F7017C">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A90CA36" w14:textId="77777777" w:rsidR="000C04C5" w:rsidRPr="00F00D94" w:rsidRDefault="000C04C5" w:rsidP="004F1F50">
            <w:pPr>
              <w:pStyle w:val="ListParagraph"/>
              <w:spacing w:after="240"/>
              <w:jc w:val="both"/>
              <w:rPr>
                <w:rFonts w:ascii="Arial" w:hAnsi="Arial" w:cs="Arial"/>
                <w:b/>
              </w:rPr>
            </w:pPr>
          </w:p>
          <w:p w14:paraId="7FAA6DD4" w14:textId="77777777" w:rsidR="000C04C5" w:rsidRPr="00F00D94" w:rsidRDefault="000C04C5" w:rsidP="00F7017C">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84453A7" w14:textId="77777777" w:rsidR="000C04C5" w:rsidRPr="00F00D94" w:rsidRDefault="000C04C5" w:rsidP="004F1F50">
            <w:pPr>
              <w:pStyle w:val="ListParagraph"/>
              <w:spacing w:after="240"/>
              <w:jc w:val="both"/>
              <w:rPr>
                <w:rFonts w:ascii="Arial" w:hAnsi="Arial" w:cs="Arial"/>
                <w:b/>
              </w:rPr>
            </w:pPr>
          </w:p>
          <w:p w14:paraId="004A0E68" w14:textId="77777777" w:rsidR="000C04C5" w:rsidRPr="00F00D94" w:rsidRDefault="000C04C5" w:rsidP="00F7017C">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4174C00" w14:textId="77777777" w:rsidR="000C04C5" w:rsidRPr="00F00D94" w:rsidRDefault="000C04C5" w:rsidP="004F1F50">
            <w:pPr>
              <w:pStyle w:val="APStepItem"/>
              <w:numPr>
                <w:ilvl w:val="0"/>
                <w:numId w:val="0"/>
              </w:numPr>
              <w:spacing w:after="240"/>
              <w:rPr>
                <w:rFonts w:cs="Arial"/>
                <w:b/>
              </w:rPr>
            </w:pPr>
          </w:p>
        </w:tc>
      </w:tr>
    </w:tbl>
    <w:p w14:paraId="16109C93" w14:textId="77777777" w:rsidR="000C04C5" w:rsidRDefault="000C04C5" w:rsidP="000C04C5">
      <w:pPr>
        <w:rPr>
          <w:rFonts w:ascii="Arial" w:hAnsi="Arial" w:cs="Arial"/>
        </w:rPr>
        <w:sectPr w:rsidR="000C04C5" w:rsidSect="00257772">
          <w:headerReference w:type="default" r:id="rId102"/>
          <w:pgSz w:w="12240" w:h="15840" w:code="1"/>
          <w:pgMar w:top="1440" w:right="1440" w:bottom="1440" w:left="1440" w:header="720" w:footer="720" w:gutter="0"/>
          <w:cols w:space="720"/>
          <w:docGrid w:linePitch="360"/>
        </w:sectPr>
      </w:pPr>
    </w:p>
    <w:p w14:paraId="1653715F" w14:textId="7A123BA1" w:rsidR="000C04C5" w:rsidRPr="000706D1" w:rsidRDefault="000C04C5" w:rsidP="000C04C5">
      <w:pPr>
        <w:pStyle w:val="Heading2"/>
        <w:jc w:val="both"/>
        <w:rPr>
          <w:rFonts w:cs="Arial"/>
          <w:sz w:val="24"/>
        </w:rPr>
      </w:pPr>
      <w:bookmarkStart w:id="102" w:name="_Toc176355453"/>
      <w:r w:rsidRPr="000706D1">
        <w:rPr>
          <w:rFonts w:cs="Arial"/>
          <w:sz w:val="24"/>
        </w:rPr>
        <w:lastRenderedPageBreak/>
        <w:t>N</w:t>
      </w:r>
      <w:r w:rsidR="00B96645">
        <w:rPr>
          <w:rFonts w:cs="Arial"/>
          <w:sz w:val="24"/>
        </w:rPr>
        <w:t>10</w:t>
      </w:r>
      <w:r w:rsidRPr="000706D1">
        <w:rPr>
          <w:rFonts w:cs="Arial"/>
          <w:sz w:val="24"/>
        </w:rPr>
        <w:t>.  SPECIAL TESTS AND PROVISIONS</w:t>
      </w:r>
      <w:r w:rsidR="00F7017C">
        <w:rPr>
          <w:rFonts w:cs="Arial"/>
          <w:sz w:val="24"/>
        </w:rPr>
        <w:t xml:space="preserve"> – Program Eligibility</w:t>
      </w:r>
      <w:bookmarkEnd w:id="102"/>
    </w:p>
    <w:p w14:paraId="1A31054F" w14:textId="77777777" w:rsidR="000C04C5" w:rsidRPr="000706D1" w:rsidRDefault="000C04C5" w:rsidP="000C04C5">
      <w:pPr>
        <w:pStyle w:val="Heading3"/>
        <w:jc w:val="both"/>
        <w:rPr>
          <w:rFonts w:cs="Arial"/>
          <w:sz w:val="24"/>
          <w:szCs w:val="24"/>
        </w:rPr>
      </w:pPr>
      <w:bookmarkStart w:id="103" w:name="_Toc176355454"/>
      <w:r w:rsidRPr="000706D1">
        <w:rPr>
          <w:rFonts w:cs="Arial"/>
          <w:sz w:val="24"/>
          <w:szCs w:val="24"/>
        </w:rPr>
        <w:t>OMB Compliance Requirements</w:t>
      </w:r>
      <w:bookmarkEnd w:id="103"/>
    </w:p>
    <w:p w14:paraId="65A5593A"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35CE263"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6D659B0C" w14:textId="77777777" w:rsidR="000C04C5" w:rsidRPr="00F00D94" w:rsidRDefault="000C04C5" w:rsidP="000C04C5">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DFA0634" w14:textId="77777777" w:rsidR="000C04C5" w:rsidRPr="000706D1" w:rsidRDefault="000C04C5" w:rsidP="000C04C5">
      <w:pPr>
        <w:spacing w:after="240"/>
        <w:jc w:val="both"/>
        <w:rPr>
          <w:rFonts w:ascii="Arial" w:hAnsi="Arial" w:cs="Arial"/>
          <w:b/>
          <w:sz w:val="24"/>
          <w:szCs w:val="24"/>
        </w:rPr>
      </w:pPr>
      <w:r w:rsidRPr="000706D1">
        <w:rPr>
          <w:rFonts w:ascii="Arial" w:hAnsi="Arial" w:cs="Arial"/>
          <w:b/>
          <w:sz w:val="24"/>
          <w:szCs w:val="24"/>
        </w:rPr>
        <w:t xml:space="preserve">Part </w:t>
      </w:r>
      <w:r>
        <w:rPr>
          <w:rFonts w:ascii="Arial" w:hAnsi="Arial" w:cs="Arial"/>
          <w:b/>
          <w:sz w:val="24"/>
          <w:szCs w:val="24"/>
        </w:rPr>
        <w:t>5</w:t>
      </w:r>
      <w:r w:rsidRPr="000706D1">
        <w:rPr>
          <w:rFonts w:ascii="Arial" w:hAnsi="Arial" w:cs="Arial"/>
          <w:b/>
          <w:sz w:val="24"/>
          <w:szCs w:val="24"/>
        </w:rPr>
        <w:t xml:space="preserve"> OMB Program Specific Requirements</w:t>
      </w:r>
    </w:p>
    <w:p w14:paraId="51C2EEBD" w14:textId="4EB1C434" w:rsidR="00F7017C" w:rsidRPr="00F7017C" w:rsidRDefault="00F7017C" w:rsidP="00F7017C">
      <w:pPr>
        <w:spacing w:after="240"/>
        <w:jc w:val="both"/>
        <w:rPr>
          <w:rFonts w:ascii="Arial" w:hAnsi="Arial" w:cs="Arial"/>
          <w:bCs/>
          <w:iCs/>
        </w:rPr>
      </w:pPr>
      <w:r w:rsidRPr="00F7017C">
        <w:rPr>
          <w:rFonts w:ascii="Arial" w:hAnsi="Arial" w:cs="Arial"/>
          <w:bCs/>
          <w:iCs/>
        </w:rPr>
        <w:t>An Educational program is a legally authorized postsecondary program of organized instruction or study that leads to an academic, professional, or vocational degree, or certificate, or other recognized educational credential, or is a comprehensive transition and postsecondary program.</w:t>
      </w:r>
    </w:p>
    <w:p w14:paraId="458D8115" w14:textId="351324AF" w:rsidR="00F7017C" w:rsidRPr="00F7017C" w:rsidRDefault="00F7017C" w:rsidP="00F7017C">
      <w:pPr>
        <w:spacing w:after="240"/>
        <w:jc w:val="both"/>
        <w:rPr>
          <w:rFonts w:ascii="Arial" w:hAnsi="Arial" w:cs="Arial"/>
          <w:bCs/>
          <w:iCs/>
        </w:rPr>
      </w:pPr>
      <w:r w:rsidRPr="00F7017C">
        <w:rPr>
          <w:rFonts w:ascii="Arial" w:hAnsi="Arial" w:cs="Arial"/>
          <w:bCs/>
          <w:iCs/>
        </w:rPr>
        <w:t>Program eligibility is evaluated based on two measures: intensity of content (clock hours and credit hours) and time (academic years and weeks of instructional time).</w:t>
      </w:r>
    </w:p>
    <w:p w14:paraId="23FA2F70" w14:textId="6899F4DD" w:rsidR="00F7017C" w:rsidRPr="00F7017C" w:rsidRDefault="00F7017C" w:rsidP="00F7017C">
      <w:pPr>
        <w:spacing w:after="240"/>
        <w:jc w:val="both"/>
        <w:rPr>
          <w:rFonts w:ascii="Arial" w:hAnsi="Arial" w:cs="Arial"/>
          <w:bCs/>
          <w:i/>
        </w:rPr>
      </w:pPr>
      <w:r w:rsidRPr="00F7017C">
        <w:rPr>
          <w:rFonts w:ascii="Arial" w:hAnsi="Arial" w:cs="Arial"/>
          <w:bCs/>
          <w:i/>
        </w:rPr>
        <w:t>Content</w:t>
      </w:r>
    </w:p>
    <w:p w14:paraId="5F10195A" w14:textId="21ECE604" w:rsidR="00F7017C" w:rsidRPr="00F7017C" w:rsidRDefault="00F7017C" w:rsidP="00F7017C">
      <w:pPr>
        <w:spacing w:after="240"/>
        <w:jc w:val="both"/>
        <w:rPr>
          <w:rFonts w:ascii="Arial" w:hAnsi="Arial" w:cs="Arial"/>
          <w:bCs/>
          <w:iCs/>
        </w:rPr>
      </w:pPr>
      <w:r w:rsidRPr="00F7017C">
        <w:rPr>
          <w:rFonts w:ascii="Arial" w:hAnsi="Arial" w:cs="Arial"/>
          <w:bCs/>
          <w:iCs/>
        </w:rPr>
        <w:t>The content of a program for purposes of the Title IV programs is measured in either clock hours or credit hours. It is important to understand the definitions of both credit hours and clock hours because some programs may state that they are measured in credit hours, but in certain circumstances the regulations require those programs be measured and evaluated for program eligibility and student eligibility based on clock hours.</w:t>
      </w:r>
    </w:p>
    <w:p w14:paraId="0D550CFE" w14:textId="0BDF26E0" w:rsidR="00F7017C" w:rsidRPr="00F7017C" w:rsidRDefault="00F7017C" w:rsidP="00F7017C">
      <w:pPr>
        <w:spacing w:after="240"/>
        <w:jc w:val="both"/>
        <w:rPr>
          <w:rFonts w:ascii="Arial" w:hAnsi="Arial" w:cs="Arial"/>
          <w:bCs/>
          <w:i/>
        </w:rPr>
      </w:pPr>
      <w:r w:rsidRPr="00F7017C">
        <w:rPr>
          <w:rFonts w:ascii="Arial" w:hAnsi="Arial" w:cs="Arial"/>
          <w:bCs/>
          <w:i/>
        </w:rPr>
        <w:t>Clock Hours</w:t>
      </w:r>
    </w:p>
    <w:p w14:paraId="3A93A168" w14:textId="78215D7B" w:rsidR="00F7017C" w:rsidRPr="00F7017C" w:rsidRDefault="00F7017C" w:rsidP="00F7017C">
      <w:pPr>
        <w:spacing w:after="240"/>
        <w:jc w:val="both"/>
        <w:rPr>
          <w:rFonts w:ascii="Arial" w:hAnsi="Arial" w:cs="Arial"/>
          <w:bCs/>
          <w:iCs/>
        </w:rPr>
      </w:pPr>
      <w:r w:rsidRPr="00F7017C">
        <w:rPr>
          <w:rFonts w:ascii="Arial" w:hAnsi="Arial" w:cs="Arial"/>
          <w:bCs/>
          <w:iCs/>
        </w:rPr>
        <w:t>A clock hour offered in a classroom setting is a period of time consisting of a 50- to 60- minute class, lecture, or recitation in a 60-minute period (34 CFR 600.2 Clock hour (1)(i). A clock hour in a faculty supervised laboratory, shop training, or internship is 50 to 60 minutes in a 60-minute period (34 CFR 600.2 Clock hour (1)(ii). A clock hour for a program offered through correspondence is sixty minutes of preparation in a correspondence course (34 CFR 600.2 Clock Hour (1)(iii)).</w:t>
      </w:r>
    </w:p>
    <w:p w14:paraId="7D183CCE" w14:textId="3D76013B" w:rsidR="00F7017C" w:rsidRPr="00F7017C" w:rsidRDefault="00F7017C" w:rsidP="00F7017C">
      <w:pPr>
        <w:spacing w:after="240"/>
        <w:jc w:val="both"/>
        <w:rPr>
          <w:rFonts w:ascii="Arial" w:hAnsi="Arial" w:cs="Arial"/>
          <w:bCs/>
          <w:iCs/>
        </w:rPr>
      </w:pPr>
      <w:r w:rsidRPr="00F7017C">
        <w:rPr>
          <w:rFonts w:ascii="Arial" w:hAnsi="Arial" w:cs="Arial"/>
          <w:bCs/>
          <w:iCs/>
        </w:rPr>
        <w:t xml:space="preserve">For a program offered through distance education a clock hour is 50 to 60 minutes in a 60-minute period of attendance in a synchronous or asynchronous class, lecture, or recitation where there is opportunity for direct interaction between the instructor and students; or an asynchronous learning activity involving academic engagement in which the student interacts with technology that can monitor and document the </w:t>
      </w:r>
      <w:r w:rsidRPr="00F7017C">
        <w:rPr>
          <w:rFonts w:ascii="Arial" w:hAnsi="Arial" w:cs="Arial"/>
          <w:bCs/>
          <w:iCs/>
        </w:rPr>
        <w:lastRenderedPageBreak/>
        <w:t>amount of time that the student participates in the activity. A clock hour in a distance education program does not meet the requirements of this definition if it does not meet all accrediting agency and State requirements or if it exceeds an agency's or State's restrictions on the number of clock hours in a program that may be offered through distance education (34 CFR 600.2 Clock Hour: (1)(iv) and (2)).</w:t>
      </w:r>
    </w:p>
    <w:p w14:paraId="5AD08E62" w14:textId="153FB751" w:rsidR="00F7017C" w:rsidRPr="00F7017C" w:rsidRDefault="00F7017C" w:rsidP="00F7017C">
      <w:pPr>
        <w:spacing w:after="240"/>
        <w:jc w:val="both"/>
        <w:rPr>
          <w:rFonts w:ascii="Arial" w:hAnsi="Arial" w:cs="Arial"/>
          <w:bCs/>
          <w:iCs/>
        </w:rPr>
      </w:pPr>
      <w:r w:rsidRPr="00F7017C">
        <w:rPr>
          <w:rFonts w:ascii="Arial" w:hAnsi="Arial" w:cs="Arial"/>
          <w:bCs/>
          <w:iCs/>
        </w:rPr>
        <w:t>No matter how a program measured in clock hours is delivered an institution must be capable of monitoring a student's attendance in 50 out of 60 minutes for each clock hour under this definition (34 CFR 600.2 Clock Hour: (3)).</w:t>
      </w:r>
    </w:p>
    <w:p w14:paraId="43911DA5" w14:textId="60C33A28" w:rsidR="00F7017C" w:rsidRPr="00F7017C" w:rsidRDefault="00F7017C" w:rsidP="00F7017C">
      <w:pPr>
        <w:spacing w:after="240"/>
        <w:jc w:val="both"/>
        <w:rPr>
          <w:rFonts w:ascii="Arial" w:hAnsi="Arial" w:cs="Arial"/>
          <w:bCs/>
          <w:iCs/>
        </w:rPr>
      </w:pPr>
      <w:r w:rsidRPr="00F7017C">
        <w:rPr>
          <w:rFonts w:ascii="Arial" w:hAnsi="Arial" w:cs="Arial"/>
          <w:bCs/>
          <w:iCs/>
        </w:rPr>
        <w:t>NOTE: Programs offered through direct assessment are not measured in clock hours. For traditional on ground programs, a clock hour is a period of time consisting of a 50- to 60- minute class, lecture, or recitation in a 60-minute period; or a 50- to 60-minute faculty- supervised laboratory, shop training, or internship in a 60-minute period (34 CFR 600.02 Clock Hour: (1)(i) and (ii)).</w:t>
      </w:r>
    </w:p>
    <w:p w14:paraId="5DA2DA56" w14:textId="581FB30A" w:rsidR="00F7017C" w:rsidRPr="00F7017C" w:rsidRDefault="00F7017C" w:rsidP="00F7017C">
      <w:pPr>
        <w:spacing w:after="240"/>
        <w:jc w:val="both"/>
        <w:rPr>
          <w:rFonts w:ascii="Arial" w:hAnsi="Arial" w:cs="Arial"/>
          <w:bCs/>
          <w:i/>
        </w:rPr>
      </w:pPr>
      <w:r w:rsidRPr="00F7017C">
        <w:rPr>
          <w:rFonts w:ascii="Arial" w:hAnsi="Arial" w:cs="Arial"/>
          <w:bCs/>
          <w:i/>
        </w:rPr>
        <w:t>Credit Hours</w:t>
      </w:r>
    </w:p>
    <w:p w14:paraId="0CA1318B" w14:textId="57FCCF9F" w:rsidR="00F7017C" w:rsidRPr="00F7017C" w:rsidRDefault="00F7017C" w:rsidP="00F7017C">
      <w:pPr>
        <w:spacing w:after="240"/>
        <w:jc w:val="both"/>
        <w:rPr>
          <w:rFonts w:ascii="Arial" w:hAnsi="Arial" w:cs="Arial"/>
          <w:bCs/>
          <w:iCs/>
        </w:rPr>
      </w:pPr>
      <w:r w:rsidRPr="00F7017C">
        <w:rPr>
          <w:rFonts w:ascii="Arial" w:hAnsi="Arial" w:cs="Arial"/>
          <w:bCs/>
          <w:iCs/>
        </w:rPr>
        <w:t>Unless a program is required to use the clock to credit hour conversion, a credit hour is an amount of student work defined by an institution, as approved by the institution's accrediting agency or State approval agency, that is consistent with commonly accepted practice in postsecondary education. A credit hour reasonably approximates not less than 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period of time; or at least an equivalent amount of work for other academic activities as established by the institution, including laboratory work, internships, practica, studio work, and other academic work leading to the award of credit hours (34 CFR 600.2 Credit Hour (1)(i) and (ii)).</w:t>
      </w:r>
    </w:p>
    <w:p w14:paraId="6CD012FC" w14:textId="0EE317C9" w:rsidR="00F7017C" w:rsidRPr="00F7017C" w:rsidRDefault="00F7017C" w:rsidP="00F7017C">
      <w:pPr>
        <w:spacing w:after="240"/>
        <w:jc w:val="both"/>
        <w:rPr>
          <w:rFonts w:ascii="Arial" w:hAnsi="Arial" w:cs="Arial"/>
          <w:bCs/>
          <w:iCs/>
        </w:rPr>
      </w:pPr>
      <w:r w:rsidRPr="00F7017C">
        <w:rPr>
          <w:rFonts w:ascii="Arial" w:hAnsi="Arial" w:cs="Arial"/>
          <w:bCs/>
          <w:iCs/>
        </w:rPr>
        <w:t>The regulations also permit an institution, in determining the amount of work associated with a credit hour, to take into account a variety of delivery methods, measurements of student work, academic calendars, disciplines, and degree levels.</w:t>
      </w:r>
    </w:p>
    <w:p w14:paraId="00B8CA8D" w14:textId="307FCF46" w:rsidR="00F7017C" w:rsidRPr="00F7017C" w:rsidRDefault="00F7017C" w:rsidP="00F7017C">
      <w:pPr>
        <w:spacing w:after="240"/>
        <w:jc w:val="both"/>
        <w:rPr>
          <w:rFonts w:ascii="Arial" w:hAnsi="Arial" w:cs="Arial"/>
          <w:bCs/>
          <w:iCs/>
        </w:rPr>
      </w:pPr>
      <w:r w:rsidRPr="00F7017C">
        <w:rPr>
          <w:rFonts w:ascii="Arial" w:hAnsi="Arial" w:cs="Arial"/>
          <w:bCs/>
          <w:iCs/>
        </w:rPr>
        <w:t>For programs that lead to an associate, bachelor’s, professional, or graduate degree, the content and length of the programs is established by state agencies and accrediting agencies. ED generally accepts the content and length established for those programs.</w:t>
      </w:r>
    </w:p>
    <w:p w14:paraId="31729392" w14:textId="298D6BF2" w:rsidR="00F7017C" w:rsidRPr="00F7017C" w:rsidRDefault="00F7017C" w:rsidP="00F7017C">
      <w:pPr>
        <w:spacing w:after="240"/>
        <w:jc w:val="both"/>
        <w:rPr>
          <w:rFonts w:ascii="Arial" w:hAnsi="Arial" w:cs="Arial"/>
          <w:bCs/>
          <w:i/>
        </w:rPr>
      </w:pPr>
      <w:r w:rsidRPr="00F7017C">
        <w:rPr>
          <w:rFonts w:ascii="Arial" w:hAnsi="Arial" w:cs="Arial"/>
          <w:bCs/>
          <w:i/>
        </w:rPr>
        <w:t>Time</w:t>
      </w:r>
    </w:p>
    <w:p w14:paraId="33469909" w14:textId="50EC8B51" w:rsidR="00F7017C" w:rsidRPr="00F7017C" w:rsidRDefault="00F7017C" w:rsidP="00F7017C">
      <w:pPr>
        <w:spacing w:after="240"/>
        <w:jc w:val="both"/>
        <w:rPr>
          <w:rFonts w:ascii="Arial" w:hAnsi="Arial" w:cs="Arial"/>
          <w:bCs/>
          <w:iCs/>
        </w:rPr>
      </w:pPr>
      <w:r w:rsidRPr="00F7017C">
        <w:rPr>
          <w:rFonts w:ascii="Arial" w:hAnsi="Arial" w:cs="Arial"/>
          <w:bCs/>
          <w:iCs/>
        </w:rPr>
        <w:t>The length of a program, the amount of time to complete the program, is measured in academic years and weeks of instructional time.</w:t>
      </w:r>
    </w:p>
    <w:p w14:paraId="100F8FCD" w14:textId="33222B52" w:rsidR="00F7017C" w:rsidRPr="00F7017C" w:rsidRDefault="00F7017C" w:rsidP="00F7017C">
      <w:pPr>
        <w:spacing w:after="240"/>
        <w:jc w:val="both"/>
        <w:rPr>
          <w:rFonts w:ascii="Arial" w:hAnsi="Arial" w:cs="Arial"/>
          <w:bCs/>
          <w:i/>
        </w:rPr>
      </w:pPr>
      <w:r w:rsidRPr="00F7017C">
        <w:rPr>
          <w:rFonts w:ascii="Arial" w:hAnsi="Arial" w:cs="Arial"/>
          <w:bCs/>
          <w:i/>
        </w:rPr>
        <w:t>Academic Year</w:t>
      </w:r>
    </w:p>
    <w:p w14:paraId="1B0A10FB" w14:textId="5DC132FD" w:rsidR="00F7017C" w:rsidRPr="00F7017C" w:rsidRDefault="00F7017C" w:rsidP="00F7017C">
      <w:pPr>
        <w:spacing w:after="240"/>
        <w:jc w:val="both"/>
        <w:rPr>
          <w:rFonts w:ascii="Arial" w:hAnsi="Arial" w:cs="Arial"/>
          <w:bCs/>
          <w:iCs/>
        </w:rPr>
      </w:pPr>
      <w:r w:rsidRPr="00F7017C">
        <w:rPr>
          <w:rFonts w:ascii="Arial" w:hAnsi="Arial" w:cs="Arial"/>
          <w:bCs/>
          <w:iCs/>
        </w:rPr>
        <w:t>An academic year for a credit hour program must include a minimum of 30 weeks of instructional time (34 CFR 668.3(a)(1)(i)) during which a full-time undergraduate student is expected to complete a minimum of 24 semester or trimester credit hours or 36 quarter credit hours (34 CFR 668.3(a)(2)(i)). For a clock-hour program an academic year must include a minimum of 26 weeks of instructional time (34 CFR 668.3(a)(1)(ii)) during which a full-time undergraduate student is expected to complete a minimum of 900 clock-hours (34 CFR 668.3(a)(2)(ii)).</w:t>
      </w:r>
    </w:p>
    <w:p w14:paraId="6846921B" w14:textId="1EE653A8" w:rsidR="00F7017C" w:rsidRPr="00F7017C" w:rsidRDefault="00F7017C" w:rsidP="00F7017C">
      <w:pPr>
        <w:spacing w:after="240"/>
        <w:jc w:val="both"/>
        <w:rPr>
          <w:rFonts w:ascii="Arial" w:hAnsi="Arial" w:cs="Arial"/>
          <w:bCs/>
          <w:i/>
        </w:rPr>
      </w:pPr>
      <w:r w:rsidRPr="00F7017C">
        <w:rPr>
          <w:rFonts w:ascii="Arial" w:hAnsi="Arial" w:cs="Arial"/>
          <w:bCs/>
          <w:i/>
        </w:rPr>
        <w:t>Week of Instructional Time</w:t>
      </w:r>
    </w:p>
    <w:p w14:paraId="5D285A8E" w14:textId="548A83C2" w:rsidR="00F7017C" w:rsidRPr="00F7017C" w:rsidRDefault="00F7017C" w:rsidP="00F7017C">
      <w:pPr>
        <w:spacing w:after="240"/>
        <w:jc w:val="both"/>
        <w:rPr>
          <w:rFonts w:ascii="Arial" w:hAnsi="Arial" w:cs="Arial"/>
          <w:bCs/>
          <w:iCs/>
        </w:rPr>
      </w:pPr>
      <w:r w:rsidRPr="00F7017C">
        <w:rPr>
          <w:rFonts w:ascii="Arial" w:hAnsi="Arial" w:cs="Arial"/>
          <w:bCs/>
          <w:iCs/>
        </w:rPr>
        <w:t>A week of instructional time for other than distance education or correspondence programs is a week in which at least one day of regularly scheduled instruction or examinations occurs, or, after the last scheduled day of classes for a term or payment period, at least one day of study for final examinations occurs (34 CFR 668.3(b)(2)(i)).</w:t>
      </w:r>
    </w:p>
    <w:p w14:paraId="20E51C18" w14:textId="45B81AE1" w:rsidR="00F7017C" w:rsidRPr="00F7017C" w:rsidRDefault="00F7017C" w:rsidP="00F7017C">
      <w:pPr>
        <w:spacing w:after="240"/>
        <w:jc w:val="both"/>
        <w:rPr>
          <w:rFonts w:ascii="Arial" w:hAnsi="Arial" w:cs="Arial"/>
          <w:bCs/>
          <w:iCs/>
        </w:rPr>
      </w:pPr>
      <w:r w:rsidRPr="00F7017C">
        <w:rPr>
          <w:rFonts w:ascii="Arial" w:hAnsi="Arial" w:cs="Arial"/>
          <w:bCs/>
          <w:iCs/>
        </w:rPr>
        <w:lastRenderedPageBreak/>
        <w:t>For a program using asynchronous coursework offered through distance education or correspondence, a week of instructional time is a week in which the institution makes available the instructional materials, other resources, and instructor support necessary for academic engagement and completion of course objectives (34 CFR 668.3(b)(2)(ii)(A); and for asynchronous coursework through distance education, the institution expects enrolled students to perform educational activities demonstrating academic engagement during the week (34 CFR 668.3(b)(2)(ii)(B)).</w:t>
      </w:r>
    </w:p>
    <w:p w14:paraId="3AA2D325" w14:textId="6250A63A" w:rsidR="00F7017C" w:rsidRPr="00F7017C" w:rsidRDefault="00F7017C" w:rsidP="00F7017C">
      <w:pPr>
        <w:spacing w:after="240"/>
        <w:jc w:val="both"/>
        <w:rPr>
          <w:rFonts w:ascii="Arial" w:hAnsi="Arial" w:cs="Arial"/>
          <w:bCs/>
          <w:i/>
        </w:rPr>
      </w:pPr>
      <w:r w:rsidRPr="00F7017C">
        <w:rPr>
          <w:rFonts w:ascii="Arial" w:hAnsi="Arial" w:cs="Arial"/>
          <w:bCs/>
          <w:i/>
        </w:rPr>
        <w:t>Eligible Programs</w:t>
      </w:r>
    </w:p>
    <w:p w14:paraId="77BC288E" w14:textId="7C47DD6C" w:rsidR="00F7017C" w:rsidRPr="00F7017C" w:rsidRDefault="00F7017C" w:rsidP="00F7017C">
      <w:pPr>
        <w:spacing w:after="240"/>
        <w:jc w:val="both"/>
        <w:rPr>
          <w:rFonts w:ascii="Arial" w:hAnsi="Arial" w:cs="Arial"/>
          <w:bCs/>
          <w:iCs/>
        </w:rPr>
      </w:pPr>
      <w:r w:rsidRPr="00F7017C">
        <w:rPr>
          <w:rFonts w:ascii="Arial" w:hAnsi="Arial" w:cs="Arial"/>
          <w:bCs/>
          <w:iCs/>
        </w:rPr>
        <w:t>A program is Title IV-eligible if it is provided by an institution that participates in one or more of the Title IV programs and meets the requirements described in 34 CFR 668.8. The first and most important requirement for an eligible program is that it must be included in an institution’s accreditation and authorized by the State. Once that requirement is met, if the program is offered by a public or nonprofit institution of higher education and leads to an associate, bachelor’s professional, or graduate degree, or is at least two academic years in length and fully acceptable for full credit toward a bachelor’s degree, it is an eligible program. (Note: Programs that lead to an associate, bachelor’s professional, or graduate degree are generally considered eligible programs.)</w:t>
      </w:r>
    </w:p>
    <w:p w14:paraId="4FB47DFE" w14:textId="39E25642" w:rsidR="00F7017C" w:rsidRPr="00F7017C" w:rsidRDefault="00F7017C" w:rsidP="00F7017C">
      <w:pPr>
        <w:spacing w:after="240"/>
        <w:jc w:val="both"/>
        <w:rPr>
          <w:rFonts w:ascii="Arial" w:hAnsi="Arial" w:cs="Arial"/>
          <w:bCs/>
          <w:iCs/>
        </w:rPr>
      </w:pPr>
      <w:r w:rsidRPr="00F7017C">
        <w:rPr>
          <w:rFonts w:ascii="Arial" w:hAnsi="Arial" w:cs="Arial"/>
          <w:bCs/>
          <w:iCs/>
        </w:rPr>
        <w:t>If the program does not lead to a degree and is not at least two academic years in length, it must lead to a certificate or other non-degree recognized credential provided by the institution, provide training that prepares a student for gainful employment in a recognized occupation, and meet ED’s minimum program length requirements.</w:t>
      </w:r>
    </w:p>
    <w:p w14:paraId="2211FF4E" w14:textId="1E23D87D" w:rsidR="00F7017C" w:rsidRPr="00F7017C" w:rsidRDefault="00F7017C" w:rsidP="00F7017C">
      <w:pPr>
        <w:spacing w:after="240"/>
        <w:jc w:val="both"/>
        <w:rPr>
          <w:rFonts w:ascii="Arial" w:hAnsi="Arial" w:cs="Arial"/>
          <w:bCs/>
          <w:iCs/>
        </w:rPr>
      </w:pPr>
      <w:r w:rsidRPr="00F7017C">
        <w:rPr>
          <w:rFonts w:ascii="Arial" w:hAnsi="Arial" w:cs="Arial"/>
          <w:bCs/>
          <w:iCs/>
        </w:rPr>
        <w:t>The regulations at 34 CFR 668.8(d) allow an institution to offer three types of programs offered in clock-hours, semester or trimester credit hours, or quarter credit hours (668.8(d)(1) and (2)).</w:t>
      </w:r>
    </w:p>
    <w:p w14:paraId="60205D10" w14:textId="531CD093" w:rsidR="00F7017C" w:rsidRPr="00F7017C" w:rsidRDefault="00F7017C" w:rsidP="00F7017C">
      <w:pPr>
        <w:spacing w:after="240"/>
        <w:jc w:val="both"/>
        <w:rPr>
          <w:rFonts w:ascii="Arial" w:hAnsi="Arial" w:cs="Arial"/>
          <w:bCs/>
          <w:iCs/>
        </w:rPr>
      </w:pPr>
      <w:r w:rsidRPr="00F7017C">
        <w:rPr>
          <w:rFonts w:ascii="Arial" w:hAnsi="Arial" w:cs="Arial"/>
          <w:bCs/>
          <w:iCs/>
        </w:rPr>
        <w:t>The first type of program must require a minimum of 15 weeks of instruction; must be at least 600 clock hours, 16 semester or trimester hours or 24 quarter hours and may admit as regular students persons who have not completed the equivalent of an associate degree (34 CFR 668.8(d)(1)).</w:t>
      </w:r>
    </w:p>
    <w:p w14:paraId="77C7B60C" w14:textId="36AD04C2" w:rsidR="00F7017C" w:rsidRPr="00F7017C" w:rsidRDefault="00F7017C" w:rsidP="00F7017C">
      <w:pPr>
        <w:spacing w:after="240"/>
        <w:jc w:val="both"/>
        <w:rPr>
          <w:rFonts w:ascii="Arial" w:hAnsi="Arial" w:cs="Arial"/>
          <w:bCs/>
          <w:iCs/>
        </w:rPr>
      </w:pPr>
      <w:r w:rsidRPr="00F7017C">
        <w:rPr>
          <w:rFonts w:ascii="Arial" w:hAnsi="Arial" w:cs="Arial"/>
          <w:bCs/>
          <w:iCs/>
        </w:rPr>
        <w:t>The second type of program must require a minimum of 10 weeks of instruction, must be at least 300 clock hours, 8 semester or trimester hours, or 12 quarter hours and must either be a graduate or professional program or admit as regular students only persons who have completed the equivalent of an associate degree (34 CFR 668.8(d)(2)).</w:t>
      </w:r>
    </w:p>
    <w:p w14:paraId="522D4DF6" w14:textId="4780913A" w:rsidR="00F7017C" w:rsidRPr="00F7017C" w:rsidRDefault="00F7017C" w:rsidP="00F7017C">
      <w:pPr>
        <w:spacing w:after="240"/>
        <w:jc w:val="both"/>
        <w:rPr>
          <w:rFonts w:ascii="Arial" w:hAnsi="Arial" w:cs="Arial"/>
          <w:bCs/>
          <w:iCs/>
        </w:rPr>
      </w:pPr>
      <w:r w:rsidRPr="00F7017C">
        <w:rPr>
          <w:rFonts w:ascii="Arial" w:hAnsi="Arial" w:cs="Arial"/>
          <w:bCs/>
          <w:iCs/>
        </w:rPr>
        <w:t>The regulations also allow an institution to offer a “short-term” program that includes fewer than 600 clock hours and admits students who have not completed the equivalent of an associate degree. Such programs qualify only for Direct Loan funds. These programs may only be offered in clock-hours and cannot be offered using semester credit hours or quarter credit hours. They require a minimum of 10 weeks of instruction, beginning on the first day of classes and ending on the last day of classes or examinations and must be at least 300 clock hours but less than 600 clock hours and provide undergraduate training that prepares a student for gainful employment in a recognized occupation.</w:t>
      </w:r>
    </w:p>
    <w:p w14:paraId="461AC58C" w14:textId="76123287" w:rsidR="00F7017C" w:rsidRPr="00F7017C" w:rsidRDefault="00F7017C" w:rsidP="00F7017C">
      <w:pPr>
        <w:spacing w:after="240"/>
        <w:jc w:val="both"/>
        <w:rPr>
          <w:rFonts w:ascii="Arial" w:hAnsi="Arial" w:cs="Arial"/>
          <w:bCs/>
          <w:iCs/>
        </w:rPr>
      </w:pPr>
      <w:r w:rsidRPr="00F7017C">
        <w:rPr>
          <w:rFonts w:ascii="Arial" w:hAnsi="Arial" w:cs="Arial"/>
          <w:bCs/>
          <w:iCs/>
        </w:rPr>
        <w:t>In addition, short-term programs must meet 70 percent completion and 70 percent placement rate requirements (34 CFR 668.8(d)(3)(v)) described in more detail below.</w:t>
      </w:r>
    </w:p>
    <w:p w14:paraId="47FFF770" w14:textId="184F9C32" w:rsidR="00F7017C" w:rsidRPr="00F7017C" w:rsidRDefault="00EB6F53" w:rsidP="00F7017C">
      <w:pPr>
        <w:spacing w:after="240"/>
        <w:jc w:val="both"/>
        <w:rPr>
          <w:rFonts w:ascii="Arial" w:hAnsi="Arial" w:cs="Arial"/>
          <w:bCs/>
          <w:iCs/>
        </w:rPr>
      </w:pPr>
      <w:hyperlink r:id="rId103" w:history="1">
        <w:r w:rsidR="00F7017C" w:rsidRPr="000A7C0B">
          <w:rPr>
            <w:rStyle w:val="Hyperlink"/>
            <w:rFonts w:cs="Arial"/>
            <w:bCs/>
            <w:iCs/>
          </w:rPr>
          <w:t>Appe</w:t>
        </w:r>
        <w:r w:rsidR="00F7017C" w:rsidRPr="000A7C0B">
          <w:rPr>
            <w:rStyle w:val="Hyperlink"/>
            <w:rFonts w:cs="Arial"/>
            <w:bCs/>
            <w:iCs/>
          </w:rPr>
          <w:t>n</w:t>
        </w:r>
        <w:r w:rsidR="00F7017C" w:rsidRPr="000A7C0B">
          <w:rPr>
            <w:rStyle w:val="Hyperlink"/>
            <w:rFonts w:cs="Arial"/>
            <w:bCs/>
            <w:iCs/>
          </w:rPr>
          <w:t>dix B</w:t>
        </w:r>
      </w:hyperlink>
      <w:r w:rsidR="00F7017C" w:rsidRPr="00F7017C">
        <w:rPr>
          <w:rFonts w:ascii="Arial" w:hAnsi="Arial" w:cs="Arial"/>
          <w:bCs/>
          <w:iCs/>
        </w:rPr>
        <w:t xml:space="preserve"> provides a flowchart of the process for determining program eligibility.</w:t>
      </w:r>
    </w:p>
    <w:p w14:paraId="246A5F8C" w14:textId="37B3D690" w:rsidR="00F7017C" w:rsidRPr="00F7017C" w:rsidRDefault="00F7017C" w:rsidP="00F7017C">
      <w:pPr>
        <w:spacing w:after="240"/>
        <w:jc w:val="both"/>
        <w:rPr>
          <w:rFonts w:ascii="Arial" w:hAnsi="Arial" w:cs="Arial"/>
          <w:bCs/>
          <w:i/>
        </w:rPr>
      </w:pPr>
      <w:r w:rsidRPr="00F7017C">
        <w:rPr>
          <w:rFonts w:ascii="Arial" w:hAnsi="Arial" w:cs="Arial"/>
          <w:bCs/>
          <w:i/>
        </w:rPr>
        <w:t>Other Programs</w:t>
      </w:r>
    </w:p>
    <w:p w14:paraId="77B1B7D3" w14:textId="7C7E6D7C" w:rsidR="00F7017C" w:rsidRPr="00F7017C" w:rsidRDefault="00F7017C" w:rsidP="00F7017C">
      <w:pPr>
        <w:spacing w:after="240"/>
        <w:jc w:val="both"/>
        <w:rPr>
          <w:rFonts w:ascii="Arial" w:hAnsi="Arial" w:cs="Arial"/>
          <w:bCs/>
          <w:iCs/>
        </w:rPr>
      </w:pPr>
      <w:r w:rsidRPr="00F7017C">
        <w:rPr>
          <w:rFonts w:ascii="Arial" w:hAnsi="Arial" w:cs="Arial"/>
          <w:bCs/>
          <w:iCs/>
        </w:rPr>
        <w:t>A small number of institutions offer approved comprehensive transition and postsecondary programs and teacher certification programs where the institution does not award a credential. Please see the Federal Student Aid Handbook, Volume 2 for more information about these types of programs.</w:t>
      </w:r>
    </w:p>
    <w:p w14:paraId="33FBDE18" w14:textId="77777777" w:rsidR="000A7C0B" w:rsidRPr="000A7C0B" w:rsidRDefault="000A7C0B" w:rsidP="000A7C0B">
      <w:pPr>
        <w:spacing w:after="240"/>
        <w:jc w:val="both"/>
        <w:rPr>
          <w:rFonts w:ascii="Arial" w:hAnsi="Arial" w:cs="Arial"/>
          <w:bCs/>
          <w:i/>
        </w:rPr>
      </w:pPr>
      <w:r w:rsidRPr="000A7C0B">
        <w:rPr>
          <w:rFonts w:ascii="Arial" w:hAnsi="Arial" w:cs="Arial"/>
          <w:bCs/>
          <w:i/>
        </w:rPr>
        <w:lastRenderedPageBreak/>
        <w:t>Prison Education Programs (PEPs)</w:t>
      </w:r>
    </w:p>
    <w:p w14:paraId="46A78E03" w14:textId="78747F2C" w:rsidR="000A7C0B" w:rsidRDefault="000A7C0B" w:rsidP="000A7C0B">
      <w:pPr>
        <w:spacing w:after="240"/>
        <w:jc w:val="both"/>
        <w:rPr>
          <w:rFonts w:ascii="Arial" w:hAnsi="Arial" w:cs="Arial"/>
          <w:bCs/>
          <w:i/>
        </w:rPr>
      </w:pPr>
      <w:r w:rsidRPr="000A7C0B">
        <w:rPr>
          <w:rFonts w:ascii="Arial" w:hAnsi="Arial" w:cs="Arial"/>
          <w:bCs/>
          <w:iCs/>
        </w:rPr>
        <w:t xml:space="preserve">Some institutions offer Prison Education Programs to otherwise eligible confined or incarcerated students. Otherwise eligible confined or incarcerated students must be enrolled in an eligible PEP in order to receive Pell funds. See </w:t>
      </w:r>
      <w:hyperlink r:id="rId104" w:anchor="subpart-P" w:history="1">
        <w:r w:rsidRPr="000A7C0B">
          <w:rPr>
            <w:rStyle w:val="Hyperlink"/>
            <w:rFonts w:cs="Arial"/>
            <w:bCs/>
            <w:iCs/>
          </w:rPr>
          <w:t>34 CFR 668</w:t>
        </w:r>
      </w:hyperlink>
      <w:r w:rsidRPr="000A7C0B">
        <w:rPr>
          <w:rFonts w:ascii="Arial" w:hAnsi="Arial" w:cs="Arial"/>
          <w:bCs/>
          <w:iCs/>
        </w:rPr>
        <w:t>, Subpart P for PEP requirements</w:t>
      </w:r>
      <w:r w:rsidRPr="000A7C0B">
        <w:rPr>
          <w:rFonts w:ascii="Arial" w:hAnsi="Arial" w:cs="Arial"/>
          <w:bCs/>
          <w:i/>
        </w:rPr>
        <w:t>.</w:t>
      </w:r>
    </w:p>
    <w:p w14:paraId="00419B0A" w14:textId="51D72B5E" w:rsidR="00F7017C" w:rsidRPr="00F7017C" w:rsidRDefault="00F7017C" w:rsidP="000A7C0B">
      <w:pPr>
        <w:spacing w:after="240"/>
        <w:jc w:val="both"/>
        <w:rPr>
          <w:rFonts w:ascii="Arial" w:hAnsi="Arial" w:cs="Arial"/>
          <w:bCs/>
          <w:i/>
        </w:rPr>
      </w:pPr>
      <w:r w:rsidRPr="00F7017C">
        <w:rPr>
          <w:rFonts w:ascii="Arial" w:hAnsi="Arial" w:cs="Arial"/>
          <w:bCs/>
          <w:i/>
        </w:rPr>
        <w:t>Programs Requiring an Evaluation of Credit Hours and Clock-to-Credit Conversion</w:t>
      </w:r>
    </w:p>
    <w:p w14:paraId="5186CBD0" w14:textId="3E25BC49" w:rsidR="00F7017C" w:rsidRPr="00F7017C" w:rsidRDefault="00F7017C" w:rsidP="00F7017C">
      <w:pPr>
        <w:spacing w:after="240"/>
        <w:jc w:val="both"/>
        <w:rPr>
          <w:rFonts w:ascii="Arial" w:hAnsi="Arial" w:cs="Arial"/>
          <w:bCs/>
          <w:iCs/>
        </w:rPr>
      </w:pPr>
      <w:r w:rsidRPr="00F7017C">
        <w:rPr>
          <w:rFonts w:ascii="Arial" w:hAnsi="Arial" w:cs="Arial"/>
          <w:bCs/>
          <w:iCs/>
        </w:rPr>
        <w:t>Under the regulations, if an institution offers an undergraduate educational program in credit hours, the appropriate conversion formula must be applied unless: 1) The program is at least two academic years in length (a minimum of 60 weeks of instructional time) and provides an associate degree, a bachelor’s degree, a professional degree, or an equivalent as determined by ED; or 2) Each course within the program is acceptable for full credit toward a single associate degree, bachelor’s degree, or professional degree provided by that institution, or equivalent degree as determined by ED, provided that the institution’s degree requires at least two academic years of study and the institution can demonstrate that students enroll in, and graduate from the degree program (34 CFR 668.8(k)). If the appropriate number of credit hours have not been assigned to a program, all aid to students in those programs must be recalculated based on the correct conversion supported by clock hours.</w:t>
      </w:r>
    </w:p>
    <w:p w14:paraId="1E967378" w14:textId="32FA6400" w:rsidR="00F7017C" w:rsidRPr="00F7017C" w:rsidRDefault="00F7017C" w:rsidP="00F7017C">
      <w:pPr>
        <w:spacing w:after="240"/>
        <w:jc w:val="both"/>
        <w:rPr>
          <w:rFonts w:ascii="Arial" w:hAnsi="Arial" w:cs="Arial"/>
          <w:bCs/>
          <w:iCs/>
        </w:rPr>
      </w:pPr>
      <w:r w:rsidRPr="00F7017C">
        <w:rPr>
          <w:rFonts w:ascii="Arial" w:hAnsi="Arial" w:cs="Arial"/>
          <w:bCs/>
          <w:iCs/>
        </w:rPr>
        <w:t>For a program offered in semester or trimester credit hours without an exemption, each credit hour must include at least 30 clock hours of instruction (34 CFR 668.8(l)(1). Programs offered in quarter credit hours without an exemption must include at least 20 clock hours of instruction (34 CFR 668.8(l)(2)). The institution must perform this conversion on a course-by-course basis and must award Title IV aid to students using the correct conversion calculation by payment period. More information on the clock-to- credit conversion calculation is available in the Federal Student Aid Handbook, Volume 2, Chapter 2, under “Determining Program Eligibility and Clock-Hour to Credit-Hour Conversions.”</w:t>
      </w:r>
    </w:p>
    <w:p w14:paraId="6BEDABE4" w14:textId="3F5CF2B9" w:rsidR="00F7017C" w:rsidRPr="00F7017C" w:rsidRDefault="00F7017C" w:rsidP="00F7017C">
      <w:pPr>
        <w:spacing w:after="240"/>
        <w:jc w:val="both"/>
        <w:rPr>
          <w:rFonts w:ascii="Arial" w:hAnsi="Arial" w:cs="Arial"/>
          <w:bCs/>
          <w:i/>
        </w:rPr>
      </w:pPr>
      <w:r w:rsidRPr="00F7017C">
        <w:rPr>
          <w:rFonts w:ascii="Arial" w:hAnsi="Arial" w:cs="Arial"/>
          <w:bCs/>
          <w:i/>
        </w:rPr>
        <w:t>Minimum Program Completion and Placement Rates</w:t>
      </w:r>
    </w:p>
    <w:p w14:paraId="44AF2F30" w14:textId="618D37A9" w:rsidR="00F7017C" w:rsidRPr="00F7017C" w:rsidRDefault="00F7017C" w:rsidP="00F7017C">
      <w:pPr>
        <w:spacing w:after="240"/>
        <w:jc w:val="both"/>
        <w:rPr>
          <w:rFonts w:ascii="Arial" w:hAnsi="Arial" w:cs="Arial"/>
          <w:bCs/>
          <w:iCs/>
        </w:rPr>
      </w:pPr>
      <w:r w:rsidRPr="00F7017C">
        <w:rPr>
          <w:rFonts w:ascii="Arial" w:hAnsi="Arial" w:cs="Arial"/>
          <w:bCs/>
          <w:iCs/>
        </w:rPr>
        <w:t>A “short-term” program that is a minimum of 10 weeks of instruction, beginning on the first day of classes and ending on the last day of classes or examinations; is at least 300 clock hours but less than 600 clock hours; provides undergraduate training that prepares a student for gainful employment in a recognized occupation; and admits as regular students some persons who have not completed the equivalent of an associate degree must have a substantiated completion rate of at least 70 percent and a substantiated placement rate of at least 70 percent (34 CFR 668.8(e)(1)(i) and (ii)).</w:t>
      </w:r>
    </w:p>
    <w:p w14:paraId="40BEAA44" w14:textId="2432C833" w:rsidR="00F7017C" w:rsidRPr="00F7017C" w:rsidRDefault="00F7017C" w:rsidP="00F7017C">
      <w:pPr>
        <w:spacing w:after="240"/>
        <w:jc w:val="both"/>
        <w:rPr>
          <w:rFonts w:ascii="Arial" w:hAnsi="Arial" w:cs="Arial"/>
          <w:bCs/>
          <w:iCs/>
        </w:rPr>
      </w:pPr>
      <w:r w:rsidRPr="00F7017C">
        <w:rPr>
          <w:rFonts w:ascii="Arial" w:hAnsi="Arial" w:cs="Arial"/>
          <w:bCs/>
          <w:iCs/>
        </w:rPr>
        <w:t>To calculate its completion rate, the institution must -</w:t>
      </w:r>
    </w:p>
    <w:p w14:paraId="6D96C113" w14:textId="77777777" w:rsidR="00F7017C" w:rsidRPr="00F7017C" w:rsidRDefault="00F7017C" w:rsidP="00F7017C">
      <w:pPr>
        <w:spacing w:after="240"/>
        <w:jc w:val="both"/>
        <w:rPr>
          <w:rFonts w:ascii="Arial" w:hAnsi="Arial" w:cs="Arial"/>
          <w:bCs/>
          <w:iCs/>
        </w:rPr>
      </w:pPr>
      <w:r w:rsidRPr="00F7017C">
        <w:rPr>
          <w:rFonts w:ascii="Arial" w:hAnsi="Arial" w:cs="Arial"/>
          <w:bCs/>
          <w:iCs/>
        </w:rPr>
        <w:t>1.</w:t>
      </w:r>
      <w:r w:rsidRPr="00F7017C">
        <w:rPr>
          <w:rFonts w:ascii="Arial" w:hAnsi="Arial" w:cs="Arial"/>
          <w:bCs/>
          <w:iCs/>
        </w:rPr>
        <w:tab/>
        <w:t>Determine the number of regular students who were enrolled in the program during the award year.</w:t>
      </w:r>
    </w:p>
    <w:p w14:paraId="4B79F5F4" w14:textId="77777777"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2.</w:t>
      </w:r>
      <w:r w:rsidRPr="00F7017C">
        <w:rPr>
          <w:rFonts w:ascii="Arial" w:hAnsi="Arial" w:cs="Arial"/>
          <w:bCs/>
          <w:iCs/>
        </w:rPr>
        <w:tab/>
        <w:t>Subtract from the number of students enrolled in the program during the award year, the number of regular students who, during that award year, withdrew from, dropped out of, or were expelled from the program and were entitled to and actually received, in a timely manner a refund of 100 percent of their tuition and fees.</w:t>
      </w:r>
    </w:p>
    <w:p w14:paraId="20DD7BD1" w14:textId="77777777"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3.</w:t>
      </w:r>
      <w:r w:rsidRPr="00F7017C">
        <w:rPr>
          <w:rFonts w:ascii="Arial" w:hAnsi="Arial" w:cs="Arial"/>
          <w:bCs/>
          <w:iCs/>
        </w:rPr>
        <w:tab/>
        <w:t>Subtract from the total obtained in 2 above the number of students who were enrolled in the program at the end of that award year.</w:t>
      </w:r>
    </w:p>
    <w:p w14:paraId="6BE3C329" w14:textId="77777777"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4.</w:t>
      </w:r>
      <w:r w:rsidRPr="00F7017C">
        <w:rPr>
          <w:rFonts w:ascii="Arial" w:hAnsi="Arial" w:cs="Arial"/>
          <w:bCs/>
          <w:iCs/>
        </w:rPr>
        <w:tab/>
        <w:t>Determine the number of regular students who, during that award year, received within 150 percent of the published length of the educational program the degree, certificate, or other recognized educational credential awarded for successfully completing the program.</w:t>
      </w:r>
    </w:p>
    <w:p w14:paraId="1FD5B948" w14:textId="7F59012E"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5.</w:t>
      </w:r>
      <w:r w:rsidRPr="00F7017C">
        <w:rPr>
          <w:rFonts w:ascii="Arial" w:hAnsi="Arial" w:cs="Arial"/>
          <w:bCs/>
          <w:iCs/>
        </w:rPr>
        <w:tab/>
        <w:t>Divide the number determined under 4 above by the total obtained under 3 above of this section (34 C.F.R, 668.8(f)).</w:t>
      </w:r>
    </w:p>
    <w:p w14:paraId="433C2D5F" w14:textId="3B4649C6" w:rsidR="00F7017C" w:rsidRPr="00F7017C" w:rsidRDefault="00F7017C" w:rsidP="00F7017C">
      <w:pPr>
        <w:spacing w:after="240"/>
        <w:jc w:val="both"/>
        <w:rPr>
          <w:rFonts w:ascii="Arial" w:hAnsi="Arial" w:cs="Arial"/>
          <w:bCs/>
          <w:iCs/>
        </w:rPr>
      </w:pPr>
      <w:r w:rsidRPr="00F7017C">
        <w:rPr>
          <w:rFonts w:ascii="Arial" w:hAnsi="Arial" w:cs="Arial"/>
          <w:bCs/>
          <w:iCs/>
        </w:rPr>
        <w:lastRenderedPageBreak/>
        <w:t>To calculate its placement rate, the institution must –</w:t>
      </w:r>
    </w:p>
    <w:p w14:paraId="76A56921" w14:textId="77777777"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1.</w:t>
      </w:r>
      <w:r w:rsidRPr="00F7017C">
        <w:rPr>
          <w:rFonts w:ascii="Arial" w:hAnsi="Arial" w:cs="Arial"/>
          <w:bCs/>
          <w:iCs/>
        </w:rPr>
        <w:tab/>
        <w:t>Determine the number of students who, during the award year, received the degree, certificate, or other recognized educational credential awarded for successfully completing the program.</w:t>
      </w:r>
    </w:p>
    <w:p w14:paraId="42BF0C1A" w14:textId="77777777"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2.</w:t>
      </w:r>
      <w:r w:rsidRPr="00F7017C">
        <w:rPr>
          <w:rFonts w:ascii="Arial" w:hAnsi="Arial" w:cs="Arial"/>
          <w:bCs/>
          <w:iCs/>
        </w:rPr>
        <w:tab/>
        <w:t>Of the total obtained who completed the program determined in 1 above, determine the number of students who, within 180 days of the day they received their degree, certificate, or other recognized educational credential, obtained gainful employment in the recognized occupation for which they were trained or in a related comparable recognized occupation and, on the date of this calculation, are employed, or have been employed, for at least 13 weeks following receipt of the credential from the institution.</w:t>
      </w:r>
    </w:p>
    <w:p w14:paraId="53D99766" w14:textId="7AB882B2" w:rsidR="00F7017C" w:rsidRPr="00F7017C" w:rsidRDefault="00F7017C" w:rsidP="00F7017C">
      <w:pPr>
        <w:spacing w:after="240"/>
        <w:ind w:left="720" w:hanging="720"/>
        <w:jc w:val="both"/>
        <w:rPr>
          <w:rFonts w:ascii="Arial" w:hAnsi="Arial" w:cs="Arial"/>
          <w:bCs/>
          <w:iCs/>
        </w:rPr>
      </w:pPr>
      <w:r w:rsidRPr="00F7017C">
        <w:rPr>
          <w:rFonts w:ascii="Arial" w:hAnsi="Arial" w:cs="Arial"/>
          <w:bCs/>
          <w:iCs/>
        </w:rPr>
        <w:t>3.</w:t>
      </w:r>
      <w:r w:rsidRPr="00F7017C">
        <w:rPr>
          <w:rFonts w:ascii="Arial" w:hAnsi="Arial" w:cs="Arial"/>
          <w:bCs/>
          <w:iCs/>
        </w:rPr>
        <w:tab/>
        <w:t>Divide the number of students determined under 2 above by the total obtained under 1 above 34 C.F.R. 668.8(g)(1).</w:t>
      </w:r>
    </w:p>
    <w:p w14:paraId="582D8516" w14:textId="78E204BB" w:rsidR="00F7017C" w:rsidRPr="00F7017C" w:rsidRDefault="00F7017C" w:rsidP="00F7017C">
      <w:pPr>
        <w:spacing w:after="240"/>
        <w:jc w:val="both"/>
        <w:rPr>
          <w:rFonts w:ascii="Arial" w:hAnsi="Arial" w:cs="Arial"/>
          <w:bCs/>
          <w:iCs/>
        </w:rPr>
      </w:pPr>
      <w:r w:rsidRPr="00F7017C">
        <w:rPr>
          <w:rFonts w:ascii="Arial" w:hAnsi="Arial" w:cs="Arial"/>
          <w:bCs/>
          <w:iCs/>
        </w:rPr>
        <w:t>An institution must document that each student determined to have obtained gainful employment in a recognized occupation used in the placement rate calculation obtained gainful employment in a recognized occupation. Examples of satisfactory documentation of a student's gainful employment include, but are not limited to -</w:t>
      </w:r>
    </w:p>
    <w:p w14:paraId="65576F09" w14:textId="77777777" w:rsidR="00F7017C" w:rsidRPr="00F7017C" w:rsidRDefault="00F7017C" w:rsidP="00F7017C">
      <w:pPr>
        <w:spacing w:after="240"/>
        <w:jc w:val="both"/>
        <w:rPr>
          <w:rFonts w:ascii="Arial" w:hAnsi="Arial" w:cs="Arial"/>
          <w:bCs/>
          <w:iCs/>
        </w:rPr>
      </w:pPr>
      <w:r w:rsidRPr="00F7017C">
        <w:rPr>
          <w:rFonts w:ascii="Arial" w:hAnsi="Arial" w:cs="Arial"/>
          <w:bCs/>
          <w:iCs/>
        </w:rPr>
        <w:t>•</w:t>
      </w:r>
      <w:r w:rsidRPr="00F7017C">
        <w:rPr>
          <w:rFonts w:ascii="Arial" w:hAnsi="Arial" w:cs="Arial"/>
          <w:bCs/>
          <w:iCs/>
        </w:rPr>
        <w:tab/>
        <w:t>A written statement from the student's employer;</w:t>
      </w:r>
    </w:p>
    <w:p w14:paraId="664BA880" w14:textId="77777777" w:rsidR="00F7017C" w:rsidRPr="00F7017C" w:rsidRDefault="00F7017C" w:rsidP="00F7017C">
      <w:pPr>
        <w:spacing w:after="240"/>
        <w:jc w:val="both"/>
        <w:rPr>
          <w:rFonts w:ascii="Arial" w:hAnsi="Arial" w:cs="Arial"/>
          <w:bCs/>
          <w:iCs/>
        </w:rPr>
      </w:pPr>
      <w:r w:rsidRPr="00F7017C">
        <w:rPr>
          <w:rFonts w:ascii="Arial" w:hAnsi="Arial" w:cs="Arial"/>
          <w:bCs/>
          <w:iCs/>
        </w:rPr>
        <w:t>•</w:t>
      </w:r>
      <w:r w:rsidRPr="00F7017C">
        <w:rPr>
          <w:rFonts w:ascii="Arial" w:hAnsi="Arial" w:cs="Arial"/>
          <w:bCs/>
          <w:iCs/>
        </w:rPr>
        <w:tab/>
        <w:t>Signed copies of State or Federal income tax forms; and</w:t>
      </w:r>
    </w:p>
    <w:p w14:paraId="09E2AF48" w14:textId="7F8C167B" w:rsidR="000C04C5" w:rsidRPr="00F7017C" w:rsidRDefault="00F7017C" w:rsidP="00F7017C">
      <w:pPr>
        <w:spacing w:after="240"/>
        <w:jc w:val="both"/>
        <w:rPr>
          <w:rFonts w:ascii="Arial" w:hAnsi="Arial" w:cs="Arial"/>
          <w:bCs/>
          <w:iCs/>
        </w:rPr>
      </w:pPr>
      <w:r w:rsidRPr="00F7017C">
        <w:rPr>
          <w:rFonts w:ascii="Arial" w:hAnsi="Arial" w:cs="Arial"/>
          <w:bCs/>
          <w:iCs/>
        </w:rPr>
        <w:t>•</w:t>
      </w:r>
      <w:r w:rsidRPr="00F7017C">
        <w:rPr>
          <w:rFonts w:ascii="Arial" w:hAnsi="Arial" w:cs="Arial"/>
          <w:bCs/>
          <w:iCs/>
        </w:rPr>
        <w:tab/>
        <w:t>Written evidence of payments of Social Security taxes.</w:t>
      </w:r>
    </w:p>
    <w:p w14:paraId="586B058B" w14:textId="77777777" w:rsidR="000C04C5" w:rsidRPr="000C04C5" w:rsidRDefault="000C04C5" w:rsidP="000C04C5">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1CC07BAB" w14:textId="77777777" w:rsidR="000C04C5" w:rsidRPr="000706D1" w:rsidRDefault="000C04C5" w:rsidP="000C04C5">
      <w:pPr>
        <w:pStyle w:val="Heading3"/>
        <w:jc w:val="both"/>
        <w:rPr>
          <w:rFonts w:cs="Arial"/>
          <w:sz w:val="24"/>
          <w:szCs w:val="24"/>
        </w:rPr>
      </w:pPr>
      <w:bookmarkStart w:id="104" w:name="_Toc176355455"/>
      <w:r w:rsidRPr="000706D1">
        <w:rPr>
          <w:rFonts w:cs="Arial"/>
          <w:sz w:val="24"/>
          <w:szCs w:val="24"/>
        </w:rPr>
        <w:t>Additional Program Specific Information</w:t>
      </w:r>
      <w:bookmarkEnd w:id="104"/>
    </w:p>
    <w:p w14:paraId="1F54FE41" w14:textId="77777777" w:rsidR="000C04C5" w:rsidRPr="00AA5B05" w:rsidRDefault="000C04C5" w:rsidP="000C04C5">
      <w:pPr>
        <w:spacing w:after="240"/>
        <w:jc w:val="both"/>
        <w:rPr>
          <w:rFonts w:ascii="Arial" w:hAnsi="Arial" w:cs="Arial"/>
          <w:b/>
          <w:highlight w:val="yellow"/>
        </w:rPr>
      </w:pPr>
      <w:r w:rsidRPr="00AA5B05">
        <w:rPr>
          <w:rFonts w:ascii="Arial" w:hAnsi="Arial" w:cs="Arial"/>
          <w:b/>
          <w:highlight w:val="yellow"/>
        </w:rPr>
        <w:t>Add program specific requirements from:</w:t>
      </w:r>
    </w:p>
    <w:p w14:paraId="1AAAC0C2" w14:textId="322A2A5F"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A7C0B">
        <w:rPr>
          <w:rFonts w:ascii="Arial" w:hAnsi="Arial" w:cs="Arial"/>
          <w:b/>
          <w:highlight w:val="yellow"/>
        </w:rPr>
        <w:t xml:space="preserve"> and</w:t>
      </w:r>
    </w:p>
    <w:p w14:paraId="23B18E59" w14:textId="77777777" w:rsidR="000C04C5" w:rsidRPr="00AA5B05" w:rsidRDefault="000C04C5" w:rsidP="000C04C5">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DAEA4D3" w14:textId="77777777" w:rsidR="000C04C5" w:rsidRPr="00AA5B05" w:rsidRDefault="000C04C5" w:rsidP="000C04C5">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FF63134" w14:textId="77777777" w:rsidR="000C04C5" w:rsidRPr="000706D1" w:rsidRDefault="000C04C5" w:rsidP="000C04C5">
      <w:pPr>
        <w:pStyle w:val="Heading3"/>
        <w:jc w:val="both"/>
        <w:rPr>
          <w:rFonts w:cs="Arial"/>
          <w:sz w:val="24"/>
          <w:szCs w:val="24"/>
        </w:rPr>
      </w:pPr>
      <w:bookmarkStart w:id="105" w:name="_Toc176355456"/>
      <w:r w:rsidRPr="000706D1">
        <w:rPr>
          <w:rFonts w:cs="Arial"/>
          <w:sz w:val="24"/>
          <w:szCs w:val="24"/>
        </w:rPr>
        <w:t>Audit Objectives and Control Testing</w:t>
      </w:r>
      <w:bookmarkEnd w:id="105"/>
    </w:p>
    <w:p w14:paraId="02CA9028" w14:textId="77777777" w:rsidR="000C04C5" w:rsidRPr="00F00D94" w:rsidRDefault="000C04C5" w:rsidP="000C04C5">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008F01A" w14:textId="77777777" w:rsidR="000C04C5" w:rsidRPr="00F00D94" w:rsidRDefault="000C04C5" w:rsidP="000C04C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1EFD74F" w14:textId="77777777" w:rsidR="000C04C5"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923D594" w14:textId="60BA4522" w:rsidR="000C04C5" w:rsidRDefault="00F7017C" w:rsidP="00F7017C">
      <w:pPr>
        <w:pStyle w:val="ListParagraph"/>
        <w:numPr>
          <w:ilvl w:val="0"/>
          <w:numId w:val="7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7017C">
        <w:rPr>
          <w:rFonts w:ascii="Arial" w:hAnsi="Arial" w:cs="Arial"/>
          <w:iCs/>
        </w:rPr>
        <w:t>Determine whether the programs offered by the institution are eligible programs.</w:t>
      </w:r>
    </w:p>
    <w:p w14:paraId="1B591F9B" w14:textId="6657AB68" w:rsidR="00F7017C" w:rsidRPr="00F7017C" w:rsidRDefault="00F7017C" w:rsidP="00F7017C">
      <w:pPr>
        <w:spacing w:after="240"/>
        <w:jc w:val="both"/>
        <w:rPr>
          <w:rFonts w:ascii="Arial" w:hAnsi="Arial" w:cs="Arial"/>
          <w:bCs/>
        </w:rPr>
      </w:pPr>
      <w:r w:rsidRPr="00F7017C">
        <w:rPr>
          <w:rFonts w:ascii="Arial" w:hAnsi="Arial" w:cs="Arial"/>
          <w:bCs/>
          <w:i/>
        </w:rPr>
        <w:t>(Source: 2024 OMB Compliance Supplement, Part 5, Student Financial Assistance Cluster)</w:t>
      </w:r>
    </w:p>
    <w:p w14:paraId="7EC56D79" w14:textId="77777777" w:rsidR="000C04C5" w:rsidRPr="00634FA3" w:rsidRDefault="000C04C5" w:rsidP="000C04C5">
      <w:pPr>
        <w:spacing w:after="240"/>
        <w:jc w:val="both"/>
        <w:rPr>
          <w:rFonts w:ascii="Arial" w:hAnsi="Arial" w:cs="Arial"/>
          <w:b/>
          <w:sz w:val="24"/>
          <w:szCs w:val="24"/>
        </w:rPr>
      </w:pPr>
      <w:r w:rsidRPr="00634FA3">
        <w:rPr>
          <w:rStyle w:val="Hyperlink"/>
          <w:rFonts w:cs="Arial"/>
          <w:b/>
          <w:color w:val="auto"/>
          <w:sz w:val="24"/>
          <w:szCs w:val="24"/>
          <w:u w:val="none"/>
        </w:rPr>
        <w:lastRenderedPageBreak/>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0C04C5" w:rsidRPr="00F00D94" w14:paraId="7E647F87" w14:textId="77777777" w:rsidTr="004F1F50">
        <w:tc>
          <w:tcPr>
            <w:tcW w:w="5000" w:type="pct"/>
          </w:tcPr>
          <w:p w14:paraId="7705AB92" w14:textId="77777777" w:rsidR="000C04C5" w:rsidRPr="006F5FFA" w:rsidRDefault="000C04C5" w:rsidP="004F1F5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F94008B"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BE59BC0" w14:textId="77777777" w:rsidR="000C04C5" w:rsidRPr="00F00D94" w:rsidRDefault="000C04C5" w:rsidP="004F1F50">
            <w:pPr>
              <w:pStyle w:val="AuditProcedureHeading"/>
              <w:spacing w:after="240"/>
              <w:jc w:val="both"/>
              <w:rPr>
                <w:rFonts w:cs="Arial"/>
                <w:b/>
                <w:bCs/>
                <w:szCs w:val="20"/>
                <w:u w:val="single"/>
              </w:rPr>
            </w:pPr>
          </w:p>
          <w:p w14:paraId="12950AFD" w14:textId="77777777" w:rsidR="000C04C5" w:rsidRPr="00F00D94" w:rsidRDefault="000C04C5" w:rsidP="004F1F5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AD35782" w14:textId="77777777" w:rsidR="000C04C5" w:rsidRPr="00F00D94" w:rsidRDefault="000C04C5" w:rsidP="004F1F50">
            <w:pPr>
              <w:pStyle w:val="AuditProcedureHeading"/>
              <w:spacing w:after="240"/>
              <w:jc w:val="both"/>
              <w:rPr>
                <w:rFonts w:cs="Arial"/>
                <w:b/>
                <w:bCs/>
                <w:szCs w:val="20"/>
                <w:u w:val="single"/>
              </w:rPr>
            </w:pPr>
          </w:p>
          <w:p w14:paraId="18D120FF" w14:textId="77777777" w:rsidR="000C04C5" w:rsidRPr="00F00D94" w:rsidRDefault="000C04C5" w:rsidP="004F1F5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9EB9966" w14:textId="77777777" w:rsidR="000C04C5" w:rsidRPr="00F00D94" w:rsidRDefault="000C04C5" w:rsidP="004F1F50">
            <w:pPr>
              <w:spacing w:after="240"/>
              <w:jc w:val="both"/>
              <w:rPr>
                <w:rFonts w:ascii="Arial" w:hAnsi="Arial" w:cs="Arial"/>
                <w:b/>
                <w:sz w:val="20"/>
                <w:u w:val="single"/>
              </w:rPr>
            </w:pPr>
          </w:p>
          <w:p w14:paraId="4E68B1D3" w14:textId="77777777" w:rsidR="000C04C5" w:rsidRPr="00F00D94" w:rsidRDefault="000C04C5" w:rsidP="004F1F5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17AC857" w14:textId="77777777" w:rsidR="000C04C5" w:rsidRPr="00C35E5F" w:rsidRDefault="000C04C5" w:rsidP="004F1F50">
            <w:pPr>
              <w:spacing w:after="240"/>
              <w:jc w:val="both"/>
              <w:rPr>
                <w:rFonts w:ascii="Arial" w:eastAsiaTheme="minorHAnsi" w:hAnsi="Arial" w:cs="Arial"/>
                <w:sz w:val="20"/>
                <w:szCs w:val="20"/>
              </w:rPr>
            </w:pPr>
          </w:p>
        </w:tc>
      </w:tr>
    </w:tbl>
    <w:p w14:paraId="707D5AA5"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40B6ED8" w14:textId="77777777" w:rsidR="000C04C5" w:rsidRPr="000706D1" w:rsidRDefault="000C04C5" w:rsidP="000C04C5">
      <w:pPr>
        <w:pStyle w:val="Heading3"/>
        <w:jc w:val="both"/>
        <w:rPr>
          <w:rFonts w:cs="Arial"/>
          <w:sz w:val="24"/>
          <w:szCs w:val="24"/>
        </w:rPr>
      </w:pPr>
      <w:bookmarkStart w:id="106" w:name="_Toc17635545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6"/>
    </w:p>
    <w:tbl>
      <w:tblPr>
        <w:tblStyle w:val="TableGrid"/>
        <w:tblW w:w="9558" w:type="dxa"/>
        <w:tblLayout w:type="fixed"/>
        <w:tblLook w:val="04A0" w:firstRow="1" w:lastRow="0" w:firstColumn="1" w:lastColumn="0" w:noHBand="0" w:noVBand="1"/>
      </w:tblPr>
      <w:tblGrid>
        <w:gridCol w:w="9558"/>
      </w:tblGrid>
      <w:tr w:rsidR="000C04C5" w:rsidRPr="00F00D94" w14:paraId="17351578" w14:textId="77777777" w:rsidTr="004F1F50">
        <w:tc>
          <w:tcPr>
            <w:tcW w:w="9558" w:type="dxa"/>
          </w:tcPr>
          <w:p w14:paraId="15A81489" w14:textId="77777777" w:rsidR="000C04C5" w:rsidRDefault="000C04C5" w:rsidP="004F1F5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C288ADB" w14:textId="77777777" w:rsidR="000C04C5" w:rsidRPr="00AC7B25" w:rsidRDefault="000C04C5" w:rsidP="004F1F50">
            <w:pPr>
              <w:spacing w:after="240"/>
              <w:jc w:val="both"/>
              <w:rPr>
                <w:rFonts w:ascii="Arial" w:hAnsi="Arial" w:cs="Arial"/>
                <w:i/>
                <w:sz w:val="20"/>
                <w:szCs w:val="20"/>
              </w:rPr>
            </w:pPr>
            <w:r>
              <w:rPr>
                <w:rFonts w:ascii="Arial" w:hAnsi="Arial" w:cs="Arial"/>
                <w:i/>
                <w:sz w:val="20"/>
                <w:szCs w:val="20"/>
              </w:rPr>
              <w:t>(Source: 2024 OMB Compliance Supplement Part 3)</w:t>
            </w:r>
          </w:p>
          <w:p w14:paraId="611F44C4" w14:textId="5111C62E" w:rsidR="00F7017C" w:rsidRPr="00F7017C" w:rsidRDefault="00F7017C" w:rsidP="00F7017C">
            <w:pPr>
              <w:spacing w:after="240"/>
              <w:ind w:left="612" w:hanging="612"/>
              <w:jc w:val="both"/>
              <w:rPr>
                <w:rFonts w:ascii="Arial" w:hAnsi="Arial" w:cs="Arial"/>
                <w:sz w:val="20"/>
              </w:rPr>
            </w:pPr>
            <w:r w:rsidRPr="00F7017C">
              <w:rPr>
                <w:rFonts w:ascii="Arial" w:hAnsi="Arial" w:cs="Arial"/>
                <w:sz w:val="20"/>
              </w:rPr>
              <w:t>a.</w:t>
            </w:r>
            <w:r w:rsidRPr="00F7017C">
              <w:rPr>
                <w:rFonts w:ascii="Arial" w:hAnsi="Arial" w:cs="Arial"/>
                <w:sz w:val="20"/>
              </w:rPr>
              <w:tab/>
              <w:t>Through inquiries of management, observations, and review of State and accrediting agency approval documents and school marketing material, identify any direct assessment programs offered by the institution. Review approval letter to determine whether ED has approved the institution’s first direct assessment program at each credential level.</w:t>
            </w:r>
          </w:p>
          <w:p w14:paraId="505F3362" w14:textId="4E137D7E" w:rsidR="00F7017C" w:rsidRPr="00F7017C" w:rsidRDefault="00F7017C" w:rsidP="00F7017C">
            <w:pPr>
              <w:spacing w:after="240"/>
              <w:ind w:left="612" w:hanging="612"/>
              <w:jc w:val="both"/>
              <w:rPr>
                <w:rFonts w:ascii="Arial" w:hAnsi="Arial" w:cs="Arial"/>
                <w:sz w:val="20"/>
              </w:rPr>
            </w:pPr>
            <w:r w:rsidRPr="00F7017C">
              <w:rPr>
                <w:rFonts w:ascii="Arial" w:hAnsi="Arial" w:cs="Arial"/>
                <w:sz w:val="20"/>
              </w:rPr>
              <w:t>b.</w:t>
            </w:r>
            <w:r w:rsidRPr="00F7017C">
              <w:rPr>
                <w:rFonts w:ascii="Arial" w:hAnsi="Arial" w:cs="Arial"/>
                <w:sz w:val="20"/>
              </w:rPr>
              <w:tab/>
              <w:t xml:space="preserve">Through inquiries of management, observations, and review of State and accrediting agency approval documents and school marketing material, identify any Title IV eligible program offered in credit hours that does not meet one of the exceptions described in 34 CFR 668.8(k) </w:t>
            </w:r>
            <w:r w:rsidRPr="00F7017C">
              <w:rPr>
                <w:rFonts w:ascii="Arial" w:hAnsi="Arial" w:cs="Arial"/>
                <w:i/>
                <w:iCs/>
                <w:sz w:val="20"/>
              </w:rPr>
              <w:t>[exceptions are for programs that are at least two academic years in length (a minimum of 60 weeks of instructional time) and leads to an associate degree, a bachelor’s degree, a professional degree, or an equivalent as determined by the ED; or each course within the program is acceptable for full credit toward a single associate degree, bachelor’s degree, or professional degree provided by that institution, or equivalent degree as determined by the ED, provided that the institution’s degree requires at least two academic years of study and the institution can demonstrate that students enroll in, and graduate from the degree program]</w:t>
            </w:r>
            <w:r w:rsidRPr="00F7017C">
              <w:rPr>
                <w:rFonts w:ascii="Arial" w:hAnsi="Arial" w:cs="Arial"/>
                <w:sz w:val="20"/>
              </w:rPr>
              <w:t xml:space="preserve">. Select a sample of these programs that includes coverage of all available modes of delivery (classroom, distance, and correspondence) and apply the appropriate clock to credit hour conversion formula on each course in the program to verify that the institution applied the appropriate clock to credit hour conversion formula. Note: This requirement applies to </w:t>
            </w:r>
            <w:r w:rsidRPr="00F7017C">
              <w:rPr>
                <w:rFonts w:ascii="Arial" w:hAnsi="Arial" w:cs="Arial"/>
                <w:sz w:val="20"/>
              </w:rPr>
              <w:lastRenderedPageBreak/>
              <w:t>all programs the institution identifies as Title IV eligible programs at all Title IV eligible institutions unless exempt from the requirement as described in this suggested audit procedure.</w:t>
            </w:r>
          </w:p>
          <w:p w14:paraId="7C41E08E" w14:textId="61B387A0" w:rsidR="00F7017C" w:rsidRPr="00F7017C" w:rsidRDefault="00F7017C" w:rsidP="00F7017C">
            <w:pPr>
              <w:spacing w:after="240"/>
              <w:ind w:left="612" w:hanging="612"/>
              <w:jc w:val="both"/>
              <w:rPr>
                <w:rFonts w:ascii="Arial" w:hAnsi="Arial" w:cs="Arial"/>
                <w:sz w:val="20"/>
              </w:rPr>
            </w:pPr>
            <w:r w:rsidRPr="00F7017C">
              <w:rPr>
                <w:rFonts w:ascii="Arial" w:hAnsi="Arial" w:cs="Arial"/>
                <w:sz w:val="20"/>
              </w:rPr>
              <w:t>c.</w:t>
            </w:r>
            <w:r w:rsidRPr="00F7017C">
              <w:rPr>
                <w:rFonts w:ascii="Arial" w:hAnsi="Arial" w:cs="Arial"/>
                <w:sz w:val="20"/>
              </w:rPr>
              <w:tab/>
              <w:t>For the sample of programs identified in procedure b, using the correct number of credit hours (as determined in procedure b), evaluate each program’s eligibility, using Appendix B as a guide, considering the students allowed to be admitted to the program, mode of delivery requirements for content, and mode of delivery requirements for time.</w:t>
            </w:r>
          </w:p>
          <w:p w14:paraId="6A63F183" w14:textId="44A5409A" w:rsidR="00F7017C" w:rsidRPr="001B6A61" w:rsidRDefault="00F7017C" w:rsidP="00F7017C">
            <w:pPr>
              <w:spacing w:after="240"/>
              <w:ind w:left="612" w:hanging="612"/>
              <w:jc w:val="both"/>
              <w:rPr>
                <w:rFonts w:ascii="Arial" w:hAnsi="Arial" w:cs="Arial"/>
                <w:b/>
                <w:bCs/>
                <w:sz w:val="20"/>
              </w:rPr>
            </w:pPr>
            <w:r w:rsidRPr="00F7017C">
              <w:rPr>
                <w:rFonts w:ascii="Arial" w:hAnsi="Arial" w:cs="Arial"/>
                <w:sz w:val="20"/>
              </w:rPr>
              <w:t>d.</w:t>
            </w:r>
            <w:r w:rsidRPr="00F7017C">
              <w:rPr>
                <w:rFonts w:ascii="Arial" w:hAnsi="Arial" w:cs="Arial"/>
                <w:sz w:val="20"/>
              </w:rPr>
              <w:tab/>
              <w:t>Through review of ED approvals, identify any short-term programs (at least 300 clock hours but less than 600 clock hours) and substantiate the school’s calculation of its completion and placement rates by (1) selecting a random sample of the regular students who were enrolled during the award year for which the most recent completion rate was calculated and testing to verify if each student in the sample was included appropriately in each step of the rate’s calculation, as described in 34 CFR 668.8(f); and (2) selecting a random sample of the students who graduated during the award year for which the most recent placement rate was calculated and testing to verify if each student in the sample was included appropriately in each step of the rate’s calculation, as described in 34 CFR 668.8(g). Note: This requirement applies to all short-term programs at all Title IV eligible institutions (See Section III.B. Title IV Programs – General for a discussion about when an institution of higher education can also be considered a postsecondary vocational institution).</w:t>
            </w:r>
          </w:p>
        </w:tc>
      </w:tr>
    </w:tbl>
    <w:p w14:paraId="6A855F21" w14:textId="77777777" w:rsidR="000C04C5" w:rsidRPr="00F00D94" w:rsidRDefault="000C04C5" w:rsidP="000C04C5">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99F5A38" w14:textId="77777777" w:rsidR="000C04C5" w:rsidRPr="000706D1" w:rsidRDefault="000C04C5" w:rsidP="000C04C5">
      <w:pPr>
        <w:pStyle w:val="Heading3"/>
        <w:jc w:val="both"/>
        <w:rPr>
          <w:rFonts w:cs="Arial"/>
          <w:b w:val="0"/>
          <w:sz w:val="24"/>
          <w:szCs w:val="24"/>
        </w:rPr>
      </w:pPr>
      <w:bookmarkStart w:id="107" w:name="_Toc176355458"/>
      <w:r w:rsidRPr="000706D1">
        <w:rPr>
          <w:rFonts w:cs="Arial"/>
          <w:sz w:val="24"/>
          <w:szCs w:val="24"/>
        </w:rPr>
        <w:t>Audit Implications Summary</w:t>
      </w:r>
      <w:bookmarkEnd w:id="107"/>
    </w:p>
    <w:tbl>
      <w:tblPr>
        <w:tblStyle w:val="TableGrid"/>
        <w:tblW w:w="5000" w:type="pct"/>
        <w:tblLook w:val="04A0" w:firstRow="1" w:lastRow="0" w:firstColumn="1" w:lastColumn="0" w:noHBand="0" w:noVBand="1"/>
      </w:tblPr>
      <w:tblGrid>
        <w:gridCol w:w="9350"/>
      </w:tblGrid>
      <w:tr w:rsidR="000C04C5" w:rsidRPr="00F00D94" w14:paraId="77CDF52D" w14:textId="77777777" w:rsidTr="004F1F50">
        <w:tc>
          <w:tcPr>
            <w:tcW w:w="5000" w:type="pct"/>
          </w:tcPr>
          <w:p w14:paraId="1154D908" w14:textId="77777777" w:rsidR="000C04C5" w:rsidRDefault="000C04C5" w:rsidP="004F1F5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F16D4B4" w14:textId="77777777" w:rsidR="000C04C5" w:rsidRPr="006E46AD" w:rsidRDefault="000C04C5" w:rsidP="004F1F5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EB0490" w14:textId="77777777" w:rsidR="000C04C5" w:rsidRPr="006E46AD" w:rsidRDefault="000C04C5" w:rsidP="00F7017C">
            <w:pPr>
              <w:pStyle w:val="ListParagraph"/>
              <w:widowControl w:val="0"/>
              <w:numPr>
                <w:ilvl w:val="0"/>
                <w:numId w:val="7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81AD5DD" w14:textId="77777777" w:rsidR="000C04C5" w:rsidRPr="006E46AD" w:rsidRDefault="000C04C5" w:rsidP="004F1F50">
            <w:pPr>
              <w:widowControl w:val="0"/>
              <w:spacing w:after="240"/>
              <w:ind w:left="720"/>
              <w:jc w:val="both"/>
              <w:rPr>
                <w:rFonts w:ascii="Arial" w:hAnsi="Arial" w:cs="Arial"/>
                <w:b/>
                <w:sz w:val="20"/>
                <w:szCs w:val="20"/>
              </w:rPr>
            </w:pPr>
          </w:p>
          <w:p w14:paraId="788B590C" w14:textId="77777777" w:rsidR="000C04C5" w:rsidRPr="006E46AD" w:rsidRDefault="000C04C5" w:rsidP="00F7017C">
            <w:pPr>
              <w:widowControl w:val="0"/>
              <w:numPr>
                <w:ilvl w:val="0"/>
                <w:numId w:val="7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4E4126E" w14:textId="77777777" w:rsidR="000C04C5" w:rsidRPr="00F00D94" w:rsidRDefault="000C04C5" w:rsidP="004F1F50">
            <w:pPr>
              <w:pStyle w:val="ListParagraph"/>
              <w:spacing w:after="240"/>
              <w:jc w:val="both"/>
              <w:rPr>
                <w:rFonts w:ascii="Arial" w:hAnsi="Arial" w:cs="Arial"/>
                <w:b/>
              </w:rPr>
            </w:pPr>
          </w:p>
          <w:p w14:paraId="0CA3BD30" w14:textId="77777777" w:rsidR="000C04C5" w:rsidRPr="00F00D94" w:rsidRDefault="000C04C5" w:rsidP="00F7017C">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09D88E6" w14:textId="77777777" w:rsidR="000C04C5" w:rsidRPr="00F00D94" w:rsidRDefault="000C04C5" w:rsidP="004F1F50">
            <w:pPr>
              <w:pStyle w:val="ListParagraph"/>
              <w:spacing w:after="240"/>
              <w:jc w:val="both"/>
              <w:rPr>
                <w:rFonts w:ascii="Arial" w:hAnsi="Arial" w:cs="Arial"/>
                <w:b/>
              </w:rPr>
            </w:pPr>
          </w:p>
          <w:p w14:paraId="36998458" w14:textId="77777777" w:rsidR="000C04C5" w:rsidRPr="00F00D94" w:rsidRDefault="000C04C5" w:rsidP="00F7017C">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A7704EE" w14:textId="77777777" w:rsidR="000C04C5" w:rsidRPr="00F00D94" w:rsidRDefault="000C04C5" w:rsidP="004F1F50">
            <w:pPr>
              <w:pStyle w:val="ListParagraph"/>
              <w:spacing w:after="240"/>
              <w:jc w:val="both"/>
              <w:rPr>
                <w:rFonts w:ascii="Arial" w:hAnsi="Arial" w:cs="Arial"/>
                <w:b/>
              </w:rPr>
            </w:pPr>
          </w:p>
          <w:p w14:paraId="0304DF0E" w14:textId="77777777" w:rsidR="000C04C5" w:rsidRPr="00F00D94" w:rsidRDefault="000C04C5" w:rsidP="00F7017C">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CEDBF3A" w14:textId="77777777" w:rsidR="000C04C5" w:rsidRPr="00F00D94" w:rsidRDefault="000C04C5" w:rsidP="004F1F50">
            <w:pPr>
              <w:pStyle w:val="APStepItem"/>
              <w:numPr>
                <w:ilvl w:val="0"/>
                <w:numId w:val="0"/>
              </w:numPr>
              <w:spacing w:after="240"/>
              <w:rPr>
                <w:rFonts w:cs="Arial"/>
                <w:b/>
              </w:rPr>
            </w:pPr>
          </w:p>
        </w:tc>
      </w:tr>
    </w:tbl>
    <w:p w14:paraId="347F0A85" w14:textId="77777777" w:rsidR="000C04C5" w:rsidRDefault="000C04C5" w:rsidP="000C04C5">
      <w:pPr>
        <w:rPr>
          <w:rFonts w:ascii="Arial" w:hAnsi="Arial" w:cs="Arial"/>
        </w:rPr>
      </w:pPr>
    </w:p>
    <w:p w14:paraId="3FA802E4" w14:textId="77777777" w:rsidR="007E1C1C" w:rsidRDefault="007E1C1C" w:rsidP="000C04C5">
      <w:pPr>
        <w:rPr>
          <w:rFonts w:ascii="Arial" w:hAnsi="Arial" w:cs="Arial"/>
        </w:rPr>
        <w:sectPr w:rsidR="007E1C1C" w:rsidSect="00257772">
          <w:headerReference w:type="default" r:id="rId106"/>
          <w:pgSz w:w="12240" w:h="15840" w:code="1"/>
          <w:pgMar w:top="1440" w:right="1440" w:bottom="1440" w:left="1440" w:header="720" w:footer="720" w:gutter="0"/>
          <w:cols w:space="720"/>
          <w:docGrid w:linePitch="360"/>
        </w:sectPr>
      </w:pPr>
    </w:p>
    <w:p w14:paraId="5DE37FA3" w14:textId="53D0845F" w:rsidR="007E1C1C" w:rsidRPr="000706D1" w:rsidRDefault="007E1C1C" w:rsidP="007E1C1C">
      <w:pPr>
        <w:pStyle w:val="Heading2"/>
        <w:jc w:val="both"/>
        <w:rPr>
          <w:rFonts w:cs="Arial"/>
          <w:sz w:val="24"/>
        </w:rPr>
      </w:pPr>
      <w:bookmarkStart w:id="108" w:name="_Toc172009272"/>
      <w:bookmarkStart w:id="109" w:name="_Toc176355459"/>
      <w:r w:rsidRPr="000706D1">
        <w:rPr>
          <w:rFonts w:cs="Arial"/>
          <w:sz w:val="24"/>
        </w:rPr>
        <w:lastRenderedPageBreak/>
        <w:t>N</w:t>
      </w:r>
      <w:r w:rsidR="00B96645">
        <w:rPr>
          <w:rFonts w:cs="Arial"/>
          <w:sz w:val="24"/>
        </w:rPr>
        <w:t>11</w:t>
      </w:r>
      <w:r w:rsidRPr="000706D1">
        <w:rPr>
          <w:rFonts w:cs="Arial"/>
          <w:sz w:val="24"/>
        </w:rPr>
        <w:t>.  SPECIAL TESTS AND PROVISIONS</w:t>
      </w:r>
      <w:bookmarkEnd w:id="108"/>
      <w:r>
        <w:rPr>
          <w:rFonts w:cs="Arial"/>
          <w:sz w:val="24"/>
        </w:rPr>
        <w:t xml:space="preserve"> – Gramm-Leach-Bliley – Student Information Security</w:t>
      </w:r>
      <w:bookmarkEnd w:id="109"/>
    </w:p>
    <w:p w14:paraId="7BA486D3" w14:textId="77777777" w:rsidR="007E1C1C" w:rsidRPr="000706D1" w:rsidRDefault="007E1C1C" w:rsidP="007E1C1C">
      <w:pPr>
        <w:pStyle w:val="Heading3"/>
        <w:jc w:val="both"/>
        <w:rPr>
          <w:rFonts w:cs="Arial"/>
          <w:sz w:val="24"/>
          <w:szCs w:val="24"/>
        </w:rPr>
      </w:pPr>
      <w:bookmarkStart w:id="110" w:name="_Toc172009273"/>
      <w:bookmarkStart w:id="111" w:name="_Toc176355460"/>
      <w:r w:rsidRPr="000706D1">
        <w:rPr>
          <w:rFonts w:cs="Arial"/>
          <w:sz w:val="24"/>
          <w:szCs w:val="24"/>
        </w:rPr>
        <w:t>OMB Compliance Requirements</w:t>
      </w:r>
      <w:bookmarkEnd w:id="110"/>
      <w:bookmarkEnd w:id="111"/>
    </w:p>
    <w:p w14:paraId="71D53B18" w14:textId="77777777" w:rsidR="007E1C1C" w:rsidRPr="00F00D94" w:rsidRDefault="007E1C1C" w:rsidP="007E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C48FE08" w14:textId="77777777" w:rsidR="007E1C1C" w:rsidRPr="00F00D94" w:rsidRDefault="007E1C1C" w:rsidP="007E1C1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7464B8E" w14:textId="77777777" w:rsidR="007E1C1C" w:rsidRPr="00F00D94" w:rsidRDefault="007E1C1C" w:rsidP="007E1C1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ECD477A" w14:textId="33C7249F" w:rsidR="007E1C1C" w:rsidRPr="000706D1" w:rsidRDefault="007E1C1C" w:rsidP="007E1C1C">
      <w:pPr>
        <w:spacing w:after="240"/>
        <w:jc w:val="both"/>
        <w:rPr>
          <w:rFonts w:ascii="Arial" w:hAnsi="Arial" w:cs="Arial"/>
          <w:b/>
          <w:sz w:val="24"/>
          <w:szCs w:val="24"/>
        </w:rPr>
      </w:pPr>
      <w:r w:rsidRPr="000706D1">
        <w:rPr>
          <w:rFonts w:ascii="Arial" w:hAnsi="Arial" w:cs="Arial"/>
          <w:b/>
          <w:sz w:val="24"/>
          <w:szCs w:val="24"/>
        </w:rPr>
        <w:t xml:space="preserve">Part </w:t>
      </w:r>
      <w:r>
        <w:rPr>
          <w:rFonts w:ascii="Arial" w:hAnsi="Arial" w:cs="Arial"/>
          <w:b/>
          <w:sz w:val="24"/>
          <w:szCs w:val="24"/>
        </w:rPr>
        <w:t>5</w:t>
      </w:r>
      <w:r w:rsidRPr="000706D1">
        <w:rPr>
          <w:rFonts w:ascii="Arial" w:hAnsi="Arial" w:cs="Arial"/>
          <w:b/>
          <w:sz w:val="24"/>
          <w:szCs w:val="24"/>
        </w:rPr>
        <w:t xml:space="preserve"> OMB Program Specific Requirements</w:t>
      </w:r>
    </w:p>
    <w:p w14:paraId="5E75159B" w14:textId="1AB093F0" w:rsidR="007E1C1C" w:rsidRPr="007E1C1C" w:rsidRDefault="007E1C1C" w:rsidP="007E1C1C">
      <w:pPr>
        <w:spacing w:after="240"/>
        <w:jc w:val="both"/>
        <w:rPr>
          <w:rFonts w:ascii="Arial" w:hAnsi="Arial" w:cs="Arial"/>
          <w:bCs/>
        </w:rPr>
      </w:pPr>
      <w:r w:rsidRPr="007E1C1C">
        <w:rPr>
          <w:rFonts w:ascii="Arial" w:hAnsi="Arial" w:cs="Arial"/>
          <w:bCs/>
        </w:rPr>
        <w:t xml:space="preserve">The Gramm-Leach-Bliley Act (Pub. L. No. 106-102) (GLBA) requires financial institutions to explain their information-sharing practices to their customers and to safeguard sensitive data (16 CFR 314). The Federal Trade Commission considers Title IV-eligible institutions that participate in Title IV Educational Assistance Programs as “financial institutions” and subject to the Gramm- Leach-Bliley Act because they appear to be significantly engaged in wiring funds to consumers (16 CFR 313.3(k)(2)(vi)). Institutions agree to comply with GLBA in their Program Participation Agreement with ED. Institutions must protect student financial aid information, with particular attention to information provided to institutions by ED or otherwise obtained in support of the administration of the Federal student financial aid programs (16 CFR 314.3; HEA 483(a)(3)(E) and HEA 485B(d)(2)). ED provides additional information about cybersecurity requirements at </w:t>
      </w:r>
      <w:hyperlink r:id="rId107" w:history="1">
        <w:r w:rsidR="000A7C0B">
          <w:rPr>
            <w:rStyle w:val="Hyperlink"/>
            <w:rFonts w:cs="Arial"/>
            <w:bCs/>
          </w:rPr>
          <w:t>https://studentprivacy.ed.gov/</w:t>
        </w:r>
      </w:hyperlink>
      <w:r w:rsidRPr="007E1C1C">
        <w:rPr>
          <w:rFonts w:ascii="Arial" w:hAnsi="Arial" w:cs="Arial"/>
          <w:bCs/>
        </w:rPr>
        <w:t xml:space="preserve">. ED also issued an Electronic Announcement on GLBA compliance that can be found at </w:t>
      </w:r>
      <w:hyperlink r:id="rId108" w:history="1">
        <w:r w:rsidRPr="007E1C1C">
          <w:rPr>
            <w:rStyle w:val="Hyperlink"/>
            <w:rFonts w:cs="Arial"/>
            <w:bCs/>
          </w:rPr>
          <w:t>Updates to the Gramm-Leach-Bliley Act Cybersecurity Requirements | Knowledge Center</w:t>
        </w:r>
      </w:hyperlink>
      <w:r w:rsidRPr="007E1C1C">
        <w:rPr>
          <w:rFonts w:ascii="Arial" w:hAnsi="Arial" w:cs="Arial"/>
          <w:bCs/>
        </w:rPr>
        <w:t>.</w:t>
      </w:r>
    </w:p>
    <w:p w14:paraId="18A83810" w14:textId="4784C33E" w:rsidR="007E1C1C" w:rsidRPr="007E1C1C" w:rsidRDefault="007E1C1C" w:rsidP="007E1C1C">
      <w:pPr>
        <w:spacing w:after="240"/>
        <w:jc w:val="both"/>
        <w:rPr>
          <w:rFonts w:ascii="Arial" w:hAnsi="Arial" w:cs="Arial"/>
          <w:bCs/>
        </w:rPr>
      </w:pPr>
      <w:r w:rsidRPr="007E1C1C">
        <w:rPr>
          <w:rFonts w:ascii="Arial" w:hAnsi="Arial" w:cs="Arial"/>
          <w:bCs/>
        </w:rPr>
        <w:t>On December 9, 2021, the FTC issued final regulations for 16 CFR Part 314 to implement the GLBA information safeguarding standards that institutions must implement. These regulations significantly modified the requirements that institutions must meet under GLBA. The regulations established minimum standards that institutions must meet. The FTC stated that it “believes many of the requirements set forth in the Final Rule are so fundamental to any information security program that the information security programs of many financial institutions will already include them if those programs are in compliance with the current Safeguards Rule.” Institutions are required to be in compliance with the revised requirements no later than June 9, 2023.</w:t>
      </w:r>
    </w:p>
    <w:p w14:paraId="6B53A7C8" w14:textId="4322280E" w:rsidR="007E1C1C" w:rsidRPr="007E1C1C" w:rsidRDefault="007E1C1C" w:rsidP="007E1C1C">
      <w:pPr>
        <w:spacing w:after="240"/>
        <w:jc w:val="both"/>
        <w:rPr>
          <w:rFonts w:ascii="Arial" w:hAnsi="Arial" w:cs="Arial"/>
          <w:bCs/>
        </w:rPr>
      </w:pPr>
      <w:r w:rsidRPr="007E1C1C">
        <w:rPr>
          <w:rFonts w:ascii="Arial" w:hAnsi="Arial" w:cs="Arial"/>
          <w:bCs/>
        </w:rPr>
        <w:t>Institutions are required to develop, implement, and maintain a comprehensive information security program that is written in one or more readily accessible parts. The regulations require the written information security program to include nine elements for</w:t>
      </w:r>
      <w:r>
        <w:rPr>
          <w:rFonts w:ascii="Arial" w:hAnsi="Arial" w:cs="Arial"/>
          <w:bCs/>
        </w:rPr>
        <w:t xml:space="preserve"> </w:t>
      </w:r>
      <w:r w:rsidRPr="007E1C1C">
        <w:rPr>
          <w:rFonts w:ascii="Arial" w:hAnsi="Arial" w:cs="Arial"/>
          <w:bCs/>
        </w:rPr>
        <w:t xml:space="preserve">institutions with 5,000 or more customers, (16 CFR 314.3(a)). The written information security program for institutions with fewer than 5,000 customers must address seven elements (16 CFR 314.3(a) and 16 CFR 314.6). In the preamble to the Final Rule, the </w:t>
      </w:r>
      <w:r w:rsidRPr="007E1C1C">
        <w:rPr>
          <w:rFonts w:ascii="Arial" w:hAnsi="Arial" w:cs="Arial"/>
          <w:bCs/>
        </w:rPr>
        <w:lastRenderedPageBreak/>
        <w:t>FTC stated, “Proposed § 314.4 [Elements] altered the current Rule’s required elements of an information security program and added several new elements.” The FTC also stated, “[t]he elements for the information security programs set forth in this section [16 CFR 314.4} are high-level principles that set forth basic issues the programs must address, and do not prescribe how they will be addressed.” The elements that an institution must address in its written information security program are at 16 CFR 314.4. At a minimum, an institution’s written information security program –</w:t>
      </w:r>
    </w:p>
    <w:p w14:paraId="03589C25" w14:textId="77777777"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Designates a qualified individual responsible for overseeing and implementing the institution’s information security program and enforcing the information security program in compliance (16 CFR 314.4(a)).</w:t>
      </w:r>
    </w:p>
    <w:p w14:paraId="163605DF" w14:textId="065FDB1F"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Provides for the information security program to be based on a risk assessment that identifies reasonably foreseeable internal and external risks to the security, confidentiality, and integrity of customer information (as the term customer</w:t>
      </w:r>
      <w:r>
        <w:rPr>
          <w:rFonts w:ascii="Arial" w:hAnsi="Arial" w:cs="Arial"/>
          <w:bCs/>
        </w:rPr>
        <w:t xml:space="preserve"> </w:t>
      </w:r>
      <w:r w:rsidRPr="007E1C1C">
        <w:rPr>
          <w:rFonts w:ascii="Arial" w:hAnsi="Arial" w:cs="Arial"/>
          <w:bCs/>
        </w:rPr>
        <w:t>information applies to the institution) that could result in the unauthorized disclosure, misuse, alteration, destruction, or other compromise of such information, and assesses the sufficiency of any safeguards in place to control these risks (16 CFR 314.4(b)).</w:t>
      </w:r>
    </w:p>
    <w:p w14:paraId="318C0A2A" w14:textId="77777777"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Provides for the design and implementation of safeguards to control the risks the institution identifies through its risk assessment (16 CFR 314.4(c)). At a minimum, the institution’s written information security program must address the implementation of the minimum safeguards identified in 16 CFR 314.4(c)(1) through (8). The eight minimum safeguards that the written information security program must address are summarized as follows:</w:t>
      </w:r>
    </w:p>
    <w:p w14:paraId="646EB20A" w14:textId="77777777" w:rsidR="007E1C1C" w:rsidRPr="007E1C1C" w:rsidRDefault="007E1C1C" w:rsidP="007E1C1C">
      <w:pPr>
        <w:spacing w:after="240"/>
        <w:ind w:left="720"/>
        <w:jc w:val="both"/>
        <w:rPr>
          <w:rFonts w:ascii="Arial" w:hAnsi="Arial" w:cs="Arial"/>
          <w:bCs/>
        </w:rPr>
      </w:pPr>
      <w:r w:rsidRPr="007E1C1C">
        <w:rPr>
          <w:rFonts w:ascii="Arial" w:hAnsi="Arial" w:cs="Arial"/>
          <w:bCs/>
        </w:rPr>
        <w:t>o</w:t>
      </w:r>
      <w:r w:rsidRPr="007E1C1C">
        <w:rPr>
          <w:rFonts w:ascii="Arial" w:hAnsi="Arial" w:cs="Arial"/>
          <w:bCs/>
        </w:rPr>
        <w:tab/>
        <w:t>Implement and periodically review access controls.</w:t>
      </w:r>
    </w:p>
    <w:p w14:paraId="05B12019" w14:textId="77777777" w:rsidR="007E1C1C" w:rsidRPr="007E1C1C" w:rsidRDefault="007E1C1C" w:rsidP="007E1C1C">
      <w:pPr>
        <w:spacing w:after="240"/>
        <w:ind w:left="720"/>
        <w:jc w:val="both"/>
        <w:rPr>
          <w:rFonts w:ascii="Arial" w:hAnsi="Arial" w:cs="Arial"/>
          <w:bCs/>
        </w:rPr>
      </w:pPr>
      <w:r w:rsidRPr="007E1C1C">
        <w:rPr>
          <w:rFonts w:ascii="Arial" w:hAnsi="Arial" w:cs="Arial"/>
          <w:bCs/>
        </w:rPr>
        <w:t>o</w:t>
      </w:r>
      <w:r w:rsidRPr="007E1C1C">
        <w:rPr>
          <w:rFonts w:ascii="Arial" w:hAnsi="Arial" w:cs="Arial"/>
          <w:bCs/>
        </w:rPr>
        <w:tab/>
        <w:t>Conduct a periodic inventory of data, noting where it’s collected, stored, or transmitted.</w:t>
      </w:r>
    </w:p>
    <w:p w14:paraId="77291939" w14:textId="77777777" w:rsidR="007E1C1C" w:rsidRPr="007E1C1C" w:rsidRDefault="007E1C1C" w:rsidP="007E1C1C">
      <w:pPr>
        <w:spacing w:after="240"/>
        <w:ind w:left="720"/>
        <w:jc w:val="both"/>
        <w:rPr>
          <w:rFonts w:ascii="Arial" w:hAnsi="Arial" w:cs="Arial"/>
          <w:bCs/>
        </w:rPr>
      </w:pPr>
      <w:r w:rsidRPr="007E1C1C">
        <w:rPr>
          <w:rFonts w:ascii="Arial" w:hAnsi="Arial" w:cs="Arial"/>
          <w:bCs/>
        </w:rPr>
        <w:t>o</w:t>
      </w:r>
      <w:r w:rsidRPr="007E1C1C">
        <w:rPr>
          <w:rFonts w:ascii="Arial" w:hAnsi="Arial" w:cs="Arial"/>
          <w:bCs/>
        </w:rPr>
        <w:tab/>
        <w:t>Encrypt customer information on the institution’s system and when it’s in transit.</w:t>
      </w:r>
    </w:p>
    <w:p w14:paraId="7EB99E1C" w14:textId="77777777" w:rsidR="007E1C1C" w:rsidRPr="007E1C1C" w:rsidRDefault="007E1C1C" w:rsidP="007E1C1C">
      <w:pPr>
        <w:spacing w:after="240"/>
        <w:ind w:left="720"/>
        <w:jc w:val="both"/>
        <w:rPr>
          <w:rFonts w:ascii="Arial" w:hAnsi="Arial" w:cs="Arial"/>
          <w:bCs/>
        </w:rPr>
      </w:pPr>
      <w:r w:rsidRPr="007E1C1C">
        <w:rPr>
          <w:rFonts w:ascii="Arial" w:hAnsi="Arial" w:cs="Arial"/>
          <w:bCs/>
        </w:rPr>
        <w:t>o</w:t>
      </w:r>
      <w:r w:rsidRPr="007E1C1C">
        <w:rPr>
          <w:rFonts w:ascii="Arial" w:hAnsi="Arial" w:cs="Arial"/>
          <w:bCs/>
        </w:rPr>
        <w:tab/>
        <w:t>Assess apps developed by the institution.</w:t>
      </w:r>
    </w:p>
    <w:p w14:paraId="31F3827F" w14:textId="77777777" w:rsidR="007E1C1C" w:rsidRPr="007E1C1C" w:rsidRDefault="007E1C1C" w:rsidP="007E1C1C">
      <w:pPr>
        <w:spacing w:after="240"/>
        <w:ind w:left="1440" w:hanging="720"/>
        <w:jc w:val="both"/>
        <w:rPr>
          <w:rFonts w:ascii="Arial" w:hAnsi="Arial" w:cs="Arial"/>
          <w:bCs/>
        </w:rPr>
      </w:pPr>
      <w:r w:rsidRPr="007E1C1C">
        <w:rPr>
          <w:rFonts w:ascii="Arial" w:hAnsi="Arial" w:cs="Arial"/>
          <w:bCs/>
        </w:rPr>
        <w:t>o</w:t>
      </w:r>
      <w:r w:rsidRPr="007E1C1C">
        <w:rPr>
          <w:rFonts w:ascii="Arial" w:hAnsi="Arial" w:cs="Arial"/>
          <w:bCs/>
        </w:rPr>
        <w:tab/>
        <w:t>Implement multi-factor authentication for anyone accessing customer information on the institution’s system.</w:t>
      </w:r>
    </w:p>
    <w:p w14:paraId="65E21262" w14:textId="77777777" w:rsidR="007E1C1C" w:rsidRPr="007E1C1C" w:rsidRDefault="007E1C1C" w:rsidP="007E1C1C">
      <w:pPr>
        <w:spacing w:after="240"/>
        <w:ind w:left="720"/>
        <w:jc w:val="both"/>
        <w:rPr>
          <w:rFonts w:ascii="Arial" w:hAnsi="Arial" w:cs="Arial"/>
          <w:bCs/>
        </w:rPr>
      </w:pPr>
      <w:r w:rsidRPr="007E1C1C">
        <w:rPr>
          <w:rFonts w:ascii="Arial" w:hAnsi="Arial" w:cs="Arial"/>
          <w:bCs/>
        </w:rPr>
        <w:t>o</w:t>
      </w:r>
      <w:r w:rsidRPr="007E1C1C">
        <w:rPr>
          <w:rFonts w:ascii="Arial" w:hAnsi="Arial" w:cs="Arial"/>
          <w:bCs/>
        </w:rPr>
        <w:tab/>
        <w:t>Dispose of customer information securely.</w:t>
      </w:r>
    </w:p>
    <w:p w14:paraId="2CE8280C" w14:textId="77777777" w:rsidR="007E1C1C" w:rsidRPr="007E1C1C" w:rsidRDefault="007E1C1C" w:rsidP="007E1C1C">
      <w:pPr>
        <w:spacing w:after="240"/>
        <w:ind w:left="720"/>
        <w:jc w:val="both"/>
        <w:rPr>
          <w:rFonts w:ascii="Arial" w:hAnsi="Arial" w:cs="Arial"/>
          <w:bCs/>
        </w:rPr>
      </w:pPr>
      <w:r w:rsidRPr="007E1C1C">
        <w:rPr>
          <w:rFonts w:ascii="Arial" w:hAnsi="Arial" w:cs="Arial"/>
          <w:bCs/>
        </w:rPr>
        <w:t>o</w:t>
      </w:r>
      <w:r w:rsidRPr="007E1C1C">
        <w:rPr>
          <w:rFonts w:ascii="Arial" w:hAnsi="Arial" w:cs="Arial"/>
          <w:bCs/>
        </w:rPr>
        <w:tab/>
        <w:t>Anticipate and evaluate changes to the information system or network.</w:t>
      </w:r>
    </w:p>
    <w:p w14:paraId="61552428" w14:textId="77777777" w:rsidR="007E1C1C" w:rsidRPr="007E1C1C" w:rsidRDefault="007E1C1C" w:rsidP="007E1C1C">
      <w:pPr>
        <w:spacing w:after="240"/>
        <w:ind w:left="720"/>
        <w:jc w:val="both"/>
        <w:rPr>
          <w:rFonts w:ascii="Arial" w:hAnsi="Arial" w:cs="Arial"/>
          <w:bCs/>
        </w:rPr>
      </w:pPr>
      <w:r w:rsidRPr="007E1C1C">
        <w:rPr>
          <w:rFonts w:ascii="Arial" w:hAnsi="Arial" w:cs="Arial"/>
          <w:bCs/>
        </w:rPr>
        <w:t>o</w:t>
      </w:r>
      <w:r w:rsidRPr="007E1C1C">
        <w:rPr>
          <w:rFonts w:ascii="Arial" w:hAnsi="Arial" w:cs="Arial"/>
          <w:bCs/>
        </w:rPr>
        <w:tab/>
        <w:t>Maintain a log of authorized users’ activity and keep an eye out for unauthorized access.</w:t>
      </w:r>
    </w:p>
    <w:p w14:paraId="1A58FD88" w14:textId="77777777"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Provides for the institution to regularly test or otherwise monitor the effectiveness of the safeguards it has implemented (16 CFR 314.4(d)).</w:t>
      </w:r>
    </w:p>
    <w:p w14:paraId="63030C91" w14:textId="77777777"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Provides for the implementation of policies and procedures to ensure that personnel are able to enact the information security program (16 CFR 314.4(e)).</w:t>
      </w:r>
    </w:p>
    <w:p w14:paraId="0705FF6E" w14:textId="77777777"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Addresses how the institution will oversee its information system service providers (16 CFR 314.4(f)).</w:t>
      </w:r>
    </w:p>
    <w:p w14:paraId="6ECE8DC3" w14:textId="2299F270"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Provides for the evaluation and adjustment of its information security program in light of the results of the required testing and monitoring; any material changes to its</w:t>
      </w:r>
      <w:r>
        <w:rPr>
          <w:rFonts w:ascii="Arial" w:hAnsi="Arial" w:cs="Arial"/>
          <w:bCs/>
        </w:rPr>
        <w:t xml:space="preserve"> </w:t>
      </w:r>
      <w:r w:rsidRPr="007E1C1C">
        <w:rPr>
          <w:rFonts w:ascii="Arial" w:hAnsi="Arial" w:cs="Arial"/>
          <w:bCs/>
        </w:rPr>
        <w:t xml:space="preserve">operations or business arrangements; the results of the required risk assessments; or any other circumstances that it </w:t>
      </w:r>
      <w:r w:rsidRPr="007E1C1C">
        <w:rPr>
          <w:rFonts w:ascii="Arial" w:hAnsi="Arial" w:cs="Arial"/>
          <w:bCs/>
        </w:rPr>
        <w:lastRenderedPageBreak/>
        <w:t>knows or has reason to know may have a material impact the institution’s information security program (16 CFR 314.4(g)).</w:t>
      </w:r>
    </w:p>
    <w:p w14:paraId="05216037" w14:textId="77777777" w:rsidR="007E1C1C" w:rsidRPr="007E1C1C" w:rsidRDefault="007E1C1C" w:rsidP="007E1C1C">
      <w:pPr>
        <w:spacing w:after="240"/>
        <w:jc w:val="both"/>
        <w:rPr>
          <w:rFonts w:ascii="Arial" w:hAnsi="Arial" w:cs="Arial"/>
          <w:bCs/>
        </w:rPr>
      </w:pPr>
      <w:r w:rsidRPr="007E1C1C">
        <w:rPr>
          <w:rFonts w:ascii="Arial" w:hAnsi="Arial" w:cs="Arial"/>
          <w:bCs/>
        </w:rPr>
        <w:t>The first element that an institution’s written information security program must address is the designation of an individual with responsibility for implementing and enforcing an institution’s written information security program. The regulations refer to this individual as the Qualified Individual. If an institution has not designated a Qualified Individual, it is not in compliance with the GLBA requirements. The Qualified Individual, has ultimate responsibility and accountability for implementing and enforcing the institution’s information security program (16 CFR 314.4(a)). The regulations do provide for an institution to use a service provider as the Qualified Individual. In cases where an institution uses a service provider as the Qualified Individual, the institution must –</w:t>
      </w:r>
    </w:p>
    <w:p w14:paraId="6C74C085" w14:textId="77777777" w:rsidR="007E1C1C" w:rsidRPr="007E1C1C" w:rsidRDefault="007E1C1C" w:rsidP="007E1C1C">
      <w:pPr>
        <w:spacing w:after="240"/>
        <w:jc w:val="both"/>
        <w:rPr>
          <w:rFonts w:ascii="Arial" w:hAnsi="Arial" w:cs="Arial"/>
          <w:bCs/>
        </w:rPr>
      </w:pPr>
      <w:r w:rsidRPr="007E1C1C">
        <w:rPr>
          <w:rFonts w:ascii="Arial" w:hAnsi="Arial" w:cs="Arial"/>
          <w:bCs/>
        </w:rPr>
        <w:t>•</w:t>
      </w:r>
      <w:r w:rsidRPr="007E1C1C">
        <w:rPr>
          <w:rFonts w:ascii="Arial" w:hAnsi="Arial" w:cs="Arial"/>
          <w:bCs/>
        </w:rPr>
        <w:tab/>
        <w:t>Retain responsibility for compliance with GLBA;</w:t>
      </w:r>
    </w:p>
    <w:p w14:paraId="560AA467" w14:textId="77777777"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Designate a senior member of its personnel responsible for direction and oversight of the Qualified Individual; and</w:t>
      </w:r>
    </w:p>
    <w:p w14:paraId="6E28ED0F" w14:textId="4E4B3928" w:rsidR="007E1C1C" w:rsidRPr="007E1C1C" w:rsidRDefault="007E1C1C" w:rsidP="007E1C1C">
      <w:pPr>
        <w:spacing w:after="240"/>
        <w:ind w:left="720" w:hanging="720"/>
        <w:jc w:val="both"/>
        <w:rPr>
          <w:rFonts w:ascii="Arial" w:hAnsi="Arial" w:cs="Arial"/>
          <w:bCs/>
        </w:rPr>
      </w:pPr>
      <w:r w:rsidRPr="007E1C1C">
        <w:rPr>
          <w:rFonts w:ascii="Arial" w:hAnsi="Arial" w:cs="Arial"/>
          <w:bCs/>
        </w:rPr>
        <w:t>•</w:t>
      </w:r>
      <w:r w:rsidRPr="007E1C1C">
        <w:rPr>
          <w:rFonts w:ascii="Arial" w:hAnsi="Arial" w:cs="Arial"/>
          <w:bCs/>
        </w:rPr>
        <w:tab/>
        <w:t>Require the service provider or affiliate to maintain an information security program that protects the institution in accordance with the requirements of the regulations at 16 CFR Part 314(a)(1) through (3).</w:t>
      </w:r>
    </w:p>
    <w:p w14:paraId="4A9289F7" w14:textId="331B40FA" w:rsidR="007E1C1C" w:rsidRPr="007E1C1C" w:rsidRDefault="007E1C1C" w:rsidP="007E1C1C">
      <w:pPr>
        <w:spacing w:after="240"/>
        <w:jc w:val="both"/>
        <w:rPr>
          <w:rFonts w:ascii="Arial" w:hAnsi="Arial" w:cs="Arial"/>
          <w:bCs/>
        </w:rPr>
      </w:pPr>
      <w:r w:rsidRPr="007E1C1C">
        <w:rPr>
          <w:rFonts w:ascii="Arial" w:hAnsi="Arial" w:cs="Arial"/>
          <w:bCs/>
        </w:rPr>
        <w:t>Because the written information security program may be in one or more readily accessible parts and the Qualified Individual is responsible for implementing and monitoring the information security program, it is ED’s expectation that the Qualified Individual would be able to provide the written information security program that addresses the elements required for the written information security program to the auditors.</w:t>
      </w:r>
    </w:p>
    <w:p w14:paraId="4595EB08" w14:textId="4F354B32" w:rsidR="007E1C1C" w:rsidRPr="007E1C1C" w:rsidRDefault="007E1C1C" w:rsidP="007E1C1C">
      <w:pPr>
        <w:spacing w:after="240"/>
        <w:jc w:val="both"/>
        <w:rPr>
          <w:rFonts w:ascii="Arial" w:hAnsi="Arial" w:cs="Arial"/>
          <w:bCs/>
        </w:rPr>
      </w:pPr>
      <w:r w:rsidRPr="004E2CCB">
        <w:rPr>
          <w:rFonts w:ascii="Arial" w:hAnsi="Arial" w:cs="Arial"/>
          <w:bCs/>
          <w:i/>
        </w:rPr>
        <w:t>(Source: 2024 OMB Compliance Supplement, Part 5, Student Financial Assistance Cluster)</w:t>
      </w:r>
    </w:p>
    <w:p w14:paraId="2F17F236" w14:textId="77777777" w:rsidR="007E1C1C" w:rsidRPr="000706D1" w:rsidRDefault="007E1C1C" w:rsidP="007E1C1C">
      <w:pPr>
        <w:pStyle w:val="Heading3"/>
        <w:jc w:val="both"/>
        <w:rPr>
          <w:rFonts w:cs="Arial"/>
          <w:sz w:val="24"/>
          <w:szCs w:val="24"/>
        </w:rPr>
      </w:pPr>
      <w:bookmarkStart w:id="112" w:name="_Toc172009274"/>
      <w:bookmarkStart w:id="113" w:name="_Toc176355461"/>
      <w:r w:rsidRPr="000706D1">
        <w:rPr>
          <w:rFonts w:cs="Arial"/>
          <w:sz w:val="24"/>
          <w:szCs w:val="24"/>
        </w:rPr>
        <w:t>Additional Program Specific Information</w:t>
      </w:r>
      <w:bookmarkEnd w:id="112"/>
      <w:bookmarkEnd w:id="113"/>
    </w:p>
    <w:p w14:paraId="44B3BCD0" w14:textId="77777777" w:rsidR="007E1C1C" w:rsidRPr="00AA5B05" w:rsidRDefault="007E1C1C" w:rsidP="007E1C1C">
      <w:pPr>
        <w:spacing w:after="240"/>
        <w:jc w:val="both"/>
        <w:rPr>
          <w:rFonts w:ascii="Arial" w:hAnsi="Arial" w:cs="Arial"/>
          <w:b/>
          <w:highlight w:val="yellow"/>
        </w:rPr>
      </w:pPr>
      <w:r w:rsidRPr="00AA5B05">
        <w:rPr>
          <w:rFonts w:ascii="Arial" w:hAnsi="Arial" w:cs="Arial"/>
          <w:b/>
          <w:highlight w:val="yellow"/>
        </w:rPr>
        <w:t>Add program specific requirements from:</w:t>
      </w:r>
    </w:p>
    <w:p w14:paraId="3E5F3E12" w14:textId="7FAF47C4" w:rsidR="007E1C1C" w:rsidRPr="00AA5B05" w:rsidRDefault="007E1C1C" w:rsidP="007E1C1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80AE2">
        <w:rPr>
          <w:rFonts w:ascii="Arial" w:hAnsi="Arial" w:cs="Arial"/>
          <w:b/>
          <w:highlight w:val="yellow"/>
        </w:rPr>
        <w:t xml:space="preserve"> and</w:t>
      </w:r>
    </w:p>
    <w:p w14:paraId="49A6C9F4" w14:textId="77777777" w:rsidR="007E1C1C" w:rsidRPr="00AA5B05" w:rsidRDefault="007E1C1C" w:rsidP="007E1C1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E9E764D" w14:textId="77777777" w:rsidR="007E1C1C" w:rsidRPr="00AA5B05" w:rsidRDefault="007E1C1C" w:rsidP="007E1C1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02D2796" w14:textId="77777777" w:rsidR="007E1C1C" w:rsidRPr="000706D1" w:rsidRDefault="007E1C1C" w:rsidP="007E1C1C">
      <w:pPr>
        <w:pStyle w:val="Heading3"/>
        <w:jc w:val="both"/>
        <w:rPr>
          <w:rFonts w:cs="Arial"/>
          <w:sz w:val="24"/>
          <w:szCs w:val="24"/>
        </w:rPr>
      </w:pPr>
      <w:bookmarkStart w:id="114" w:name="_Toc172009275"/>
      <w:bookmarkStart w:id="115" w:name="_Toc176355462"/>
      <w:r w:rsidRPr="000706D1">
        <w:rPr>
          <w:rFonts w:cs="Arial"/>
          <w:sz w:val="24"/>
          <w:szCs w:val="24"/>
        </w:rPr>
        <w:t>Audit Objectives and Control Testing</w:t>
      </w:r>
      <w:bookmarkEnd w:id="114"/>
      <w:bookmarkEnd w:id="115"/>
    </w:p>
    <w:p w14:paraId="1F548780" w14:textId="77777777" w:rsidR="007E1C1C" w:rsidRPr="00F00D94" w:rsidRDefault="007E1C1C" w:rsidP="007E1C1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8DF0375" w14:textId="77777777" w:rsidR="007E1C1C" w:rsidRPr="00F00D94" w:rsidRDefault="007E1C1C" w:rsidP="007E1C1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E945DB1" w14:textId="77777777" w:rsidR="007E1C1C" w:rsidRPr="007E1C1C" w:rsidRDefault="007E1C1C" w:rsidP="007E1C1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7E1C1C">
        <w:rPr>
          <w:rFonts w:ascii="Arial" w:hAnsi="Arial" w:cs="Arial"/>
          <w:i/>
        </w:rPr>
        <w:t>(Source: 2024 OMB Compliance Supplement Part 3)</w:t>
      </w:r>
    </w:p>
    <w:p w14:paraId="4CDB465D" w14:textId="1C98AE2F" w:rsidR="007E1C1C" w:rsidRPr="007E1C1C" w:rsidRDefault="007E1C1C" w:rsidP="007E1C1C">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E1C1C">
        <w:rPr>
          <w:rFonts w:ascii="Arial" w:hAnsi="Arial" w:cs="Arial"/>
          <w:iCs/>
        </w:rPr>
        <w:t>Determine whether the institution designated a Qualified Individual responsible for implementing and monitoring the institution’s information security program.</w:t>
      </w:r>
    </w:p>
    <w:p w14:paraId="6DDF467A" w14:textId="5A547998" w:rsidR="007E1C1C" w:rsidRPr="007E1C1C" w:rsidRDefault="007E1C1C" w:rsidP="007E1C1C">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E1C1C">
        <w:rPr>
          <w:rFonts w:ascii="Arial" w:hAnsi="Arial" w:cs="Arial"/>
          <w:iCs/>
        </w:rPr>
        <w:lastRenderedPageBreak/>
        <w:t>Determine whether the institution’s written information security program addresses the required minimum seven elements.</w:t>
      </w:r>
    </w:p>
    <w:p w14:paraId="5C6C709E" w14:textId="2D18C8B7" w:rsidR="007E1C1C" w:rsidRPr="007E1C1C" w:rsidRDefault="007E1C1C" w:rsidP="007E1C1C">
      <w:pPr>
        <w:spacing w:after="240"/>
        <w:jc w:val="both"/>
        <w:rPr>
          <w:rFonts w:ascii="Arial" w:hAnsi="Arial" w:cs="Arial"/>
          <w:bCs/>
        </w:rPr>
      </w:pPr>
      <w:r w:rsidRPr="007E1C1C">
        <w:rPr>
          <w:rFonts w:ascii="Arial" w:hAnsi="Arial" w:cs="Arial"/>
          <w:bCs/>
          <w:i/>
        </w:rPr>
        <w:t>(Source: 2024 OMB Compliance Supplement, Part 5, Student Financial Assistance Cluster)</w:t>
      </w:r>
    </w:p>
    <w:p w14:paraId="13272964" w14:textId="77777777" w:rsidR="007E1C1C" w:rsidRPr="00634FA3" w:rsidRDefault="007E1C1C" w:rsidP="007E1C1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E1C1C" w:rsidRPr="00F00D94" w14:paraId="1CF6C014" w14:textId="77777777" w:rsidTr="004F1F50">
        <w:tc>
          <w:tcPr>
            <w:tcW w:w="5000" w:type="pct"/>
          </w:tcPr>
          <w:p w14:paraId="606B9F5E" w14:textId="77777777" w:rsidR="007E1C1C" w:rsidRPr="006F5FFA" w:rsidRDefault="007E1C1C" w:rsidP="004F1F5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BCDC246" w14:textId="77777777" w:rsidR="007E1C1C" w:rsidRPr="00F00D94" w:rsidRDefault="007E1C1C" w:rsidP="004F1F5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FA2CB33" w14:textId="77777777" w:rsidR="007E1C1C" w:rsidRPr="00F00D94" w:rsidRDefault="007E1C1C" w:rsidP="004F1F50">
            <w:pPr>
              <w:pStyle w:val="AuditProcedureHeading"/>
              <w:spacing w:after="240"/>
              <w:jc w:val="both"/>
              <w:rPr>
                <w:rFonts w:cs="Arial"/>
                <w:b/>
                <w:bCs/>
                <w:szCs w:val="20"/>
                <w:u w:val="single"/>
              </w:rPr>
            </w:pPr>
          </w:p>
          <w:p w14:paraId="635A4036" w14:textId="77777777" w:rsidR="007E1C1C" w:rsidRPr="00F00D94" w:rsidRDefault="007E1C1C" w:rsidP="004F1F5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85E4BE9" w14:textId="77777777" w:rsidR="007E1C1C" w:rsidRPr="00F00D94" w:rsidRDefault="007E1C1C" w:rsidP="004F1F50">
            <w:pPr>
              <w:pStyle w:val="AuditProcedureHeading"/>
              <w:spacing w:after="240"/>
              <w:jc w:val="both"/>
              <w:rPr>
                <w:rFonts w:cs="Arial"/>
                <w:b/>
                <w:bCs/>
                <w:szCs w:val="20"/>
                <w:u w:val="single"/>
              </w:rPr>
            </w:pPr>
          </w:p>
          <w:p w14:paraId="7492D985" w14:textId="77777777" w:rsidR="007E1C1C" w:rsidRPr="00F00D94" w:rsidRDefault="007E1C1C" w:rsidP="004F1F5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0AFC624" w14:textId="77777777" w:rsidR="007E1C1C" w:rsidRPr="00F00D94" w:rsidRDefault="007E1C1C" w:rsidP="004F1F50">
            <w:pPr>
              <w:spacing w:after="240"/>
              <w:jc w:val="both"/>
              <w:rPr>
                <w:rFonts w:ascii="Arial" w:hAnsi="Arial" w:cs="Arial"/>
                <w:b/>
                <w:sz w:val="20"/>
                <w:u w:val="single"/>
              </w:rPr>
            </w:pPr>
          </w:p>
          <w:p w14:paraId="3251329D" w14:textId="77777777" w:rsidR="007E1C1C" w:rsidRPr="00F00D94" w:rsidRDefault="007E1C1C" w:rsidP="004F1F5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00F7B36" w14:textId="77777777" w:rsidR="007E1C1C" w:rsidRPr="00C35E5F" w:rsidRDefault="007E1C1C" w:rsidP="004F1F50">
            <w:pPr>
              <w:spacing w:after="240"/>
              <w:jc w:val="both"/>
              <w:rPr>
                <w:rFonts w:ascii="Arial" w:eastAsiaTheme="minorHAnsi" w:hAnsi="Arial" w:cs="Arial"/>
                <w:sz w:val="20"/>
                <w:szCs w:val="20"/>
              </w:rPr>
            </w:pPr>
          </w:p>
        </w:tc>
      </w:tr>
    </w:tbl>
    <w:p w14:paraId="413383AD" w14:textId="77777777" w:rsidR="007E1C1C" w:rsidRPr="00F00D94" w:rsidRDefault="007E1C1C" w:rsidP="007E1C1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04F5777" w14:textId="77777777" w:rsidR="007E1C1C" w:rsidRPr="000706D1" w:rsidRDefault="007E1C1C" w:rsidP="007E1C1C">
      <w:pPr>
        <w:pStyle w:val="Heading3"/>
        <w:jc w:val="both"/>
        <w:rPr>
          <w:rFonts w:cs="Arial"/>
          <w:sz w:val="24"/>
          <w:szCs w:val="24"/>
        </w:rPr>
      </w:pPr>
      <w:bookmarkStart w:id="116" w:name="_Toc172009276"/>
      <w:bookmarkStart w:id="117" w:name="_Toc17635546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6"/>
      <w:bookmarkEnd w:id="117"/>
    </w:p>
    <w:tbl>
      <w:tblPr>
        <w:tblStyle w:val="TableGrid"/>
        <w:tblW w:w="9558" w:type="dxa"/>
        <w:tblLayout w:type="fixed"/>
        <w:tblLook w:val="04A0" w:firstRow="1" w:lastRow="0" w:firstColumn="1" w:lastColumn="0" w:noHBand="0" w:noVBand="1"/>
      </w:tblPr>
      <w:tblGrid>
        <w:gridCol w:w="9558"/>
      </w:tblGrid>
      <w:tr w:rsidR="007E1C1C" w:rsidRPr="00F00D94" w14:paraId="15F231A7" w14:textId="77777777" w:rsidTr="004F1F50">
        <w:tc>
          <w:tcPr>
            <w:tcW w:w="9558" w:type="dxa"/>
          </w:tcPr>
          <w:p w14:paraId="2EDB6558" w14:textId="77777777" w:rsidR="007E1C1C" w:rsidRDefault="007E1C1C" w:rsidP="004F1F5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1CBB736" w14:textId="77777777" w:rsidR="007E1C1C" w:rsidRPr="00AC7B25" w:rsidRDefault="007E1C1C" w:rsidP="004F1F50">
            <w:pPr>
              <w:spacing w:after="240"/>
              <w:jc w:val="both"/>
              <w:rPr>
                <w:rFonts w:ascii="Arial" w:hAnsi="Arial" w:cs="Arial"/>
                <w:i/>
                <w:sz w:val="20"/>
                <w:szCs w:val="20"/>
              </w:rPr>
            </w:pPr>
            <w:r>
              <w:rPr>
                <w:rFonts w:ascii="Arial" w:hAnsi="Arial" w:cs="Arial"/>
                <w:i/>
                <w:sz w:val="20"/>
                <w:szCs w:val="20"/>
              </w:rPr>
              <w:t>(Source: 2024 OMB Compliance Supplement Part 3)</w:t>
            </w:r>
          </w:p>
          <w:p w14:paraId="4287D995" w14:textId="1ED91204" w:rsidR="007E1C1C" w:rsidRPr="007E1C1C" w:rsidRDefault="007E1C1C" w:rsidP="007E1C1C">
            <w:pPr>
              <w:spacing w:after="240"/>
              <w:ind w:left="612" w:hanging="612"/>
              <w:jc w:val="both"/>
              <w:rPr>
                <w:rFonts w:ascii="Arial" w:hAnsi="Arial" w:cs="Arial"/>
                <w:sz w:val="20"/>
              </w:rPr>
            </w:pPr>
            <w:r w:rsidRPr="007E1C1C">
              <w:rPr>
                <w:rFonts w:ascii="Arial" w:hAnsi="Arial" w:cs="Arial"/>
                <w:sz w:val="20"/>
              </w:rPr>
              <w:t>a.</w:t>
            </w:r>
            <w:r w:rsidRPr="007E1C1C">
              <w:rPr>
                <w:rFonts w:ascii="Arial" w:hAnsi="Arial" w:cs="Arial"/>
                <w:sz w:val="20"/>
              </w:rPr>
              <w:tab/>
              <w:t>Verify that the institution has designated a Qualified Individual responsible for implementing and monitoring the institution’s information security program.</w:t>
            </w:r>
          </w:p>
          <w:p w14:paraId="6F406F13" w14:textId="70B30523" w:rsidR="007E1C1C" w:rsidRPr="001B6A61" w:rsidRDefault="007E1C1C" w:rsidP="007E1C1C">
            <w:pPr>
              <w:spacing w:after="240"/>
              <w:ind w:left="612" w:hanging="612"/>
              <w:jc w:val="both"/>
              <w:rPr>
                <w:rFonts w:ascii="Arial" w:hAnsi="Arial" w:cs="Arial"/>
                <w:b/>
                <w:bCs/>
                <w:sz w:val="20"/>
              </w:rPr>
            </w:pPr>
            <w:r w:rsidRPr="007E1C1C">
              <w:rPr>
                <w:rFonts w:ascii="Arial" w:hAnsi="Arial" w:cs="Arial"/>
                <w:sz w:val="20"/>
              </w:rPr>
              <w:t>b.</w:t>
            </w:r>
            <w:r w:rsidRPr="007E1C1C">
              <w:rPr>
                <w:rFonts w:ascii="Arial" w:hAnsi="Arial" w:cs="Arial"/>
                <w:sz w:val="20"/>
              </w:rPr>
              <w:tab/>
              <w:t>Verify that the institution has a written information security program and that the written information security program addresses the remaining six required minimum elements.</w:t>
            </w:r>
          </w:p>
        </w:tc>
      </w:tr>
    </w:tbl>
    <w:p w14:paraId="07678FFD" w14:textId="77777777" w:rsidR="007E1C1C" w:rsidRPr="00F00D94" w:rsidRDefault="007E1C1C" w:rsidP="007E1C1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B0B98DB" w14:textId="77777777" w:rsidR="007E1C1C" w:rsidRPr="000706D1" w:rsidRDefault="007E1C1C" w:rsidP="007E1C1C">
      <w:pPr>
        <w:pStyle w:val="Heading3"/>
        <w:jc w:val="both"/>
        <w:rPr>
          <w:rFonts w:cs="Arial"/>
          <w:b w:val="0"/>
          <w:sz w:val="24"/>
          <w:szCs w:val="24"/>
        </w:rPr>
      </w:pPr>
      <w:bookmarkStart w:id="118" w:name="_Toc172009277"/>
      <w:bookmarkStart w:id="119" w:name="_Toc176355464"/>
      <w:r w:rsidRPr="000706D1">
        <w:rPr>
          <w:rFonts w:cs="Arial"/>
          <w:sz w:val="24"/>
          <w:szCs w:val="24"/>
        </w:rPr>
        <w:t>Audit Implications Summary</w:t>
      </w:r>
      <w:bookmarkEnd w:id="118"/>
      <w:bookmarkEnd w:id="119"/>
    </w:p>
    <w:tbl>
      <w:tblPr>
        <w:tblStyle w:val="TableGrid"/>
        <w:tblW w:w="5000" w:type="pct"/>
        <w:tblLook w:val="04A0" w:firstRow="1" w:lastRow="0" w:firstColumn="1" w:lastColumn="0" w:noHBand="0" w:noVBand="1"/>
      </w:tblPr>
      <w:tblGrid>
        <w:gridCol w:w="9350"/>
      </w:tblGrid>
      <w:tr w:rsidR="007E1C1C" w:rsidRPr="00F00D94" w14:paraId="7B46AFCC" w14:textId="77777777" w:rsidTr="004F1F50">
        <w:tc>
          <w:tcPr>
            <w:tcW w:w="5000" w:type="pct"/>
          </w:tcPr>
          <w:p w14:paraId="76F3C905" w14:textId="77777777" w:rsidR="007E1C1C" w:rsidRDefault="007E1C1C" w:rsidP="004F1F5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173BF41" w14:textId="77777777" w:rsidR="007E1C1C" w:rsidRPr="006E46AD" w:rsidRDefault="007E1C1C" w:rsidP="004F1F5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507CCC98" w14:textId="77777777" w:rsidR="007E1C1C" w:rsidRPr="006E46AD" w:rsidRDefault="007E1C1C" w:rsidP="007E1C1C">
            <w:pPr>
              <w:pStyle w:val="ListParagraph"/>
              <w:widowControl w:val="0"/>
              <w:numPr>
                <w:ilvl w:val="0"/>
                <w:numId w:val="8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EC1D4F6" w14:textId="77777777" w:rsidR="007E1C1C" w:rsidRPr="006E46AD" w:rsidRDefault="007E1C1C" w:rsidP="004F1F50">
            <w:pPr>
              <w:widowControl w:val="0"/>
              <w:spacing w:after="240"/>
              <w:ind w:left="720"/>
              <w:jc w:val="both"/>
              <w:rPr>
                <w:rFonts w:ascii="Arial" w:hAnsi="Arial" w:cs="Arial"/>
                <w:b/>
                <w:sz w:val="20"/>
                <w:szCs w:val="20"/>
              </w:rPr>
            </w:pPr>
          </w:p>
          <w:p w14:paraId="4D13BC54" w14:textId="77777777" w:rsidR="007E1C1C" w:rsidRPr="006E46AD" w:rsidRDefault="007E1C1C" w:rsidP="007E1C1C">
            <w:pPr>
              <w:widowControl w:val="0"/>
              <w:numPr>
                <w:ilvl w:val="0"/>
                <w:numId w:val="8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92CCFFD" w14:textId="77777777" w:rsidR="007E1C1C" w:rsidRPr="00F00D94" w:rsidRDefault="007E1C1C" w:rsidP="004F1F50">
            <w:pPr>
              <w:pStyle w:val="ListParagraph"/>
              <w:spacing w:after="240"/>
              <w:jc w:val="both"/>
              <w:rPr>
                <w:rFonts w:ascii="Arial" w:hAnsi="Arial" w:cs="Arial"/>
                <w:b/>
              </w:rPr>
            </w:pPr>
          </w:p>
          <w:p w14:paraId="1733DEDA" w14:textId="77777777" w:rsidR="007E1C1C" w:rsidRPr="00F00D94" w:rsidRDefault="007E1C1C" w:rsidP="007E1C1C">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BF8FEAD" w14:textId="77777777" w:rsidR="007E1C1C" w:rsidRPr="00F00D94" w:rsidRDefault="007E1C1C" w:rsidP="004F1F50">
            <w:pPr>
              <w:pStyle w:val="ListParagraph"/>
              <w:spacing w:after="240"/>
              <w:jc w:val="both"/>
              <w:rPr>
                <w:rFonts w:ascii="Arial" w:hAnsi="Arial" w:cs="Arial"/>
                <w:b/>
              </w:rPr>
            </w:pPr>
          </w:p>
          <w:p w14:paraId="5A4F1680" w14:textId="77777777" w:rsidR="007E1C1C" w:rsidRPr="00F00D94" w:rsidRDefault="007E1C1C" w:rsidP="007E1C1C">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71F1CAB" w14:textId="77777777" w:rsidR="007E1C1C" w:rsidRPr="00F00D94" w:rsidRDefault="007E1C1C" w:rsidP="004F1F50">
            <w:pPr>
              <w:pStyle w:val="ListParagraph"/>
              <w:spacing w:after="240"/>
              <w:jc w:val="both"/>
              <w:rPr>
                <w:rFonts w:ascii="Arial" w:hAnsi="Arial" w:cs="Arial"/>
                <w:b/>
              </w:rPr>
            </w:pPr>
          </w:p>
          <w:p w14:paraId="6F9BA2BC" w14:textId="77777777" w:rsidR="007E1C1C" w:rsidRPr="00F00D94" w:rsidRDefault="007E1C1C" w:rsidP="007E1C1C">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0BF059A" w14:textId="77777777" w:rsidR="007E1C1C" w:rsidRPr="00F00D94" w:rsidRDefault="007E1C1C" w:rsidP="004F1F50">
            <w:pPr>
              <w:pStyle w:val="APStepItem"/>
              <w:numPr>
                <w:ilvl w:val="0"/>
                <w:numId w:val="0"/>
              </w:numPr>
              <w:spacing w:after="240"/>
              <w:rPr>
                <w:rFonts w:cs="Arial"/>
                <w:b/>
              </w:rPr>
            </w:pPr>
          </w:p>
        </w:tc>
      </w:tr>
    </w:tbl>
    <w:p w14:paraId="1E737884" w14:textId="77777777" w:rsidR="007E1C1C" w:rsidRDefault="007E1C1C" w:rsidP="007E1C1C">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7E1C1C" w:rsidSect="007E1C1C">
          <w:headerReference w:type="default" r:id="rId110"/>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0" w:name="_Toc442267704"/>
      <w:bookmarkStart w:id="121" w:name="_Toc176355465"/>
      <w:r w:rsidRPr="000706D1">
        <w:rPr>
          <w:rStyle w:val="PageNumber"/>
          <w:rFonts w:cs="Arial"/>
          <w:sz w:val="24"/>
        </w:rPr>
        <w:lastRenderedPageBreak/>
        <w:t>Program Testing Conclusion</w:t>
      </w:r>
      <w:bookmarkEnd w:id="120"/>
      <w:bookmarkEnd w:id="12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11"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11" tgtFrame="&quot;content&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EB6F53" w:rsidP="006672EA">
      <w:pPr>
        <w:spacing w:after="240"/>
        <w:jc w:val="both"/>
        <w:rPr>
          <w:rFonts w:ascii="Arial" w:hAnsi="Arial" w:cs="Arial"/>
        </w:rPr>
      </w:pPr>
      <w:hyperlink r:id="rId113"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4"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2" w:name="AICPAIGS:767.2670-1"/>
      <w:bookmarkEnd w:id="12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3C216E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24558CD4"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0E63F5">
      <w:rPr>
        <w:sz w:val="18"/>
      </w:rPr>
      <w:t>FACCR Student Financial Assistance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6B2D5724"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4E2CCB">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4E2CCB">
      <w:rPr>
        <w:rFonts w:ascii="Arial" w:hAnsi="Arial" w:cs="Arial"/>
        <w:b/>
        <w:sz w:val="36"/>
        <w:szCs w:val="36"/>
      </w:rPr>
      <w:t xml:space="preserve"> – Institutional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FC542" w14:textId="75A1A430" w:rsidR="004E2CCB" w:rsidRPr="002616A3" w:rsidRDefault="004E2CC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Verification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301E" w14:textId="74D047CB" w:rsidR="004E2CCB" w:rsidRPr="002616A3" w:rsidRDefault="004E2CC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Disbursements to or on Behalf of Students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3DB8" w14:textId="5E2D13B6" w:rsidR="000C04C5" w:rsidRPr="002616A3" w:rsidRDefault="000C04C5"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Using a Servicer or Financial Institution to Deliver Title IV Credit Balances to a Card or Other Access Device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02532" w14:textId="15B8E036" w:rsidR="000C04C5" w:rsidRPr="002616A3" w:rsidRDefault="000C04C5" w:rsidP="00F13178">
    <w:pPr>
      <w:pStyle w:val="Header"/>
      <w:spacing w:after="240"/>
      <w:jc w:val="center"/>
      <w:rPr>
        <w:rFonts w:ascii="Arial" w:hAnsi="Arial" w:cs="Arial"/>
        <w:sz w:val="36"/>
        <w:szCs w:val="36"/>
      </w:rPr>
    </w:pPr>
    <w:r w:rsidRPr="002616A3">
      <w:rPr>
        <w:rFonts w:ascii="Arial" w:hAnsi="Arial" w:cs="Arial"/>
        <w:b/>
        <w:sz w:val="36"/>
        <w:szCs w:val="36"/>
      </w:rPr>
      <w:t>N</w:t>
    </w:r>
    <w:r w:rsidR="00E97A14">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 xml:space="preserve">Special Tests and Provisions – </w:t>
    </w:r>
    <w:r w:rsidR="00E97A14">
      <w:rPr>
        <w:rFonts w:ascii="Arial" w:hAnsi="Arial" w:cs="Arial"/>
        <w:b/>
        <w:sz w:val="36"/>
        <w:szCs w:val="36"/>
      </w:rPr>
      <w:t>Return of Title IV Funds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C087" w14:textId="33F17CDA" w:rsidR="00FD3902" w:rsidRPr="002616A3" w:rsidRDefault="00FD3902"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Enrollment Reporting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6B884" w14:textId="01086E6C" w:rsidR="00F7017C" w:rsidRPr="002616A3" w:rsidRDefault="00F7017C" w:rsidP="00F13178">
    <w:pPr>
      <w:pStyle w:val="Header"/>
      <w:spacing w:after="240"/>
      <w:jc w:val="center"/>
      <w:rPr>
        <w:rFonts w:ascii="Arial" w:hAnsi="Arial" w:cs="Arial"/>
        <w:sz w:val="36"/>
        <w:szCs w:val="36"/>
      </w:rPr>
    </w:pPr>
    <w:r w:rsidRPr="002616A3">
      <w:rPr>
        <w:rFonts w:ascii="Arial" w:hAnsi="Arial" w:cs="Arial"/>
        <w:b/>
        <w:sz w:val="36"/>
        <w:szCs w:val="36"/>
      </w:rPr>
      <w:t>N</w:t>
    </w:r>
    <w:r w:rsidR="00B96645">
      <w:rPr>
        <w:rFonts w:ascii="Arial" w:hAnsi="Arial" w:cs="Arial"/>
        <w:b/>
        <w:sz w:val="36"/>
        <w:szCs w:val="36"/>
      </w:rPr>
      <w:t>9</w:t>
    </w:r>
    <w:r w:rsidRPr="002616A3">
      <w:rPr>
        <w:rFonts w:ascii="Arial" w:hAnsi="Arial" w:cs="Arial"/>
        <w:b/>
        <w:sz w:val="36"/>
        <w:szCs w:val="36"/>
      </w:rPr>
      <w:t xml:space="preserve">. </w:t>
    </w:r>
    <w:r>
      <w:rPr>
        <w:rFonts w:ascii="Arial" w:hAnsi="Arial" w:cs="Arial"/>
        <w:b/>
        <w:sz w:val="36"/>
        <w:szCs w:val="36"/>
      </w:rPr>
      <w:t>Special Tests and Provisions – Incentive Compensation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DE21" w14:textId="3B80CAB3" w:rsidR="00F7017C" w:rsidRPr="002616A3" w:rsidRDefault="00F7017C" w:rsidP="00F13178">
    <w:pPr>
      <w:pStyle w:val="Header"/>
      <w:spacing w:after="240"/>
      <w:jc w:val="center"/>
      <w:rPr>
        <w:rFonts w:ascii="Arial" w:hAnsi="Arial" w:cs="Arial"/>
        <w:sz w:val="36"/>
        <w:szCs w:val="36"/>
      </w:rPr>
    </w:pPr>
    <w:r w:rsidRPr="002616A3">
      <w:rPr>
        <w:rFonts w:ascii="Arial" w:hAnsi="Arial" w:cs="Arial"/>
        <w:b/>
        <w:sz w:val="36"/>
        <w:szCs w:val="36"/>
      </w:rPr>
      <w:t>N</w:t>
    </w:r>
    <w:r w:rsidR="00B96645">
      <w:rPr>
        <w:rFonts w:ascii="Arial" w:hAnsi="Arial" w:cs="Arial"/>
        <w:b/>
        <w:sz w:val="36"/>
        <w:szCs w:val="36"/>
      </w:rPr>
      <w:t>10</w:t>
    </w:r>
    <w:r w:rsidRPr="002616A3">
      <w:rPr>
        <w:rFonts w:ascii="Arial" w:hAnsi="Arial" w:cs="Arial"/>
        <w:b/>
        <w:sz w:val="36"/>
        <w:szCs w:val="36"/>
      </w:rPr>
      <w:t xml:space="preserve">. </w:t>
    </w:r>
    <w:r>
      <w:rPr>
        <w:rFonts w:ascii="Arial" w:hAnsi="Arial" w:cs="Arial"/>
        <w:b/>
        <w:sz w:val="36"/>
        <w:szCs w:val="36"/>
      </w:rPr>
      <w:t>Special Tests and Provisions – Program Eligibility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03B4" w14:textId="56ED07F9" w:rsidR="007E1C1C" w:rsidRPr="002616A3" w:rsidRDefault="007E1C1C" w:rsidP="00F13178">
    <w:pPr>
      <w:pStyle w:val="Header"/>
      <w:spacing w:after="240"/>
      <w:jc w:val="center"/>
      <w:rPr>
        <w:rFonts w:ascii="Arial" w:hAnsi="Arial" w:cs="Arial"/>
        <w:sz w:val="36"/>
        <w:szCs w:val="36"/>
      </w:rPr>
    </w:pPr>
    <w:r w:rsidRPr="002616A3">
      <w:rPr>
        <w:rFonts w:ascii="Arial" w:hAnsi="Arial" w:cs="Arial"/>
        <w:b/>
        <w:sz w:val="36"/>
        <w:szCs w:val="36"/>
      </w:rPr>
      <w:t>N</w:t>
    </w:r>
    <w:r w:rsidR="00B96645">
      <w:rPr>
        <w:rFonts w:ascii="Arial" w:hAnsi="Arial" w:cs="Arial"/>
        <w:b/>
        <w:sz w:val="36"/>
        <w:szCs w:val="36"/>
      </w:rPr>
      <w:t>11</w:t>
    </w:r>
    <w:r w:rsidRPr="002616A3">
      <w:rPr>
        <w:rFonts w:ascii="Arial" w:hAnsi="Arial" w:cs="Arial"/>
        <w:b/>
        <w:sz w:val="36"/>
        <w:szCs w:val="36"/>
      </w:rPr>
      <w:t xml:space="preserve">. </w:t>
    </w:r>
    <w:r>
      <w:rPr>
        <w:rFonts w:ascii="Arial" w:hAnsi="Arial" w:cs="Arial"/>
        <w:b/>
        <w:sz w:val="36"/>
        <w:szCs w:val="36"/>
      </w:rPr>
      <w:t>Special Tests and Provisions – Gramm-Leach-Bliley Act – Student Information Security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473B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D53F1E"/>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63485C"/>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9542C3"/>
    <w:multiLevelType w:val="hybridMultilevel"/>
    <w:tmpl w:val="0236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495540"/>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8" w15:restartNumberingAfterBreak="0">
    <w:nsid w:val="309B6505"/>
    <w:multiLevelType w:val="hybridMultilevel"/>
    <w:tmpl w:val="65B2D084"/>
    <w:lvl w:ilvl="0" w:tplc="DECE447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294714"/>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AD619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9"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0B241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8856E4"/>
    <w:multiLevelType w:val="hybridMultilevel"/>
    <w:tmpl w:val="6DF24216"/>
    <w:lvl w:ilvl="0" w:tplc="CCB835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941FB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C8A12A0"/>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AB2A43"/>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4"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5"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F67420E"/>
    <w:multiLevelType w:val="hybridMultilevel"/>
    <w:tmpl w:val="9AFC2D1A"/>
    <w:lvl w:ilvl="0" w:tplc="1A58EE4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67B442B0"/>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487AB0"/>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D953CF2"/>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4"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6" w15:restartNumberingAfterBreak="0">
    <w:nsid w:val="7CAC2F2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BB0C4C"/>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0"/>
  </w:num>
  <w:num w:numId="3" w16cid:durableId="845168209">
    <w:abstractNumId w:val="25"/>
  </w:num>
  <w:num w:numId="4" w16cid:durableId="495266702">
    <w:abstractNumId w:val="35"/>
  </w:num>
  <w:num w:numId="5" w16cid:durableId="1496074526">
    <w:abstractNumId w:val="64"/>
  </w:num>
  <w:num w:numId="6" w16cid:durableId="1894850701">
    <w:abstractNumId w:val="33"/>
  </w:num>
  <w:num w:numId="7" w16cid:durableId="1851287688">
    <w:abstractNumId w:val="77"/>
  </w:num>
  <w:num w:numId="8" w16cid:durableId="169563015">
    <w:abstractNumId w:val="61"/>
  </w:num>
  <w:num w:numId="9" w16cid:durableId="829565744">
    <w:abstractNumId w:val="21"/>
  </w:num>
  <w:num w:numId="10" w16cid:durableId="1649020827">
    <w:abstractNumId w:val="3"/>
  </w:num>
  <w:num w:numId="11" w16cid:durableId="404687173">
    <w:abstractNumId w:val="16"/>
  </w:num>
  <w:num w:numId="12" w16cid:durableId="812450053">
    <w:abstractNumId w:val="73"/>
  </w:num>
  <w:num w:numId="13" w16cid:durableId="208225967">
    <w:abstractNumId w:val="53"/>
  </w:num>
  <w:num w:numId="14" w16cid:durableId="1448885931">
    <w:abstractNumId w:val="45"/>
  </w:num>
  <w:num w:numId="15" w16cid:durableId="652417121">
    <w:abstractNumId w:val="57"/>
  </w:num>
  <w:num w:numId="16" w16cid:durableId="1348169212">
    <w:abstractNumId w:val="40"/>
  </w:num>
  <w:num w:numId="17" w16cid:durableId="1730111816">
    <w:abstractNumId w:val="69"/>
  </w:num>
  <w:num w:numId="18" w16cid:durableId="1262647388">
    <w:abstractNumId w:val="32"/>
  </w:num>
  <w:num w:numId="19" w16cid:durableId="917205237">
    <w:abstractNumId w:val="51"/>
  </w:num>
  <w:num w:numId="20" w16cid:durableId="1467968856">
    <w:abstractNumId w:val="74"/>
  </w:num>
  <w:num w:numId="21" w16cid:durableId="1337074581">
    <w:abstractNumId w:val="72"/>
  </w:num>
  <w:num w:numId="22" w16cid:durableId="1028799297">
    <w:abstractNumId w:val="23"/>
  </w:num>
  <w:num w:numId="23" w16cid:durableId="1386678689">
    <w:abstractNumId w:val="10"/>
  </w:num>
  <w:num w:numId="24" w16cid:durableId="505556187">
    <w:abstractNumId w:val="62"/>
  </w:num>
  <w:num w:numId="25" w16cid:durableId="1151486989">
    <w:abstractNumId w:val="22"/>
  </w:num>
  <w:num w:numId="26" w16cid:durableId="431709311">
    <w:abstractNumId w:val="36"/>
  </w:num>
  <w:num w:numId="27" w16cid:durableId="137292458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4"/>
  </w:num>
  <w:num w:numId="30" w16cid:durableId="1726903200">
    <w:abstractNumId w:val="13"/>
  </w:num>
  <w:num w:numId="31" w16cid:durableId="884410781">
    <w:abstractNumId w:val="7"/>
  </w:num>
  <w:num w:numId="32" w16cid:durableId="810370577">
    <w:abstractNumId w:val="48"/>
  </w:num>
  <w:num w:numId="33" w16cid:durableId="1178009640">
    <w:abstractNumId w:val="2"/>
  </w:num>
  <w:num w:numId="34" w16cid:durableId="1151754974">
    <w:abstractNumId w:val="78"/>
  </w:num>
  <w:num w:numId="35" w16cid:durableId="554588920">
    <w:abstractNumId w:val="66"/>
  </w:num>
  <w:num w:numId="36" w16cid:durableId="2056466201">
    <w:abstractNumId w:val="24"/>
  </w:num>
  <w:num w:numId="37" w16cid:durableId="81878645">
    <w:abstractNumId w:val="37"/>
  </w:num>
  <w:num w:numId="38" w16cid:durableId="754401759">
    <w:abstractNumId w:val="39"/>
  </w:num>
  <w:num w:numId="39" w16cid:durableId="697851989">
    <w:abstractNumId w:val="70"/>
  </w:num>
  <w:num w:numId="40" w16cid:durableId="368649401">
    <w:abstractNumId w:val="1"/>
  </w:num>
  <w:num w:numId="41" w16cid:durableId="1478910963">
    <w:abstractNumId w:val="71"/>
  </w:num>
  <w:num w:numId="42" w16cid:durableId="1939830332">
    <w:abstractNumId w:val="14"/>
  </w:num>
  <w:num w:numId="43" w16cid:durableId="516505364">
    <w:abstractNumId w:val="55"/>
  </w:num>
  <w:num w:numId="44" w16cid:durableId="710107432">
    <w:abstractNumId w:val="42"/>
  </w:num>
  <w:num w:numId="45" w16cid:durableId="629016447">
    <w:abstractNumId w:val="20"/>
  </w:num>
  <w:num w:numId="46" w16cid:durableId="1352143524">
    <w:abstractNumId w:val="27"/>
  </w:num>
  <w:num w:numId="47" w16cid:durableId="2034109230">
    <w:abstractNumId w:val="43"/>
  </w:num>
  <w:num w:numId="48" w16cid:durableId="752432378">
    <w:abstractNumId w:val="38"/>
  </w:num>
  <w:num w:numId="49" w16cid:durableId="1766726706">
    <w:abstractNumId w:val="12"/>
  </w:num>
  <w:num w:numId="50" w16cid:durableId="848107073">
    <w:abstractNumId w:val="29"/>
  </w:num>
  <w:num w:numId="51" w16cid:durableId="1123234674">
    <w:abstractNumId w:val="5"/>
  </w:num>
  <w:num w:numId="52" w16cid:durableId="1056511850">
    <w:abstractNumId w:val="63"/>
  </w:num>
  <w:num w:numId="53" w16cid:durableId="1317146710">
    <w:abstractNumId w:val="58"/>
  </w:num>
  <w:num w:numId="54" w16cid:durableId="1101756761">
    <w:abstractNumId w:val="49"/>
  </w:num>
  <w:num w:numId="55" w16cid:durableId="1244534831">
    <w:abstractNumId w:val="56"/>
  </w:num>
  <w:num w:numId="56" w16cid:durableId="120655483">
    <w:abstractNumId w:val="26"/>
  </w:num>
  <w:num w:numId="57" w16cid:durableId="894855469">
    <w:abstractNumId w:val="18"/>
  </w:num>
  <w:num w:numId="58" w16cid:durableId="667756309">
    <w:abstractNumId w:val="6"/>
  </w:num>
  <w:num w:numId="59" w16cid:durableId="142236087">
    <w:abstractNumId w:val="34"/>
  </w:num>
  <w:num w:numId="60" w16cid:durableId="2005356031">
    <w:abstractNumId w:val="9"/>
  </w:num>
  <w:num w:numId="61" w16cid:durableId="196281328">
    <w:abstractNumId w:val="59"/>
  </w:num>
  <w:num w:numId="62" w16cid:durableId="1927615941">
    <w:abstractNumId w:val="44"/>
  </w:num>
  <w:num w:numId="63" w16cid:durableId="1222136107">
    <w:abstractNumId w:val="28"/>
  </w:num>
  <w:num w:numId="64" w16cid:durableId="1113593649">
    <w:abstractNumId w:val="68"/>
  </w:num>
  <w:num w:numId="65" w16cid:durableId="514417914">
    <w:abstractNumId w:val="30"/>
  </w:num>
  <w:num w:numId="66" w16cid:durableId="371228399">
    <w:abstractNumId w:val="52"/>
  </w:num>
  <w:num w:numId="67" w16cid:durableId="126317860">
    <w:abstractNumId w:val="67"/>
  </w:num>
  <w:num w:numId="68" w16cid:durableId="729617498">
    <w:abstractNumId w:val="47"/>
  </w:num>
  <w:num w:numId="69" w16cid:durableId="1584947864">
    <w:abstractNumId w:val="41"/>
  </w:num>
  <w:num w:numId="70" w16cid:durableId="448815028">
    <w:abstractNumId w:val="11"/>
  </w:num>
  <w:num w:numId="71" w16cid:durableId="136067840">
    <w:abstractNumId w:val="17"/>
  </w:num>
  <w:num w:numId="72" w16cid:durableId="903954781">
    <w:abstractNumId w:val="4"/>
  </w:num>
  <w:num w:numId="73" w16cid:durableId="1657565743">
    <w:abstractNumId w:val="79"/>
  </w:num>
  <w:num w:numId="74" w16cid:durableId="344937477">
    <w:abstractNumId w:val="65"/>
  </w:num>
  <w:num w:numId="75" w16cid:durableId="711538210">
    <w:abstractNumId w:val="15"/>
  </w:num>
  <w:num w:numId="76" w16cid:durableId="1847480509">
    <w:abstractNumId w:val="31"/>
  </w:num>
  <w:num w:numId="77" w16cid:durableId="839002425">
    <w:abstractNumId w:val="19"/>
  </w:num>
  <w:num w:numId="78" w16cid:durableId="820192580">
    <w:abstractNumId w:val="76"/>
  </w:num>
  <w:num w:numId="79" w16cid:durableId="1382826430">
    <w:abstractNumId w:val="60"/>
  </w:num>
  <w:num w:numId="80" w16cid:durableId="1577671591">
    <w:abstractNumId w:val="4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10B"/>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7E4"/>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890"/>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C0B"/>
    <w:rsid w:val="000B0F9A"/>
    <w:rsid w:val="000B19F4"/>
    <w:rsid w:val="000B1E1B"/>
    <w:rsid w:val="000B3168"/>
    <w:rsid w:val="000B32C3"/>
    <w:rsid w:val="000B4444"/>
    <w:rsid w:val="000B52E9"/>
    <w:rsid w:val="000B73E3"/>
    <w:rsid w:val="000B7957"/>
    <w:rsid w:val="000C04C5"/>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6F3A"/>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6D1"/>
    <w:rsid w:val="000E5B77"/>
    <w:rsid w:val="000E5EED"/>
    <w:rsid w:val="000E63F5"/>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513"/>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0AE2"/>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1E0B"/>
    <w:rsid w:val="001C24A3"/>
    <w:rsid w:val="001C2F47"/>
    <w:rsid w:val="001C3EE9"/>
    <w:rsid w:val="001C56D2"/>
    <w:rsid w:val="001C58DB"/>
    <w:rsid w:val="001C5ADF"/>
    <w:rsid w:val="001C636A"/>
    <w:rsid w:val="001C73C2"/>
    <w:rsid w:val="001C77A9"/>
    <w:rsid w:val="001C7CA6"/>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5BA"/>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6430"/>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4FF7"/>
    <w:rsid w:val="0035584F"/>
    <w:rsid w:val="00355CA4"/>
    <w:rsid w:val="00357439"/>
    <w:rsid w:val="00360920"/>
    <w:rsid w:val="00361A80"/>
    <w:rsid w:val="00361D0E"/>
    <w:rsid w:val="00361EB2"/>
    <w:rsid w:val="0036262C"/>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275E"/>
    <w:rsid w:val="004730B9"/>
    <w:rsid w:val="00473187"/>
    <w:rsid w:val="00473BDC"/>
    <w:rsid w:val="00473F26"/>
    <w:rsid w:val="00473F88"/>
    <w:rsid w:val="0047409E"/>
    <w:rsid w:val="00476251"/>
    <w:rsid w:val="0047663C"/>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2CCB"/>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6D39"/>
    <w:rsid w:val="0054777B"/>
    <w:rsid w:val="00547B81"/>
    <w:rsid w:val="00550900"/>
    <w:rsid w:val="0055109E"/>
    <w:rsid w:val="005510E0"/>
    <w:rsid w:val="0055111C"/>
    <w:rsid w:val="00551762"/>
    <w:rsid w:val="00551AC8"/>
    <w:rsid w:val="00551E1D"/>
    <w:rsid w:val="0055260D"/>
    <w:rsid w:val="00552891"/>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4EDE"/>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51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2D17"/>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33E"/>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5653"/>
    <w:rsid w:val="007168C7"/>
    <w:rsid w:val="00716CAF"/>
    <w:rsid w:val="00717916"/>
    <w:rsid w:val="0072012C"/>
    <w:rsid w:val="007205DF"/>
    <w:rsid w:val="00721387"/>
    <w:rsid w:val="007221BB"/>
    <w:rsid w:val="00723298"/>
    <w:rsid w:val="0072338C"/>
    <w:rsid w:val="00723AD1"/>
    <w:rsid w:val="00724AAA"/>
    <w:rsid w:val="00725904"/>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50C"/>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21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1C1C"/>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9AA"/>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B92"/>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57E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10FF"/>
    <w:rsid w:val="009621AC"/>
    <w:rsid w:val="009656BB"/>
    <w:rsid w:val="0096765C"/>
    <w:rsid w:val="009706B9"/>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3D26"/>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46E39"/>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2C16"/>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29FA"/>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96645"/>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669C"/>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0"/>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05A"/>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0BB5"/>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A83"/>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7AB"/>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401"/>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6EF"/>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564E"/>
    <w:rsid w:val="00E464BD"/>
    <w:rsid w:val="00E476AC"/>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97A14"/>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6F53"/>
    <w:rsid w:val="00EB75E1"/>
    <w:rsid w:val="00EB763B"/>
    <w:rsid w:val="00EC06F3"/>
    <w:rsid w:val="00EC3A42"/>
    <w:rsid w:val="00EC4D34"/>
    <w:rsid w:val="00EC51E9"/>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9B8"/>
    <w:rsid w:val="00F06BC2"/>
    <w:rsid w:val="00F06F16"/>
    <w:rsid w:val="00F073C6"/>
    <w:rsid w:val="00F105A5"/>
    <w:rsid w:val="00F10F93"/>
    <w:rsid w:val="00F11B93"/>
    <w:rsid w:val="00F11D09"/>
    <w:rsid w:val="00F11FB1"/>
    <w:rsid w:val="00F12052"/>
    <w:rsid w:val="00F13060"/>
    <w:rsid w:val="00F13178"/>
    <w:rsid w:val="00F1328E"/>
    <w:rsid w:val="00F13762"/>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17C"/>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58F"/>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3902"/>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theme" Target="theme/theme1.xml"/><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31_CFR_Part_205.pdf" TargetMode="External"/><Relationship Id="rId47" Type="http://schemas.openxmlformats.org/officeDocument/2006/relationships/hyperlink" Target="https://www.fiscal.treasury.gov/ASAP/" TargetMode="External"/><Relationship Id="rId63" Type="http://schemas.openxmlformats.org/officeDocument/2006/relationships/hyperlink" Target="https://fsapartners.ed.gov/knowledge-center/fsa-handbook" TargetMode="External"/><Relationship Id="rId68" Type="http://schemas.openxmlformats.org/officeDocument/2006/relationships/hyperlink" Target="https://fsapartners.ed.gov/knowledge-center/library/resource-type/FISAP%20Form%20and%20Instructions" TargetMode="External"/><Relationship Id="rId84" Type="http://schemas.openxmlformats.org/officeDocument/2006/relationships/hyperlink" Target="https://fsapartners.ed.gov/knowledge-center/library/dear-colleague-letters/2022-10-13/cash-management-tier-one-and-tier-two-arrangements" TargetMode="External"/><Relationship Id="rId89" Type="http://schemas.openxmlformats.org/officeDocument/2006/relationships/header" Target="header13.xml"/><Relationship Id="rId112" Type="http://schemas.openxmlformats.org/officeDocument/2006/relationships/image" Target="media/image2.gif"/><Relationship Id="rId16" Type="http://schemas.openxmlformats.org/officeDocument/2006/relationships/hyperlink" Target="https://www.gao.gov/assets/gao-14-704g.pdf" TargetMode="External"/><Relationship Id="rId107" Type="http://schemas.openxmlformats.org/officeDocument/2006/relationships/hyperlink" Target="https://studentprivacy.ed.gov/" TargetMode="External"/><Relationship Id="rId11" Type="http://schemas.openxmlformats.org/officeDocument/2006/relationships/hyperlink" Target="mailto:aosfederal@ohioauditor.gov" TargetMode="External"/><Relationship Id="rId24" Type="http://schemas.openxmlformats.org/officeDocument/2006/relationships/header" Target="header2.xml"/><Relationship Id="rId32" Type="http://schemas.openxmlformats.org/officeDocument/2006/relationships/hyperlink" Target="https://fsapartners.ed.gov/knowledge-center/library/electronic-announcements/2023-08-28/draft-2024-25-fafsa-specifications-guide-september-2023-update-now-available" TargetMode="External"/><Relationship Id="rId37" Type="http://schemas.openxmlformats.org/officeDocument/2006/relationships/hyperlink" Target="https://fsapartners.ed.gov/knowledge-center/fsa-handbook" TargetMode="External"/><Relationship Id="rId40" Type="http://schemas.openxmlformats.org/officeDocument/2006/relationships/header" Target="header6.xml"/><Relationship Id="rId45" Type="http://schemas.openxmlformats.org/officeDocument/2006/relationships/hyperlink" Target="https://fiscal.treasury.gov/cmia/" TargetMode="External"/><Relationship Id="rId53" Type="http://schemas.openxmlformats.org/officeDocument/2006/relationships/hyperlink" Target="Agency_Adoption_of_the_UG_and_Example_Citations.pdf" TargetMode="External"/><Relationship Id="rId58" Type="http://schemas.openxmlformats.org/officeDocument/2006/relationships/hyperlink" Target="https://fsapartners.ed.gov/knowledge-center/library/dear-colleague-letters/2022-03-24/revised-2022-2023-federal-pell-grant-payment-and-disbursement-schedules" TargetMode="External"/><Relationship Id="rId66" Type="http://schemas.openxmlformats.org/officeDocument/2006/relationships/hyperlink" Target="https://www.govinfo.gov/content/pkg/FR-2021-06-24/pdf/FR-2021-06-24.pdf" TargetMode="External"/><Relationship Id="rId74" Type="http://schemas.openxmlformats.org/officeDocument/2006/relationships/header" Target="header10.xml"/><Relationship Id="rId79" Type="http://schemas.openxmlformats.org/officeDocument/2006/relationships/hyperlink" Target="SFACluster_AppendixA.pdf" TargetMode="External"/><Relationship Id="rId87" Type="http://schemas.openxmlformats.org/officeDocument/2006/relationships/hyperlink" Target="https://studentaid.gov/data-center/school/cash-management-contracts" TargetMode="External"/><Relationship Id="rId102" Type="http://schemas.openxmlformats.org/officeDocument/2006/relationships/header" Target="header16.xml"/><Relationship Id="rId110" Type="http://schemas.openxmlformats.org/officeDocument/2006/relationships/header" Target="header18.xml"/><Relationship Id="rId115" Type="http://schemas.openxmlformats.org/officeDocument/2006/relationships/header" Target="header19.xml"/><Relationship Id="rId5" Type="http://schemas.openxmlformats.org/officeDocument/2006/relationships/numbering" Target="numbering.xml"/><Relationship Id="rId61" Type="http://schemas.openxmlformats.org/officeDocument/2006/relationships/hyperlink" Target="https://fsapartners.ed.gov/knowledge-center/library/dear-colleague-letters/2023-03-29/eligibility-confined-or-incarcerated-individuals-receive-pell-grants" TargetMode="External"/><Relationship Id="rId82" Type="http://schemas.openxmlformats.org/officeDocument/2006/relationships/hyperlink" Target="https://fsapartners.ed.gov/knowledge-center/library/electronic-announcements/2016-07-01/cash-management-electronic-announcement-2-posting-contract-information-and-providing-contract-url-department-education" TargetMode="External"/><Relationship Id="rId90" Type="http://schemas.openxmlformats.org/officeDocument/2006/relationships/hyperlink" Target="https://www2.ed.gov/policy/highered/reg/hearulemaking/2009/return.html" TargetMode="External"/><Relationship Id="rId95" Type="http://schemas.openxmlformats.org/officeDocument/2006/relationships/hyperlink" Target="https://nces.ed.gov/ipeds/cipcode/resources.aspx?y=56" TargetMode="External"/><Relationship Id="rId19" Type="http://schemas.openxmlformats.org/officeDocument/2006/relationships/hyperlink" Target="OMB_Appendix_II.pdf" TargetMode="Externa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30" Type="http://schemas.openxmlformats.org/officeDocument/2006/relationships/hyperlink" Target="OMB_Part_6.pdf" TargetMode="External"/><Relationship Id="rId35" Type="http://schemas.openxmlformats.org/officeDocument/2006/relationships/hyperlink" Target="https://www2.ed.gov/about/offices/list/ocfo/fipao/improper-payments.html" TargetMode="External"/><Relationship Id="rId43" Type="http://schemas.openxmlformats.org/officeDocument/2006/relationships/hyperlink" Target="48_CFR_Part_52.pdf" TargetMode="External"/><Relationship Id="rId48" Type="http://schemas.openxmlformats.org/officeDocument/2006/relationships/hyperlink" Target="https://studentaid.gov/data-center/school/hcm" TargetMode="External"/><Relationship Id="rId56" Type="http://schemas.openxmlformats.org/officeDocument/2006/relationships/hyperlink" Target="SFACluster_AppendixA.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Agency_Adoption_of_the_UG_and_Example_Citations.pdf" TargetMode="External"/><Relationship Id="rId77" Type="http://schemas.openxmlformats.org/officeDocument/2006/relationships/header" Target="header11.xml"/><Relationship Id="rId100" Type="http://schemas.openxmlformats.org/officeDocument/2006/relationships/hyperlink" Target="https://fsapartners.ed.gov/sites/default/files/attachments/dpcletters/GEN1105.pdf" TargetMode="External"/><Relationship Id="rId105" Type="http://schemas.openxmlformats.org/officeDocument/2006/relationships/hyperlink" Target="Agency_Adoption_of_the_UG_and_Example_Citations.pdf" TargetMode="External"/><Relationship Id="rId113" Type="http://schemas.openxmlformats.org/officeDocument/2006/relationships/hyperlink" Target="2_CFR_Part_200.pdf" TargetMode="External"/><Relationship Id="rId8" Type="http://schemas.openxmlformats.org/officeDocument/2006/relationships/webSettings" Target="webSettings.xml"/><Relationship Id="rId51" Type="http://schemas.openxmlformats.org/officeDocument/2006/relationships/hyperlink" Target="48_CFR_Part_52.pdf" TargetMode="External"/><Relationship Id="rId72" Type="http://schemas.openxmlformats.org/officeDocument/2006/relationships/hyperlink" Target="https://fsapartners.ed.gov/knowledge-center/library/electronic-announcements/2023-12-21/requirement-institutions-have-certain-calculations-related-institutional-and-program-eligibility-substantiated-independent-auditor" TargetMode="External"/><Relationship Id="rId80" Type="http://schemas.openxmlformats.org/officeDocument/2006/relationships/hyperlink" Target="Agency_Adoption_of_the_UG_and_Example_Citations.pdf" TargetMode="External"/><Relationship Id="rId85" Type="http://schemas.openxmlformats.org/officeDocument/2006/relationships/hyperlink" Target="https://fsapartners.ed.gov/knowledge-center/library/electronic-announcements/2016-05-12/cash-management-questions-and-answers-qa" TargetMode="External"/><Relationship Id="rId93" Type="http://schemas.openxmlformats.org/officeDocument/2006/relationships/hyperlink" Target="https://fsapartners.ed.gov/knowledge-center/library/resource-type/NSLDS%20User%20Resources?nslds_type=NSLDS%20User%20Documentation" TargetMode="External"/><Relationship Id="rId98" Type="http://schemas.openxmlformats.org/officeDocument/2006/relationships/hyperlink" Target="https://fsapartners.ed.gov/sites/default/files/attachments/dpcletters/GEN1105.pdf" TargetMode="External"/><Relationship Id="rId3" Type="http://schemas.openxmlformats.org/officeDocument/2006/relationships/customXml" Target="../customXml/item3.xml"/><Relationship Id="rId12" Type="http://schemas.openxmlformats.org/officeDocument/2006/relationships/hyperlink" Target="OMB_Appendix_VII.pdf" TargetMode="External"/><Relationship Id="rId17" Type="http://schemas.openxmlformats.org/officeDocument/2006/relationships/hyperlink" Target="2_CFR_Part_200.pdf" TargetMode="External"/><Relationship Id="rId25" Type="http://schemas.openxmlformats.org/officeDocument/2006/relationships/footer" Target="footer2.xml"/><Relationship Id="rId33" Type="http://schemas.openxmlformats.org/officeDocument/2006/relationships/hyperlink" Target="https://fsapartners.ed.gov/knowledge-center/library/handbooks-manuals-or-guides/2022-11-21/2024-25-draft-student-aid-index-sai-and-pell-grant-eligibility-guide-updated-aug-25-2023" TargetMode="External"/><Relationship Id="rId38" Type="http://schemas.openxmlformats.org/officeDocument/2006/relationships/hyperlink" Target="https://fsapartners.ed.gov/knowledge-center/library/electronic-announcements/2023-01-11/reorganization-federal-student-aid-handbook-2023-2024" TargetMode="External"/><Relationship Id="rId46" Type="http://schemas.openxmlformats.org/officeDocument/2006/relationships/hyperlink" Target="https://www.hhs.gov/about/agencies/asa/psc/accounting/payment-management/index.html" TargetMode="External"/><Relationship Id="rId59" Type="http://schemas.openxmlformats.org/officeDocument/2006/relationships/hyperlink" Target="https://fsapartners.ed.gov/knowledge-center/library/dear-colleague-letters/2023-01-26/2023-2024-federal-pell-grant-payment-and-disbursement-schedules" TargetMode="External"/><Relationship Id="rId67" Type="http://schemas.openxmlformats.org/officeDocument/2006/relationships/hyperlink" Target="https://fsapartners.ed.gov/knowledge-center/library/system-technical-references/2020-11-24/2021-2022-cod-technical-reference" TargetMode="External"/><Relationship Id="rId103" Type="http://schemas.openxmlformats.org/officeDocument/2006/relationships/hyperlink" Target="SFACluster_AppendixB.pdf" TargetMode="External"/><Relationship Id="rId108" Type="http://schemas.openxmlformats.org/officeDocument/2006/relationships/hyperlink" Target="https://fsapartners.ed.gov/knowledge-center/library/electronic-announcements/2023-02-09/updates-gramm-leach-bliley-act-cybersecurity-requirements" TargetMode="External"/><Relationship Id="rId116" Type="http://schemas.openxmlformats.org/officeDocument/2006/relationships/fontTable" Target="fontTable.xml"/><Relationship Id="rId20" Type="http://schemas.openxmlformats.org/officeDocument/2006/relationships/hyperlink" Target="https://www.cfo.gov/wp-content/uploads/2014/12/Agency-Exceptions.pdf" TargetMode="External"/><Relationship Id="rId41" Type="http://schemas.openxmlformats.org/officeDocument/2006/relationships/hyperlink" Target="http://www.ohioauditor.gov/references/practiceaids.html" TargetMode="External"/><Relationship Id="rId54" Type="http://schemas.openxmlformats.org/officeDocument/2006/relationships/header" Target="header7.xml"/><Relationship Id="rId62" Type="http://schemas.openxmlformats.org/officeDocument/2006/relationships/hyperlink" Target="https://fsapartners.ed.gov/knowledge-center/fsa-handbook" TargetMode="External"/><Relationship Id="rId70" Type="http://schemas.openxmlformats.org/officeDocument/2006/relationships/header" Target="header9.xml"/><Relationship Id="rId75" Type="http://schemas.openxmlformats.org/officeDocument/2006/relationships/hyperlink" Target="https://fsapartners.ed.gov/knowledge-center/library/dear-colleague-letters/2022-07-08/2023-2024-award-year-fafsa-information-be-verified-and-acceptable-documentation" TargetMode="External"/><Relationship Id="rId83" Type="http://schemas.openxmlformats.org/officeDocument/2006/relationships/hyperlink" Target="https://fsapartners.ed.gov/knowledge-center/library/electronic-announcements/2017-06-16/cash-management-electronic-announcement-7-tier-one-and-tier-two-contract-data-reporting-format" TargetMode="External"/><Relationship Id="rId88" Type="http://schemas.openxmlformats.org/officeDocument/2006/relationships/hyperlink" Target="Agency_Adoption_of_the_UG_and_Example_Citations.pdf" TargetMode="External"/><Relationship Id="rId91" Type="http://schemas.openxmlformats.org/officeDocument/2006/relationships/hyperlink" Target="Agency_Adoption_of_the_UG_and_Example_Citations.pdf" TargetMode="External"/><Relationship Id="rId96" Type="http://schemas.openxmlformats.org/officeDocument/2006/relationships/hyperlink" Target="Agency_Adoption_of_the_UG_and_Example_Citations.pdf" TargetMode="External"/><Relationship Id="rId111" Type="http://schemas.openxmlformats.org/officeDocument/2006/relationships/hyperlink" Target="https://checkpoint.riag.com/app/view/docPermaLink?DocID=iAICPAIGS:767.2440&amp;docTid=T0AICPAIGS:767.2440-1&amp;feature=ttoc&amp;lastCpReqId=97899&amp;tlltype=AICPAIGS:767.266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https://www.whitehouse.gov/omb/office-federal-financial-management/" TargetMode="External"/><Relationship Id="rId36" Type="http://schemas.openxmlformats.org/officeDocument/2006/relationships/hyperlink" Target="mailto:FSAPellandDLReporting@ed.gov" TargetMode="External"/><Relationship Id="rId49" Type="http://schemas.openxmlformats.org/officeDocument/2006/relationships/hyperlink" Target="https://fsapartners.ed.gov/knowledge-center/library/electronic-announcements/2022-12-29/william-d-ford-federal-direct-loan-program-reconciliation" TargetMode="External"/><Relationship Id="rId57" Type="http://schemas.openxmlformats.org/officeDocument/2006/relationships/hyperlink" Target="https://fsapartners.ed.gov/sites/default/files/attachments/2022-07/202324ISIRGuide.pdf" TargetMode="External"/><Relationship Id="rId106" Type="http://schemas.openxmlformats.org/officeDocument/2006/relationships/header" Target="header17.xml"/><Relationship Id="rId114" Type="http://schemas.openxmlformats.org/officeDocument/2006/relationships/hyperlink" Target="Agency_Adoption_of_the_UG_and_Example_Citations.pdf" TargetMode="External"/><Relationship Id="rId10" Type="http://schemas.openxmlformats.org/officeDocument/2006/relationships/endnotes" Target="endnotes.xml"/><Relationship Id="rId31" Type="http://schemas.openxmlformats.org/officeDocument/2006/relationships/hyperlink" Target="https://fsapartners.ed.gov/knowledge-center/library/dear-colleague-letters/2023-08-04/fafsa-simplification-act-changes-implementation-2024-25" TargetMode="External"/><Relationship Id="rId44" Type="http://schemas.openxmlformats.org/officeDocument/2006/relationships/hyperlink" Target="48_CFR_Part_52.pdf" TargetMode="External"/><Relationship Id="rId52" Type="http://schemas.openxmlformats.org/officeDocument/2006/relationships/hyperlink" Target="48%20CFR%2052.216-7.pdf" TargetMode="External"/><Relationship Id="rId60" Type="http://schemas.openxmlformats.org/officeDocument/2006/relationships/hyperlink" Target="https://fsapartners.ed.gov/knowledge-center/library/dear-colleague-letters/2013-05-16/gen-13-14-subject-federal-pell-grant-duration-eligibility-and-lifetime-eligibility-used" TargetMode="External"/><Relationship Id="rId65" Type="http://schemas.openxmlformats.org/officeDocument/2006/relationships/header" Target="header8.xml"/><Relationship Id="rId73" Type="http://schemas.openxmlformats.org/officeDocument/2006/relationships/hyperlink" Target="Agency_Adoption_of_the_UG_and_Example_Citations.pdf" TargetMode="External"/><Relationship Id="rId78" Type="http://schemas.openxmlformats.org/officeDocument/2006/relationships/hyperlink" Target="SFACluster_AppendixA.pdf" TargetMode="External"/><Relationship Id="rId81" Type="http://schemas.openxmlformats.org/officeDocument/2006/relationships/header" Target="header12.xml"/><Relationship Id="rId86" Type="http://schemas.openxmlformats.org/officeDocument/2006/relationships/hyperlink" Target="https://studentaid.gov/data-center/school/cash-management-contracts" TargetMode="External"/><Relationship Id="rId94" Type="http://schemas.openxmlformats.org/officeDocument/2006/relationships/hyperlink" Target="https://fsapartners.ed.gov/knowledge-center/library/electronic-announcements/2017-04-20/general-subject-nslds-enrollment-reporting-submission-dates-effective-dates-and-certification-dates" TargetMode="External"/><Relationship Id="rId99" Type="http://schemas.openxmlformats.org/officeDocument/2006/relationships/hyperlink" Target="https://ifap.ed.gov/sites/default/files/attachments/fregisters/FR112715.pdf" TargetMode="External"/><Relationship Id="rId101"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OSFederal@ohioauditor.gov" TargetMode="External"/><Relationship Id="rId18" Type="http://schemas.openxmlformats.org/officeDocument/2006/relationships/footer" Target="footer1.xml"/><Relationship Id="rId39" Type="http://schemas.openxmlformats.org/officeDocument/2006/relationships/header" Target="header5.xml"/><Relationship Id="rId109" Type="http://schemas.openxmlformats.org/officeDocument/2006/relationships/hyperlink" Target="Agency_Adoption_of_the_UG_and_Example_Citations.pdf" TargetMode="External"/><Relationship Id="rId34" Type="http://schemas.openxmlformats.org/officeDocument/2006/relationships/hyperlink" Target="mailto:FSAPellandDLReporting@ed.gov" TargetMode="External"/><Relationship Id="rId50" Type="http://schemas.openxmlformats.org/officeDocument/2006/relationships/hyperlink" Target="https://fsapartners.ed.gov/knowledge-center/library/electronic-announcements/2022-11-15/title-iv-aid-disbursement-reporting-excess-cash-and-reconciliation-requirements" TargetMode="External"/><Relationship Id="rId55" Type="http://schemas.openxmlformats.org/officeDocument/2006/relationships/hyperlink" Target="SFACluster_AppendixA.pdf" TargetMode="External"/><Relationship Id="rId76" Type="http://schemas.openxmlformats.org/officeDocument/2006/relationships/hyperlink" Target="Agency_Adoption_of_the_UG_and_Example_Citations.pdf" TargetMode="External"/><Relationship Id="rId97" Type="http://schemas.openxmlformats.org/officeDocument/2006/relationships/header" Target="header15.xml"/><Relationship Id="rId104" Type="http://schemas.openxmlformats.org/officeDocument/2006/relationships/hyperlink" Target="https://www.ecfr.gov/current/title-34/subtitle-B/chapter-VI/part-668" TargetMode="External"/><Relationship Id="rId7" Type="http://schemas.openxmlformats.org/officeDocument/2006/relationships/settings" Target="settings.xml"/><Relationship Id="rId71" Type="http://schemas.openxmlformats.org/officeDocument/2006/relationships/hyperlink" Target="https://www.ecfr.gov/current/title-34/subtitle-B/chapter-VI/part-600/subpart-A/section-600.7" TargetMode="External"/><Relationship Id="rId92" Type="http://schemas.openxmlformats.org/officeDocument/2006/relationships/header" Target="header14.xml"/><Relationship Id="rId2" Type="http://schemas.openxmlformats.org/officeDocument/2006/relationships/customXml" Target="../customXml/item2.xml"/><Relationship Id="rId29"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107</Pages>
  <Words>44570</Words>
  <Characters>254053</Characters>
  <Application>Microsoft Office Word</Application>
  <DocSecurity>0</DocSecurity>
  <Lines>2117</Lines>
  <Paragraphs>596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298027</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51</cp:revision>
  <cp:lastPrinted>2015-07-01T17:39:00Z</cp:lastPrinted>
  <dcterms:created xsi:type="dcterms:W3CDTF">2024-07-16T11:58:00Z</dcterms:created>
  <dcterms:modified xsi:type="dcterms:W3CDTF">2024-09-05T11:32:00Z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