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711ED" w14:textId="1FB71D78" w:rsidR="00FE293C" w:rsidRPr="00BC7029" w:rsidRDefault="00BC7029" w:rsidP="00F047FA">
      <w:pPr>
        <w:jc w:val="center"/>
        <w:rPr>
          <w:b/>
          <w:color w:val="FF0000"/>
        </w:rPr>
        <w:sectPr w:rsidR="00FE293C" w:rsidRPr="00BC7029" w:rsidSect="00DC7E14">
          <w:headerReference w:type="default" r:id="rId12"/>
          <w:footerReference w:type="default" r:id="rId13"/>
          <w:footerReference w:type="first" r:id="rId14"/>
          <w:endnotePr>
            <w:numFmt w:val="decimal"/>
          </w:endnotePr>
          <w:pgSz w:w="12240" w:h="15840"/>
          <w:pgMar w:top="720" w:right="1440" w:bottom="720" w:left="1440" w:header="720" w:footer="720" w:gutter="0"/>
          <w:cols w:space="720"/>
          <w:titlePg/>
          <w:docGrid w:linePitch="360"/>
        </w:sectPr>
      </w:pPr>
      <w:r>
        <w:rPr>
          <w:b/>
          <w:color w:val="FF0000"/>
        </w:rPr>
        <w:t xml:space="preserve">THIS OPINION SHELL SHOULD </w:t>
      </w:r>
      <w:r w:rsidRPr="00BC7029">
        <w:rPr>
          <w:b/>
          <w:color w:val="FF0000"/>
          <w:u w:val="single"/>
        </w:rPr>
        <w:t>NOT</w:t>
      </w:r>
      <w:r>
        <w:rPr>
          <w:b/>
          <w:color w:val="FF0000"/>
        </w:rPr>
        <w:t xml:space="preserve"> BE USED FOR 12-31-21 &amp; SUBSEQUENT FYEs.</w:t>
      </w:r>
    </w:p>
    <w:p w14:paraId="02662E25" w14:textId="280FBF41" w:rsidR="00BC7029" w:rsidRDefault="00BC7029" w:rsidP="00BC7029">
      <w:pPr>
        <w:rPr>
          <w:b/>
        </w:rPr>
      </w:pPr>
    </w:p>
    <w:p w14:paraId="13A73D71" w14:textId="09BBBD9F" w:rsidR="00FD3423" w:rsidRPr="00AC3295" w:rsidRDefault="001F5730" w:rsidP="00F047FA">
      <w:pPr>
        <w:jc w:val="center"/>
        <w:rPr>
          <w:b/>
        </w:rPr>
      </w:pPr>
      <w:r w:rsidRPr="00AC3295">
        <w:rPr>
          <w:b/>
        </w:rPr>
        <w:t xml:space="preserve">Report </w:t>
      </w:r>
      <w:r w:rsidR="002353D1" w:rsidRPr="00AC3295">
        <w:rPr>
          <w:b/>
        </w:rPr>
        <w:t>on</w:t>
      </w:r>
      <w:r w:rsidR="00E30BFB" w:rsidRPr="00AC3295">
        <w:rPr>
          <w:b/>
        </w:rPr>
        <w:t xml:space="preserve"> Basi</w:t>
      </w:r>
      <w:r w:rsidR="00057A55" w:rsidRPr="00AC3295">
        <w:rPr>
          <w:b/>
        </w:rPr>
        <w:t xml:space="preserve">c Financial Statements </w:t>
      </w:r>
      <w:r w:rsidR="003A2BF8" w:rsidRPr="00AC3295">
        <w:rPr>
          <w:b/>
        </w:rPr>
        <w:t>That Includes</w:t>
      </w:r>
      <w:r w:rsidR="00E30BFB" w:rsidRPr="00AC3295">
        <w:rPr>
          <w:b/>
        </w:rPr>
        <w:t xml:space="preserve"> </w:t>
      </w:r>
      <w:r w:rsidR="009B15D0" w:rsidRPr="00AC3295">
        <w:rPr>
          <w:b/>
        </w:rPr>
        <w:t xml:space="preserve">Multiple Opinion Modifications, </w:t>
      </w:r>
      <w:r w:rsidR="003A2BF8" w:rsidRPr="00AC3295">
        <w:rPr>
          <w:b/>
        </w:rPr>
        <w:t>I</w:t>
      </w:r>
      <w:r w:rsidR="009B15D0" w:rsidRPr="00AC3295">
        <w:rPr>
          <w:b/>
        </w:rPr>
        <w:t xml:space="preserve">ncluding </w:t>
      </w:r>
      <w:r w:rsidR="00926100" w:rsidRPr="00AC3295">
        <w:rPr>
          <w:b/>
        </w:rPr>
        <w:t>Disclaimer of</w:t>
      </w:r>
      <w:r w:rsidR="009B15D0" w:rsidRPr="00AC3295">
        <w:rPr>
          <w:b/>
        </w:rPr>
        <w:t xml:space="preserve"> Opinion</w:t>
      </w:r>
      <w:r w:rsidR="00FD3423" w:rsidRPr="00AC3295">
        <w:rPr>
          <w:b/>
        </w:rPr>
        <w:t xml:space="preserve"> (Adopted from Example A10)</w:t>
      </w:r>
    </w:p>
    <w:p w14:paraId="11ECCE01" w14:textId="77777777" w:rsidR="00175A75" w:rsidRPr="00AC3295" w:rsidRDefault="00175A75" w:rsidP="00F047FA">
      <w:pPr>
        <w:jc w:val="center"/>
        <w:rPr>
          <w:b/>
        </w:rPr>
      </w:pPr>
    </w:p>
    <w:p w14:paraId="44A7A772" w14:textId="77777777" w:rsidR="00175A75" w:rsidRPr="00AC3295" w:rsidRDefault="00175A75" w:rsidP="00F047FA">
      <w:pPr>
        <w:jc w:val="center"/>
        <w:rPr>
          <w:b/>
        </w:rPr>
        <w:sectPr w:rsidR="00175A75" w:rsidRPr="00AC3295" w:rsidSect="00DC7E14">
          <w:endnotePr>
            <w:numFmt w:val="decimal"/>
          </w:endnotePr>
          <w:type w:val="continuous"/>
          <w:pgSz w:w="12240" w:h="15840"/>
          <w:pgMar w:top="720" w:right="1440" w:bottom="720" w:left="1440" w:header="720" w:footer="720" w:gutter="0"/>
          <w:cols w:space="720"/>
          <w:titlePg/>
          <w:docGrid w:linePitch="360"/>
        </w:sectPr>
      </w:pPr>
    </w:p>
    <w:p w14:paraId="6ECFAB42" w14:textId="77777777" w:rsidR="006F0EBC" w:rsidRPr="00AC3295" w:rsidRDefault="006F0EBC" w:rsidP="007F0D97">
      <w:pPr>
        <w:jc w:val="center"/>
        <w:rPr>
          <w:b/>
        </w:rPr>
      </w:pPr>
    </w:p>
    <w:p w14:paraId="2FEA03EE" w14:textId="363382C3" w:rsidR="00175A75" w:rsidRPr="00AC3295" w:rsidRDefault="00B639CE" w:rsidP="00175A75">
      <w:pPr>
        <w:jc w:val="center"/>
        <w:rPr>
          <w:b/>
        </w:rPr>
      </w:pPr>
      <w:r w:rsidRPr="00AC3295">
        <w:rPr>
          <w:b/>
        </w:rPr>
        <w:t xml:space="preserve">INDEPENDENT </w:t>
      </w:r>
      <w:r w:rsidR="002353D1" w:rsidRPr="00AC3295">
        <w:rPr>
          <w:b/>
        </w:rPr>
        <w:t>AUDITOR’S</w:t>
      </w:r>
      <w:r w:rsidRPr="00AC3295">
        <w:rPr>
          <w:b/>
        </w:rPr>
        <w:t xml:space="preserve"> REPORT</w:t>
      </w:r>
      <w:r w:rsidR="00175A75" w:rsidRPr="00AC3295">
        <w:rPr>
          <w:rStyle w:val="FootnoteReference"/>
          <w:b/>
        </w:rPr>
        <w:footnoteReference w:customMarkFollows="1" w:id="1"/>
        <w:sym w:font="Symbol" w:char="F046"/>
      </w:r>
    </w:p>
    <w:p w14:paraId="3FA58C2A" w14:textId="7AD6D5A2" w:rsidR="007F0D97" w:rsidRPr="00AC3295" w:rsidRDefault="007F0D97" w:rsidP="007F0D97">
      <w:pPr>
        <w:jc w:val="center"/>
        <w:rPr>
          <w:b/>
        </w:rPr>
      </w:pPr>
    </w:p>
    <w:p w14:paraId="4CFF04C5" w14:textId="607EB9E5" w:rsidR="00F8015C" w:rsidRDefault="00F8015C" w:rsidP="00F8015C">
      <w:pPr>
        <w:tabs>
          <w:tab w:val="left" w:pos="0"/>
          <w:tab w:val="left" w:pos="547"/>
          <w:tab w:val="left" w:pos="936"/>
          <w:tab w:val="left" w:pos="1440"/>
          <w:tab w:val="left" w:pos="1987"/>
        </w:tabs>
      </w:pPr>
    </w:p>
    <w:p w14:paraId="5D50985F" w14:textId="27ADC411" w:rsidR="00535150" w:rsidRPr="00AC3295" w:rsidRDefault="00535150" w:rsidP="00F8015C">
      <w:pPr>
        <w:tabs>
          <w:tab w:val="left" w:pos="0"/>
          <w:tab w:val="left" w:pos="547"/>
          <w:tab w:val="left" w:pos="936"/>
          <w:tab w:val="left" w:pos="1440"/>
          <w:tab w:val="left" w:pos="1987"/>
        </w:tabs>
      </w:pPr>
    </w:p>
    <w:p w14:paraId="6E66C76A" w14:textId="70490342" w:rsidR="009A45F0" w:rsidRPr="00DC7E14" w:rsidRDefault="00200B17" w:rsidP="009A45F0">
      <w:pPr>
        <w:tabs>
          <w:tab w:val="left" w:pos="0"/>
          <w:tab w:val="left" w:pos="547"/>
          <w:tab w:val="left" w:pos="936"/>
          <w:tab w:val="left" w:pos="1440"/>
          <w:tab w:val="left" w:pos="1987"/>
        </w:tabs>
        <w:rPr>
          <w:u w:val="single"/>
        </w:rPr>
      </w:pPr>
      <w:r w:rsidRPr="00DC7E14">
        <w:t>[ENTITY NAME]</w:t>
      </w:r>
      <w:r w:rsidR="00622A56" w:rsidRPr="00DC7E14">
        <w:rPr>
          <w:b/>
          <w:noProof/>
          <w:color w:val="FF0000"/>
        </w:rPr>
        <w:t xml:space="preserve"> </w:t>
      </w:r>
    </w:p>
    <w:p w14:paraId="77FD2324" w14:textId="658C58D9" w:rsidR="00F8015C" w:rsidRPr="00DC7E14" w:rsidRDefault="00200B17" w:rsidP="009A45F0">
      <w:pPr>
        <w:tabs>
          <w:tab w:val="left" w:pos="0"/>
          <w:tab w:val="left" w:pos="547"/>
          <w:tab w:val="left" w:pos="936"/>
          <w:tab w:val="left" w:pos="1440"/>
          <w:tab w:val="left" w:pos="1987"/>
        </w:tabs>
      </w:pPr>
      <w:r w:rsidRPr="00DC7E14">
        <w:rPr>
          <w:rStyle w:val="footnoteref"/>
          <w:color w:val="000000"/>
        </w:rPr>
        <w:t>[COUNTY NAME]</w:t>
      </w:r>
    </w:p>
    <w:p w14:paraId="453A232D" w14:textId="77777777" w:rsidR="00F8015C" w:rsidRPr="00DC7E14" w:rsidRDefault="00F8015C" w:rsidP="00F8015C">
      <w:pPr>
        <w:tabs>
          <w:tab w:val="left" w:pos="0"/>
          <w:tab w:val="left" w:pos="547"/>
          <w:tab w:val="left" w:pos="936"/>
          <w:tab w:val="left" w:pos="1440"/>
          <w:tab w:val="left" w:pos="1987"/>
        </w:tabs>
      </w:pPr>
      <w:r w:rsidRPr="00DC7E14">
        <w:t>[STREET ADDRESS]</w:t>
      </w:r>
    </w:p>
    <w:p w14:paraId="62643C01" w14:textId="77777777" w:rsidR="00F8015C" w:rsidRPr="00DC7E14" w:rsidRDefault="00F8015C" w:rsidP="00F8015C">
      <w:pPr>
        <w:tabs>
          <w:tab w:val="left" w:pos="0"/>
          <w:tab w:val="left" w:pos="547"/>
          <w:tab w:val="left" w:pos="936"/>
          <w:tab w:val="left" w:pos="1440"/>
          <w:tab w:val="left" w:pos="1987"/>
        </w:tabs>
      </w:pPr>
      <w:r w:rsidRPr="00DC7E14">
        <w:t>[CITY], Ohio [ZIP CODE]</w:t>
      </w:r>
    </w:p>
    <w:p w14:paraId="3A5ED738" w14:textId="00FBAC0B" w:rsidR="00F8015C" w:rsidRPr="00DC7E14" w:rsidRDefault="00F8015C" w:rsidP="00F8015C">
      <w:pPr>
        <w:tabs>
          <w:tab w:val="left" w:pos="0"/>
          <w:tab w:val="left" w:pos="547"/>
          <w:tab w:val="left" w:pos="936"/>
          <w:tab w:val="left" w:pos="1440"/>
          <w:tab w:val="left" w:pos="1987"/>
        </w:tabs>
      </w:pPr>
    </w:p>
    <w:p w14:paraId="5203DDCA" w14:textId="77777777" w:rsidR="00C945E8" w:rsidRPr="00DC7E14" w:rsidRDefault="00C945E8" w:rsidP="00F8015C">
      <w:pPr>
        <w:tabs>
          <w:tab w:val="left" w:pos="0"/>
          <w:tab w:val="left" w:pos="547"/>
          <w:tab w:val="left" w:pos="936"/>
          <w:tab w:val="left" w:pos="1440"/>
          <w:tab w:val="left" w:pos="1987"/>
        </w:tabs>
      </w:pPr>
    </w:p>
    <w:p w14:paraId="6373458D" w14:textId="77777777" w:rsidR="00F8015C" w:rsidRPr="00DC7E14" w:rsidRDefault="00F8015C" w:rsidP="00F8015C">
      <w:pPr>
        <w:tabs>
          <w:tab w:val="left" w:pos="0"/>
          <w:tab w:val="left" w:pos="547"/>
          <w:tab w:val="left" w:pos="936"/>
          <w:tab w:val="left" w:pos="1440"/>
          <w:tab w:val="left" w:pos="1987"/>
        </w:tabs>
      </w:pPr>
      <w:r w:rsidRPr="00DC7E14">
        <w:t>To the [GOVERNING BODY]:</w:t>
      </w:r>
    </w:p>
    <w:p w14:paraId="584013A1" w14:textId="77777777" w:rsidR="00F8015C" w:rsidRPr="00DC7E14" w:rsidRDefault="00F8015C" w:rsidP="00F8015C">
      <w:pPr>
        <w:tabs>
          <w:tab w:val="left" w:pos="0"/>
          <w:tab w:val="left" w:pos="547"/>
          <w:tab w:val="left" w:pos="936"/>
          <w:tab w:val="left" w:pos="1440"/>
          <w:tab w:val="left" w:pos="1987"/>
        </w:tabs>
      </w:pPr>
    </w:p>
    <w:p w14:paraId="3ABD9C65" w14:textId="77777777" w:rsidR="002353D1" w:rsidRPr="00DC7E14" w:rsidRDefault="002353D1" w:rsidP="00B86188">
      <w:pPr>
        <w:tabs>
          <w:tab w:val="left" w:pos="0"/>
          <w:tab w:val="left" w:pos="547"/>
          <w:tab w:val="left" w:pos="936"/>
          <w:tab w:val="left" w:pos="1440"/>
          <w:tab w:val="left" w:pos="1987"/>
        </w:tabs>
        <w:jc w:val="both"/>
        <w:rPr>
          <w:b/>
          <w:i/>
        </w:rPr>
      </w:pPr>
      <w:r w:rsidRPr="00DC7E14">
        <w:rPr>
          <w:b/>
          <w:i/>
        </w:rPr>
        <w:t>Report on the Financial Statements</w:t>
      </w:r>
    </w:p>
    <w:p w14:paraId="17259C65" w14:textId="77777777" w:rsidR="002353D1" w:rsidRPr="00DC7E14" w:rsidRDefault="002353D1" w:rsidP="00B86188">
      <w:pPr>
        <w:tabs>
          <w:tab w:val="left" w:pos="0"/>
          <w:tab w:val="left" w:pos="547"/>
          <w:tab w:val="left" w:pos="936"/>
          <w:tab w:val="left" w:pos="1440"/>
          <w:tab w:val="left" w:pos="1987"/>
        </w:tabs>
        <w:jc w:val="both"/>
      </w:pPr>
    </w:p>
    <w:p w14:paraId="18ED9008" w14:textId="4741C20A" w:rsidR="007F0D97" w:rsidRPr="00AC3295" w:rsidRDefault="007F0D97" w:rsidP="00B86188">
      <w:pPr>
        <w:tabs>
          <w:tab w:val="left" w:pos="0"/>
          <w:tab w:val="left" w:pos="547"/>
          <w:tab w:val="left" w:pos="936"/>
          <w:tab w:val="left" w:pos="1440"/>
          <w:tab w:val="left" w:pos="1987"/>
        </w:tabs>
        <w:jc w:val="both"/>
      </w:pPr>
      <w:r w:rsidRPr="00DC7E14">
        <w:t>We hav</w:t>
      </w:r>
      <w:r w:rsidR="002353D1" w:rsidRPr="00DC7E14">
        <w:t xml:space="preserve">e audited the accompanying </w:t>
      </w:r>
      <w:r w:rsidRPr="00DC7E14">
        <w:t xml:space="preserve">financial statements </w:t>
      </w:r>
      <w:r w:rsidR="00A029CC" w:rsidRPr="00DC7E14">
        <w:t xml:space="preserve">of </w:t>
      </w:r>
      <w:r w:rsidR="00A36DD8" w:rsidRPr="00DC7E14">
        <w:t xml:space="preserve">the governmental </w:t>
      </w:r>
      <w:r w:rsidR="004159F5" w:rsidRPr="00DC7E14">
        <w:t>activities, the</w:t>
      </w:r>
      <w:r w:rsidR="00A36DD8" w:rsidRPr="00DC7E14">
        <w:t xml:space="preserve"> </w:t>
      </w:r>
      <w:r w:rsidR="00A36DD8" w:rsidRPr="00DC7E14">
        <w:rPr>
          <w:b/>
        </w:rPr>
        <w:t>[aggregate]</w:t>
      </w:r>
      <w:r w:rsidR="00A36DD8" w:rsidRPr="00DC7E14">
        <w:t xml:space="preserve"> discretely presented component unit</w:t>
      </w:r>
      <w:r w:rsidR="00A36DD8" w:rsidRPr="00DC7E14">
        <w:rPr>
          <w:b/>
        </w:rPr>
        <w:t>(s)</w:t>
      </w:r>
      <w:r w:rsidR="00A36DD8" w:rsidRPr="00DC7E14">
        <w:t>, each major fund, and the aggregate remaining fund information</w:t>
      </w:r>
      <w:r w:rsidR="006616B3" w:rsidRPr="00DC7E14">
        <w:rPr>
          <w:rStyle w:val="EndnoteReference"/>
        </w:rPr>
        <w:endnoteReference w:id="1"/>
      </w:r>
      <w:r w:rsidR="00A36DD8" w:rsidRPr="00DC7E14">
        <w:t xml:space="preserve"> </w:t>
      </w:r>
      <w:r w:rsidR="009A45F0" w:rsidRPr="00DC7E14">
        <w:t>of</w:t>
      </w:r>
      <w:r w:rsidR="00567A07" w:rsidRPr="00DC7E14">
        <w:t xml:space="preserve"> the </w:t>
      </w:r>
      <w:r w:rsidR="00200B17" w:rsidRPr="00DC7E14">
        <w:t>[ENTITY NAME]</w:t>
      </w:r>
      <w:r w:rsidR="009A45F0" w:rsidRPr="00DC7E14">
        <w:rPr>
          <w:rStyle w:val="footnoteref"/>
          <w:color w:val="000000"/>
        </w:rPr>
        <w:t xml:space="preserve">, </w:t>
      </w:r>
      <w:r w:rsidR="00200B17" w:rsidRPr="00DC7E14">
        <w:rPr>
          <w:rStyle w:val="footnoteref"/>
          <w:color w:val="000000"/>
        </w:rPr>
        <w:t>[COUNTY NAME]</w:t>
      </w:r>
      <w:r w:rsidR="00A029CC" w:rsidRPr="00DC7E14">
        <w:rPr>
          <w:rStyle w:val="footnoteref"/>
          <w:color w:val="000000"/>
        </w:rPr>
        <w:t>, Ohio</w:t>
      </w:r>
      <w:r w:rsidR="00692297" w:rsidRPr="00DC7E14">
        <w:rPr>
          <w:rStyle w:val="EndnoteReference"/>
          <w:color w:val="000000"/>
        </w:rPr>
        <w:endnoteReference w:id="2"/>
      </w:r>
      <w:r w:rsidR="008D4188" w:rsidRPr="00DC7E14">
        <w:t xml:space="preserve"> (the </w:t>
      </w:r>
      <w:r w:rsidR="00200B17" w:rsidRPr="00DC7E14">
        <w:t>Entity</w:t>
      </w:r>
      <w:r w:rsidR="009A45F0" w:rsidRPr="00AC3295">
        <w:t xml:space="preserve">), as of and for the </w:t>
      </w:r>
      <w:r w:rsidR="00567A07" w:rsidRPr="00AC3295">
        <w:t>year</w:t>
      </w:r>
      <w:r w:rsidR="009A45F0" w:rsidRPr="00AC3295">
        <w:t xml:space="preserve"> </w:t>
      </w:r>
      <w:r w:rsidR="009A45F0" w:rsidRPr="00DC7E14">
        <w:t xml:space="preserve">ended </w:t>
      </w:r>
      <w:r w:rsidR="00200B17" w:rsidRPr="00DC7E14">
        <w:t>[FYE DATE]</w:t>
      </w:r>
      <w:r w:rsidRPr="00DC7E14">
        <w:t>,</w:t>
      </w:r>
      <w:r w:rsidR="002353D1" w:rsidRPr="00AC3295">
        <w:t xml:space="preserve"> and the related notes to the financial statements</w:t>
      </w:r>
      <w:r w:rsidR="00926100" w:rsidRPr="00AC3295">
        <w:t xml:space="preserve">. </w:t>
      </w:r>
      <w:r w:rsidR="00926100" w:rsidRPr="00AC3295">
        <w:rPr>
          <w:highlight w:val="yellow"/>
        </w:rPr>
        <w:t>We were engaged to audit the financial statements of the business-type activities.</w:t>
      </w:r>
      <w:r w:rsidR="00926100" w:rsidRPr="00AC3295">
        <w:t xml:space="preserve"> These financial </w:t>
      </w:r>
      <w:r w:rsidR="004159F5" w:rsidRPr="00AC3295">
        <w:t>statements collectively</w:t>
      </w:r>
      <w:r w:rsidR="002353D1" w:rsidRPr="00AC3295">
        <w:t xml:space="preserve"> comprise </w:t>
      </w:r>
      <w:r w:rsidR="002353D1" w:rsidRPr="00DC7E14">
        <w:t xml:space="preserve">the </w:t>
      </w:r>
      <w:r w:rsidR="00200B17" w:rsidRPr="00DC7E14">
        <w:t>Entity</w:t>
      </w:r>
      <w:r w:rsidR="00175A75" w:rsidRPr="00DC7E14">
        <w:t>’s</w:t>
      </w:r>
      <w:r w:rsidR="00175A75" w:rsidRPr="00AC3295">
        <w:t xml:space="preserve"> basic financial </w:t>
      </w:r>
      <w:r w:rsidR="002353D1" w:rsidRPr="00AC3295">
        <w:t>statements as listed in the table of contents.</w:t>
      </w:r>
      <w:r w:rsidRPr="00AC3295">
        <w:t xml:space="preserve">  </w:t>
      </w:r>
    </w:p>
    <w:p w14:paraId="6CBB455E" w14:textId="77777777" w:rsidR="00284EF1" w:rsidRPr="00AC3295" w:rsidRDefault="00284EF1" w:rsidP="00B86188">
      <w:pPr>
        <w:tabs>
          <w:tab w:val="left" w:pos="0"/>
          <w:tab w:val="left" w:pos="547"/>
          <w:tab w:val="left" w:pos="936"/>
          <w:tab w:val="left" w:pos="1440"/>
          <w:tab w:val="left" w:pos="1987"/>
        </w:tabs>
        <w:jc w:val="both"/>
      </w:pPr>
    </w:p>
    <w:p w14:paraId="67610568" w14:textId="77777777" w:rsidR="00DD29E3" w:rsidRPr="00AC3295" w:rsidRDefault="00DD29E3" w:rsidP="00B86188">
      <w:pPr>
        <w:tabs>
          <w:tab w:val="left" w:pos="0"/>
          <w:tab w:val="left" w:pos="547"/>
          <w:tab w:val="left" w:pos="936"/>
          <w:tab w:val="left" w:pos="1440"/>
          <w:tab w:val="left" w:pos="1987"/>
        </w:tabs>
        <w:jc w:val="both"/>
        <w:rPr>
          <w:b/>
          <w:i/>
        </w:rPr>
      </w:pPr>
      <w:r w:rsidRPr="00AC3295">
        <w:rPr>
          <w:b/>
          <w:i/>
        </w:rPr>
        <w:t>Management’s Responsibility for the Financial Statements</w:t>
      </w:r>
    </w:p>
    <w:p w14:paraId="1019541B" w14:textId="77777777" w:rsidR="00DD29E3" w:rsidRPr="00AC3295" w:rsidRDefault="00DD29E3" w:rsidP="00B86188">
      <w:pPr>
        <w:tabs>
          <w:tab w:val="left" w:pos="0"/>
          <w:tab w:val="left" w:pos="547"/>
          <w:tab w:val="left" w:pos="936"/>
          <w:tab w:val="left" w:pos="1440"/>
          <w:tab w:val="left" w:pos="1987"/>
        </w:tabs>
        <w:jc w:val="both"/>
      </w:pPr>
    </w:p>
    <w:p w14:paraId="36BC43CF" w14:textId="77777777" w:rsidR="0055474E" w:rsidRPr="00AC3295" w:rsidRDefault="0055474E" w:rsidP="00B86188">
      <w:pPr>
        <w:tabs>
          <w:tab w:val="left" w:pos="0"/>
          <w:tab w:val="left" w:pos="547"/>
          <w:tab w:val="left" w:pos="936"/>
          <w:tab w:val="left" w:pos="1440"/>
          <w:tab w:val="left" w:pos="1987"/>
        </w:tabs>
        <w:jc w:val="both"/>
      </w:pPr>
      <w:r w:rsidRPr="00AC3295">
        <w:t>Management is responsible for preparing and fairly presenting these financial statements in accordance with accounting principles generally accepted in the United States of America; this includes designing, implementing, and maintaining internal control relevant to preparing and fairly presenting financial statements that are free from material misstatement, whether due to fraud or error.</w:t>
      </w:r>
    </w:p>
    <w:p w14:paraId="6F823849" w14:textId="77777777" w:rsidR="0055474E" w:rsidRPr="00AC3295" w:rsidRDefault="0055474E" w:rsidP="00B86188">
      <w:pPr>
        <w:tabs>
          <w:tab w:val="left" w:pos="0"/>
          <w:tab w:val="left" w:pos="547"/>
          <w:tab w:val="left" w:pos="936"/>
          <w:tab w:val="left" w:pos="1440"/>
          <w:tab w:val="left" w:pos="1987"/>
        </w:tabs>
        <w:jc w:val="both"/>
      </w:pPr>
    </w:p>
    <w:p w14:paraId="71B62B6C" w14:textId="77777777" w:rsidR="0055474E" w:rsidRPr="00AC3295" w:rsidRDefault="0055474E" w:rsidP="00B86188">
      <w:pPr>
        <w:tabs>
          <w:tab w:val="left" w:pos="0"/>
          <w:tab w:val="left" w:pos="547"/>
          <w:tab w:val="left" w:pos="936"/>
          <w:tab w:val="left" w:pos="1440"/>
          <w:tab w:val="left" w:pos="1987"/>
        </w:tabs>
        <w:jc w:val="both"/>
        <w:rPr>
          <w:b/>
          <w:i/>
        </w:rPr>
      </w:pPr>
      <w:r w:rsidRPr="00AC3295">
        <w:rPr>
          <w:b/>
          <w:i/>
        </w:rPr>
        <w:t>Auditor's Responsibility</w:t>
      </w:r>
    </w:p>
    <w:p w14:paraId="74ACC571" w14:textId="77777777" w:rsidR="0055474E" w:rsidRPr="00AC3295" w:rsidRDefault="0055474E" w:rsidP="00B86188">
      <w:pPr>
        <w:tabs>
          <w:tab w:val="left" w:pos="0"/>
          <w:tab w:val="left" w:pos="547"/>
          <w:tab w:val="left" w:pos="936"/>
          <w:tab w:val="left" w:pos="1440"/>
          <w:tab w:val="left" w:pos="1987"/>
        </w:tabs>
        <w:jc w:val="both"/>
      </w:pPr>
    </w:p>
    <w:p w14:paraId="231F7FF5" w14:textId="77777777" w:rsidR="00906C1E" w:rsidRPr="00AC3295" w:rsidRDefault="0055474E" w:rsidP="00906C1E">
      <w:pPr>
        <w:jc w:val="both"/>
      </w:pPr>
      <w:r w:rsidRPr="00AC3295">
        <w:t xml:space="preserve">Our responsibility is to </w:t>
      </w:r>
      <w:r w:rsidR="0002103E" w:rsidRPr="00AC3295">
        <w:t>opine</w:t>
      </w:r>
      <w:r w:rsidRPr="00AC3295">
        <w:t xml:space="preserve"> on these financial statements based on our audit.  We audit</w:t>
      </w:r>
      <w:r w:rsidR="00901A03" w:rsidRPr="00AC3295">
        <w:t>ed</w:t>
      </w:r>
      <w:r w:rsidRPr="00AC3295">
        <w:t xml:space="preserve"> in accordance with auditing standards generally accepted </w:t>
      </w:r>
      <w:r w:rsidR="00A029CC" w:rsidRPr="00AC3295">
        <w:t xml:space="preserve">in the United States of America and the financial audit standards in the Comptroller General of the United States’ </w:t>
      </w:r>
      <w:r w:rsidR="00A029CC" w:rsidRPr="00AC3295">
        <w:rPr>
          <w:i/>
        </w:rPr>
        <w:t>Government Auditing Standards</w:t>
      </w:r>
      <w:r w:rsidR="00A029CC" w:rsidRPr="00AC3295">
        <w:t>.</w:t>
      </w:r>
      <w:r w:rsidRPr="00AC3295">
        <w:t xml:space="preserve">  Those standards require </w:t>
      </w:r>
      <w:r w:rsidR="002938B4" w:rsidRPr="00AC3295">
        <w:t>us to</w:t>
      </w:r>
      <w:r w:rsidRPr="00AC3295">
        <w:t xml:space="preserve"> plan and perform the audit to </w:t>
      </w:r>
      <w:r w:rsidR="00901A03" w:rsidRPr="00AC3295">
        <w:t>reasonably assure</w:t>
      </w:r>
      <w:r w:rsidRPr="00AC3295">
        <w:t xml:space="preserve"> the financial statements are free from material misstatement.</w:t>
      </w:r>
      <w:r w:rsidR="00926100" w:rsidRPr="00AC3295">
        <w:t xml:space="preserve"> </w:t>
      </w:r>
      <w:r w:rsidR="00926100" w:rsidRPr="00AC3295">
        <w:rPr>
          <w:highlight w:val="yellow"/>
        </w:rPr>
        <w:t xml:space="preserve">Because of the matter described in the </w:t>
      </w:r>
      <w:r w:rsidR="00926100" w:rsidRPr="00AC3295">
        <w:rPr>
          <w:i/>
          <w:highlight w:val="yellow"/>
        </w:rPr>
        <w:t>Basis for Disclaimer of Opinion</w:t>
      </w:r>
      <w:r w:rsidR="00926100" w:rsidRPr="00AC3295">
        <w:rPr>
          <w:highlight w:val="yellow"/>
        </w:rPr>
        <w:t xml:space="preserve"> paragraph however, we were unable to obtain sufficient appropriate audit evidence to opine on the Sanitation Enterprise Fund.</w:t>
      </w:r>
      <w:r w:rsidR="00906C1E" w:rsidRPr="00AC3295">
        <w:rPr>
          <w:vertAlign w:val="superscript"/>
        </w:rPr>
        <w:t xml:space="preserve"> </w:t>
      </w:r>
    </w:p>
    <w:p w14:paraId="3EAB6E1D" w14:textId="77777777" w:rsidR="00554B28" w:rsidRPr="00AC3295" w:rsidRDefault="00554B28" w:rsidP="00B86188">
      <w:pPr>
        <w:tabs>
          <w:tab w:val="left" w:pos="0"/>
          <w:tab w:val="left" w:pos="547"/>
          <w:tab w:val="left" w:pos="936"/>
          <w:tab w:val="left" w:pos="1440"/>
          <w:tab w:val="left" w:pos="1987"/>
        </w:tabs>
        <w:jc w:val="both"/>
      </w:pPr>
    </w:p>
    <w:p w14:paraId="67A87537" w14:textId="503A227B" w:rsidR="0055474E" w:rsidRPr="00AC3295" w:rsidRDefault="0055474E" w:rsidP="00B86188">
      <w:pPr>
        <w:tabs>
          <w:tab w:val="left" w:pos="0"/>
          <w:tab w:val="left" w:pos="547"/>
          <w:tab w:val="left" w:pos="936"/>
          <w:tab w:val="left" w:pos="1440"/>
          <w:tab w:val="left" w:pos="1987"/>
        </w:tabs>
        <w:jc w:val="both"/>
      </w:pPr>
      <w:r w:rsidRPr="00AC3295">
        <w:t xml:space="preserve">An audit </w:t>
      </w:r>
      <w:r w:rsidR="00B456DA" w:rsidRPr="00AC3295">
        <w:t xml:space="preserve">requires obtaining </w:t>
      </w:r>
      <w:r w:rsidRPr="00AC3295">
        <w:t>evidence about</w:t>
      </w:r>
      <w:r w:rsidR="00B456DA" w:rsidRPr="00AC3295">
        <w:t xml:space="preserve"> financial statement amounts and disclosures</w:t>
      </w:r>
      <w:r w:rsidRPr="00AC3295">
        <w:t xml:space="preserve">.  The procedures </w:t>
      </w:r>
      <w:r w:rsidR="0039779D" w:rsidRPr="00AC3295">
        <w:t>selected depend on our</w:t>
      </w:r>
      <w:r w:rsidRPr="00AC3295">
        <w:t xml:space="preserve"> judgment, including assess</w:t>
      </w:r>
      <w:r w:rsidR="00EA354E" w:rsidRPr="00AC3295">
        <w:t>ing</w:t>
      </w:r>
      <w:r w:rsidRPr="00AC3295">
        <w:t xml:space="preserve"> the</w:t>
      </w:r>
      <w:r w:rsidR="0002103E" w:rsidRPr="00AC3295">
        <w:t xml:space="preserve"> </w:t>
      </w:r>
      <w:r w:rsidRPr="00AC3295">
        <w:t xml:space="preserve">risks of material </w:t>
      </w:r>
      <w:r w:rsidR="00EA354E" w:rsidRPr="00AC3295">
        <w:t xml:space="preserve">financial statement </w:t>
      </w:r>
      <w:r w:rsidRPr="00DC7E14">
        <w:t>misstatement, whether due to fraud or error.  In</w:t>
      </w:r>
      <w:r w:rsidR="0039779D" w:rsidRPr="00DC7E14">
        <w:t xml:space="preserve"> </w:t>
      </w:r>
      <w:r w:rsidR="00EA354E" w:rsidRPr="00DC7E14">
        <w:t xml:space="preserve">assessing </w:t>
      </w:r>
      <w:r w:rsidR="0039779D" w:rsidRPr="00DC7E14">
        <w:t>those risks, we consider</w:t>
      </w:r>
      <w:r w:rsidRPr="00DC7E14">
        <w:t xml:space="preserve"> interna</w:t>
      </w:r>
      <w:r w:rsidR="0039779D" w:rsidRPr="00DC7E14">
        <w:t xml:space="preserve">l control relevant to the </w:t>
      </w:r>
      <w:r w:rsidR="00200B17" w:rsidRPr="00DC7E14">
        <w:t>Entity</w:t>
      </w:r>
      <w:r w:rsidRPr="00DC7E14">
        <w:t>’s preparation and fair presentation of the financial statements in order to design audit procedures</w:t>
      </w:r>
      <w:r w:rsidR="00A60113" w:rsidRPr="00DC7E14">
        <w:t xml:space="preserve"> that are appropriate in the circumstances</w:t>
      </w:r>
      <w:r w:rsidRPr="00DC7E14">
        <w:t xml:space="preserve">, but not </w:t>
      </w:r>
      <w:r w:rsidR="0039779D" w:rsidRPr="00DC7E14">
        <w:t xml:space="preserve">to the extent needed to opine </w:t>
      </w:r>
      <w:r w:rsidR="00181C14" w:rsidRPr="00DC7E14">
        <w:t xml:space="preserve">on the effectiveness of the </w:t>
      </w:r>
      <w:r w:rsidR="00200B17" w:rsidRPr="00DC7E14">
        <w:t>Entity</w:t>
      </w:r>
      <w:r w:rsidRPr="00DC7E14">
        <w:t>’s</w:t>
      </w:r>
      <w:r w:rsidRPr="00AC3295">
        <w:t xml:space="preserve"> internal control.  Accordingly, we express no such opinion.  An audit also includes evaluating the </w:t>
      </w:r>
      <w:r w:rsidR="00BD2956" w:rsidRPr="00AC3295">
        <w:t xml:space="preserve">appropriateness of </w:t>
      </w:r>
      <w:r w:rsidR="0039779D" w:rsidRPr="00AC3295">
        <w:t xml:space="preserve">management’s </w:t>
      </w:r>
      <w:r w:rsidR="00BD2956" w:rsidRPr="00AC3295">
        <w:t xml:space="preserve">accounting policies and the reasonableness of </w:t>
      </w:r>
      <w:r w:rsidR="0039779D" w:rsidRPr="00AC3295">
        <w:t xml:space="preserve">their </w:t>
      </w:r>
      <w:r w:rsidR="00BD2956" w:rsidRPr="00AC3295">
        <w:t>significant accounting estimates</w:t>
      </w:r>
      <w:r w:rsidR="0039779D" w:rsidRPr="00AC3295">
        <w:t>,</w:t>
      </w:r>
      <w:r w:rsidR="00BD2956" w:rsidRPr="00AC3295">
        <w:t xml:space="preserve"> as well as </w:t>
      </w:r>
      <w:r w:rsidR="0039779D" w:rsidRPr="00AC3295">
        <w:t>our evaluation of</w:t>
      </w:r>
      <w:r w:rsidR="00BD2956" w:rsidRPr="00AC3295">
        <w:t xml:space="preserve"> </w:t>
      </w:r>
      <w:r w:rsidR="00743CC4" w:rsidRPr="00AC3295">
        <w:t xml:space="preserve">the </w:t>
      </w:r>
      <w:r w:rsidR="00BD2956" w:rsidRPr="00AC3295">
        <w:t xml:space="preserve">overall </w:t>
      </w:r>
      <w:r w:rsidR="0039779D" w:rsidRPr="00AC3295">
        <w:t>financial statement presentation</w:t>
      </w:r>
      <w:r w:rsidR="00BD2956" w:rsidRPr="00AC3295">
        <w:t>.</w:t>
      </w:r>
    </w:p>
    <w:p w14:paraId="44A5ADF3" w14:textId="77777777" w:rsidR="00BD2956" w:rsidRPr="00AC3295" w:rsidRDefault="00BD2956" w:rsidP="00B86188">
      <w:pPr>
        <w:tabs>
          <w:tab w:val="left" w:pos="0"/>
          <w:tab w:val="left" w:pos="547"/>
          <w:tab w:val="left" w:pos="936"/>
          <w:tab w:val="left" w:pos="1440"/>
          <w:tab w:val="left" w:pos="1987"/>
        </w:tabs>
        <w:jc w:val="both"/>
      </w:pPr>
    </w:p>
    <w:p w14:paraId="230F1D7E" w14:textId="77777777" w:rsidR="00BD4A52" w:rsidRPr="00AC3295" w:rsidRDefault="00926100" w:rsidP="00B86188">
      <w:pPr>
        <w:tabs>
          <w:tab w:val="left" w:pos="0"/>
          <w:tab w:val="left" w:pos="547"/>
          <w:tab w:val="left" w:pos="936"/>
          <w:tab w:val="left" w:pos="1440"/>
          <w:tab w:val="left" w:pos="1987"/>
        </w:tabs>
        <w:jc w:val="both"/>
      </w:pPr>
      <w:r w:rsidRPr="00AC3295">
        <w:rPr>
          <w:highlight w:val="yellow"/>
        </w:rPr>
        <w:t xml:space="preserve">Except for the matter described in the </w:t>
      </w:r>
      <w:r w:rsidRPr="00AC3295">
        <w:rPr>
          <w:i/>
          <w:highlight w:val="yellow"/>
        </w:rPr>
        <w:t>Basis for Disclaimer of Opinion</w:t>
      </w:r>
      <w:r w:rsidRPr="00AC3295">
        <w:rPr>
          <w:highlight w:val="yellow"/>
        </w:rPr>
        <w:t xml:space="preserve"> paragraph</w:t>
      </w:r>
      <w:r w:rsidRPr="00AC3295">
        <w:t>, w</w:t>
      </w:r>
      <w:r w:rsidR="00181C14" w:rsidRPr="00AC3295">
        <w:t>e believe the audit evidence we</w:t>
      </w:r>
      <w:r w:rsidR="00BD2956" w:rsidRPr="00AC3295">
        <w:t xml:space="preserve"> obtained is sufficient and appropriate to </w:t>
      </w:r>
      <w:r w:rsidR="0039779D" w:rsidRPr="00AC3295">
        <w:t>support</w:t>
      </w:r>
      <w:r w:rsidR="00BD4A52" w:rsidRPr="00AC3295">
        <w:t xml:space="preserve"> our </w:t>
      </w:r>
      <w:r w:rsidR="002938B4" w:rsidRPr="00AC3295">
        <w:t xml:space="preserve">audit </w:t>
      </w:r>
      <w:r w:rsidR="00BD4A52" w:rsidRPr="00AC3295">
        <w:t>opinions.</w:t>
      </w:r>
    </w:p>
    <w:p w14:paraId="15EB38ED" w14:textId="77777777" w:rsidR="00BD4A52" w:rsidRPr="00AC3295" w:rsidRDefault="00BD4A52" w:rsidP="00B86188">
      <w:pPr>
        <w:tabs>
          <w:tab w:val="left" w:pos="0"/>
          <w:tab w:val="left" w:pos="547"/>
          <w:tab w:val="left" w:pos="936"/>
          <w:tab w:val="left" w:pos="1440"/>
          <w:tab w:val="left" w:pos="1987"/>
        </w:tabs>
        <w:jc w:val="both"/>
      </w:pPr>
    </w:p>
    <w:p w14:paraId="4C6FCE33" w14:textId="77777777" w:rsidR="00BD4A52" w:rsidRPr="00AC3295" w:rsidRDefault="00BD4A52" w:rsidP="00B86188">
      <w:pPr>
        <w:tabs>
          <w:tab w:val="left" w:pos="0"/>
          <w:tab w:val="left" w:pos="547"/>
          <w:tab w:val="left" w:pos="936"/>
          <w:tab w:val="left" w:pos="1440"/>
          <w:tab w:val="left" w:pos="1987"/>
        </w:tabs>
        <w:jc w:val="both"/>
        <w:rPr>
          <w:b/>
          <w:i/>
        </w:rPr>
      </w:pPr>
      <w:r w:rsidRPr="00AC3295">
        <w:rPr>
          <w:b/>
          <w:i/>
        </w:rPr>
        <w:t>Summary of Opinions</w:t>
      </w:r>
    </w:p>
    <w:p w14:paraId="78465B1B" w14:textId="77777777" w:rsidR="00BA6C4C" w:rsidRPr="00AC3295" w:rsidRDefault="00BA6C4C" w:rsidP="00B86188">
      <w:pPr>
        <w:tabs>
          <w:tab w:val="left" w:pos="0"/>
          <w:tab w:val="left" w:pos="547"/>
          <w:tab w:val="left" w:pos="936"/>
          <w:tab w:val="left" w:pos="1440"/>
          <w:tab w:val="left" w:pos="1987"/>
        </w:tabs>
        <w:jc w:val="both"/>
        <w:rPr>
          <w:b/>
          <w:i/>
        </w:rPr>
      </w:pPr>
    </w:p>
    <w:p w14:paraId="3E22202E" w14:textId="04D268F0" w:rsidR="002938B4" w:rsidRPr="00AC3295" w:rsidRDefault="00182A9B" w:rsidP="00182A9B">
      <w:pPr>
        <w:tabs>
          <w:tab w:val="left" w:pos="0"/>
          <w:tab w:val="left" w:pos="547"/>
          <w:tab w:val="left" w:pos="936"/>
          <w:tab w:val="left" w:pos="1440"/>
          <w:tab w:val="left" w:pos="1987"/>
        </w:tabs>
        <w:jc w:val="center"/>
      </w:pPr>
      <w:r>
        <w:rPr>
          <w:noProof/>
        </w:rPr>
        <mc:AlternateContent>
          <mc:Choice Requires="wpc">
            <w:drawing>
              <wp:inline distT="0" distB="0" distL="0" distR="0" wp14:anchorId="17106DCC" wp14:editId="6C50DDD5">
                <wp:extent cx="4227830" cy="2464435"/>
                <wp:effectExtent l="0" t="0" r="1270" b="0"/>
                <wp:docPr id="235" name="Canvas 2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4" name="Rectangle 123"/>
                        <wps:cNvSpPr>
                          <a:spLocks noChangeArrowheads="1"/>
                        </wps:cNvSpPr>
                        <wps:spPr bwMode="auto">
                          <a:xfrm>
                            <a:off x="29845" y="424536"/>
                            <a:ext cx="1200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4A3C1" w14:textId="77777777" w:rsidR="00182A9B" w:rsidRDefault="00182A9B" w:rsidP="00182A9B">
                              <w:r>
                                <w:rPr>
                                  <w:color w:val="000000"/>
                                  <w:sz w:val="18"/>
                                  <w:szCs w:val="18"/>
                                </w:rPr>
                                <w:t>Governmental Activities</w:t>
                              </w:r>
                            </w:p>
                          </w:txbxContent>
                        </wps:txbx>
                        <wps:bodyPr rot="0" vert="horz" wrap="none" lIns="0" tIns="0" rIns="0" bIns="0" anchor="t" anchorCtr="0">
                          <a:spAutoFit/>
                        </wps:bodyPr>
                      </wps:wsp>
                      <wps:wsp>
                        <wps:cNvPr id="215" name="Rectangle 124"/>
                        <wps:cNvSpPr>
                          <a:spLocks noChangeArrowheads="1"/>
                        </wps:cNvSpPr>
                        <wps:spPr bwMode="auto">
                          <a:xfrm>
                            <a:off x="3104515" y="424536"/>
                            <a:ext cx="451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AEF51" w14:textId="77777777" w:rsidR="00182A9B" w:rsidRDefault="00182A9B" w:rsidP="00182A9B">
                              <w:r>
                                <w:rPr>
                                  <w:color w:val="000000"/>
                                  <w:sz w:val="18"/>
                                  <w:szCs w:val="18"/>
                                </w:rPr>
                                <w:t>Qualified</w:t>
                              </w:r>
                            </w:p>
                          </w:txbxContent>
                        </wps:txbx>
                        <wps:bodyPr rot="0" vert="horz" wrap="none" lIns="0" tIns="0" rIns="0" bIns="0" anchor="t" anchorCtr="0">
                          <a:spAutoFit/>
                        </wps:bodyPr>
                      </wps:wsp>
                      <wps:wsp>
                        <wps:cNvPr id="216" name="Rectangle 125"/>
                        <wps:cNvSpPr>
                          <a:spLocks noChangeArrowheads="1"/>
                        </wps:cNvSpPr>
                        <wps:spPr bwMode="auto">
                          <a:xfrm>
                            <a:off x="29845" y="637261"/>
                            <a:ext cx="1238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BC5DA" w14:textId="77777777" w:rsidR="00182A9B" w:rsidRDefault="00182A9B" w:rsidP="00182A9B">
                              <w:r>
                                <w:rPr>
                                  <w:color w:val="000000"/>
                                  <w:sz w:val="18"/>
                                  <w:szCs w:val="18"/>
                                </w:rPr>
                                <w:t>Business-Type Activities</w:t>
                              </w:r>
                            </w:p>
                          </w:txbxContent>
                        </wps:txbx>
                        <wps:bodyPr rot="0" vert="horz" wrap="none" lIns="0" tIns="0" rIns="0" bIns="0" anchor="t" anchorCtr="0">
                          <a:spAutoFit/>
                        </wps:bodyPr>
                      </wps:wsp>
                      <wps:wsp>
                        <wps:cNvPr id="218" name="Rectangle 126"/>
                        <wps:cNvSpPr>
                          <a:spLocks noChangeArrowheads="1"/>
                        </wps:cNvSpPr>
                        <wps:spPr bwMode="auto">
                          <a:xfrm>
                            <a:off x="3104515" y="637261"/>
                            <a:ext cx="451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2045A" w14:textId="77777777" w:rsidR="00182A9B" w:rsidRDefault="00182A9B" w:rsidP="00182A9B">
                              <w:r>
                                <w:rPr>
                                  <w:color w:val="000000"/>
                                  <w:sz w:val="18"/>
                                  <w:szCs w:val="18"/>
                                </w:rPr>
                                <w:t>Qualified</w:t>
                              </w:r>
                            </w:p>
                          </w:txbxContent>
                        </wps:txbx>
                        <wps:bodyPr rot="0" vert="horz" wrap="none" lIns="0" tIns="0" rIns="0" bIns="0" anchor="t" anchorCtr="0">
                          <a:spAutoFit/>
                        </wps:bodyPr>
                      </wps:wsp>
                      <wps:wsp>
                        <wps:cNvPr id="219" name="Rectangle 127"/>
                        <wps:cNvSpPr>
                          <a:spLocks noChangeArrowheads="1"/>
                        </wps:cNvSpPr>
                        <wps:spPr bwMode="auto">
                          <a:xfrm>
                            <a:off x="29845" y="849351"/>
                            <a:ext cx="25292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DC777" w14:textId="77777777" w:rsidR="00182A9B" w:rsidRDefault="00182A9B" w:rsidP="00182A9B">
                              <w:r>
                                <w:rPr>
                                  <w:color w:val="000000"/>
                                  <w:sz w:val="18"/>
                                  <w:szCs w:val="18"/>
                                </w:rPr>
                                <w:t>Aggregate Discretely Presented Component Units</w:t>
                              </w:r>
                            </w:p>
                          </w:txbxContent>
                        </wps:txbx>
                        <wps:bodyPr rot="0" vert="horz" wrap="none" lIns="0" tIns="0" rIns="0" bIns="0" anchor="t" anchorCtr="0">
                          <a:spAutoFit/>
                        </wps:bodyPr>
                      </wps:wsp>
                      <wps:wsp>
                        <wps:cNvPr id="220" name="Rectangle 128"/>
                        <wps:cNvSpPr>
                          <a:spLocks noChangeArrowheads="1"/>
                        </wps:cNvSpPr>
                        <wps:spPr bwMode="auto">
                          <a:xfrm>
                            <a:off x="3104515" y="849351"/>
                            <a:ext cx="578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9E0BF" w14:textId="77777777" w:rsidR="00182A9B" w:rsidRDefault="00182A9B" w:rsidP="00182A9B">
                              <w:r>
                                <w:rPr>
                                  <w:color w:val="000000"/>
                                  <w:sz w:val="18"/>
                                  <w:szCs w:val="18"/>
                                </w:rPr>
                                <w:t>Unmodified</w:t>
                              </w:r>
                            </w:p>
                          </w:txbxContent>
                        </wps:txbx>
                        <wps:bodyPr rot="0" vert="horz" wrap="none" lIns="0" tIns="0" rIns="0" bIns="0" anchor="t" anchorCtr="0">
                          <a:spAutoFit/>
                        </wps:bodyPr>
                      </wps:wsp>
                      <wps:wsp>
                        <wps:cNvPr id="221" name="Rectangle 129"/>
                        <wps:cNvSpPr>
                          <a:spLocks noChangeArrowheads="1"/>
                        </wps:cNvSpPr>
                        <wps:spPr bwMode="auto">
                          <a:xfrm>
                            <a:off x="29845" y="1062076"/>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FC1ED" w14:textId="77777777" w:rsidR="00182A9B" w:rsidRDefault="00182A9B" w:rsidP="00182A9B">
                              <w:r>
                                <w:rPr>
                                  <w:color w:val="000000"/>
                                  <w:sz w:val="18"/>
                                  <w:szCs w:val="18"/>
                                </w:rPr>
                                <w:t>General Fund</w:t>
                              </w:r>
                            </w:p>
                          </w:txbxContent>
                        </wps:txbx>
                        <wps:bodyPr rot="0" vert="horz" wrap="none" lIns="0" tIns="0" rIns="0" bIns="0" anchor="t" anchorCtr="0">
                          <a:spAutoFit/>
                        </wps:bodyPr>
                      </wps:wsp>
                      <wps:wsp>
                        <wps:cNvPr id="222" name="Rectangle 130"/>
                        <wps:cNvSpPr>
                          <a:spLocks noChangeArrowheads="1"/>
                        </wps:cNvSpPr>
                        <wps:spPr bwMode="auto">
                          <a:xfrm>
                            <a:off x="3104515" y="1062076"/>
                            <a:ext cx="578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F5FF6" w14:textId="77777777" w:rsidR="00182A9B" w:rsidRDefault="00182A9B" w:rsidP="00182A9B">
                              <w:r>
                                <w:rPr>
                                  <w:color w:val="000000"/>
                                  <w:sz w:val="18"/>
                                  <w:szCs w:val="18"/>
                                </w:rPr>
                                <w:t>Unmodified</w:t>
                              </w:r>
                            </w:p>
                          </w:txbxContent>
                        </wps:txbx>
                        <wps:bodyPr rot="0" vert="horz" wrap="none" lIns="0" tIns="0" rIns="0" bIns="0" anchor="t" anchorCtr="0">
                          <a:spAutoFit/>
                        </wps:bodyPr>
                      </wps:wsp>
                      <wps:wsp>
                        <wps:cNvPr id="223" name="Rectangle 131"/>
                        <wps:cNvSpPr>
                          <a:spLocks noChangeArrowheads="1"/>
                        </wps:cNvSpPr>
                        <wps:spPr bwMode="auto">
                          <a:xfrm>
                            <a:off x="29845" y="1274166"/>
                            <a:ext cx="1118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154EB" w14:textId="77777777" w:rsidR="00182A9B" w:rsidRDefault="00182A9B" w:rsidP="00182A9B">
                              <w:r>
                                <w:rPr>
                                  <w:color w:val="000000"/>
                                  <w:sz w:val="18"/>
                                  <w:szCs w:val="18"/>
                                </w:rPr>
                                <w:t>Governmental Fund X</w:t>
                              </w:r>
                            </w:p>
                          </w:txbxContent>
                        </wps:txbx>
                        <wps:bodyPr rot="0" vert="horz" wrap="none" lIns="0" tIns="0" rIns="0" bIns="0" anchor="t" anchorCtr="0">
                          <a:spAutoFit/>
                        </wps:bodyPr>
                      </wps:wsp>
                      <wps:wsp>
                        <wps:cNvPr id="224" name="Rectangle 132"/>
                        <wps:cNvSpPr>
                          <a:spLocks noChangeArrowheads="1"/>
                        </wps:cNvSpPr>
                        <wps:spPr bwMode="auto">
                          <a:xfrm>
                            <a:off x="3104515" y="1274166"/>
                            <a:ext cx="451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396DC" w14:textId="77777777" w:rsidR="00182A9B" w:rsidRDefault="00182A9B" w:rsidP="00182A9B">
                              <w:r>
                                <w:rPr>
                                  <w:color w:val="000000"/>
                                  <w:sz w:val="18"/>
                                  <w:szCs w:val="18"/>
                                </w:rPr>
                                <w:t>Qualified</w:t>
                              </w:r>
                            </w:p>
                          </w:txbxContent>
                        </wps:txbx>
                        <wps:bodyPr rot="0" vert="horz" wrap="none" lIns="0" tIns="0" rIns="0" bIns="0" anchor="t" anchorCtr="0">
                          <a:spAutoFit/>
                        </wps:bodyPr>
                      </wps:wsp>
                      <wps:wsp>
                        <wps:cNvPr id="225" name="Rectangle 133"/>
                        <wps:cNvSpPr>
                          <a:spLocks noChangeArrowheads="1"/>
                        </wps:cNvSpPr>
                        <wps:spPr bwMode="auto">
                          <a:xfrm>
                            <a:off x="29845" y="1486256"/>
                            <a:ext cx="1118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F4771" w14:textId="77777777" w:rsidR="00182A9B" w:rsidRDefault="00182A9B" w:rsidP="00182A9B">
                              <w:r>
                                <w:rPr>
                                  <w:color w:val="000000"/>
                                  <w:sz w:val="18"/>
                                  <w:szCs w:val="18"/>
                                </w:rPr>
                                <w:t>Governmental Fund Y</w:t>
                              </w:r>
                            </w:p>
                          </w:txbxContent>
                        </wps:txbx>
                        <wps:bodyPr rot="0" vert="horz" wrap="none" lIns="0" tIns="0" rIns="0" bIns="0" anchor="t" anchorCtr="0">
                          <a:spAutoFit/>
                        </wps:bodyPr>
                      </wps:wsp>
                      <wps:wsp>
                        <wps:cNvPr id="226" name="Rectangle 134"/>
                        <wps:cNvSpPr>
                          <a:spLocks noChangeArrowheads="1"/>
                        </wps:cNvSpPr>
                        <wps:spPr bwMode="auto">
                          <a:xfrm>
                            <a:off x="3104515" y="1486256"/>
                            <a:ext cx="451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4ABDF" w14:textId="77777777" w:rsidR="00182A9B" w:rsidRDefault="00182A9B" w:rsidP="00182A9B">
                              <w:r>
                                <w:rPr>
                                  <w:color w:val="000000"/>
                                  <w:sz w:val="18"/>
                                  <w:szCs w:val="18"/>
                                </w:rPr>
                                <w:t>Qualified</w:t>
                              </w:r>
                            </w:p>
                          </w:txbxContent>
                        </wps:txbx>
                        <wps:bodyPr rot="0" vert="horz" wrap="none" lIns="0" tIns="0" rIns="0" bIns="0" anchor="t" anchorCtr="0">
                          <a:spAutoFit/>
                        </wps:bodyPr>
                      </wps:wsp>
                      <wps:wsp>
                        <wps:cNvPr id="227" name="Rectangle 135"/>
                        <wps:cNvSpPr>
                          <a:spLocks noChangeArrowheads="1"/>
                        </wps:cNvSpPr>
                        <wps:spPr bwMode="auto">
                          <a:xfrm>
                            <a:off x="29845" y="1698981"/>
                            <a:ext cx="1111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23A31" w14:textId="77777777" w:rsidR="00182A9B" w:rsidRDefault="00182A9B" w:rsidP="00182A9B">
                              <w:r>
                                <w:rPr>
                                  <w:color w:val="000000"/>
                                  <w:sz w:val="18"/>
                                  <w:szCs w:val="18"/>
                                </w:rPr>
                                <w:t>Governmental Fund Z</w:t>
                              </w:r>
                            </w:p>
                          </w:txbxContent>
                        </wps:txbx>
                        <wps:bodyPr rot="0" vert="horz" wrap="none" lIns="0" tIns="0" rIns="0" bIns="0" anchor="t" anchorCtr="0">
                          <a:spAutoFit/>
                        </wps:bodyPr>
                      </wps:wsp>
                      <wps:wsp>
                        <wps:cNvPr id="228" name="Rectangle 136"/>
                        <wps:cNvSpPr>
                          <a:spLocks noChangeArrowheads="1"/>
                        </wps:cNvSpPr>
                        <wps:spPr bwMode="auto">
                          <a:xfrm>
                            <a:off x="3104515" y="1698981"/>
                            <a:ext cx="578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F3BC5" w14:textId="77777777" w:rsidR="00182A9B" w:rsidRDefault="00182A9B" w:rsidP="00182A9B">
                              <w:r>
                                <w:rPr>
                                  <w:color w:val="000000"/>
                                  <w:sz w:val="18"/>
                                  <w:szCs w:val="18"/>
                                </w:rPr>
                                <w:t>Unmodified</w:t>
                              </w:r>
                            </w:p>
                          </w:txbxContent>
                        </wps:txbx>
                        <wps:bodyPr rot="0" vert="horz" wrap="none" lIns="0" tIns="0" rIns="0" bIns="0" anchor="t" anchorCtr="0">
                          <a:spAutoFit/>
                        </wps:bodyPr>
                      </wps:wsp>
                      <wps:wsp>
                        <wps:cNvPr id="229" name="Rectangle 137"/>
                        <wps:cNvSpPr>
                          <a:spLocks noChangeArrowheads="1"/>
                        </wps:cNvSpPr>
                        <wps:spPr bwMode="auto">
                          <a:xfrm>
                            <a:off x="29845" y="1911071"/>
                            <a:ext cx="8007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4E9D4" w14:textId="77777777" w:rsidR="00182A9B" w:rsidRDefault="00182A9B" w:rsidP="00182A9B">
                              <w:r>
                                <w:rPr>
                                  <w:color w:val="000000"/>
                                  <w:sz w:val="18"/>
                                  <w:szCs w:val="18"/>
                                </w:rPr>
                                <w:t>Sanitation Fund</w:t>
                              </w:r>
                            </w:p>
                          </w:txbxContent>
                        </wps:txbx>
                        <wps:bodyPr rot="0" vert="horz" wrap="none" lIns="0" tIns="0" rIns="0" bIns="0" anchor="t" anchorCtr="0">
                          <a:spAutoFit/>
                        </wps:bodyPr>
                      </wps:wsp>
                      <wps:wsp>
                        <wps:cNvPr id="230" name="Rectangle 138"/>
                        <wps:cNvSpPr>
                          <a:spLocks noChangeArrowheads="1"/>
                        </wps:cNvSpPr>
                        <wps:spPr bwMode="auto">
                          <a:xfrm>
                            <a:off x="3104515" y="1911071"/>
                            <a:ext cx="534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B4E1F" w14:textId="77777777" w:rsidR="00182A9B" w:rsidRDefault="00182A9B" w:rsidP="00182A9B">
                              <w:r>
                                <w:rPr>
                                  <w:color w:val="000000"/>
                                  <w:sz w:val="18"/>
                                  <w:szCs w:val="18"/>
                                </w:rPr>
                                <w:t>Disclaimer</w:t>
                              </w:r>
                            </w:p>
                          </w:txbxContent>
                        </wps:txbx>
                        <wps:bodyPr rot="0" vert="horz" wrap="none" lIns="0" tIns="0" rIns="0" bIns="0" anchor="t" anchorCtr="0">
                          <a:spAutoFit/>
                        </wps:bodyPr>
                      </wps:wsp>
                      <wps:wsp>
                        <wps:cNvPr id="231" name="Rectangle 139"/>
                        <wps:cNvSpPr>
                          <a:spLocks noChangeArrowheads="1"/>
                        </wps:cNvSpPr>
                        <wps:spPr bwMode="auto">
                          <a:xfrm>
                            <a:off x="29845" y="2123796"/>
                            <a:ext cx="921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0C884" w14:textId="77777777" w:rsidR="00182A9B" w:rsidRDefault="00182A9B" w:rsidP="00182A9B">
                              <w:r>
                                <w:rPr>
                                  <w:color w:val="000000"/>
                                  <w:sz w:val="18"/>
                                  <w:szCs w:val="18"/>
                                </w:rPr>
                                <w:t>Enterprise Fund B</w:t>
                              </w:r>
                            </w:p>
                          </w:txbxContent>
                        </wps:txbx>
                        <wps:bodyPr rot="0" vert="horz" wrap="none" lIns="0" tIns="0" rIns="0" bIns="0" anchor="t" anchorCtr="0">
                          <a:spAutoFit/>
                        </wps:bodyPr>
                      </wps:wsp>
                      <wps:wsp>
                        <wps:cNvPr id="232" name="Rectangle 140"/>
                        <wps:cNvSpPr>
                          <a:spLocks noChangeArrowheads="1"/>
                        </wps:cNvSpPr>
                        <wps:spPr bwMode="auto">
                          <a:xfrm>
                            <a:off x="3104515" y="2123796"/>
                            <a:ext cx="578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92DD8" w14:textId="77777777" w:rsidR="00182A9B" w:rsidRDefault="00182A9B" w:rsidP="00182A9B">
                              <w:r>
                                <w:rPr>
                                  <w:color w:val="000000"/>
                                  <w:sz w:val="18"/>
                                  <w:szCs w:val="18"/>
                                </w:rPr>
                                <w:t>Unmodified</w:t>
                              </w:r>
                            </w:p>
                          </w:txbxContent>
                        </wps:txbx>
                        <wps:bodyPr rot="0" vert="horz" wrap="none" lIns="0" tIns="0" rIns="0" bIns="0" anchor="t" anchorCtr="0">
                          <a:spAutoFit/>
                        </wps:bodyPr>
                      </wps:wsp>
                      <wps:wsp>
                        <wps:cNvPr id="233" name="Rectangle 141"/>
                        <wps:cNvSpPr>
                          <a:spLocks noChangeArrowheads="1"/>
                        </wps:cNvSpPr>
                        <wps:spPr bwMode="auto">
                          <a:xfrm>
                            <a:off x="29845" y="2308581"/>
                            <a:ext cx="20015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092A8" w14:textId="77777777" w:rsidR="00182A9B" w:rsidRDefault="00182A9B" w:rsidP="00182A9B">
                              <w:r>
                                <w:rPr>
                                  <w:color w:val="000000"/>
                                  <w:sz w:val="18"/>
                                  <w:szCs w:val="18"/>
                                </w:rPr>
                                <w:t>Aggregate Remaining Fund Information</w:t>
                              </w:r>
                            </w:p>
                          </w:txbxContent>
                        </wps:txbx>
                        <wps:bodyPr rot="0" vert="horz" wrap="none" lIns="0" tIns="0" rIns="0" bIns="0" anchor="t" anchorCtr="0">
                          <a:spAutoFit/>
                        </wps:bodyPr>
                      </wps:wsp>
                      <wps:wsp>
                        <wps:cNvPr id="234" name="Rectangle 142"/>
                        <wps:cNvSpPr>
                          <a:spLocks noChangeArrowheads="1"/>
                        </wps:cNvSpPr>
                        <wps:spPr bwMode="auto">
                          <a:xfrm>
                            <a:off x="3104515" y="2308581"/>
                            <a:ext cx="578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7130B" w14:textId="77777777" w:rsidR="00182A9B" w:rsidRDefault="00182A9B" w:rsidP="00182A9B">
                              <w:r>
                                <w:rPr>
                                  <w:color w:val="000000"/>
                                  <w:sz w:val="18"/>
                                  <w:szCs w:val="18"/>
                                </w:rPr>
                                <w:t>Unmodified</w:t>
                              </w:r>
                            </w:p>
                          </w:txbxContent>
                        </wps:txbx>
                        <wps:bodyPr rot="0" vert="horz" wrap="none" lIns="0" tIns="0" rIns="0" bIns="0" anchor="t" anchorCtr="0">
                          <a:spAutoFit/>
                        </wps:bodyPr>
                      </wps:wsp>
                      <pic:pic xmlns:pic="http://schemas.openxmlformats.org/drawingml/2006/picture">
                        <pic:nvPicPr>
                          <pic:cNvPr id="140" name="Picture 140"/>
                          <pic:cNvPicPr/>
                        </pic:nvPicPr>
                        <pic:blipFill rotWithShape="1">
                          <a:blip r:embed="rId15">
                            <a:extLst>
                              <a:ext uri="{28A0092B-C50C-407E-A947-70E740481C1C}">
                                <a14:useLocalDpi xmlns:a14="http://schemas.microsoft.com/office/drawing/2010/main" val="0"/>
                              </a:ext>
                            </a:extLst>
                          </a:blip>
                          <a:srcRect b="89304"/>
                          <a:stretch/>
                        </pic:blipFill>
                        <pic:spPr bwMode="auto">
                          <a:xfrm>
                            <a:off x="29859" y="48327"/>
                            <a:ext cx="4147185" cy="292100"/>
                          </a:xfrm>
                          <a:prstGeom prst="rect">
                            <a:avLst/>
                          </a:prstGeom>
                          <a:noFill/>
                          <a:ln>
                            <a:noFill/>
                          </a:ln>
                          <a:extLst>
                            <a:ext uri="{53640926-AAD7-44D8-BBD7-CCE9431645EC}">
                              <a14:shadowObscured xmlns:a14="http://schemas.microsoft.com/office/drawing/2010/main"/>
                            </a:ext>
                          </a:extLst>
                        </pic:spPr>
                      </pic:pic>
                    </wpc:wpc>
                  </a:graphicData>
                </a:graphic>
              </wp:inline>
            </w:drawing>
          </mc:Choice>
          <mc:Fallback>
            <w:pict>
              <v:group w14:anchorId="17106DCC" id="Canvas 235" o:spid="_x0000_s1026" editas="canvas" style="width:332.9pt;height:194.05pt;mso-position-horizontal-relative:char;mso-position-vertical-relative:line" coordsize="42278,2464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278;height:24644;visibility:visible;mso-wrap-style:square">
                  <v:fill o:detectmouseclick="t"/>
                  <v:path o:connecttype="none"/>
                </v:shape>
                <v:rect id="Rectangle 123" o:spid="_x0000_s1028" style="position:absolute;left:298;top:4245;width:1200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27C4A3C1" w14:textId="77777777" w:rsidR="00182A9B" w:rsidRDefault="00182A9B" w:rsidP="00182A9B">
                        <w:r>
                          <w:rPr>
                            <w:color w:val="000000"/>
                            <w:sz w:val="18"/>
                            <w:szCs w:val="18"/>
                          </w:rPr>
                          <w:t>Governmental Activities</w:t>
                        </w:r>
                      </w:p>
                    </w:txbxContent>
                  </v:textbox>
                </v:rect>
                <v:rect id="Rectangle 124" o:spid="_x0000_s1029" style="position:absolute;left:31045;top:4245;width:451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14:paraId="3DCAEF51" w14:textId="77777777" w:rsidR="00182A9B" w:rsidRDefault="00182A9B" w:rsidP="00182A9B">
                        <w:r>
                          <w:rPr>
                            <w:color w:val="000000"/>
                            <w:sz w:val="18"/>
                            <w:szCs w:val="18"/>
                          </w:rPr>
                          <w:t>Qualified</w:t>
                        </w:r>
                      </w:p>
                    </w:txbxContent>
                  </v:textbox>
                </v:rect>
                <v:rect id="Rectangle 125" o:spid="_x0000_s1030" style="position:absolute;left:298;top:6372;width:1238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" filled="f" stroked="f">
                  <v:textbox style="mso-fit-shape-to-text:t" inset="0,0,0,0">
                    <w:txbxContent>
                      <w:p w14:paraId="2D4BC5DA" w14:textId="77777777" w:rsidR="00182A9B" w:rsidRDefault="00182A9B" w:rsidP="00182A9B">
                        <w:r>
                          <w:rPr>
                            <w:color w:val="000000"/>
                            <w:sz w:val="18"/>
                            <w:szCs w:val="18"/>
                          </w:rPr>
                          <w:t>Business-Type Activities</w:t>
                        </w:r>
                      </w:p>
                    </w:txbxContent>
                  </v:textbox>
                </v:rect>
                <v:rect id="Rectangle 126" o:spid="_x0000_s1031" style="position:absolute;left:31045;top:6372;width:451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v:textbox style="mso-fit-shape-to-text:t" inset="0,0,0,0">
                    <w:txbxContent>
                      <w:p w14:paraId="4EF2045A" w14:textId="77777777" w:rsidR="00182A9B" w:rsidRDefault="00182A9B" w:rsidP="00182A9B">
                        <w:r>
                          <w:rPr>
                            <w:color w:val="000000"/>
                            <w:sz w:val="18"/>
                            <w:szCs w:val="18"/>
                          </w:rPr>
                          <w:t>Qualified</w:t>
                        </w:r>
                      </w:p>
                    </w:txbxContent>
                  </v:textbox>
                </v:rect>
                <v:rect id="Rectangle 127" o:spid="_x0000_s1032" style="position:absolute;left:298;top:8493;width:25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14:paraId="359DC777" w14:textId="77777777" w:rsidR="00182A9B" w:rsidRDefault="00182A9B" w:rsidP="00182A9B">
                        <w:r>
                          <w:rPr>
                            <w:color w:val="000000"/>
                            <w:sz w:val="18"/>
                            <w:szCs w:val="18"/>
                          </w:rPr>
                          <w:t>Aggregate Discretely Presented Component Units</w:t>
                        </w:r>
                      </w:p>
                    </w:txbxContent>
                  </v:textbox>
                </v:rect>
                <v:rect id="Rectangle 128" o:spid="_x0000_s1033" style="position:absolute;left:31045;top:8493;width:578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v:textbox style="mso-fit-shape-to-text:t" inset="0,0,0,0">
                    <w:txbxContent>
                      <w:p w14:paraId="00F9E0BF" w14:textId="77777777" w:rsidR="00182A9B" w:rsidRDefault="00182A9B" w:rsidP="00182A9B">
                        <w:r>
                          <w:rPr>
                            <w:color w:val="000000"/>
                            <w:sz w:val="18"/>
                            <w:szCs w:val="18"/>
                          </w:rPr>
                          <w:t>Unmodified</w:t>
                        </w:r>
                      </w:p>
                    </w:txbxContent>
                  </v:textbox>
                </v:rect>
                <v:rect id="Rectangle 129" o:spid="_x0000_s1034" style="position:absolute;left:298;top:10620;width:699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" filled="f" stroked="f">
                  <v:textbox style="mso-fit-shape-to-text:t" inset="0,0,0,0">
                    <w:txbxContent>
                      <w:p w14:paraId="0D2FC1ED" w14:textId="77777777" w:rsidR="00182A9B" w:rsidRDefault="00182A9B" w:rsidP="00182A9B">
                        <w:r>
                          <w:rPr>
                            <w:color w:val="000000"/>
                            <w:sz w:val="18"/>
                            <w:szCs w:val="18"/>
                          </w:rPr>
                          <w:t>General Fund</w:t>
                        </w:r>
                      </w:p>
                    </w:txbxContent>
                  </v:textbox>
                </v:rect>
                <v:rect id="Rectangle 130" o:spid="_x0000_s1035" style="position:absolute;left:31045;top:10620;width:578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" filled="f" stroked="f">
                  <v:textbox style="mso-fit-shape-to-text:t" inset="0,0,0,0">
                    <w:txbxContent>
                      <w:p w14:paraId="7C2F5FF6" w14:textId="77777777" w:rsidR="00182A9B" w:rsidRDefault="00182A9B" w:rsidP="00182A9B">
                        <w:r>
                          <w:rPr>
                            <w:color w:val="000000"/>
                            <w:sz w:val="18"/>
                            <w:szCs w:val="18"/>
                          </w:rPr>
                          <w:t>Unmodified</w:t>
                        </w:r>
                      </w:p>
                    </w:txbxContent>
                  </v:textbox>
                </v:rect>
                <v:rect id="Rectangle 131" o:spid="_x0000_s1036" style="position:absolute;left:298;top:12741;width:1118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yFwQAAANwAAAAPAAAAZHJzL2Rvd25yZXYueG1sRI/disIw&#10;FITvBd8hHGHvNLXC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AhZHIXBAAAA3AAAAA8AAAAA&#10;AAAAAAAAAAAABwIAAGRycy9kb3ducmV2LnhtbFBLBQYAAAAAAwADALcAAAD1AgAAAAA=&#10;" filled="f" stroked="f">
                  <v:textbox style="mso-fit-shape-to-text:t" inset="0,0,0,0">
                    <w:txbxContent>
                      <w:p w14:paraId="408154EB" w14:textId="77777777" w:rsidR="00182A9B" w:rsidRDefault="00182A9B" w:rsidP="00182A9B">
                        <w:r>
                          <w:rPr>
                            <w:color w:val="000000"/>
                            <w:sz w:val="18"/>
                            <w:szCs w:val="18"/>
                          </w:rPr>
                          <w:t>Governmental Fund X</w:t>
                        </w:r>
                      </w:p>
                    </w:txbxContent>
                  </v:textbox>
                </v:rect>
                <v:rect id="Rectangle 132" o:spid="_x0000_s1037" style="position:absolute;left:31045;top:12741;width:451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TxwQAAANwAAAAPAAAAZHJzL2Rvd25yZXYueG1sRI/disIw&#10;FITvBd8hHGHvNLXI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IewhPHBAAAA3AAAAA8AAAAA&#10;AAAAAAAAAAAABwIAAGRycy9kb3ducmV2LnhtbFBLBQYAAAAAAwADALcAAAD1AgAAAAA=&#10;" filled="f" stroked="f">
                  <v:textbox style="mso-fit-shape-to-text:t" inset="0,0,0,0">
                    <w:txbxContent>
                      <w:p w14:paraId="3CA396DC" w14:textId="77777777" w:rsidR="00182A9B" w:rsidRDefault="00182A9B" w:rsidP="00182A9B">
                        <w:r>
                          <w:rPr>
                            <w:color w:val="000000"/>
                            <w:sz w:val="18"/>
                            <w:szCs w:val="18"/>
                          </w:rPr>
                          <w:t>Qualified</w:t>
                        </w:r>
                      </w:p>
                    </w:txbxContent>
                  </v:textbox>
                </v:rect>
                <v:rect id="Rectangle 133" o:spid="_x0000_s1038" style="position:absolute;left:298;top:14862;width:1118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qwQAAANwAAAAPAAAAZHJzL2Rvd25yZXYueG1sRI/disIw&#10;FITvBd8hHGHvNLXg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Oj8IWrBAAAA3AAAAA8AAAAA&#10;AAAAAAAAAAAABwIAAGRycy9kb3ducmV2LnhtbFBLBQYAAAAAAwADALcAAAD1AgAAAAA=&#10;" filled="f" stroked="f">
                  <v:textbox style="mso-fit-shape-to-text:t" inset="0,0,0,0">
                    <w:txbxContent>
                      <w:p w14:paraId="6ADF4771" w14:textId="77777777" w:rsidR="00182A9B" w:rsidRDefault="00182A9B" w:rsidP="00182A9B">
                        <w:r>
                          <w:rPr>
                            <w:color w:val="000000"/>
                            <w:sz w:val="18"/>
                            <w:szCs w:val="18"/>
                          </w:rPr>
                          <w:t>Governmental Fund Y</w:t>
                        </w:r>
                      </w:p>
                    </w:txbxContent>
                  </v:textbox>
                </v:rect>
                <v:rect id="Rectangle 134" o:spid="_x0000_s1039" style="position:absolute;left:31045;top:14862;width:451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" filled="f" stroked="f">
                  <v:textbox style="mso-fit-shape-to-text:t" inset="0,0,0,0">
                    <w:txbxContent>
                      <w:p w14:paraId="12C4ABDF" w14:textId="77777777" w:rsidR="00182A9B" w:rsidRDefault="00182A9B" w:rsidP="00182A9B">
                        <w:r>
                          <w:rPr>
                            <w:color w:val="000000"/>
                            <w:sz w:val="18"/>
                            <w:szCs w:val="18"/>
                          </w:rPr>
                          <w:t>Qualified</w:t>
                        </w:r>
                      </w:p>
                    </w:txbxContent>
                  </v:textbox>
                </v:rect>
                <v:rect id="Rectangle 135" o:spid="_x0000_s1040" style="position:absolute;left:298;top:16989;width:1111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" filled="f" stroked="f">
                  <v:textbox style="mso-fit-shape-to-text:t" inset="0,0,0,0">
                    <w:txbxContent>
                      <w:p w14:paraId="1E023A31" w14:textId="77777777" w:rsidR="00182A9B" w:rsidRDefault="00182A9B" w:rsidP="00182A9B">
                        <w:r>
                          <w:rPr>
                            <w:color w:val="000000"/>
                            <w:sz w:val="18"/>
                            <w:szCs w:val="18"/>
                          </w:rPr>
                          <w:t>Governmental Fund Z</w:t>
                        </w:r>
                      </w:p>
                    </w:txbxContent>
                  </v:textbox>
                </v:rect>
                <v:rect id="Rectangle 136" o:spid="_x0000_s1041" style="position:absolute;left:31045;top:16989;width:578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" filled="f" stroked="f">
                  <v:textbox style="mso-fit-shape-to-text:t" inset="0,0,0,0">
                    <w:txbxContent>
                      <w:p w14:paraId="567F3BC5" w14:textId="77777777" w:rsidR="00182A9B" w:rsidRDefault="00182A9B" w:rsidP="00182A9B">
                        <w:r>
                          <w:rPr>
                            <w:color w:val="000000"/>
                            <w:sz w:val="18"/>
                            <w:szCs w:val="18"/>
                          </w:rPr>
                          <w:t>Unmodified</w:t>
                        </w:r>
                      </w:p>
                    </w:txbxContent>
                  </v:textbox>
                </v:rect>
                <v:rect id="Rectangle 137" o:spid="_x0000_s1042" style="position:absolute;left:298;top:19110;width:800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" filled="f" stroked="f">
                  <v:textbox style="mso-fit-shape-to-text:t" inset="0,0,0,0">
                    <w:txbxContent>
                      <w:p w14:paraId="6A24E9D4" w14:textId="77777777" w:rsidR="00182A9B" w:rsidRDefault="00182A9B" w:rsidP="00182A9B">
                        <w:r>
                          <w:rPr>
                            <w:color w:val="000000"/>
                            <w:sz w:val="18"/>
                            <w:szCs w:val="18"/>
                          </w:rPr>
                          <w:t>Sanitation Fund</w:t>
                        </w:r>
                      </w:p>
                    </w:txbxContent>
                  </v:textbox>
                </v:rect>
                <v:rect id="Rectangle 138" o:spid="_x0000_s1043" style="position:absolute;left:31045;top:19110;width:534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hQvvgAAANwAAAAPAAAAZHJzL2Rvd25yZXYueG1sRE/LisIw&#10;FN0L/kO4wuw0tQM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H1SFC++AAAA3AAAAA8AAAAAAAAA&#10;AAAAAAAABwIAAGRycy9kb3ducmV2LnhtbFBLBQYAAAAAAwADALcAAADyAgAAAAA=&#10;" filled="f" stroked="f">
                  <v:textbox style="mso-fit-shape-to-text:t" inset="0,0,0,0">
                    <w:txbxContent>
                      <w:p w14:paraId="252B4E1F" w14:textId="77777777" w:rsidR="00182A9B" w:rsidRDefault="00182A9B" w:rsidP="00182A9B">
                        <w:r>
                          <w:rPr>
                            <w:color w:val="000000"/>
                            <w:sz w:val="18"/>
                            <w:szCs w:val="18"/>
                          </w:rPr>
                          <w:t>Disclaimer</w:t>
                        </w:r>
                      </w:p>
                    </w:txbxContent>
                  </v:textbox>
                </v:rect>
                <v:rect id="Rectangle 139" o:spid="_x0000_s1044" style="position:absolute;left:298;top:21237;width:921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G0wQAAANwAAAAPAAAAZHJzL2Rvd25yZXYueG1sRI/disIw&#10;FITvF3yHcATv1tQK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BIesbTBAAAA3AAAAA8AAAAA&#10;AAAAAAAAAAAABwIAAGRycy9kb3ducmV2LnhtbFBLBQYAAAAAAwADALcAAAD1AgAAAAA=&#10;" filled="f" stroked="f">
                  <v:textbox style="mso-fit-shape-to-text:t" inset="0,0,0,0">
                    <w:txbxContent>
                      <w:p w14:paraId="0960C884" w14:textId="77777777" w:rsidR="00182A9B" w:rsidRDefault="00182A9B" w:rsidP="00182A9B">
                        <w:r>
                          <w:rPr>
                            <w:color w:val="000000"/>
                            <w:sz w:val="18"/>
                            <w:szCs w:val="18"/>
                          </w:rPr>
                          <w:t>Enterprise Fund B</w:t>
                        </w:r>
                      </w:p>
                    </w:txbxContent>
                  </v:textbox>
                </v:rect>
                <v:rect id="Rectangle 140" o:spid="_x0000_s1045" style="position:absolute;left:31045;top:21237;width:578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DwQAAANwAAAAPAAAAZHJzL2Rvd25yZXYueG1sRI/disIw&#10;FITvBd8hHGHvNLXC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OLML8PBAAAA3AAAAA8AAAAA&#10;AAAAAAAAAAAABwIAAGRycy9kb3ducmV2LnhtbFBLBQYAAAAAAwADALcAAAD1AgAAAAA=&#10;" filled="f" stroked="f">
                  <v:textbox style="mso-fit-shape-to-text:t" inset="0,0,0,0">
                    <w:txbxContent>
                      <w:p w14:paraId="60F92DD8" w14:textId="77777777" w:rsidR="00182A9B" w:rsidRDefault="00182A9B" w:rsidP="00182A9B">
                        <w:r>
                          <w:rPr>
                            <w:color w:val="000000"/>
                            <w:sz w:val="18"/>
                            <w:szCs w:val="18"/>
                          </w:rPr>
                          <w:t>Unmodified</w:t>
                        </w:r>
                      </w:p>
                    </w:txbxContent>
                  </v:textbox>
                </v:rect>
                <v:rect id="Rectangle 141" o:spid="_x0000_s1046" style="position:absolute;left:298;top:23085;width:2001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pYwQAAANwAAAAPAAAAZHJzL2Rvd25yZXYueG1sRI/disIw&#10;FITvhX2HcIS909QK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I2AiljBAAAA3AAAAA8AAAAA&#10;AAAAAAAAAAAABwIAAGRycy9kb3ducmV2LnhtbFBLBQYAAAAAAwADALcAAAD1AgAAAAA=&#10;" filled="f" stroked="f">
                  <v:textbox style="mso-fit-shape-to-text:t" inset="0,0,0,0">
                    <w:txbxContent>
                      <w:p w14:paraId="526092A8" w14:textId="77777777" w:rsidR="00182A9B" w:rsidRDefault="00182A9B" w:rsidP="00182A9B">
                        <w:r>
                          <w:rPr>
                            <w:color w:val="000000"/>
                            <w:sz w:val="18"/>
                            <w:szCs w:val="18"/>
                          </w:rPr>
                          <w:t>Aggregate Remaining Fund Information</w:t>
                        </w:r>
                      </w:p>
                    </w:txbxContent>
                  </v:textbox>
                </v:rect>
                <v:rect id="Rectangle 142" o:spid="_x0000_s1047" style="position:absolute;left:31045;top:23085;width:578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IswgAAANwAAAAPAAAAZHJzL2Rvd25yZXYueG1sRI/dagIx&#10;FITvBd8hHME7zbqW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CaRIswgAAANwAAAAPAAAA&#10;AAAAAAAAAAAAAAcCAABkcnMvZG93bnJldi54bWxQSwUGAAAAAAMAAwC3AAAA9gIAAAAA&#10;" filled="f" stroked="f">
                  <v:textbox style="mso-fit-shape-to-text:t" inset="0,0,0,0">
                    <w:txbxContent>
                      <w:p w14:paraId="5DE7130B" w14:textId="77777777" w:rsidR="00182A9B" w:rsidRDefault="00182A9B" w:rsidP="00182A9B">
                        <w:r>
                          <w:rPr>
                            <w:color w:val="000000"/>
                            <w:sz w:val="18"/>
                            <w:szCs w:val="18"/>
                          </w:rPr>
                          <w:t>Unmodified</w:t>
                        </w:r>
                      </w:p>
                    </w:txbxContent>
                  </v:textbox>
                </v:rect>
                <v:shape id="Picture 140" o:spid="_x0000_s1048" type="#_x0000_t75" style="position:absolute;left:298;top:483;width:41472;height: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">
                  <v:imagedata r:id="rId16" o:title="" cropbottom="58526f"/>
                </v:shape>
                <w10:anchorlock/>
              </v:group>
            </w:pict>
          </mc:Fallback>
        </mc:AlternateContent>
      </w:r>
    </w:p>
    <w:p w14:paraId="3E396AD7" w14:textId="77777777" w:rsidR="00BD4A52" w:rsidRPr="00AC3295" w:rsidRDefault="00BD4A52" w:rsidP="00B86188">
      <w:pPr>
        <w:tabs>
          <w:tab w:val="left" w:pos="0"/>
          <w:tab w:val="left" w:pos="547"/>
          <w:tab w:val="left" w:pos="936"/>
          <w:tab w:val="left" w:pos="1440"/>
          <w:tab w:val="left" w:pos="1987"/>
        </w:tabs>
        <w:jc w:val="both"/>
        <w:rPr>
          <w:b/>
          <w:i/>
        </w:rPr>
      </w:pPr>
    </w:p>
    <w:p w14:paraId="3BC483B0" w14:textId="77777777" w:rsidR="00C54955" w:rsidRPr="00AC3295" w:rsidRDefault="00C54955" w:rsidP="00D508D8">
      <w:pPr>
        <w:tabs>
          <w:tab w:val="left" w:pos="0"/>
          <w:tab w:val="left" w:pos="547"/>
          <w:tab w:val="left" w:pos="936"/>
          <w:tab w:val="left" w:pos="1440"/>
          <w:tab w:val="left" w:pos="1987"/>
        </w:tabs>
        <w:rPr>
          <w:b/>
          <w:i/>
        </w:rPr>
      </w:pPr>
      <w:r w:rsidRPr="00AC3295">
        <w:rPr>
          <w:b/>
          <w:i/>
        </w:rPr>
        <w:t>Basis for</w:t>
      </w:r>
      <w:r w:rsidR="00F05B1B" w:rsidRPr="00AC3295">
        <w:rPr>
          <w:b/>
          <w:i/>
        </w:rPr>
        <w:t xml:space="preserve"> </w:t>
      </w:r>
      <w:r w:rsidR="00926100" w:rsidRPr="00AC3295">
        <w:rPr>
          <w:b/>
          <w:i/>
        </w:rPr>
        <w:t xml:space="preserve">Disclaimer of </w:t>
      </w:r>
      <w:r w:rsidR="0051528D" w:rsidRPr="00AC3295">
        <w:rPr>
          <w:b/>
          <w:i/>
        </w:rPr>
        <w:t xml:space="preserve">Opinion on </w:t>
      </w:r>
      <w:r w:rsidR="00926100" w:rsidRPr="00AC3295">
        <w:rPr>
          <w:b/>
          <w:i/>
        </w:rPr>
        <w:t>the Sanitation Fund</w:t>
      </w:r>
      <w:r w:rsidR="0051528D" w:rsidRPr="00AC3295">
        <w:rPr>
          <w:b/>
          <w:i/>
        </w:rPr>
        <w:t xml:space="preserve"> and Qualified Opinion on Business-Type Activit</w:t>
      </w:r>
      <w:r w:rsidR="00BF0904" w:rsidRPr="00AC3295">
        <w:rPr>
          <w:b/>
          <w:i/>
        </w:rPr>
        <w:t>i</w:t>
      </w:r>
      <w:r w:rsidR="0051528D" w:rsidRPr="00AC3295">
        <w:rPr>
          <w:b/>
          <w:i/>
        </w:rPr>
        <w:t>es</w:t>
      </w:r>
    </w:p>
    <w:p w14:paraId="7CFCB8A5" w14:textId="77777777" w:rsidR="00045A69" w:rsidRPr="00AC3295" w:rsidRDefault="00045A69" w:rsidP="00B86188">
      <w:pPr>
        <w:tabs>
          <w:tab w:val="left" w:pos="0"/>
          <w:tab w:val="left" w:pos="547"/>
          <w:tab w:val="left" w:pos="936"/>
          <w:tab w:val="left" w:pos="1440"/>
          <w:tab w:val="left" w:pos="1987"/>
        </w:tabs>
        <w:jc w:val="both"/>
        <w:rPr>
          <w:b/>
          <w:i/>
        </w:rPr>
      </w:pPr>
    </w:p>
    <w:p w14:paraId="06449D9D" w14:textId="77777777" w:rsidR="00BF0904" w:rsidRPr="00AC3295" w:rsidRDefault="00926100" w:rsidP="00B86188">
      <w:pPr>
        <w:tabs>
          <w:tab w:val="left" w:pos="0"/>
          <w:tab w:val="left" w:pos="547"/>
          <w:tab w:val="left" w:pos="936"/>
          <w:tab w:val="left" w:pos="1440"/>
          <w:tab w:val="left" w:pos="1987"/>
        </w:tabs>
        <w:jc w:val="both"/>
      </w:pPr>
      <w:r w:rsidRPr="00AC3295">
        <w:t xml:space="preserve">The accounting records for billings and collections provided insufficient evidence to support </w:t>
      </w:r>
      <w:r w:rsidRPr="00AC3295">
        <w:rPr>
          <w:i/>
        </w:rPr>
        <w:t xml:space="preserve">charges for services </w:t>
      </w:r>
      <w:r w:rsidRPr="00AC3295">
        <w:t xml:space="preserve">reported as $1,000,000, and </w:t>
      </w:r>
      <w:r w:rsidRPr="00AC3295">
        <w:rPr>
          <w:i/>
        </w:rPr>
        <w:t>accounts receivable</w:t>
      </w:r>
      <w:r w:rsidRPr="00AC3295">
        <w:t xml:space="preserve"> reported as $100,000 in the Sanitation Fund’s financial statements.   These amounts are also included in </w:t>
      </w:r>
      <w:r w:rsidRPr="00AC3295">
        <w:rPr>
          <w:i/>
        </w:rPr>
        <w:t>charges for services</w:t>
      </w:r>
      <w:r w:rsidRPr="00AC3295">
        <w:t xml:space="preserve"> and accounts receivable in the business-type activities’ financial statements.  </w:t>
      </w:r>
      <w:r w:rsidRPr="00AC3295">
        <w:rPr>
          <w:i/>
        </w:rPr>
        <w:t>Charges for services</w:t>
      </w:r>
      <w:r w:rsidRPr="00AC3295">
        <w:t xml:space="preserve"> comprise 90% of the revenue and </w:t>
      </w:r>
      <w:r w:rsidRPr="00AC3295">
        <w:rPr>
          <w:i/>
        </w:rPr>
        <w:t>accounts receivable</w:t>
      </w:r>
      <w:r w:rsidRPr="00AC3295">
        <w:t xml:space="preserve"> comprise 5% of the total assets reported in the Sanitation Fund’s financial statements.  These amounts also comprise 10% of the revenue and 7% of the total assets</w:t>
      </w:r>
      <w:r w:rsidRPr="00AC3295">
        <w:rPr>
          <w:vertAlign w:val="superscript"/>
        </w:rPr>
        <w:endnoteReference w:id="3"/>
      </w:r>
      <w:r w:rsidRPr="00AC3295">
        <w:t xml:space="preserve">  reported in the business-type activities’ financial statements.</w:t>
      </w:r>
    </w:p>
    <w:p w14:paraId="115F3354" w14:textId="77777777" w:rsidR="00926100" w:rsidRPr="00AC3295" w:rsidRDefault="00926100" w:rsidP="00B86188">
      <w:pPr>
        <w:tabs>
          <w:tab w:val="left" w:pos="0"/>
          <w:tab w:val="left" w:pos="547"/>
          <w:tab w:val="left" w:pos="936"/>
          <w:tab w:val="left" w:pos="1440"/>
          <w:tab w:val="left" w:pos="1987"/>
        </w:tabs>
        <w:jc w:val="both"/>
      </w:pPr>
    </w:p>
    <w:p w14:paraId="0C40E633" w14:textId="77777777" w:rsidR="00045A69" w:rsidRPr="00AC3295" w:rsidRDefault="00926100" w:rsidP="00B86188">
      <w:pPr>
        <w:tabs>
          <w:tab w:val="left" w:pos="0"/>
          <w:tab w:val="left" w:pos="547"/>
          <w:tab w:val="left" w:pos="936"/>
          <w:tab w:val="left" w:pos="1440"/>
          <w:tab w:val="left" w:pos="1987"/>
        </w:tabs>
        <w:jc w:val="both"/>
        <w:rPr>
          <w:b/>
          <w:i/>
        </w:rPr>
      </w:pPr>
      <w:r w:rsidRPr="00AC3295">
        <w:rPr>
          <w:b/>
          <w:i/>
        </w:rPr>
        <w:t xml:space="preserve">Disclaimer of </w:t>
      </w:r>
      <w:r w:rsidR="00F8017D" w:rsidRPr="00AC3295">
        <w:rPr>
          <w:b/>
          <w:i/>
        </w:rPr>
        <w:t>Opinion</w:t>
      </w:r>
    </w:p>
    <w:p w14:paraId="30CBED59" w14:textId="77777777" w:rsidR="00F8017D" w:rsidRPr="00AC3295" w:rsidRDefault="00F8017D" w:rsidP="00B86188">
      <w:pPr>
        <w:tabs>
          <w:tab w:val="left" w:pos="0"/>
          <w:tab w:val="left" w:pos="547"/>
          <w:tab w:val="left" w:pos="936"/>
          <w:tab w:val="left" w:pos="1440"/>
          <w:tab w:val="left" w:pos="1987"/>
        </w:tabs>
        <w:jc w:val="both"/>
      </w:pPr>
    </w:p>
    <w:p w14:paraId="1A5D395D" w14:textId="77777777" w:rsidR="00926100" w:rsidRPr="00AC3295" w:rsidRDefault="00926100" w:rsidP="00926100">
      <w:pPr>
        <w:jc w:val="both"/>
      </w:pPr>
      <w:r w:rsidRPr="00AC3295">
        <w:t xml:space="preserve">Because of the significance of the matter described in the </w:t>
      </w:r>
      <w:r w:rsidRPr="00AC3295">
        <w:rPr>
          <w:i/>
        </w:rPr>
        <w:t>Basis for Disclaimer of Opinion on the Sanitation Fund and Qualified Opinion on Business-Type Activities</w:t>
      </w:r>
      <w:r w:rsidRPr="00AC3295">
        <w:t xml:space="preserve"> paragraph, we were unable to obtain sufficient appropriate evidence to opine on the Sanitation Fund’s financial statements.  Accordingly, we have not opined on these financial statements.</w:t>
      </w:r>
    </w:p>
    <w:p w14:paraId="056E69F3" w14:textId="77777777" w:rsidR="00F514CD" w:rsidRPr="00AC3295" w:rsidRDefault="00F514CD" w:rsidP="00B86188">
      <w:pPr>
        <w:tabs>
          <w:tab w:val="left" w:pos="0"/>
          <w:tab w:val="left" w:pos="547"/>
          <w:tab w:val="left" w:pos="936"/>
          <w:tab w:val="left" w:pos="1440"/>
          <w:tab w:val="left" w:pos="1987"/>
        </w:tabs>
        <w:jc w:val="both"/>
      </w:pPr>
    </w:p>
    <w:p w14:paraId="77E3357D" w14:textId="77777777" w:rsidR="00045A69" w:rsidRPr="00AC3295" w:rsidRDefault="008E2726" w:rsidP="00B86188">
      <w:pPr>
        <w:tabs>
          <w:tab w:val="left" w:pos="0"/>
          <w:tab w:val="left" w:pos="547"/>
          <w:tab w:val="left" w:pos="936"/>
          <w:tab w:val="left" w:pos="1440"/>
          <w:tab w:val="left" w:pos="1987"/>
        </w:tabs>
        <w:jc w:val="both"/>
        <w:rPr>
          <w:b/>
          <w:i/>
        </w:rPr>
      </w:pPr>
      <w:r w:rsidRPr="00AC3295">
        <w:rPr>
          <w:b/>
          <w:i/>
        </w:rPr>
        <w:t>Qualified Opinion</w:t>
      </w:r>
    </w:p>
    <w:p w14:paraId="6287EEAD" w14:textId="77777777" w:rsidR="008E2726" w:rsidRPr="00AC3295" w:rsidRDefault="008E2726" w:rsidP="00B86188">
      <w:pPr>
        <w:tabs>
          <w:tab w:val="left" w:pos="0"/>
          <w:tab w:val="left" w:pos="547"/>
          <w:tab w:val="left" w:pos="936"/>
          <w:tab w:val="left" w:pos="1440"/>
          <w:tab w:val="left" w:pos="1987"/>
        </w:tabs>
        <w:jc w:val="both"/>
        <w:rPr>
          <w:b/>
          <w:i/>
        </w:rPr>
      </w:pPr>
    </w:p>
    <w:p w14:paraId="13DC3CD7" w14:textId="64341A96" w:rsidR="008E2726" w:rsidRPr="00AC3295" w:rsidRDefault="00630B02" w:rsidP="00BF2028">
      <w:pPr>
        <w:jc w:val="both"/>
      </w:pPr>
      <w:r w:rsidRPr="00AC3295">
        <w:t>In our opinion, except for the</w:t>
      </w:r>
      <w:r w:rsidR="008E2726" w:rsidRPr="00AC3295">
        <w:t xml:space="preserve"> </w:t>
      </w:r>
      <w:r w:rsidR="00926100" w:rsidRPr="00AC3295">
        <w:t>possible effect</w:t>
      </w:r>
      <w:r w:rsidR="00926100" w:rsidRPr="00AC3295">
        <w:rPr>
          <w:rStyle w:val="EndnoteReference"/>
        </w:rPr>
        <w:endnoteReference w:id="4"/>
      </w:r>
      <w:r w:rsidR="00926100" w:rsidRPr="00AC3295">
        <w:t xml:space="preserve"> of the matter described in the </w:t>
      </w:r>
      <w:r w:rsidR="00926100" w:rsidRPr="00AC3295">
        <w:rPr>
          <w:i/>
        </w:rPr>
        <w:t>Basis for Disclaimer of Opinion on the Sanitation Fund</w:t>
      </w:r>
      <w:r w:rsidRPr="00AC3295">
        <w:t xml:space="preserve"> and </w:t>
      </w:r>
      <w:r w:rsidRPr="00AC3295">
        <w:rPr>
          <w:i/>
        </w:rPr>
        <w:t>Qualified Opinion on Business-Type Activities</w:t>
      </w:r>
      <w:r w:rsidRPr="00AC3295">
        <w:t xml:space="preserve"> paragraph</w:t>
      </w:r>
      <w:r w:rsidR="008E2726" w:rsidRPr="00AC3295">
        <w:t xml:space="preserve">, the financial </w:t>
      </w:r>
      <w:r w:rsidR="008E2726" w:rsidRPr="00DC7E14">
        <w:t>statements referred to above present f</w:t>
      </w:r>
      <w:r w:rsidR="007B289F" w:rsidRPr="00DC7E14">
        <w:t>airly, in all material respects</w:t>
      </w:r>
      <w:r w:rsidR="008E2726" w:rsidRPr="00DC7E14">
        <w:t xml:space="preserve">, the </w:t>
      </w:r>
      <w:r w:rsidRPr="00DC7E14">
        <w:t>financial position of the business-type activities</w:t>
      </w:r>
      <w:r w:rsidR="008E2726" w:rsidRPr="00DC7E14">
        <w:t xml:space="preserve"> </w:t>
      </w:r>
      <w:r w:rsidR="009A45F0" w:rsidRPr="00DC7E14">
        <w:t>of</w:t>
      </w:r>
      <w:r w:rsidR="00080BD2" w:rsidRPr="00DC7E14">
        <w:t xml:space="preserve"> the </w:t>
      </w:r>
      <w:r w:rsidR="00200B17" w:rsidRPr="00DC7E14">
        <w:t>Entity</w:t>
      </w:r>
      <w:r w:rsidR="009A45F0" w:rsidRPr="00DC7E14">
        <w:t xml:space="preserve">, as of </w:t>
      </w:r>
      <w:r w:rsidR="00200B17" w:rsidRPr="00DC7E14">
        <w:t>[FYE DATE]</w:t>
      </w:r>
      <w:r w:rsidR="008E2726" w:rsidRPr="00DC7E14">
        <w:t>,</w:t>
      </w:r>
      <w:r w:rsidR="009A45F0" w:rsidRPr="00DC7E14">
        <w:t xml:space="preserve"> </w:t>
      </w:r>
      <w:r w:rsidR="008E2726" w:rsidRPr="00DC7E14">
        <w:t>an</w:t>
      </w:r>
      <w:r w:rsidR="008E2726" w:rsidRPr="00AC3295">
        <w:t xml:space="preserve">d the changes in financial position </w:t>
      </w:r>
      <w:r w:rsidR="00743CC4" w:rsidRPr="00AC3295">
        <w:t xml:space="preserve">and cash flows </w:t>
      </w:r>
      <w:r w:rsidR="008E2726" w:rsidRPr="00AC3295">
        <w:t xml:space="preserve">thereof for the </w:t>
      </w:r>
      <w:r w:rsidR="00567A07" w:rsidRPr="00AC3295">
        <w:t>year</w:t>
      </w:r>
      <w:r w:rsidR="008E2726" w:rsidRPr="00AC3295">
        <w:t xml:space="preserve"> then ended in accordance with accounting principles generally accepted in the United States of America.</w:t>
      </w:r>
    </w:p>
    <w:p w14:paraId="0316BD5B" w14:textId="77777777" w:rsidR="00C54955" w:rsidRPr="00AC3295" w:rsidRDefault="00C54955" w:rsidP="00B86188">
      <w:pPr>
        <w:tabs>
          <w:tab w:val="left" w:pos="0"/>
          <w:tab w:val="left" w:pos="547"/>
          <w:tab w:val="left" w:pos="936"/>
          <w:tab w:val="left" w:pos="1440"/>
          <w:tab w:val="left" w:pos="1987"/>
        </w:tabs>
        <w:jc w:val="both"/>
        <w:rPr>
          <w:b/>
          <w:i/>
        </w:rPr>
      </w:pPr>
    </w:p>
    <w:p w14:paraId="1A6AF6D8" w14:textId="77777777" w:rsidR="00416AE0" w:rsidRPr="00AC3295" w:rsidRDefault="00416AE0" w:rsidP="00B86188">
      <w:pPr>
        <w:tabs>
          <w:tab w:val="left" w:pos="0"/>
          <w:tab w:val="left" w:pos="547"/>
          <w:tab w:val="left" w:pos="936"/>
          <w:tab w:val="left" w:pos="1440"/>
          <w:tab w:val="left" w:pos="1987"/>
        </w:tabs>
        <w:jc w:val="both"/>
        <w:rPr>
          <w:b/>
          <w:i/>
        </w:rPr>
      </w:pPr>
      <w:r w:rsidRPr="00AC3295">
        <w:rPr>
          <w:b/>
          <w:bCs/>
          <w:i/>
          <w:iCs/>
        </w:rPr>
        <w:t>Basis for Qualified Opinions on Governmental Activities and Governmental Funds X and Y</w:t>
      </w:r>
      <w:r w:rsidRPr="00AC3295">
        <w:rPr>
          <w:b/>
          <w:i/>
        </w:rPr>
        <w:t xml:space="preserve"> </w:t>
      </w:r>
    </w:p>
    <w:p w14:paraId="148C8B73" w14:textId="77777777" w:rsidR="00416AE0" w:rsidRPr="00AC3295" w:rsidRDefault="00416AE0" w:rsidP="00B86188">
      <w:pPr>
        <w:tabs>
          <w:tab w:val="left" w:pos="0"/>
          <w:tab w:val="left" w:pos="547"/>
          <w:tab w:val="left" w:pos="936"/>
          <w:tab w:val="left" w:pos="1440"/>
          <w:tab w:val="left" w:pos="1987"/>
        </w:tabs>
        <w:jc w:val="both"/>
        <w:rPr>
          <w:b/>
          <w:i/>
        </w:rPr>
      </w:pPr>
    </w:p>
    <w:p w14:paraId="6ECE7020" w14:textId="77777777" w:rsidR="00630B02" w:rsidRPr="00AC3295" w:rsidRDefault="00630B02" w:rsidP="00BF2028">
      <w:pPr>
        <w:jc w:val="both"/>
      </w:pPr>
      <w:r w:rsidRPr="00AC3295">
        <w:t xml:space="preserve">As discussed in Note X to the financial statements, management has not recorded a liability for compensated absences in </w:t>
      </w:r>
      <w:r w:rsidR="00743A72" w:rsidRPr="00AC3295">
        <w:t>Governmental A</w:t>
      </w:r>
      <w:r w:rsidRPr="00AC3295">
        <w:t>ctivities and a</w:t>
      </w:r>
      <w:r w:rsidR="00D508D8" w:rsidRPr="00AC3295">
        <w:t>lso</w:t>
      </w:r>
      <w:r w:rsidRPr="00AC3295">
        <w:t xml:space="preserve"> has not recorded an expense for the current period change in th</w:t>
      </w:r>
      <w:r w:rsidR="00D508D8" w:rsidRPr="00AC3295">
        <w:t>is</w:t>
      </w:r>
      <w:r w:rsidRPr="00AC3295">
        <w:t xml:space="preserve"> liability.  Accounting principles generally accepted in the United States of America require compensated absences attributable to employee services already rendered and not contingent on a specific event outside the control of the employer and employee be accrued as liabilities and expenses as employees earn the rights to the benefits</w:t>
      </w:r>
      <w:r w:rsidR="00577B84" w:rsidRPr="00AC3295">
        <w:t>.</w:t>
      </w:r>
      <w:r w:rsidR="00023442" w:rsidRPr="00AC3295">
        <w:t xml:space="preserve">  </w:t>
      </w:r>
      <w:r w:rsidR="00D508D8" w:rsidRPr="00AC3295">
        <w:t>This would</w:t>
      </w:r>
      <w:r w:rsidRPr="00AC3295">
        <w:t xml:space="preserve"> increase liabilities, </w:t>
      </w:r>
      <w:r w:rsidR="007B289F" w:rsidRPr="00AC3295">
        <w:t xml:space="preserve">reduce </w:t>
      </w:r>
      <w:r w:rsidRPr="00AC3295">
        <w:t xml:space="preserve">net position, and </w:t>
      </w:r>
      <w:r w:rsidR="007B289F" w:rsidRPr="00AC3295">
        <w:t xml:space="preserve">change </w:t>
      </w:r>
      <w:r w:rsidR="007B289F" w:rsidRPr="00AC3295">
        <w:lastRenderedPageBreak/>
        <w:t xml:space="preserve">the </w:t>
      </w:r>
      <w:r w:rsidRPr="00AC3295">
        <w:t>expenses</w:t>
      </w:r>
      <w:r w:rsidR="00115761" w:rsidRPr="00AC3295">
        <w:t xml:space="preserve"> </w:t>
      </w:r>
      <w:r w:rsidRPr="00AC3295">
        <w:t>of the governmental activities.</w:t>
      </w:r>
      <w:r w:rsidR="007B289F" w:rsidRPr="00AC3295">
        <w:t xml:space="preserve">  The amount by which this departure would affect the liabilities, net position and expenses of </w:t>
      </w:r>
      <w:r w:rsidR="00743A72" w:rsidRPr="00AC3295">
        <w:t>g</w:t>
      </w:r>
      <w:r w:rsidR="007B289F" w:rsidRPr="00AC3295">
        <w:t xml:space="preserve">overnmental </w:t>
      </w:r>
      <w:r w:rsidR="00743A72" w:rsidRPr="00AC3295">
        <w:t>a</w:t>
      </w:r>
      <w:r w:rsidR="007B289F" w:rsidRPr="00AC3295">
        <w:t xml:space="preserve">ctivities </w:t>
      </w:r>
      <w:r w:rsidR="005E169D" w:rsidRPr="00AC3295">
        <w:t>can</w:t>
      </w:r>
      <w:r w:rsidR="007B289F" w:rsidRPr="00AC3295">
        <w:t xml:space="preserve">not </w:t>
      </w:r>
      <w:r w:rsidR="005E169D" w:rsidRPr="00AC3295">
        <w:t>reasonably be</w:t>
      </w:r>
      <w:r w:rsidR="007B289F" w:rsidRPr="00AC3295">
        <w:t xml:space="preserve"> determined.</w:t>
      </w:r>
    </w:p>
    <w:p w14:paraId="00B0620E" w14:textId="77777777" w:rsidR="00630B02" w:rsidRPr="00AC3295" w:rsidRDefault="00630B02" w:rsidP="00B86188">
      <w:pPr>
        <w:tabs>
          <w:tab w:val="left" w:pos="0"/>
          <w:tab w:val="left" w:pos="547"/>
          <w:tab w:val="left" w:pos="936"/>
          <w:tab w:val="left" w:pos="1440"/>
          <w:tab w:val="left" w:pos="1987"/>
        </w:tabs>
        <w:jc w:val="both"/>
      </w:pPr>
    </w:p>
    <w:p w14:paraId="09AE7241" w14:textId="77777777" w:rsidR="00630B02" w:rsidRPr="00AC3295" w:rsidRDefault="00630B02" w:rsidP="00B86188">
      <w:pPr>
        <w:tabs>
          <w:tab w:val="left" w:pos="0"/>
          <w:tab w:val="left" w:pos="547"/>
          <w:tab w:val="left" w:pos="936"/>
          <w:tab w:val="left" w:pos="1440"/>
          <w:tab w:val="left" w:pos="1987"/>
        </w:tabs>
        <w:jc w:val="both"/>
      </w:pPr>
      <w:r w:rsidRPr="00AC3295">
        <w:t xml:space="preserve">In addition, management has not adopted a methodology for reviewing the </w:t>
      </w:r>
      <w:r w:rsidR="00CA21FF" w:rsidRPr="00AC3295">
        <w:t>collectability</w:t>
      </w:r>
      <w:r w:rsidRPr="00AC3295">
        <w:t xml:space="preserve"> of taxes rec</w:t>
      </w:r>
      <w:r w:rsidR="00CA21FF" w:rsidRPr="00AC3295">
        <w:t xml:space="preserve">eivable </w:t>
      </w:r>
      <w:r w:rsidR="00743A72" w:rsidRPr="00AC3295">
        <w:t>[</w:t>
      </w:r>
      <w:r w:rsidR="00CA21FF" w:rsidRPr="00AC3295">
        <w:rPr>
          <w:i/>
        </w:rPr>
        <w:t xml:space="preserve">identify the affected major governmental funds, such as </w:t>
      </w:r>
      <w:r w:rsidR="00743A72" w:rsidRPr="00AC3295">
        <w:t xml:space="preserve">in </w:t>
      </w:r>
      <w:r w:rsidR="00CA21FF" w:rsidRPr="00AC3295">
        <w:t>Major Governmental Funds X</w:t>
      </w:r>
      <w:r w:rsidR="00CA21FF" w:rsidRPr="00AC3295">
        <w:rPr>
          <w:i/>
        </w:rPr>
        <w:t xml:space="preserve"> </w:t>
      </w:r>
      <w:r w:rsidR="00CA21FF" w:rsidRPr="00AC3295">
        <w:t>and Y</w:t>
      </w:r>
      <w:r w:rsidR="00877D68" w:rsidRPr="00AC3295">
        <w:t xml:space="preserve"> </w:t>
      </w:r>
      <w:r w:rsidR="00743A72" w:rsidRPr="00AC3295">
        <w:t>and</w:t>
      </w:r>
      <w:r w:rsidR="00877D68" w:rsidRPr="00AC3295">
        <w:t>]</w:t>
      </w:r>
      <w:r w:rsidR="00CA21FF" w:rsidRPr="00AC3295">
        <w:t xml:space="preserve"> </w:t>
      </w:r>
      <w:r w:rsidR="00743A72" w:rsidRPr="00AC3295">
        <w:t xml:space="preserve">in </w:t>
      </w:r>
      <w:r w:rsidR="00CA21FF" w:rsidRPr="00AC3295">
        <w:t xml:space="preserve">governmental activities and, accordingly, has not </w:t>
      </w:r>
      <w:r w:rsidR="00577B84" w:rsidRPr="00AC3295">
        <w:t xml:space="preserve">included an </w:t>
      </w:r>
      <w:r w:rsidR="00CA21FF" w:rsidRPr="00AC3295">
        <w:t xml:space="preserve">allowance for uncollectible amounts.  Accounting principles generally accepted in the United States of America require </w:t>
      </w:r>
      <w:r w:rsidR="00577B84" w:rsidRPr="00AC3295">
        <w:t xml:space="preserve">including </w:t>
      </w:r>
      <w:r w:rsidR="00CA21FF" w:rsidRPr="00AC3295">
        <w:t>an adequate allowance for uncollectible receivables, which would decrease the assets, fund balances, and net position</w:t>
      </w:r>
      <w:r w:rsidR="00877D68" w:rsidRPr="00AC3295">
        <w:t>, and change the revenues in</w:t>
      </w:r>
      <w:r w:rsidR="00CA21FF" w:rsidRPr="00AC3295">
        <w:t xml:space="preserve"> [</w:t>
      </w:r>
      <w:r w:rsidR="00CA21FF" w:rsidRPr="00AC3295">
        <w:rPr>
          <w:i/>
        </w:rPr>
        <w:t xml:space="preserve">identify the affected </w:t>
      </w:r>
      <w:r w:rsidR="000B05AA" w:rsidRPr="00AC3295">
        <w:rPr>
          <w:i/>
        </w:rPr>
        <w:t xml:space="preserve">major </w:t>
      </w:r>
      <w:r w:rsidR="00CA21FF" w:rsidRPr="00AC3295">
        <w:rPr>
          <w:i/>
        </w:rPr>
        <w:t>funds</w:t>
      </w:r>
      <w:r w:rsidR="00CA21FF" w:rsidRPr="00AC3295">
        <w:t xml:space="preserve"> and in</w:t>
      </w:r>
      <w:r w:rsidR="00877D68" w:rsidRPr="00AC3295">
        <w:t>]</w:t>
      </w:r>
      <w:r w:rsidR="00CA21FF" w:rsidRPr="00AC3295">
        <w:t xml:space="preserve"> governmental activities.  The amount by which this departure would affect the assets, </w:t>
      </w:r>
      <w:r w:rsidR="00D718BC" w:rsidRPr="00AC3295">
        <w:t xml:space="preserve">fund balances, </w:t>
      </w:r>
      <w:r w:rsidR="00CA21FF" w:rsidRPr="00AC3295">
        <w:t>n</w:t>
      </w:r>
      <w:r w:rsidR="00877D68" w:rsidRPr="00AC3295">
        <w:t>et position, and revenues of</w:t>
      </w:r>
      <w:r w:rsidR="00CA21FF" w:rsidRPr="00AC3295">
        <w:t xml:space="preserve"> [</w:t>
      </w:r>
      <w:r w:rsidR="00CA21FF" w:rsidRPr="00AC3295">
        <w:rPr>
          <w:i/>
        </w:rPr>
        <w:t xml:space="preserve">identify the affected </w:t>
      </w:r>
      <w:r w:rsidR="000B05AA" w:rsidRPr="00AC3295">
        <w:rPr>
          <w:i/>
        </w:rPr>
        <w:t xml:space="preserve">major </w:t>
      </w:r>
      <w:r w:rsidR="00CA21FF" w:rsidRPr="00AC3295">
        <w:rPr>
          <w:i/>
        </w:rPr>
        <w:t>funds</w:t>
      </w:r>
      <w:r w:rsidR="00CA21FF" w:rsidRPr="00AC3295">
        <w:t xml:space="preserve"> and</w:t>
      </w:r>
      <w:r w:rsidR="00877D68" w:rsidRPr="00AC3295">
        <w:t>]</w:t>
      </w:r>
      <w:r w:rsidR="005E169D" w:rsidRPr="00AC3295">
        <w:t xml:space="preserve"> governmental activities can</w:t>
      </w:r>
      <w:r w:rsidR="00CA21FF" w:rsidRPr="00AC3295">
        <w:t xml:space="preserve">not </w:t>
      </w:r>
      <w:r w:rsidR="005E169D" w:rsidRPr="00AC3295">
        <w:t xml:space="preserve">reasonably </w:t>
      </w:r>
      <w:r w:rsidR="00CA21FF" w:rsidRPr="00AC3295">
        <w:t>be determined.</w:t>
      </w:r>
      <w:r w:rsidR="0058120F" w:rsidRPr="00AC3295">
        <w:t xml:space="preserve"> </w:t>
      </w:r>
      <w:r w:rsidR="00CB36E7" w:rsidRPr="00AC3295">
        <w:rPr>
          <w:rStyle w:val="EndnoteReference"/>
        </w:rPr>
        <w:endnoteReference w:id="5"/>
      </w:r>
    </w:p>
    <w:p w14:paraId="0461DFD1" w14:textId="77777777" w:rsidR="00CA21FF" w:rsidRPr="00AC3295" w:rsidRDefault="00CA21FF" w:rsidP="00B86188">
      <w:pPr>
        <w:tabs>
          <w:tab w:val="left" w:pos="0"/>
          <w:tab w:val="left" w:pos="547"/>
          <w:tab w:val="left" w:pos="936"/>
          <w:tab w:val="left" w:pos="1440"/>
          <w:tab w:val="left" w:pos="1987"/>
        </w:tabs>
        <w:jc w:val="both"/>
      </w:pPr>
    </w:p>
    <w:p w14:paraId="39D3F662" w14:textId="77777777" w:rsidR="00CA21FF" w:rsidRPr="00AC3295" w:rsidRDefault="00CA21FF" w:rsidP="00B86188">
      <w:pPr>
        <w:tabs>
          <w:tab w:val="left" w:pos="0"/>
          <w:tab w:val="left" w:pos="547"/>
          <w:tab w:val="left" w:pos="936"/>
          <w:tab w:val="left" w:pos="1440"/>
          <w:tab w:val="left" w:pos="1987"/>
        </w:tabs>
        <w:jc w:val="both"/>
        <w:rPr>
          <w:b/>
          <w:i/>
        </w:rPr>
      </w:pPr>
      <w:r w:rsidRPr="00AC3295">
        <w:rPr>
          <w:b/>
          <w:i/>
        </w:rPr>
        <w:t>Qualified Opinions</w:t>
      </w:r>
    </w:p>
    <w:p w14:paraId="139FD832" w14:textId="77777777" w:rsidR="00CA21FF" w:rsidRPr="00AC3295" w:rsidRDefault="00CA21FF" w:rsidP="00B86188">
      <w:pPr>
        <w:tabs>
          <w:tab w:val="left" w:pos="0"/>
          <w:tab w:val="left" w:pos="547"/>
          <w:tab w:val="left" w:pos="936"/>
          <w:tab w:val="left" w:pos="1440"/>
          <w:tab w:val="left" w:pos="1987"/>
        </w:tabs>
        <w:jc w:val="both"/>
        <w:rPr>
          <w:b/>
          <w:i/>
        </w:rPr>
      </w:pPr>
    </w:p>
    <w:p w14:paraId="7635B600" w14:textId="4313936D" w:rsidR="00CA21FF" w:rsidRPr="0023078D" w:rsidRDefault="00CA21FF" w:rsidP="00BF2028">
      <w:pPr>
        <w:tabs>
          <w:tab w:val="left" w:pos="0"/>
          <w:tab w:val="left" w:pos="547"/>
          <w:tab w:val="left" w:pos="936"/>
          <w:tab w:val="left" w:pos="1440"/>
          <w:tab w:val="left" w:pos="1987"/>
        </w:tabs>
        <w:jc w:val="both"/>
      </w:pPr>
      <w:r w:rsidRPr="0023078D">
        <w:t xml:space="preserve">In our opinion, except for the matters described in the </w:t>
      </w:r>
      <w:r w:rsidRPr="0023078D">
        <w:rPr>
          <w:i/>
        </w:rPr>
        <w:t>Basis for Qualified Opinions on Governmental Activities and Governmental Funds X and Y</w:t>
      </w:r>
      <w:r w:rsidRPr="0023078D">
        <w:t xml:space="preserve"> paragraphs above, the financial statements referred to above present fairly, in all material respects, the respective</w:t>
      </w:r>
      <w:r w:rsidR="00C67DD9" w:rsidRPr="0023078D">
        <w:t xml:space="preserve"> financial position of the governmental activities and the [</w:t>
      </w:r>
      <w:r w:rsidR="00C67DD9" w:rsidRPr="0023078D">
        <w:rPr>
          <w:i/>
        </w:rPr>
        <w:t>identify the affected major governmental funds</w:t>
      </w:r>
      <w:r w:rsidR="00C67DD9" w:rsidRPr="0023078D">
        <w:t xml:space="preserve">] </w:t>
      </w:r>
      <w:r w:rsidR="009A45F0" w:rsidRPr="0023078D">
        <w:t>of</w:t>
      </w:r>
      <w:r w:rsidR="00080BD2" w:rsidRPr="0023078D">
        <w:t xml:space="preserve"> the </w:t>
      </w:r>
      <w:r w:rsidR="00200B17" w:rsidRPr="0023078D">
        <w:t>Entity</w:t>
      </w:r>
      <w:r w:rsidR="009A45F0" w:rsidRPr="0023078D">
        <w:t xml:space="preserve">, as of </w:t>
      </w:r>
      <w:r w:rsidR="00200B17" w:rsidRPr="0023078D">
        <w:t>[FYE DATE]</w:t>
      </w:r>
      <w:r w:rsidR="00C67DD9" w:rsidRPr="0023078D">
        <w:t xml:space="preserve">, and the respective changes in its financial position thereof for the </w:t>
      </w:r>
      <w:r w:rsidR="00567A07" w:rsidRPr="0023078D">
        <w:t>year</w:t>
      </w:r>
      <w:r w:rsidR="00904E1B" w:rsidRPr="0023078D">
        <w:t xml:space="preserve"> then</w:t>
      </w:r>
      <w:r w:rsidR="00C67DD9" w:rsidRPr="0023078D">
        <w:t xml:space="preserve"> ended in accordance with the accounting principles generally accepted in the United States of America.</w:t>
      </w:r>
    </w:p>
    <w:p w14:paraId="059414EA" w14:textId="77777777" w:rsidR="00630B02" w:rsidRPr="0023078D" w:rsidRDefault="00630B02" w:rsidP="00B86188">
      <w:pPr>
        <w:tabs>
          <w:tab w:val="left" w:pos="0"/>
          <w:tab w:val="left" w:pos="547"/>
          <w:tab w:val="left" w:pos="936"/>
          <w:tab w:val="left" w:pos="1440"/>
          <w:tab w:val="left" w:pos="1987"/>
        </w:tabs>
        <w:jc w:val="both"/>
        <w:rPr>
          <w:b/>
          <w:i/>
        </w:rPr>
      </w:pPr>
    </w:p>
    <w:p w14:paraId="1CF312AD" w14:textId="77777777" w:rsidR="00BD2956" w:rsidRPr="0023078D" w:rsidRDefault="006D285D" w:rsidP="00B86188">
      <w:pPr>
        <w:tabs>
          <w:tab w:val="left" w:pos="0"/>
          <w:tab w:val="left" w:pos="547"/>
          <w:tab w:val="left" w:pos="936"/>
          <w:tab w:val="left" w:pos="1440"/>
          <w:tab w:val="left" w:pos="1987"/>
        </w:tabs>
        <w:jc w:val="both"/>
      </w:pPr>
      <w:r w:rsidRPr="0023078D">
        <w:rPr>
          <w:b/>
          <w:i/>
        </w:rPr>
        <w:t xml:space="preserve">Unmodified </w:t>
      </w:r>
      <w:r w:rsidR="00BD2956" w:rsidRPr="0023078D">
        <w:rPr>
          <w:b/>
          <w:i/>
        </w:rPr>
        <w:t>Opinion</w:t>
      </w:r>
      <w:r w:rsidR="00541E5F" w:rsidRPr="0023078D">
        <w:rPr>
          <w:b/>
          <w:i/>
        </w:rPr>
        <w:t>s</w:t>
      </w:r>
    </w:p>
    <w:p w14:paraId="34203D22" w14:textId="77777777" w:rsidR="00BD2956" w:rsidRPr="0023078D" w:rsidRDefault="00BD2956" w:rsidP="00B86188">
      <w:pPr>
        <w:tabs>
          <w:tab w:val="left" w:pos="0"/>
          <w:tab w:val="left" w:pos="547"/>
          <w:tab w:val="left" w:pos="936"/>
          <w:tab w:val="left" w:pos="1440"/>
          <w:tab w:val="left" w:pos="1987"/>
        </w:tabs>
        <w:jc w:val="both"/>
        <w:rPr>
          <w:b/>
          <w:i/>
        </w:rPr>
      </w:pPr>
    </w:p>
    <w:p w14:paraId="53D6035D" w14:textId="139A23BE" w:rsidR="00DA6204" w:rsidRPr="00AC3295" w:rsidRDefault="00BD2956" w:rsidP="00BF2028">
      <w:pPr>
        <w:jc w:val="both"/>
      </w:pPr>
      <w:r w:rsidRPr="0023078D">
        <w:t xml:space="preserve">In our opinion, the financial statements referred to above present fairly, in all material respects, </w:t>
      </w:r>
      <w:r w:rsidR="00A120A2" w:rsidRPr="0023078D">
        <w:t xml:space="preserve">the </w:t>
      </w:r>
      <w:r w:rsidR="00895DEF" w:rsidRPr="0023078D">
        <w:t xml:space="preserve"> respective </w:t>
      </w:r>
      <w:r w:rsidR="00A120A2" w:rsidRPr="0023078D">
        <w:t xml:space="preserve">financial position </w:t>
      </w:r>
      <w:r w:rsidR="00541E5F" w:rsidRPr="0023078D">
        <w:t xml:space="preserve">of the </w:t>
      </w:r>
      <w:r w:rsidR="00541E5F" w:rsidRPr="0023078D">
        <w:rPr>
          <w:b/>
        </w:rPr>
        <w:t>[aggregate]</w:t>
      </w:r>
      <w:r w:rsidR="00541E5F" w:rsidRPr="0023078D">
        <w:t xml:space="preserve"> discretely presented component unit</w:t>
      </w:r>
      <w:r w:rsidR="00541E5F" w:rsidRPr="0023078D">
        <w:rPr>
          <w:b/>
        </w:rPr>
        <w:t>(s)</w:t>
      </w:r>
      <w:r w:rsidR="00541E5F" w:rsidRPr="0023078D">
        <w:t xml:space="preserve">, </w:t>
      </w:r>
      <w:r w:rsidR="00895DEF" w:rsidRPr="0023078D">
        <w:t xml:space="preserve"> </w:t>
      </w:r>
      <w:r w:rsidR="00CC2AF1" w:rsidRPr="0023078D">
        <w:t xml:space="preserve">the General Fund, the </w:t>
      </w:r>
      <w:r w:rsidR="00895DEF" w:rsidRPr="0023078D">
        <w:t>[</w:t>
      </w:r>
      <w:r w:rsidR="00895DEF" w:rsidRPr="0023078D">
        <w:rPr>
          <w:i/>
        </w:rPr>
        <w:t>identify major funds not affected by the previously described adverse and qualified opinions</w:t>
      </w:r>
      <w:r w:rsidR="00895DEF" w:rsidRPr="0023078D">
        <w:t xml:space="preserve">] </w:t>
      </w:r>
      <w:r w:rsidR="00541E5F" w:rsidRPr="0023078D">
        <w:t xml:space="preserve">and the aggregate remaining fund information </w:t>
      </w:r>
      <w:r w:rsidR="009A45F0" w:rsidRPr="0023078D">
        <w:t>of</w:t>
      </w:r>
      <w:r w:rsidR="00080BD2" w:rsidRPr="0023078D">
        <w:t xml:space="preserve"> the </w:t>
      </w:r>
      <w:r w:rsidR="00200B17" w:rsidRPr="0023078D">
        <w:t>Entity</w:t>
      </w:r>
      <w:r w:rsidR="009A45F0" w:rsidRPr="0023078D">
        <w:t xml:space="preserve">, as of  </w:t>
      </w:r>
      <w:r w:rsidR="00200B17" w:rsidRPr="0023078D">
        <w:t>[FYE DATE]</w:t>
      </w:r>
      <w:r w:rsidRPr="0023078D">
        <w:t>,</w:t>
      </w:r>
      <w:r w:rsidRPr="00AC3295">
        <w:t xml:space="preserve"> and </w:t>
      </w:r>
      <w:r w:rsidR="0039779D" w:rsidRPr="00AC3295">
        <w:t xml:space="preserve">the respective </w:t>
      </w:r>
      <w:r w:rsidRPr="00AC3295">
        <w:t>changes in financial position and</w:t>
      </w:r>
      <w:r w:rsidR="000B05AA" w:rsidRPr="00AC3295">
        <w:rPr>
          <w:b/>
        </w:rPr>
        <w:t>,</w:t>
      </w:r>
      <w:r w:rsidRPr="00AC3295">
        <w:t xml:space="preserve"> </w:t>
      </w:r>
      <w:r w:rsidR="00895DEF" w:rsidRPr="00AC3295">
        <w:rPr>
          <w:b/>
        </w:rPr>
        <w:t>where applicable</w:t>
      </w:r>
      <w:r w:rsidR="00895DEF" w:rsidRPr="00AC3295">
        <w:t xml:space="preserve"> </w:t>
      </w:r>
      <w:r w:rsidR="00A120A2" w:rsidRPr="00AC3295">
        <w:rPr>
          <w:b/>
        </w:rPr>
        <w:t>its cash flows</w:t>
      </w:r>
      <w:r w:rsidR="000B05AA" w:rsidRPr="00AC3295">
        <w:rPr>
          <w:b/>
        </w:rPr>
        <w:t>,</w:t>
      </w:r>
      <w:r w:rsidR="0039779D" w:rsidRPr="00AC3295">
        <w:t xml:space="preserve"> </w:t>
      </w:r>
      <w:r w:rsidR="00DA6204" w:rsidRPr="00AC3295">
        <w:t xml:space="preserve">thereof and the </w:t>
      </w:r>
      <w:r w:rsidR="00DA6204" w:rsidRPr="00AC3295">
        <w:rPr>
          <w:b/>
        </w:rPr>
        <w:t>respective</w:t>
      </w:r>
      <w:r w:rsidR="00DA6204" w:rsidRPr="00AC3295">
        <w:rPr>
          <w:b/>
          <w:color w:val="0070C0"/>
        </w:rPr>
        <w:t>&lt;&lt;DELETE IF ONLY ONE BUDGETARY FUND COMPARISON</w:t>
      </w:r>
      <w:r w:rsidR="00DA6204" w:rsidRPr="00AC3295">
        <w:t xml:space="preserve"> budgetary comparison</w:t>
      </w:r>
      <w:r w:rsidR="00DA6204" w:rsidRPr="00AC3295">
        <w:rPr>
          <w:b/>
          <w:color w:val="000000"/>
        </w:rPr>
        <w:t>[s]</w:t>
      </w:r>
      <w:r w:rsidR="00DA6204" w:rsidRPr="00AC3295">
        <w:t xml:space="preserve"> for the General and [list major special revenue funds]</w:t>
      </w:r>
      <w:r w:rsidR="000313A9" w:rsidRPr="00AC3295">
        <w:rPr>
          <w:rStyle w:val="EndnoteReference"/>
        </w:rPr>
        <w:endnoteReference w:id="6"/>
      </w:r>
      <w:r w:rsidR="00DA6204" w:rsidRPr="00AC3295">
        <w:t xml:space="preserve"> thereof for the </w:t>
      </w:r>
      <w:r w:rsidR="00567A07" w:rsidRPr="00AC3295">
        <w:t>year</w:t>
      </w:r>
      <w:r w:rsidR="00DA6204" w:rsidRPr="00AC3295">
        <w:t xml:space="preserve"> then ended in accordance with the accounting principles generally accepted in the United States of America. </w:t>
      </w:r>
    </w:p>
    <w:p w14:paraId="544BE199" w14:textId="77777777" w:rsidR="00023442" w:rsidRPr="00AC3295" w:rsidRDefault="00023442" w:rsidP="00B86188">
      <w:pPr>
        <w:tabs>
          <w:tab w:val="left" w:pos="0"/>
          <w:tab w:val="left" w:pos="547"/>
          <w:tab w:val="left" w:pos="936"/>
          <w:tab w:val="left" w:pos="1440"/>
          <w:tab w:val="left" w:pos="1987"/>
        </w:tabs>
        <w:jc w:val="both"/>
      </w:pPr>
    </w:p>
    <w:p w14:paraId="7E1A8A1D" w14:textId="77777777" w:rsidR="003B2C72" w:rsidRPr="00AC3295" w:rsidRDefault="003B2C72" w:rsidP="003B2C72">
      <w:pPr>
        <w:tabs>
          <w:tab w:val="left" w:pos="0"/>
          <w:tab w:val="left" w:pos="547"/>
          <w:tab w:val="left" w:pos="936"/>
          <w:tab w:val="left" w:pos="1440"/>
          <w:tab w:val="left" w:pos="1987"/>
        </w:tabs>
        <w:jc w:val="both"/>
        <w:rPr>
          <w:highlight w:val="yellow"/>
        </w:rPr>
      </w:pPr>
      <w:r w:rsidRPr="00AC3295">
        <w:rPr>
          <w:b/>
          <w:bCs/>
          <w:i/>
          <w:iCs/>
          <w:highlight w:val="yellow"/>
        </w:rPr>
        <w:t xml:space="preserve">Emphasis of Matter </w:t>
      </w:r>
      <w:r w:rsidRPr="00AC3295">
        <w:rPr>
          <w:b/>
          <w:bCs/>
          <w:i/>
          <w:iCs/>
          <w:highlight w:val="yellow"/>
          <w:vertAlign w:val="superscript"/>
        </w:rPr>
        <w:endnoteReference w:id="7"/>
      </w:r>
      <w:bookmarkStart w:id="0" w:name="_Ref53648475"/>
      <w:r w:rsidR="00080BD2" w:rsidRPr="00AC3295">
        <w:rPr>
          <w:rStyle w:val="EndnoteReference"/>
          <w:b/>
          <w:bCs/>
          <w:i/>
          <w:iCs/>
          <w:highlight w:val="yellow"/>
        </w:rPr>
        <w:endnoteReference w:id="8"/>
      </w:r>
      <w:bookmarkEnd w:id="0"/>
    </w:p>
    <w:p w14:paraId="5B316B13" w14:textId="77777777" w:rsidR="003B2C72" w:rsidRPr="00AC3295" w:rsidRDefault="003B2C72" w:rsidP="003B2C72">
      <w:pPr>
        <w:tabs>
          <w:tab w:val="left" w:pos="0"/>
          <w:tab w:val="left" w:pos="547"/>
          <w:tab w:val="left" w:pos="936"/>
          <w:tab w:val="left" w:pos="1440"/>
          <w:tab w:val="left" w:pos="1987"/>
        </w:tabs>
        <w:jc w:val="both"/>
        <w:rPr>
          <w:highlight w:val="yellow"/>
        </w:rPr>
      </w:pPr>
    </w:p>
    <w:p w14:paraId="11E5B184" w14:textId="650319F1" w:rsidR="005D1956" w:rsidRPr="00AC3295" w:rsidRDefault="005D1956" w:rsidP="00BF2028">
      <w:pPr>
        <w:autoSpaceDE w:val="0"/>
        <w:autoSpaceDN w:val="0"/>
        <w:jc w:val="both"/>
        <w:rPr>
          <w:b/>
          <w:bCs/>
        </w:rPr>
      </w:pPr>
      <w:r w:rsidRPr="00AC3295">
        <w:rPr>
          <w:highlight w:val="yellow"/>
        </w:rPr>
        <w:t xml:space="preserve">As discussed in Note </w:t>
      </w:r>
      <w:r w:rsidRPr="00AC3295">
        <w:rPr>
          <w:b/>
          <w:bCs/>
          <w:highlight w:val="yellow"/>
        </w:rPr>
        <w:t xml:space="preserve">X </w:t>
      </w:r>
      <w:r w:rsidRPr="00AC3295">
        <w:rPr>
          <w:highlight w:val="yellow"/>
        </w:rPr>
        <w:t>to the financial statements, during 20</w:t>
      </w:r>
      <w:r w:rsidR="002938B4" w:rsidRPr="00AC3295">
        <w:rPr>
          <w:highlight w:val="yellow"/>
        </w:rPr>
        <w:t>XX</w:t>
      </w:r>
      <w:r w:rsidRPr="00AC3295">
        <w:rPr>
          <w:highlight w:val="yellow"/>
        </w:rPr>
        <w:t xml:space="preserve">, the </w:t>
      </w:r>
      <w:r w:rsidR="00200B17" w:rsidRPr="0023078D">
        <w:rPr>
          <w:highlight w:val="yellow"/>
        </w:rPr>
        <w:t>Entity</w:t>
      </w:r>
      <w:r w:rsidRPr="00AC3295">
        <w:rPr>
          <w:highlight w:val="yellow"/>
        </w:rPr>
        <w:t xml:space="preserve"> adopted</w:t>
      </w:r>
      <w:r w:rsidR="002938B4" w:rsidRPr="00AC3295">
        <w:rPr>
          <w:highlight w:val="yellow"/>
        </w:rPr>
        <w:t xml:space="preserve"> new accounting guidance in</w:t>
      </w:r>
      <w:r w:rsidRPr="00AC3295">
        <w:rPr>
          <w:highlight w:val="yellow"/>
        </w:rPr>
        <w:t xml:space="preserve"> Governmental Accounting Standards Board (GASB) Statement No. </w:t>
      </w:r>
      <w:r w:rsidR="002938B4" w:rsidRPr="00AC3295">
        <w:rPr>
          <w:highlight w:val="yellow"/>
        </w:rPr>
        <w:t>XX</w:t>
      </w:r>
      <w:r w:rsidRPr="00AC3295">
        <w:rPr>
          <w:highlight w:val="yellow"/>
        </w:rPr>
        <w:t>,</w:t>
      </w:r>
      <w:r w:rsidRPr="00AC3295">
        <w:rPr>
          <w:i/>
          <w:iCs/>
          <w:highlight w:val="yellow"/>
        </w:rPr>
        <w:t xml:space="preserve"> </w:t>
      </w:r>
      <w:r w:rsidR="002938B4" w:rsidRPr="00AC3295">
        <w:rPr>
          <w:i/>
          <w:iCs/>
          <w:highlight w:val="yellow"/>
        </w:rPr>
        <w:t>[include name/title of GASB Statement in italics]</w:t>
      </w:r>
      <w:r w:rsidRPr="00AC3295">
        <w:rPr>
          <w:highlight w:val="yellow"/>
        </w:rPr>
        <w:t>.  We did not modify our opinion regarding this matter.</w:t>
      </w:r>
      <w:r w:rsidRPr="00AC3295">
        <w:t xml:space="preserve"> </w:t>
      </w:r>
    </w:p>
    <w:p w14:paraId="33D7C0DD" w14:textId="77777777" w:rsidR="003B2C72" w:rsidRPr="00AC3295" w:rsidRDefault="003B2C72" w:rsidP="00B86188">
      <w:pPr>
        <w:tabs>
          <w:tab w:val="left" w:pos="0"/>
          <w:tab w:val="left" w:pos="547"/>
          <w:tab w:val="left" w:pos="936"/>
          <w:tab w:val="left" w:pos="1440"/>
          <w:tab w:val="left" w:pos="1987"/>
        </w:tabs>
        <w:jc w:val="both"/>
      </w:pPr>
    </w:p>
    <w:p w14:paraId="770EA2B1" w14:textId="77777777" w:rsidR="008C13C4" w:rsidRPr="00AC3295" w:rsidRDefault="008C13C4" w:rsidP="00B86188">
      <w:pPr>
        <w:tabs>
          <w:tab w:val="left" w:pos="0"/>
          <w:tab w:val="left" w:pos="547"/>
          <w:tab w:val="left" w:pos="936"/>
          <w:tab w:val="left" w:pos="1440"/>
          <w:tab w:val="left" w:pos="1987"/>
        </w:tabs>
        <w:jc w:val="both"/>
        <w:rPr>
          <w:b/>
          <w:i/>
        </w:rPr>
      </w:pPr>
      <w:r w:rsidRPr="00AC3295">
        <w:rPr>
          <w:b/>
          <w:i/>
        </w:rPr>
        <w:t>Other Matters</w:t>
      </w:r>
      <w:r w:rsidR="00A60113" w:rsidRPr="00AC3295">
        <w:rPr>
          <w:rStyle w:val="EndnoteReference"/>
          <w:b/>
          <w:i/>
        </w:rPr>
        <w:endnoteReference w:id="9"/>
      </w:r>
    </w:p>
    <w:p w14:paraId="07845A4A" w14:textId="77777777" w:rsidR="008C13C4" w:rsidRPr="00AC3295" w:rsidRDefault="008C13C4" w:rsidP="00B86188">
      <w:pPr>
        <w:tabs>
          <w:tab w:val="left" w:pos="0"/>
          <w:tab w:val="left" w:pos="547"/>
          <w:tab w:val="left" w:pos="936"/>
          <w:tab w:val="left" w:pos="1440"/>
          <w:tab w:val="left" w:pos="1987"/>
        </w:tabs>
        <w:jc w:val="both"/>
        <w:rPr>
          <w:b/>
          <w:i/>
        </w:rPr>
      </w:pPr>
    </w:p>
    <w:p w14:paraId="7B887144" w14:textId="77777777" w:rsidR="008C13C4" w:rsidRPr="00AC3295" w:rsidRDefault="008C13C4" w:rsidP="00B86188">
      <w:pPr>
        <w:tabs>
          <w:tab w:val="left" w:pos="0"/>
          <w:tab w:val="left" w:pos="547"/>
          <w:tab w:val="left" w:pos="936"/>
          <w:tab w:val="left" w:pos="1440"/>
          <w:tab w:val="left" w:pos="1987"/>
        </w:tabs>
        <w:jc w:val="both"/>
        <w:rPr>
          <w:b/>
          <w:i/>
        </w:rPr>
      </w:pPr>
      <w:r w:rsidRPr="00AC3295">
        <w:rPr>
          <w:i/>
        </w:rPr>
        <w:t>Required Supplementary Information</w:t>
      </w:r>
      <w:r w:rsidRPr="00AC3295">
        <w:rPr>
          <w:b/>
          <w:i/>
        </w:rPr>
        <w:t xml:space="preserve"> </w:t>
      </w:r>
      <w:r w:rsidR="001E2B9C" w:rsidRPr="00AC3295">
        <w:rPr>
          <w:vertAlign w:val="superscript"/>
        </w:rPr>
        <w:endnoteReference w:id="10"/>
      </w:r>
    </w:p>
    <w:p w14:paraId="3C6E3A3C" w14:textId="77777777" w:rsidR="008C13C4" w:rsidRPr="00AC3295" w:rsidRDefault="008C13C4" w:rsidP="00B86188">
      <w:pPr>
        <w:tabs>
          <w:tab w:val="left" w:pos="0"/>
          <w:tab w:val="left" w:pos="547"/>
          <w:tab w:val="left" w:pos="936"/>
          <w:tab w:val="left" w:pos="1440"/>
          <w:tab w:val="left" w:pos="1987"/>
        </w:tabs>
        <w:jc w:val="both"/>
        <w:rPr>
          <w:b/>
          <w:i/>
        </w:rPr>
      </w:pPr>
    </w:p>
    <w:p w14:paraId="6BBCE570" w14:textId="77777777" w:rsidR="008C13C4" w:rsidRPr="00AC3295" w:rsidRDefault="008C13C4" w:rsidP="00BF2028">
      <w:pPr>
        <w:tabs>
          <w:tab w:val="left" w:pos="0"/>
          <w:tab w:val="left" w:pos="547"/>
          <w:tab w:val="left" w:pos="936"/>
          <w:tab w:val="left" w:pos="1440"/>
          <w:tab w:val="left" w:pos="1987"/>
        </w:tabs>
        <w:jc w:val="both"/>
      </w:pPr>
      <w:r w:rsidRPr="00AC3295">
        <w:rPr>
          <w:iCs/>
        </w:rPr>
        <w:t>Accounting principles generally accepted in the United States of America</w:t>
      </w:r>
      <w:r w:rsidRPr="00AC3295">
        <w:rPr>
          <w:i/>
          <w:iCs/>
        </w:rPr>
        <w:t xml:space="preserve"> </w:t>
      </w:r>
      <w:r w:rsidRPr="00AC3295">
        <w:t xml:space="preserve">require this presentation to include </w:t>
      </w:r>
      <w:r w:rsidR="002938B4" w:rsidRPr="00AC3295">
        <w:rPr>
          <w:i/>
        </w:rPr>
        <w:t xml:space="preserve">management’s discussion </w:t>
      </w:r>
      <w:r w:rsidRPr="00AC3295">
        <w:rPr>
          <w:i/>
        </w:rPr>
        <w:t xml:space="preserve">and </w:t>
      </w:r>
      <w:r w:rsidR="002938B4" w:rsidRPr="00AC3295">
        <w:rPr>
          <w:i/>
        </w:rPr>
        <w:t>analysis</w:t>
      </w:r>
      <w:r w:rsidRPr="00AC3295">
        <w:t xml:space="preserve">, </w:t>
      </w:r>
      <w:r w:rsidRPr="00AC3295">
        <w:rPr>
          <w:b/>
        </w:rPr>
        <w:t>[</w:t>
      </w:r>
      <w:r w:rsidRPr="00AC3295">
        <w:rPr>
          <w:i/>
        </w:rPr>
        <w:t>Required budgetary comparison schedule</w:t>
      </w:r>
      <w:r w:rsidRPr="00AC3295">
        <w:rPr>
          <w:b/>
          <w:i/>
        </w:rPr>
        <w:t>(s)</w:t>
      </w:r>
      <w:r w:rsidRPr="00AC3295">
        <w:t xml:space="preserve"> and </w:t>
      </w:r>
      <w:r w:rsidRPr="00AC3295">
        <w:rPr>
          <w:i/>
        </w:rPr>
        <w:t>Schedules for infrastructure assets accounted for using the modified approach</w:t>
      </w:r>
      <w:r w:rsidRPr="00AC3295">
        <w:t>,</w:t>
      </w:r>
      <w:r w:rsidRPr="00AC3295">
        <w:rPr>
          <w:b/>
        </w:rPr>
        <w:t>]</w:t>
      </w:r>
      <w:r w:rsidRPr="00AC3295">
        <w:t xml:space="preserve"> </w:t>
      </w:r>
      <w:r w:rsidR="00175A75" w:rsidRPr="00AC3295">
        <w:rPr>
          <w:highlight w:val="yellow"/>
        </w:rPr>
        <w:t>and schedules of net pension and other post-employment benefit liabilities and pension and other post-employment benefit contributions</w:t>
      </w:r>
      <w:r w:rsidR="003B2C72" w:rsidRPr="00AC3295">
        <w:t xml:space="preserve"> </w:t>
      </w:r>
      <w:r w:rsidRPr="00AC3295">
        <w:t>listed in the table of contents, to supplement the basic financial statements. Although this information is not part of the basic financial statements, the Governmental Accounting Standards Board considers it essential for placing the basic financial statements in an appropriate operational, economic, or historical context. We applied certain limited procedures to the required supplementary information in accordance with auditing standards generally accepted in the United States of America, consisting of inquiri</w:t>
      </w:r>
      <w:r w:rsidR="002938B4" w:rsidRPr="00AC3295">
        <w:t>es of</w:t>
      </w:r>
      <w:r w:rsidRPr="00AC3295">
        <w:t xml:space="preserve"> management about the methods of preparing the information</w:t>
      </w:r>
      <w:r w:rsidR="00FE3C5D" w:rsidRPr="00AC3295">
        <w:t>,</w:t>
      </w:r>
      <w:r w:rsidRPr="00AC3295">
        <w:t xml:space="preserve"> and compar</w:t>
      </w:r>
      <w:r w:rsidR="00FE3C5D" w:rsidRPr="00AC3295">
        <w:t>ing</w:t>
      </w:r>
      <w:r w:rsidRPr="00AC3295">
        <w:t xml:space="preserve"> the information for consistency with management’s responses to our inquiries</w:t>
      </w:r>
      <w:r w:rsidR="006C3A35" w:rsidRPr="00AC3295">
        <w:t xml:space="preserve"> and</w:t>
      </w:r>
      <w:r w:rsidRPr="00AC3295">
        <w:t xml:space="preserve"> to the basic financial statements, and other knowledge we obtained during our audit of the basic financial statements.</w:t>
      </w:r>
      <w:r w:rsidR="0048752A" w:rsidRPr="00AC3295">
        <w:t xml:space="preserve"> </w:t>
      </w:r>
      <w:r w:rsidR="00BF2028" w:rsidRPr="00AC3295">
        <w:t xml:space="preserve">We do not opine or provide any assurance on the information because the limited procedures do not provide us with sufficient evidence to opine or provide any other assurance. </w:t>
      </w:r>
    </w:p>
    <w:p w14:paraId="48BAEB21" w14:textId="77777777" w:rsidR="00B33879" w:rsidRPr="00AC3295" w:rsidRDefault="00B33879" w:rsidP="00B33879">
      <w:pPr>
        <w:tabs>
          <w:tab w:val="left" w:pos="0"/>
          <w:tab w:val="left" w:pos="547"/>
          <w:tab w:val="left" w:pos="936"/>
          <w:tab w:val="left" w:pos="1440"/>
          <w:tab w:val="left" w:pos="1987"/>
        </w:tabs>
        <w:jc w:val="both"/>
      </w:pPr>
    </w:p>
    <w:p w14:paraId="45DB2B21" w14:textId="77777777" w:rsidR="00B33879" w:rsidRPr="00AC3295" w:rsidRDefault="00B33879" w:rsidP="00BA6C4C">
      <w:pPr>
        <w:tabs>
          <w:tab w:val="left" w:pos="0"/>
          <w:tab w:val="left" w:pos="547"/>
          <w:tab w:val="left" w:pos="936"/>
          <w:tab w:val="left" w:pos="1440"/>
          <w:tab w:val="left" w:pos="1987"/>
        </w:tabs>
        <w:jc w:val="both"/>
      </w:pPr>
      <w:r w:rsidRPr="00AC3295">
        <w:t>Although our opinion</w:t>
      </w:r>
      <w:r w:rsidR="00FE3C5D" w:rsidRPr="00AC3295">
        <w:t>s</w:t>
      </w:r>
      <w:r w:rsidRPr="00AC3295">
        <w:t xml:space="preserve"> on the basic financial statements </w:t>
      </w:r>
      <w:r w:rsidR="00FE3C5D" w:rsidRPr="00AC3295">
        <w:t>are</w:t>
      </w:r>
      <w:r w:rsidRPr="00AC3295">
        <w:t xml:space="preserve"> not further affected, we believe </w:t>
      </w:r>
      <w:r w:rsidR="002938B4" w:rsidRPr="00AC3295">
        <w:rPr>
          <w:i/>
        </w:rPr>
        <w:t xml:space="preserve">management’s discussion </w:t>
      </w:r>
      <w:r w:rsidRPr="00AC3295">
        <w:rPr>
          <w:i/>
        </w:rPr>
        <w:t xml:space="preserve">and </w:t>
      </w:r>
      <w:r w:rsidR="002938B4" w:rsidRPr="00AC3295">
        <w:rPr>
          <w:i/>
        </w:rPr>
        <w:t>analysis</w:t>
      </w:r>
      <w:r w:rsidR="002938B4" w:rsidRPr="00AC3295">
        <w:t xml:space="preserve"> </w:t>
      </w:r>
      <w:r w:rsidR="00B55721" w:rsidRPr="00AC3295">
        <w:t xml:space="preserve">departs from </w:t>
      </w:r>
      <w:r w:rsidRPr="00AC3295">
        <w:t>Governmental Accounting Standards Board guidelines</w:t>
      </w:r>
      <w:r w:rsidR="003B2C72" w:rsidRPr="00AC3295">
        <w:t xml:space="preserve"> </w:t>
      </w:r>
      <w:r w:rsidR="00926100" w:rsidRPr="00AC3295">
        <w:t xml:space="preserve">because, </w:t>
      </w:r>
      <w:r w:rsidR="00926100" w:rsidRPr="00AC3295">
        <w:rPr>
          <w:bCs/>
          <w:iCs/>
        </w:rPr>
        <w:t>a</w:t>
      </w:r>
      <w:r w:rsidRPr="00AC3295">
        <w:rPr>
          <w:bCs/>
          <w:iCs/>
        </w:rPr>
        <w:t>s discussed in the</w:t>
      </w:r>
      <w:r w:rsidRPr="00AC3295">
        <w:rPr>
          <w:bCs/>
          <w:i/>
          <w:iCs/>
        </w:rPr>
        <w:t xml:space="preserve"> Basis for Qualified Opinions on Governmental Activities and Governmental Funds X and Y paragraph</w:t>
      </w:r>
      <w:r w:rsidR="005A63B9" w:rsidRPr="00AC3295">
        <w:rPr>
          <w:bCs/>
          <w:i/>
          <w:iCs/>
        </w:rPr>
        <w:t xml:space="preserve"> above</w:t>
      </w:r>
      <w:r w:rsidRPr="00AC3295">
        <w:rPr>
          <w:bCs/>
          <w:i/>
          <w:iCs/>
        </w:rPr>
        <w:t xml:space="preserve">, </w:t>
      </w:r>
      <w:r w:rsidRPr="00AC3295">
        <w:t xml:space="preserve">the tables derived from the Governmental Activities’ financial statements omit a liability for compensated absences and an allowance for uncollectible taxes. </w:t>
      </w:r>
    </w:p>
    <w:p w14:paraId="0412582D" w14:textId="77777777" w:rsidR="008B294A" w:rsidRPr="00AC3295" w:rsidRDefault="008B294A" w:rsidP="002704F4">
      <w:pPr>
        <w:pStyle w:val="ListParagraph"/>
        <w:ind w:left="630"/>
        <w:jc w:val="both"/>
      </w:pPr>
    </w:p>
    <w:p w14:paraId="4ECD58E4" w14:textId="77777777" w:rsidR="008C13C4" w:rsidRPr="00AC3295" w:rsidRDefault="008C13C4" w:rsidP="002704F4">
      <w:pPr>
        <w:tabs>
          <w:tab w:val="left" w:pos="0"/>
          <w:tab w:val="left" w:pos="547"/>
          <w:tab w:val="left" w:pos="936"/>
          <w:tab w:val="left" w:pos="1440"/>
          <w:tab w:val="left" w:pos="1987"/>
        </w:tabs>
        <w:jc w:val="both"/>
        <w:rPr>
          <w:b/>
          <w:color w:val="00B050"/>
        </w:rPr>
      </w:pPr>
      <w:r w:rsidRPr="00AC3295">
        <w:rPr>
          <w:i/>
        </w:rPr>
        <w:t>Supplementary and Other Information</w:t>
      </w:r>
      <w:r w:rsidRPr="00AC3295">
        <w:rPr>
          <w:b/>
          <w:i/>
        </w:rPr>
        <w:t xml:space="preserve"> </w:t>
      </w:r>
      <w:r w:rsidRPr="00AC3295">
        <w:rPr>
          <w:b/>
          <w:color w:val="00B050"/>
        </w:rPr>
        <w:t xml:space="preserve">  </w:t>
      </w:r>
    </w:p>
    <w:p w14:paraId="36D7F28D" w14:textId="77777777" w:rsidR="008C13C4" w:rsidRPr="00AC3295" w:rsidRDefault="008C13C4" w:rsidP="002704F4">
      <w:pPr>
        <w:tabs>
          <w:tab w:val="left" w:pos="0"/>
          <w:tab w:val="left" w:pos="547"/>
          <w:tab w:val="left" w:pos="936"/>
          <w:tab w:val="left" w:pos="1440"/>
          <w:tab w:val="left" w:pos="1987"/>
        </w:tabs>
        <w:jc w:val="both"/>
        <w:rPr>
          <w:b/>
          <w:color w:val="C00000"/>
        </w:rPr>
      </w:pPr>
    </w:p>
    <w:p w14:paraId="1580EF41" w14:textId="04897AEE" w:rsidR="00A23173" w:rsidRPr="00AC3295" w:rsidRDefault="008C13C4" w:rsidP="002704F4">
      <w:pPr>
        <w:tabs>
          <w:tab w:val="left" w:pos="0"/>
          <w:tab w:val="left" w:pos="547"/>
          <w:tab w:val="left" w:pos="936"/>
          <w:tab w:val="left" w:pos="1440"/>
          <w:tab w:val="left" w:pos="1987"/>
        </w:tabs>
        <w:jc w:val="both"/>
      </w:pPr>
      <w:r w:rsidRPr="00AC3295">
        <w:t xml:space="preserve">Our audit was conducted to opine on </w:t>
      </w:r>
      <w:r w:rsidRPr="0023078D">
        <w:t xml:space="preserve">the </w:t>
      </w:r>
      <w:r w:rsidR="00200B17" w:rsidRPr="0023078D">
        <w:t>Entity</w:t>
      </w:r>
      <w:r w:rsidRPr="0023078D">
        <w:t>’s basic</w:t>
      </w:r>
      <w:r w:rsidRPr="00AC3295">
        <w:t xml:space="preserve"> financial statements taken as a whole. </w:t>
      </w:r>
    </w:p>
    <w:p w14:paraId="0E6756E6" w14:textId="77777777" w:rsidR="00A23173" w:rsidRPr="00AC3295" w:rsidRDefault="00A23173" w:rsidP="002704F4">
      <w:pPr>
        <w:tabs>
          <w:tab w:val="left" w:pos="0"/>
          <w:tab w:val="left" w:pos="547"/>
          <w:tab w:val="left" w:pos="936"/>
          <w:tab w:val="left" w:pos="1440"/>
          <w:tab w:val="left" w:pos="1987"/>
        </w:tabs>
        <w:jc w:val="both"/>
      </w:pPr>
    </w:p>
    <w:p w14:paraId="2D7D7791" w14:textId="77777777" w:rsidR="008C13C4" w:rsidRPr="00AC3295" w:rsidRDefault="008C13C4" w:rsidP="002704F4">
      <w:pPr>
        <w:tabs>
          <w:tab w:val="left" w:pos="0"/>
          <w:tab w:val="left" w:pos="547"/>
          <w:tab w:val="left" w:pos="936"/>
          <w:tab w:val="left" w:pos="1440"/>
          <w:tab w:val="left" w:pos="1987"/>
        </w:tabs>
        <w:jc w:val="both"/>
      </w:pPr>
      <w:r w:rsidRPr="00AC3295">
        <w:rPr>
          <w:b/>
        </w:rPr>
        <w:t>[</w:t>
      </w:r>
      <w:r w:rsidRPr="00AC3295">
        <w:t>The</w:t>
      </w:r>
      <w:bookmarkStart w:id="1" w:name="_Ref273609986"/>
      <w:r w:rsidRPr="00AC3295">
        <w:t xml:space="preserve"> introductory section, the financial section’s c</w:t>
      </w:r>
      <w:r w:rsidRPr="00AC3295">
        <w:rPr>
          <w:color w:val="000000"/>
        </w:rPr>
        <w:t xml:space="preserve">ombining statements, individual fund statements and schedules, </w:t>
      </w:r>
      <w:r w:rsidRPr="00AC3295">
        <w:t>and the statistical section information</w:t>
      </w:r>
      <w:r w:rsidRPr="00AC3295">
        <w:rPr>
          <w:b/>
        </w:rPr>
        <w:t>]</w:t>
      </w:r>
      <w:bookmarkStart w:id="2" w:name="_Ref53648682"/>
      <w:r w:rsidR="00047D12" w:rsidRPr="00AC3295">
        <w:rPr>
          <w:rStyle w:val="EndnoteReference"/>
          <w:b/>
        </w:rPr>
        <w:endnoteReference w:id="11"/>
      </w:r>
      <w:bookmarkEnd w:id="2"/>
      <w:r w:rsidRPr="00AC3295">
        <w:t xml:space="preserve"> </w:t>
      </w:r>
      <w:bookmarkEnd w:id="1"/>
      <w:r w:rsidRPr="00AC3295">
        <w:t xml:space="preserve">present additional analysis and </w:t>
      </w:r>
      <w:r w:rsidRPr="00AC3295">
        <w:rPr>
          <w:b/>
        </w:rPr>
        <w:t>is/are</w:t>
      </w:r>
      <w:r w:rsidRPr="00AC3295">
        <w:t xml:space="preserve"> not a required part of the basic financial statements.  </w:t>
      </w:r>
    </w:p>
    <w:p w14:paraId="4160D07D" w14:textId="77777777" w:rsidR="00B446C8" w:rsidRPr="00AC3295" w:rsidRDefault="00B446C8" w:rsidP="00B446C8">
      <w:pPr>
        <w:tabs>
          <w:tab w:val="left" w:pos="0"/>
          <w:tab w:val="left" w:pos="547"/>
          <w:tab w:val="left" w:pos="936"/>
          <w:tab w:val="left" w:pos="1440"/>
          <w:tab w:val="left" w:pos="1987"/>
        </w:tabs>
        <w:jc w:val="both"/>
      </w:pPr>
    </w:p>
    <w:p w14:paraId="3A2B2AF2" w14:textId="77777777" w:rsidR="00B446C8" w:rsidRPr="00AC3295" w:rsidRDefault="00A60113" w:rsidP="002704F4">
      <w:pPr>
        <w:tabs>
          <w:tab w:val="left" w:pos="0"/>
          <w:tab w:val="left" w:pos="547"/>
          <w:tab w:val="left" w:pos="936"/>
          <w:tab w:val="left" w:pos="1440"/>
          <w:tab w:val="left" w:pos="1987"/>
        </w:tabs>
        <w:jc w:val="both"/>
      </w:pPr>
      <w:r w:rsidRPr="00AC3295">
        <w:rPr>
          <w:b/>
        </w:rPr>
        <w:t>[</w:t>
      </w:r>
      <w:r w:rsidR="00B446C8" w:rsidRPr="00AC3295">
        <w:t xml:space="preserve">The </w:t>
      </w:r>
      <w:r w:rsidR="001E7383" w:rsidRPr="00AC3295">
        <w:t>Schedule of Expenditures of Federal Awards</w:t>
      </w:r>
      <w:r w:rsidR="00B446C8" w:rsidRPr="00AC3295">
        <w:t xml:space="preserve"> presents additional analysis as required by </w:t>
      </w:r>
      <w:r w:rsidR="00B446C8" w:rsidRPr="00AC3295">
        <w:rPr>
          <w:rStyle w:val="c-doc-para-italic2"/>
        </w:rPr>
        <w:t>Title 2 U.S. Code of Federal Regulations (CFR) Part 200,</w:t>
      </w:r>
      <w:r w:rsidR="00B446C8" w:rsidRPr="00AC3295">
        <w:t xml:space="preserve"> Uniform Administrative Requirements, Cost Principles, and Audit Requirements for Federal Awards and is not a required part of the financial statements.</w:t>
      </w:r>
      <w:r w:rsidRPr="00AC3295">
        <w:rPr>
          <w:b/>
        </w:rPr>
        <w:t>]</w:t>
      </w:r>
      <w:r w:rsidR="00B446C8" w:rsidRPr="00AC3295">
        <w:t xml:space="preserve"> </w:t>
      </w:r>
    </w:p>
    <w:p w14:paraId="251B5018" w14:textId="77777777" w:rsidR="00B446C8" w:rsidRPr="00AC3295" w:rsidRDefault="00B446C8" w:rsidP="002704F4">
      <w:pPr>
        <w:tabs>
          <w:tab w:val="left" w:pos="0"/>
          <w:tab w:val="left" w:pos="547"/>
          <w:tab w:val="left" w:pos="936"/>
          <w:tab w:val="left" w:pos="1440"/>
          <w:tab w:val="left" w:pos="1987"/>
        </w:tabs>
        <w:jc w:val="both"/>
        <w:rPr>
          <w:lang w:eastAsia="ja-JP"/>
        </w:rPr>
      </w:pPr>
    </w:p>
    <w:p w14:paraId="23DC7BD1" w14:textId="77777777" w:rsidR="0048752A" w:rsidRPr="00AC3295" w:rsidRDefault="00D53F19" w:rsidP="002704F4">
      <w:pPr>
        <w:tabs>
          <w:tab w:val="left" w:pos="0"/>
          <w:tab w:val="left" w:pos="547"/>
          <w:tab w:val="left" w:pos="936"/>
          <w:tab w:val="left" w:pos="1440"/>
          <w:tab w:val="left" w:pos="1987"/>
        </w:tabs>
        <w:jc w:val="both"/>
        <w:rPr>
          <w:color w:val="000000"/>
        </w:rPr>
      </w:pPr>
      <w:r w:rsidRPr="00AC3295">
        <w:rPr>
          <w:lang w:eastAsia="ja-JP"/>
        </w:rPr>
        <w:t>The</w:t>
      </w:r>
      <w:r w:rsidR="005F6545" w:rsidRPr="00AC3295">
        <w:rPr>
          <w:lang w:eastAsia="ja-JP"/>
        </w:rPr>
        <w:t xml:space="preserve"> </w:t>
      </w:r>
      <w:r w:rsidRPr="00AC3295">
        <w:rPr>
          <w:b/>
          <w:lang w:eastAsia="ja-JP"/>
        </w:rPr>
        <w:t>[</w:t>
      </w:r>
      <w:r w:rsidRPr="00AC3295">
        <w:rPr>
          <w:color w:val="000000"/>
        </w:rPr>
        <w:t>statements</w:t>
      </w:r>
      <w:r w:rsidRPr="00AC3295">
        <w:rPr>
          <w:b/>
          <w:color w:val="000000"/>
        </w:rPr>
        <w:t>]</w:t>
      </w:r>
      <w:r w:rsidRPr="00AC3295">
        <w:rPr>
          <w:color w:val="000000"/>
        </w:rPr>
        <w:t xml:space="preserve"> </w:t>
      </w:r>
      <w:r w:rsidRPr="00AC3295">
        <w:rPr>
          <w:b/>
          <w:color w:val="000000"/>
        </w:rPr>
        <w:t>and [</w:t>
      </w:r>
      <w:r w:rsidRPr="00AC3295">
        <w:rPr>
          <w:color w:val="000000"/>
        </w:rPr>
        <w:t>schedules</w:t>
      </w:r>
      <w:r w:rsidRPr="00AC3295">
        <w:rPr>
          <w:b/>
        </w:rPr>
        <w:t xml:space="preserve">] </w:t>
      </w:r>
      <w:r w:rsidRPr="00AC3295">
        <w:rPr>
          <w:lang w:eastAsia="ja-JP"/>
        </w:rPr>
        <w:t>are management’s responsibility, and derive</w:t>
      </w:r>
      <w:r w:rsidRPr="00AC3295">
        <w:rPr>
          <w:b/>
          <w:lang w:eastAsia="ja-JP"/>
        </w:rPr>
        <w:t>(s)</w:t>
      </w:r>
      <w:r w:rsidRPr="00AC3295">
        <w:rPr>
          <w:lang w:eastAsia="ja-JP"/>
        </w:rPr>
        <w:t xml:space="preserve"> from and relate</w:t>
      </w:r>
      <w:r w:rsidR="00A60113" w:rsidRPr="00AC3295">
        <w:rPr>
          <w:b/>
          <w:lang w:eastAsia="ja-JP"/>
        </w:rPr>
        <w:t>(s)</w:t>
      </w:r>
      <w:r w:rsidRPr="00AC3295">
        <w:rPr>
          <w:lang w:eastAsia="ja-JP"/>
        </w:rPr>
        <w:t xml:space="preserve"> directly to the underlying accounting and other records used to prepare the basic financial statements.   We subjected th</w:t>
      </w:r>
      <w:r w:rsidR="00604928" w:rsidRPr="00AC3295">
        <w:rPr>
          <w:lang w:eastAsia="ja-JP"/>
        </w:rPr>
        <w:t>is information</w:t>
      </w:r>
      <w:r w:rsidRPr="00AC3295">
        <w:rPr>
          <w:b/>
        </w:rPr>
        <w:t xml:space="preserve"> </w:t>
      </w:r>
      <w:r w:rsidRPr="00AC3295">
        <w:t xml:space="preserve">to the auditing procedures we applied to the basic financial statements.  We also </w:t>
      </w:r>
      <w:r w:rsidRPr="00AC3295">
        <w:rPr>
          <w:lang w:eastAsia="ja-JP"/>
        </w:rPr>
        <w:t>applied certain additional procedures, including comparing and reconciling</w:t>
      </w:r>
      <w:r w:rsidR="00604928" w:rsidRPr="00AC3295">
        <w:rPr>
          <w:b/>
        </w:rPr>
        <w:t xml:space="preserve"> </w:t>
      </w:r>
      <w:r w:rsidR="00604928" w:rsidRPr="00AC3295">
        <w:t xml:space="preserve">this information </w:t>
      </w:r>
      <w:r w:rsidRPr="00AC3295">
        <w:rPr>
          <w:lang w:eastAsia="ja-JP"/>
        </w:rPr>
        <w:t>directly to the underlying accounting and other records used to prepare the basic financial statements or to the basic financial statements themselves in accordance with auditing standards generally accepted in the United States of America.</w:t>
      </w:r>
      <w:r w:rsidRPr="00AC3295">
        <w:t xml:space="preserve">  </w:t>
      </w:r>
      <w:r w:rsidR="0048752A" w:rsidRPr="00AC3295">
        <w:rPr>
          <w:color w:val="000000"/>
        </w:rPr>
        <w:t xml:space="preserve"> </w:t>
      </w:r>
    </w:p>
    <w:p w14:paraId="5C86C542" w14:textId="77777777" w:rsidR="007515FE" w:rsidRPr="00AC3295" w:rsidRDefault="007515FE" w:rsidP="00D56D81">
      <w:pPr>
        <w:tabs>
          <w:tab w:val="left" w:pos="0"/>
          <w:tab w:val="left" w:pos="547"/>
          <w:tab w:val="left" w:pos="936"/>
          <w:tab w:val="left" w:pos="1440"/>
          <w:tab w:val="left" w:pos="1987"/>
        </w:tabs>
        <w:jc w:val="both"/>
        <w:rPr>
          <w:color w:val="000000"/>
        </w:rPr>
      </w:pPr>
    </w:p>
    <w:p w14:paraId="394A67FE" w14:textId="77777777" w:rsidR="005F6545" w:rsidRPr="00AC3295" w:rsidRDefault="00B446C8" w:rsidP="00D56D81">
      <w:pPr>
        <w:tabs>
          <w:tab w:val="left" w:pos="0"/>
          <w:tab w:val="left" w:pos="547"/>
          <w:tab w:val="left" w:pos="936"/>
          <w:tab w:val="left" w:pos="1440"/>
          <w:tab w:val="left" w:pos="1987"/>
        </w:tabs>
        <w:jc w:val="both"/>
        <w:rPr>
          <w:i/>
          <w:color w:val="0070C0"/>
        </w:rPr>
      </w:pPr>
      <w:r w:rsidRPr="00AC3295">
        <w:rPr>
          <w:i/>
          <w:color w:val="0070C0"/>
        </w:rPr>
        <w:t>Use</w:t>
      </w:r>
      <w:r w:rsidR="005F6545" w:rsidRPr="00AC3295">
        <w:rPr>
          <w:i/>
          <w:color w:val="0070C0"/>
        </w:rPr>
        <w:t xml:space="preserve"> bullet points if </w:t>
      </w:r>
      <w:r w:rsidRPr="00AC3295">
        <w:rPr>
          <w:i/>
          <w:color w:val="FF0000"/>
        </w:rPr>
        <w:t>multiple</w:t>
      </w:r>
      <w:r w:rsidRPr="00AC3295">
        <w:rPr>
          <w:i/>
          <w:color w:val="0070C0"/>
        </w:rPr>
        <w:t xml:space="preserve"> qualifications affect supplemental information.  If only one qualification affects the supplemental information, do not use bullet points – Instead use example such as Opinion A-5.</w:t>
      </w:r>
    </w:p>
    <w:p w14:paraId="76844E24" w14:textId="77777777" w:rsidR="005A3AD8" w:rsidRPr="00AC3295" w:rsidRDefault="005A3AD8" w:rsidP="005A3AD8">
      <w:pPr>
        <w:pStyle w:val="ListParagraph"/>
        <w:numPr>
          <w:ilvl w:val="0"/>
          <w:numId w:val="11"/>
        </w:numPr>
        <w:tabs>
          <w:tab w:val="left" w:pos="0"/>
          <w:tab w:val="left" w:pos="547"/>
          <w:tab w:val="left" w:pos="936"/>
          <w:tab w:val="left" w:pos="1440"/>
          <w:tab w:val="left" w:pos="1987"/>
        </w:tabs>
        <w:jc w:val="both"/>
        <w:rPr>
          <w:color w:val="000000"/>
        </w:rPr>
      </w:pPr>
      <w:r w:rsidRPr="00AC3295">
        <w:rPr>
          <w:color w:val="000000"/>
        </w:rPr>
        <w:tab/>
      </w:r>
      <w:r w:rsidR="004B351F" w:rsidRPr="00AC3295">
        <w:rPr>
          <w:color w:val="000000"/>
        </w:rPr>
        <w:t xml:space="preserve">Because of the significance </w:t>
      </w:r>
      <w:r w:rsidR="00243574" w:rsidRPr="00AC3295">
        <w:rPr>
          <w:color w:val="000000"/>
        </w:rPr>
        <w:t xml:space="preserve">of the matter </w:t>
      </w:r>
      <w:r w:rsidR="00815317" w:rsidRPr="00AC3295">
        <w:rPr>
          <w:color w:val="000000"/>
        </w:rPr>
        <w:t xml:space="preserve">discussed in the </w:t>
      </w:r>
      <w:r w:rsidR="00815317" w:rsidRPr="00AC3295">
        <w:rPr>
          <w:i/>
          <w:color w:val="000000"/>
        </w:rPr>
        <w:t xml:space="preserve">Basis for </w:t>
      </w:r>
      <w:r w:rsidR="00926100" w:rsidRPr="00AC3295">
        <w:rPr>
          <w:i/>
          <w:color w:val="000000"/>
        </w:rPr>
        <w:t xml:space="preserve">Disclaimer of </w:t>
      </w:r>
      <w:r w:rsidR="00815317" w:rsidRPr="00AC3295">
        <w:rPr>
          <w:i/>
          <w:color w:val="000000"/>
        </w:rPr>
        <w:t xml:space="preserve">Opinion on </w:t>
      </w:r>
      <w:r w:rsidR="00926100" w:rsidRPr="00AC3295">
        <w:rPr>
          <w:i/>
          <w:color w:val="000000"/>
        </w:rPr>
        <w:t xml:space="preserve">the Sanitation </w:t>
      </w:r>
      <w:r w:rsidR="00815317" w:rsidRPr="00AC3295">
        <w:rPr>
          <w:i/>
          <w:color w:val="000000"/>
        </w:rPr>
        <w:t>Fund and Qualified Opinion on Business-Type Activities</w:t>
      </w:r>
      <w:r w:rsidR="00815317" w:rsidRPr="00AC3295">
        <w:rPr>
          <w:color w:val="000000"/>
        </w:rPr>
        <w:t xml:space="preserve"> para</w:t>
      </w:r>
      <w:r w:rsidR="004B351F" w:rsidRPr="00AC3295">
        <w:rPr>
          <w:color w:val="000000"/>
        </w:rPr>
        <w:t>graph above, it is inappropriate to and we do not opin</w:t>
      </w:r>
      <w:r w:rsidR="006C7C4A" w:rsidRPr="00AC3295">
        <w:rPr>
          <w:color w:val="000000"/>
        </w:rPr>
        <w:t>e</w:t>
      </w:r>
      <w:r w:rsidR="004B351F" w:rsidRPr="00AC3295">
        <w:rPr>
          <w:color w:val="000000"/>
        </w:rPr>
        <w:t xml:space="preserve"> on the</w:t>
      </w:r>
      <w:r w:rsidR="00815317" w:rsidRPr="00AC3295">
        <w:rPr>
          <w:color w:val="000000"/>
        </w:rPr>
        <w:t xml:space="preserve"> </w:t>
      </w:r>
      <w:r w:rsidR="00926100" w:rsidRPr="00AC3295">
        <w:rPr>
          <w:color w:val="000000"/>
        </w:rPr>
        <w:t>Schedule of Revenues, Expenses, and Changes in Fund Equity – Budget and Actual, for the Sanitation Fund.</w:t>
      </w:r>
    </w:p>
    <w:p w14:paraId="4CB6B73C" w14:textId="77777777" w:rsidR="00501272" w:rsidRPr="00AC3295" w:rsidRDefault="00501272" w:rsidP="00221312">
      <w:pPr>
        <w:pStyle w:val="ListParagraph"/>
        <w:tabs>
          <w:tab w:val="left" w:pos="0"/>
          <w:tab w:val="left" w:pos="547"/>
          <w:tab w:val="left" w:pos="936"/>
          <w:tab w:val="left" w:pos="1440"/>
          <w:tab w:val="left" w:pos="1987"/>
        </w:tabs>
        <w:jc w:val="both"/>
        <w:rPr>
          <w:color w:val="000000"/>
        </w:rPr>
      </w:pPr>
    </w:p>
    <w:p w14:paraId="18A051E4" w14:textId="77777777" w:rsidR="00501272" w:rsidRPr="00AC3295" w:rsidRDefault="00501272" w:rsidP="00221312">
      <w:pPr>
        <w:pStyle w:val="ListParagraph"/>
        <w:numPr>
          <w:ilvl w:val="0"/>
          <w:numId w:val="11"/>
        </w:numPr>
        <w:tabs>
          <w:tab w:val="left" w:pos="0"/>
          <w:tab w:val="left" w:pos="547"/>
          <w:tab w:val="left" w:pos="936"/>
          <w:tab w:val="left" w:pos="1440"/>
          <w:tab w:val="left" w:pos="1987"/>
        </w:tabs>
        <w:jc w:val="both"/>
        <w:rPr>
          <w:color w:val="000000"/>
        </w:rPr>
      </w:pPr>
      <w:r w:rsidRPr="00AC3295">
        <w:rPr>
          <w:color w:val="000000"/>
        </w:rPr>
        <w:t xml:space="preserve">   In our opinion, except for the omission of an allowance for uncollectible taxes in Funds X and Y as discussed in the Basis for Qualified Opinions on Governmental Activities and Governmental Funds X and Y paragraph above, the combining [and individual] Governmental Fund statements [and schedules] are fairly stated in all material respects in relation to the financial statements as a whole.</w:t>
      </w:r>
    </w:p>
    <w:p w14:paraId="59724A2E" w14:textId="77777777" w:rsidR="00926100" w:rsidRPr="00AC3295" w:rsidRDefault="00926100" w:rsidP="00BA6C4C">
      <w:pPr>
        <w:pStyle w:val="ListParagraph"/>
        <w:rPr>
          <w:color w:val="000000"/>
        </w:rPr>
      </w:pPr>
    </w:p>
    <w:p w14:paraId="1094A2F3" w14:textId="77777777" w:rsidR="00926100" w:rsidRPr="00AC3295" w:rsidRDefault="00926100" w:rsidP="00926100">
      <w:pPr>
        <w:pStyle w:val="ListParagraph"/>
        <w:numPr>
          <w:ilvl w:val="0"/>
          <w:numId w:val="11"/>
        </w:numPr>
        <w:tabs>
          <w:tab w:val="left" w:pos="0"/>
          <w:tab w:val="left" w:pos="547"/>
          <w:tab w:val="left" w:pos="936"/>
          <w:tab w:val="left" w:pos="1440"/>
          <w:tab w:val="left" w:pos="1987"/>
        </w:tabs>
        <w:jc w:val="both"/>
        <w:rPr>
          <w:color w:val="000000"/>
        </w:rPr>
      </w:pPr>
      <w:r w:rsidRPr="00AC3295">
        <w:rPr>
          <w:color w:val="000000"/>
          <w:highlight w:val="yellow"/>
        </w:rPr>
        <w:t xml:space="preserve">   We were unable to obtain sufficient evidence to support the completeness of expenditures reported in the Schedule of Expenditures of Federal Awards.  In our opinion, except for the possible effects related to the completeness of this Schedule, this Schedule presents fairly, in all material respects, the expenditure of federal awards in all material respects in relation to the financial statements as a whole.</w:t>
      </w:r>
    </w:p>
    <w:p w14:paraId="313C0EC2" w14:textId="77777777" w:rsidR="00221312" w:rsidRPr="00AC3295" w:rsidRDefault="00221312" w:rsidP="00221312">
      <w:pPr>
        <w:pStyle w:val="ListParagraph"/>
        <w:tabs>
          <w:tab w:val="left" w:pos="0"/>
          <w:tab w:val="left" w:pos="547"/>
          <w:tab w:val="left" w:pos="936"/>
          <w:tab w:val="left" w:pos="1440"/>
          <w:tab w:val="left" w:pos="1987"/>
        </w:tabs>
        <w:jc w:val="both"/>
        <w:rPr>
          <w:color w:val="000000"/>
        </w:rPr>
      </w:pPr>
    </w:p>
    <w:p w14:paraId="680EF114" w14:textId="77777777" w:rsidR="00501272" w:rsidRPr="00AC3295" w:rsidRDefault="00501272" w:rsidP="00221312">
      <w:pPr>
        <w:pStyle w:val="ListParagraph"/>
        <w:numPr>
          <w:ilvl w:val="0"/>
          <w:numId w:val="11"/>
        </w:numPr>
        <w:tabs>
          <w:tab w:val="left" w:pos="0"/>
          <w:tab w:val="left" w:pos="547"/>
          <w:tab w:val="left" w:pos="936"/>
          <w:tab w:val="left" w:pos="1440"/>
          <w:tab w:val="left" w:pos="1987"/>
        </w:tabs>
        <w:jc w:val="both"/>
        <w:rPr>
          <w:color w:val="000000"/>
        </w:rPr>
      </w:pPr>
      <w:r w:rsidRPr="00AC3295">
        <w:rPr>
          <w:color w:val="000000"/>
        </w:rPr>
        <w:t xml:space="preserve">   Also, in our opinion, the statements for [aggregate] discretely presented component unit(s), and the combining [and individual] fund statements [and schedules] for [identify major funds not affected by the previously described adverse and qualified opinions] and the aggregate remaining fund information are fairly stated in all material respects in relation to the financial statements as a whole.</w:t>
      </w:r>
    </w:p>
    <w:p w14:paraId="20438CD8" w14:textId="77777777" w:rsidR="00501272" w:rsidRPr="00AC3295" w:rsidRDefault="00501272" w:rsidP="00501272">
      <w:pPr>
        <w:pStyle w:val="ListParagraph"/>
        <w:rPr>
          <w:color w:val="000000"/>
        </w:rPr>
      </w:pPr>
    </w:p>
    <w:p w14:paraId="5A7F089E" w14:textId="0A2CC3C1" w:rsidR="00D53F19" w:rsidRDefault="00D53F19" w:rsidP="00B86188">
      <w:pPr>
        <w:tabs>
          <w:tab w:val="left" w:pos="0"/>
          <w:tab w:val="left" w:pos="547"/>
          <w:tab w:val="left" w:pos="936"/>
          <w:tab w:val="left" w:pos="1440"/>
          <w:tab w:val="left" w:pos="1987"/>
        </w:tabs>
        <w:jc w:val="both"/>
        <w:rPr>
          <w:b/>
          <w:color w:val="000000"/>
        </w:rPr>
      </w:pPr>
      <w:r w:rsidRPr="00AC3295">
        <w:t xml:space="preserve">We did not subject the introductory section and statistical section information to the auditing procedures applied in the audit of the basic financial statements and, accordingly, we express no opinion or any other assurance on </w:t>
      </w:r>
      <w:r w:rsidRPr="00AC3295">
        <w:rPr>
          <w:b/>
        </w:rPr>
        <w:t>it / them</w:t>
      </w:r>
      <w:r w:rsidRPr="00AC3295">
        <w:t>.</w:t>
      </w:r>
      <w:r w:rsidRPr="00AC3295">
        <w:rPr>
          <w:rStyle w:val="EndnoteReference"/>
        </w:rPr>
        <w:endnoteReference w:id="12"/>
      </w:r>
      <w:r w:rsidRPr="00AC3295">
        <w:t xml:space="preserve">  </w:t>
      </w:r>
      <w:r w:rsidR="002938B4" w:rsidRPr="00AC3295">
        <w:rPr>
          <w:b/>
          <w:color w:val="000000"/>
        </w:rPr>
        <w:t>(Omit paragraph if no “other information” included.)</w:t>
      </w:r>
    </w:p>
    <w:p w14:paraId="725E8785" w14:textId="281B65AC" w:rsidR="007D20F6" w:rsidRDefault="007D20F6" w:rsidP="00B86188">
      <w:pPr>
        <w:tabs>
          <w:tab w:val="left" w:pos="0"/>
          <w:tab w:val="left" w:pos="547"/>
          <w:tab w:val="left" w:pos="936"/>
          <w:tab w:val="left" w:pos="1440"/>
          <w:tab w:val="left" w:pos="1987"/>
        </w:tabs>
        <w:jc w:val="both"/>
      </w:pPr>
    </w:p>
    <w:p w14:paraId="3E183E97" w14:textId="77777777" w:rsidR="007D20F6" w:rsidRPr="00AC3295" w:rsidRDefault="007D20F6" w:rsidP="00B86188">
      <w:pPr>
        <w:tabs>
          <w:tab w:val="left" w:pos="0"/>
          <w:tab w:val="left" w:pos="547"/>
          <w:tab w:val="left" w:pos="936"/>
          <w:tab w:val="left" w:pos="1440"/>
          <w:tab w:val="left" w:pos="1987"/>
        </w:tabs>
        <w:jc w:val="both"/>
      </w:pPr>
      <w:bookmarkStart w:id="3" w:name="_GoBack"/>
      <w:bookmarkEnd w:id="3"/>
    </w:p>
    <w:p w14:paraId="567A808B" w14:textId="77777777" w:rsidR="00BD2956" w:rsidRPr="00AC3295" w:rsidRDefault="00BD2956" w:rsidP="00B86188">
      <w:pPr>
        <w:tabs>
          <w:tab w:val="left" w:pos="0"/>
          <w:tab w:val="left" w:pos="547"/>
          <w:tab w:val="left" w:pos="936"/>
          <w:tab w:val="left" w:pos="1440"/>
          <w:tab w:val="left" w:pos="1987"/>
        </w:tabs>
        <w:jc w:val="both"/>
      </w:pPr>
    </w:p>
    <w:p w14:paraId="34A24AF5" w14:textId="77777777" w:rsidR="00BD2956" w:rsidRPr="00AC3295" w:rsidRDefault="00BD2956" w:rsidP="00B86188">
      <w:pPr>
        <w:tabs>
          <w:tab w:val="left" w:pos="0"/>
          <w:tab w:val="left" w:pos="547"/>
          <w:tab w:val="left" w:pos="936"/>
          <w:tab w:val="left" w:pos="1440"/>
          <w:tab w:val="left" w:pos="1987"/>
        </w:tabs>
        <w:jc w:val="both"/>
      </w:pPr>
      <w:r w:rsidRPr="00AC3295">
        <w:rPr>
          <w:b/>
          <w:i/>
        </w:rPr>
        <w:lastRenderedPageBreak/>
        <w:t xml:space="preserve">Other Reporting Required by Government Auditing Standards </w:t>
      </w:r>
    </w:p>
    <w:p w14:paraId="51227983" w14:textId="77777777" w:rsidR="00BD2956" w:rsidRPr="00AC3295" w:rsidRDefault="00BD2956" w:rsidP="00B86188">
      <w:pPr>
        <w:tabs>
          <w:tab w:val="left" w:pos="0"/>
          <w:tab w:val="left" w:pos="547"/>
          <w:tab w:val="left" w:pos="936"/>
          <w:tab w:val="left" w:pos="1440"/>
          <w:tab w:val="left" w:pos="1987"/>
        </w:tabs>
        <w:jc w:val="both"/>
      </w:pPr>
    </w:p>
    <w:p w14:paraId="329C6EA2" w14:textId="595AFF87" w:rsidR="0005238E" w:rsidRPr="00AC3295" w:rsidRDefault="0005238E" w:rsidP="00B86188">
      <w:pPr>
        <w:jc w:val="both"/>
      </w:pPr>
      <w:r w:rsidRPr="0023078D">
        <w:t xml:space="preserve">In accordance with </w:t>
      </w:r>
      <w:r w:rsidRPr="0023078D">
        <w:rPr>
          <w:i/>
        </w:rPr>
        <w:t>Government Auditing Standards</w:t>
      </w:r>
      <w:r w:rsidRPr="0023078D">
        <w:t>, we have also issued</w:t>
      </w:r>
      <w:r w:rsidR="00A60113" w:rsidRPr="0023078D">
        <w:rPr>
          <w:rStyle w:val="EndnoteReference"/>
        </w:rPr>
        <w:endnoteReference w:id="13"/>
      </w:r>
      <w:r w:rsidRPr="0023078D">
        <w:t xml:space="preserve"> our report dated </w:t>
      </w:r>
      <w:r w:rsidR="00200B17" w:rsidRPr="0023078D">
        <w:t>[REPORT DATE]</w:t>
      </w:r>
      <w:r w:rsidRPr="0023078D">
        <w:t xml:space="preserve">, on our consideration of the </w:t>
      </w:r>
      <w:r w:rsidR="00200B17" w:rsidRPr="0023078D">
        <w:t>Entity</w:t>
      </w:r>
      <w:r w:rsidRPr="0023078D">
        <w:t xml:space="preserve">’s internal control over financial reporting and our tests of its compliance with certain provisions of laws, regulations, contracts and grant agreements and other matters.  That report describes the scope of our internal control testing over financial reporting and compliance, and the results of that testing, and does not opine on internal control over financial reporting or on compliance.  That report is an integral part of an audit performed in accordance with </w:t>
      </w:r>
      <w:r w:rsidRPr="0023078D">
        <w:rPr>
          <w:i/>
        </w:rPr>
        <w:t>Government Auditing Standards</w:t>
      </w:r>
      <w:r w:rsidRPr="0023078D">
        <w:t xml:space="preserve"> in considering the </w:t>
      </w:r>
      <w:r w:rsidR="00200B17" w:rsidRPr="0023078D">
        <w:t>Entity</w:t>
      </w:r>
      <w:r w:rsidRPr="0023078D">
        <w:t>’s internal c</w:t>
      </w:r>
      <w:r w:rsidRPr="00AC3295">
        <w:t xml:space="preserve">ontrol over financial reporting and compliance. </w:t>
      </w:r>
    </w:p>
    <w:p w14:paraId="364D00BD" w14:textId="77777777" w:rsidR="0005238E" w:rsidRPr="00AC3295" w:rsidRDefault="0005238E" w:rsidP="00B86188">
      <w:pPr>
        <w:tabs>
          <w:tab w:val="left" w:pos="0"/>
          <w:tab w:val="left" w:pos="547"/>
          <w:tab w:val="left" w:pos="936"/>
          <w:tab w:val="left" w:pos="1440"/>
          <w:tab w:val="left" w:pos="1987"/>
        </w:tabs>
        <w:jc w:val="both"/>
        <w:rPr>
          <w:color w:val="000000"/>
          <w:highlight w:val="cyan"/>
        </w:rPr>
      </w:pPr>
    </w:p>
    <w:p w14:paraId="081EACB4" w14:textId="77777777" w:rsidR="00596B47" w:rsidRDefault="00596B47" w:rsidP="00B86188">
      <w:pPr>
        <w:jc w:val="both"/>
      </w:pPr>
    </w:p>
    <w:p w14:paraId="6F5FD3E8" w14:textId="77777777" w:rsidR="00596B47" w:rsidRDefault="00596B47" w:rsidP="00B86188">
      <w:pPr>
        <w:jc w:val="both"/>
      </w:pPr>
    </w:p>
    <w:p w14:paraId="52B8B633" w14:textId="5F7A528F" w:rsidR="00596B47" w:rsidRPr="00596B47" w:rsidRDefault="00596B47" w:rsidP="00B86188">
      <w:pPr>
        <w:jc w:val="both"/>
        <w:rPr>
          <w:b/>
        </w:rPr>
      </w:pPr>
      <w:r w:rsidRPr="00596B47">
        <w:rPr>
          <w:b/>
        </w:rPr>
        <w:t>[Auditor Signature]</w:t>
      </w:r>
    </w:p>
    <w:p w14:paraId="43221BDD" w14:textId="7F369F0A" w:rsidR="0005238E" w:rsidRPr="00AC3295" w:rsidRDefault="00596B47" w:rsidP="00B86188">
      <w:pPr>
        <w:jc w:val="both"/>
      </w:pPr>
      <w:r>
        <w:t>[City, State]</w:t>
      </w:r>
      <w:r w:rsidR="0005238E" w:rsidRPr="00AC3295">
        <w:t xml:space="preserve"> </w:t>
      </w:r>
    </w:p>
    <w:p w14:paraId="0E93D8E3" w14:textId="77777777" w:rsidR="0005238E" w:rsidRPr="00AC3295" w:rsidRDefault="0005238E" w:rsidP="00B86188">
      <w:pPr>
        <w:jc w:val="both"/>
      </w:pPr>
    </w:p>
    <w:p w14:paraId="58F429A5" w14:textId="3ACD5BBB" w:rsidR="0005238E" w:rsidRPr="00AC3295" w:rsidRDefault="00200B17" w:rsidP="00B86188">
      <w:pPr>
        <w:jc w:val="both"/>
        <w:rPr>
          <w:iCs/>
        </w:rPr>
      </w:pPr>
      <w:r w:rsidRPr="0023078D">
        <w:t>[REPORT DATE]</w:t>
      </w:r>
    </w:p>
    <w:p w14:paraId="29EE8D16" w14:textId="77777777" w:rsidR="00BD2956" w:rsidRPr="00AC3295" w:rsidRDefault="00BD2956" w:rsidP="00B86188">
      <w:pPr>
        <w:tabs>
          <w:tab w:val="left" w:pos="0"/>
          <w:tab w:val="left" w:pos="547"/>
          <w:tab w:val="left" w:pos="936"/>
          <w:tab w:val="left" w:pos="1440"/>
          <w:tab w:val="left" w:pos="1987"/>
        </w:tabs>
        <w:jc w:val="both"/>
      </w:pPr>
    </w:p>
    <w:p w14:paraId="3FA75F48" w14:textId="77777777" w:rsidR="00BA6C4C" w:rsidRPr="00AC3295" w:rsidRDefault="00BA6C4C" w:rsidP="00B86188">
      <w:pPr>
        <w:tabs>
          <w:tab w:val="left" w:pos="0"/>
          <w:tab w:val="left" w:pos="547"/>
          <w:tab w:val="left" w:pos="936"/>
          <w:tab w:val="left" w:pos="1440"/>
          <w:tab w:val="left" w:pos="1987"/>
        </w:tabs>
        <w:jc w:val="both"/>
        <w:rPr>
          <w:b/>
          <w:i/>
        </w:rPr>
        <w:sectPr w:rsidR="00BA6C4C" w:rsidRPr="00AC3295" w:rsidSect="00DC7E14">
          <w:headerReference w:type="default" r:id="rId17"/>
          <w:endnotePr>
            <w:numFmt w:val="decimal"/>
          </w:endnotePr>
          <w:type w:val="continuous"/>
          <w:pgSz w:w="12240" w:h="15840"/>
          <w:pgMar w:top="720" w:right="1440" w:bottom="720" w:left="1440" w:header="720" w:footer="720" w:gutter="0"/>
          <w:cols w:space="720"/>
          <w:titlePg/>
          <w:docGrid w:linePitch="360"/>
        </w:sectPr>
      </w:pPr>
    </w:p>
    <w:p w14:paraId="12FF2247" w14:textId="77777777" w:rsidR="004E45B0" w:rsidRPr="00AC3295" w:rsidRDefault="004E45B0" w:rsidP="00B86188">
      <w:pPr>
        <w:jc w:val="both"/>
        <w:rPr>
          <w:iCs/>
        </w:rPr>
      </w:pPr>
    </w:p>
    <w:sectPr w:rsidR="004E45B0" w:rsidRPr="00AC3295" w:rsidSect="00DC7E14">
      <w:headerReference w:type="default" r:id="rId18"/>
      <w:headerReference w:type="first" r:id="rId19"/>
      <w:footerReference w:type="first" r:id="rId20"/>
      <w:endnotePr>
        <w:numFmt w:val="decimal"/>
      </w:endnotePr>
      <w:pgSz w:w="12240" w:h="15840"/>
      <w:pgMar w:top="720" w:right="1440" w:bottom="72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46">
      <wne:macro wne:macroName="PROJECT.NEWMACROS.FINALIZE"/>
    </wne:keymap>
    <wne:keymap wne:kcmPrimary="0655">
      <wne:macro wne:macroName="PROJECT.NEW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EBB61" w14:textId="77777777" w:rsidR="006F07D4" w:rsidRDefault="006F07D4">
      <w:r>
        <w:separator/>
      </w:r>
    </w:p>
  </w:endnote>
  <w:endnote w:type="continuationSeparator" w:id="0">
    <w:p w14:paraId="7F6129E1" w14:textId="77777777" w:rsidR="006F07D4" w:rsidRDefault="006F07D4">
      <w:r>
        <w:continuationSeparator/>
      </w:r>
    </w:p>
  </w:endnote>
  <w:endnote w:id="1">
    <w:p w14:paraId="1B268096" w14:textId="77777777" w:rsidR="006F07D4" w:rsidRPr="00EE2ECE" w:rsidRDefault="006F07D4" w:rsidP="00554B28">
      <w:pPr>
        <w:pStyle w:val="EndnoteText"/>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r>
      <w:r w:rsidRPr="00EE2ECE">
        <w:t xml:space="preserve">If we combine </w:t>
      </w:r>
      <w:r w:rsidRPr="00FA7D97">
        <w:rPr>
          <w:i/>
        </w:rPr>
        <w:t>discrete component units</w:t>
      </w:r>
      <w:r w:rsidRPr="00EE2ECE">
        <w:t xml:space="preserve"> and </w:t>
      </w:r>
      <w:r w:rsidRPr="00FA7D97">
        <w:rPr>
          <w:i/>
        </w:rPr>
        <w:t>remaining fund information</w:t>
      </w:r>
      <w:r w:rsidRPr="00EE2ECE">
        <w:t xml:space="preserve"> into one opinion unit under the circumstances permi</w:t>
      </w:r>
      <w:r>
        <w:t>tted by footnote 7 to Exhibit 4</w:t>
      </w:r>
      <w:r w:rsidRPr="000108DE">
        <w:t>-</w:t>
      </w:r>
      <w:r w:rsidRPr="00EE2ECE">
        <w:t>1</w:t>
      </w:r>
      <w:r>
        <w:t xml:space="preserve"> (following section 4.73</w:t>
      </w:r>
      <w:r w:rsidRPr="000108DE">
        <w:t>)</w:t>
      </w:r>
      <w:r w:rsidRPr="00EE2ECE">
        <w:t xml:space="preserve"> in SLG, revise this phrase as follows:</w:t>
      </w:r>
    </w:p>
    <w:p w14:paraId="2F1FC918" w14:textId="77777777" w:rsidR="006F07D4" w:rsidRPr="00EE2ECE" w:rsidRDefault="006F07D4" w:rsidP="00554B28">
      <w:pPr>
        <w:pStyle w:val="EndnoteText"/>
        <w:widowControl w:val="0"/>
        <w:tabs>
          <w:tab w:val="left" w:pos="0"/>
          <w:tab w:val="left" w:pos="547"/>
          <w:tab w:val="left" w:pos="936"/>
          <w:tab w:val="left" w:pos="1440"/>
          <w:tab w:val="left" w:pos="1987"/>
        </w:tabs>
        <w:ind w:left="547" w:hanging="547"/>
        <w:jc w:val="both"/>
      </w:pPr>
    </w:p>
    <w:p w14:paraId="717265F2" w14:textId="77777777" w:rsidR="006F07D4" w:rsidRPr="00EE2ECE" w:rsidRDefault="006F07D4" w:rsidP="00554B28">
      <w:pPr>
        <w:pStyle w:val="EndnoteText"/>
        <w:widowControl w:val="0"/>
        <w:tabs>
          <w:tab w:val="left" w:pos="0"/>
          <w:tab w:val="left" w:pos="547"/>
          <w:tab w:val="left" w:pos="936"/>
          <w:tab w:val="left" w:pos="1440"/>
          <w:tab w:val="left" w:pos="1987"/>
        </w:tabs>
        <w:ind w:left="547"/>
        <w:jc w:val="both"/>
      </w:pPr>
      <w:r w:rsidRPr="00EE2ECE">
        <w:t>“ . . . governmental activities, the business-type activities, each major fund and the [aggregate] discretely presented component unit and remaining fund information . . . “</w:t>
      </w:r>
    </w:p>
    <w:p w14:paraId="4CBDF903" w14:textId="77777777" w:rsidR="006F07D4" w:rsidRDefault="006F07D4" w:rsidP="00554B28">
      <w:pPr>
        <w:pStyle w:val="EndnoteText"/>
        <w:jc w:val="both"/>
      </w:pPr>
    </w:p>
  </w:endnote>
  <w:endnote w:id="2">
    <w:p w14:paraId="2F06CAEC" w14:textId="77777777" w:rsidR="006F07D4" w:rsidRDefault="006F07D4" w:rsidP="00554B28">
      <w:pPr>
        <w:pStyle w:val="EndnoteText"/>
        <w:ind w:left="540" w:hanging="540"/>
        <w:jc w:val="both"/>
      </w:pPr>
      <w:r>
        <w:rPr>
          <w:rStyle w:val="EndnoteReference"/>
        </w:rPr>
        <w:endnoteRef/>
      </w:r>
      <w:r>
        <w:t xml:space="preserve">        As discussed in SLG 16.58, insert “, a component un</w:t>
      </w:r>
      <w:r w:rsidR="00080BD2" w:rsidRPr="00554B28">
        <w:t>it of [PRIMARY GOVERNMENT],” if</w:t>
      </w:r>
      <w:r w:rsidR="00080BD2">
        <w:t xml:space="preserve"> </w:t>
      </w:r>
      <w:r>
        <w:t xml:space="preserve">applicable.  </w:t>
      </w:r>
    </w:p>
    <w:p w14:paraId="32A3899D" w14:textId="77777777" w:rsidR="006F07D4" w:rsidRDefault="006F07D4" w:rsidP="00554B28">
      <w:pPr>
        <w:pStyle w:val="EndnoteText"/>
        <w:jc w:val="both"/>
      </w:pPr>
    </w:p>
  </w:endnote>
  <w:endnote w:id="3">
    <w:p w14:paraId="46E3299F" w14:textId="77777777" w:rsidR="006F07D4" w:rsidRDefault="006F07D4" w:rsidP="00554B28">
      <w:pPr>
        <w:pStyle w:val="EndnoteText"/>
        <w:ind w:left="540" w:hanging="540"/>
        <w:jc w:val="both"/>
      </w:pPr>
      <w:r>
        <w:rPr>
          <w:rStyle w:val="EndnoteReference"/>
        </w:rPr>
        <w:endnoteRef/>
      </w:r>
      <w:r>
        <w:t xml:space="preserve">        Modify financial statement elements to fit the circumstances.  Include or omit: assets, liabilities,</w:t>
      </w:r>
      <w:r w:rsidR="00080BD2">
        <w:t xml:space="preserve"> </w:t>
      </w:r>
      <w:r>
        <w:t>deferred inflows of resources, deferred outflows of resources, revenues, expenditure, expenses,</w:t>
      </w:r>
      <w:r w:rsidR="00080BD2">
        <w:t xml:space="preserve"> </w:t>
      </w:r>
      <w:r>
        <w:t xml:space="preserve">fund balances and net position.   </w:t>
      </w:r>
    </w:p>
    <w:p w14:paraId="13C08D95" w14:textId="77777777" w:rsidR="006F07D4" w:rsidRDefault="006F07D4" w:rsidP="00554B28">
      <w:pPr>
        <w:pStyle w:val="EndnoteText"/>
        <w:jc w:val="both"/>
      </w:pPr>
    </w:p>
  </w:endnote>
  <w:endnote w:id="4">
    <w:p w14:paraId="5D045848" w14:textId="77777777" w:rsidR="006F07D4" w:rsidRDefault="006F07D4" w:rsidP="00554B28">
      <w:pPr>
        <w:pStyle w:val="EndnoteText"/>
        <w:jc w:val="both"/>
      </w:pPr>
      <w:r>
        <w:rPr>
          <w:rStyle w:val="EndnoteReference"/>
        </w:rPr>
        <w:endnoteRef/>
      </w:r>
      <w:r>
        <w:t xml:space="preserve">       This example assumes that the sanitation fund’s revenues and receivables are sufficiently significant </w:t>
      </w:r>
    </w:p>
    <w:p w14:paraId="0ABBA31E" w14:textId="77777777" w:rsidR="006F07D4" w:rsidRDefault="006F07D4" w:rsidP="00554B28">
      <w:pPr>
        <w:pStyle w:val="EndnoteText"/>
        <w:ind w:left="540" w:hanging="540"/>
        <w:jc w:val="both"/>
      </w:pPr>
      <w:r>
        <w:t xml:space="preserve">         to justify qualifying the opinion on business-type activities, but no</w:t>
      </w:r>
      <w:r w:rsidR="00080BD2">
        <w:t xml:space="preserve">t significant enough to require </w:t>
      </w:r>
      <w:r>
        <w:t>disclaiming an opinion on business-type activities.</w:t>
      </w:r>
    </w:p>
    <w:p w14:paraId="5B6D6B05" w14:textId="77777777" w:rsidR="006F07D4" w:rsidRDefault="006F07D4" w:rsidP="00554B28">
      <w:pPr>
        <w:pStyle w:val="EndnoteText"/>
        <w:ind w:left="540" w:hanging="540"/>
        <w:jc w:val="both"/>
      </w:pPr>
    </w:p>
  </w:endnote>
  <w:endnote w:id="5">
    <w:p w14:paraId="0FAF96B4" w14:textId="77777777" w:rsidR="006F07D4" w:rsidRDefault="006F07D4" w:rsidP="00554B28">
      <w:pPr>
        <w:pStyle w:val="EndnoteText"/>
        <w:ind w:left="540" w:hanging="540"/>
        <w:jc w:val="both"/>
      </w:pPr>
      <w:r w:rsidRPr="00080BD2">
        <w:endnoteRef/>
      </w:r>
      <w:r>
        <w:t xml:space="preserve">       This example assumes there was no significant short-term fund liability. Therefore, the qualification affects governmental activities but not governmental funds.</w:t>
      </w:r>
    </w:p>
    <w:p w14:paraId="5E3542D8" w14:textId="77777777" w:rsidR="006F07D4" w:rsidRDefault="006F07D4" w:rsidP="00554B28">
      <w:pPr>
        <w:pStyle w:val="EndnoteText"/>
        <w:ind w:left="540" w:hanging="540"/>
        <w:jc w:val="both"/>
      </w:pPr>
    </w:p>
  </w:endnote>
  <w:endnote w:id="6">
    <w:p w14:paraId="3C522EF0" w14:textId="77777777" w:rsidR="006F07D4" w:rsidRPr="00E67764" w:rsidRDefault="006F07D4" w:rsidP="00554B28">
      <w:pPr>
        <w:pStyle w:val="EndnoteText"/>
        <w:ind w:left="540" w:hanging="540"/>
        <w:jc w:val="both"/>
      </w:pPr>
      <w:r w:rsidRPr="00080BD2">
        <w:endnoteRef/>
      </w:r>
      <w:r>
        <w:tab/>
        <w:t>Delete the reference to the budgetary comparisons from the opinion paragraph, and refer to it with the “MD&amp;A / RSI paragraph” if the budgetary comparisons are presented as RSI</w:t>
      </w:r>
    </w:p>
    <w:p w14:paraId="37DF7831" w14:textId="77777777" w:rsidR="006F07D4" w:rsidRDefault="006F07D4" w:rsidP="00554B28">
      <w:pPr>
        <w:pStyle w:val="EndnoteText"/>
        <w:ind w:left="540" w:hanging="540"/>
        <w:jc w:val="both"/>
      </w:pPr>
    </w:p>
  </w:endnote>
  <w:endnote w:id="7">
    <w:p w14:paraId="1312C2D3" w14:textId="77777777" w:rsidR="006F07D4" w:rsidRPr="001229F9" w:rsidRDefault="006F07D4" w:rsidP="00554B28">
      <w:pPr>
        <w:ind w:left="540" w:hanging="540"/>
        <w:jc w:val="both"/>
        <w:rPr>
          <w:b/>
          <w:bCs/>
        </w:rPr>
      </w:pPr>
      <w:r>
        <w:rPr>
          <w:rStyle w:val="EndnoteReference"/>
        </w:rPr>
        <w:endnoteRef/>
      </w:r>
      <w:r>
        <w:t xml:space="preserve">        Modify this example when a </w:t>
      </w:r>
      <w:r w:rsidRPr="001229F9">
        <w:t xml:space="preserve">client </w:t>
      </w:r>
      <w:r>
        <w:t xml:space="preserve">properly </w:t>
      </w:r>
      <w:r w:rsidRPr="001229F9">
        <w:t xml:space="preserve">adopts </w:t>
      </w:r>
      <w:r>
        <w:t xml:space="preserve">a new </w:t>
      </w:r>
      <w:r w:rsidRPr="001229F9">
        <w:t>GASB</w:t>
      </w:r>
      <w:r>
        <w:t xml:space="preserve"> pronouncement</w:t>
      </w:r>
      <w:r w:rsidRPr="001229F9">
        <w:t xml:space="preserve"> </w:t>
      </w:r>
      <w:r>
        <w:t xml:space="preserve">(including required disclosures and restatements) </w:t>
      </w:r>
      <w:r w:rsidRPr="001229F9">
        <w:t xml:space="preserve">and </w:t>
      </w:r>
      <w:r>
        <w:t xml:space="preserve">it </w:t>
      </w:r>
      <w:r w:rsidRPr="001229F9">
        <w:t>materially</w:t>
      </w:r>
      <w:r w:rsidRPr="003C4BEA">
        <w:t xml:space="preserve"> </w:t>
      </w:r>
      <w:r>
        <w:rPr>
          <w:u w:val="single"/>
        </w:rPr>
        <w:t>affects</w:t>
      </w:r>
      <w:r w:rsidRPr="001229F9">
        <w:t xml:space="preserve"> the financial statements (see AU-C 708.08)</w:t>
      </w:r>
      <w:r>
        <w:t xml:space="preserve">. </w:t>
      </w:r>
    </w:p>
    <w:p w14:paraId="51C8D605" w14:textId="77777777" w:rsidR="006F07D4" w:rsidRDefault="006F07D4" w:rsidP="00554B28">
      <w:pPr>
        <w:pStyle w:val="EndnoteText"/>
        <w:jc w:val="both"/>
      </w:pPr>
    </w:p>
    <w:p w14:paraId="20C74E97" w14:textId="77777777" w:rsidR="006F07D4" w:rsidRPr="00E31FB1" w:rsidRDefault="006F07D4" w:rsidP="00554B28">
      <w:pPr>
        <w:pStyle w:val="EndnoteText"/>
        <w:ind w:left="540"/>
        <w:jc w:val="both"/>
        <w:rPr>
          <w:i/>
          <w:color w:val="FF0000"/>
        </w:rPr>
      </w:pPr>
      <w:r w:rsidRPr="00E31FB1">
        <w:rPr>
          <w:i/>
          <w:color w:val="FF0000"/>
        </w:rPr>
        <w:t>Do not include EOM paragraphs for new standards with immaterial financial statement effects</w:t>
      </w:r>
      <w:r>
        <w:rPr>
          <w:i/>
          <w:color w:val="FF0000"/>
        </w:rPr>
        <w:t>, or standards that effect only disclosures</w:t>
      </w:r>
      <w:r w:rsidRPr="00E31FB1">
        <w:rPr>
          <w:i/>
          <w:color w:val="FF0000"/>
        </w:rPr>
        <w:t>.</w:t>
      </w:r>
    </w:p>
    <w:p w14:paraId="191EC95B" w14:textId="77777777" w:rsidR="006F07D4" w:rsidRPr="00CA09D1" w:rsidRDefault="006F07D4" w:rsidP="00554B28">
      <w:pPr>
        <w:pStyle w:val="EndnoteText"/>
        <w:ind w:left="720"/>
        <w:jc w:val="both"/>
        <w:rPr>
          <w:i/>
        </w:rPr>
      </w:pPr>
    </w:p>
  </w:endnote>
  <w:endnote w:id="8">
    <w:p w14:paraId="4D1F5B02" w14:textId="77777777" w:rsidR="00080BD2" w:rsidRPr="00E24223" w:rsidRDefault="00080BD2" w:rsidP="00554B28">
      <w:pPr>
        <w:tabs>
          <w:tab w:val="left" w:pos="547"/>
          <w:tab w:val="left" w:pos="936"/>
          <w:tab w:val="left" w:pos="1440"/>
          <w:tab w:val="left" w:pos="1987"/>
        </w:tabs>
        <w:jc w:val="both"/>
        <w:rPr>
          <w:b/>
          <w:i/>
          <w:color w:val="FF0000"/>
          <w:sz w:val="22"/>
          <w:szCs w:val="22"/>
          <w:u w:val="single"/>
          <w:lang w:eastAsia="ja-JP"/>
        </w:rPr>
      </w:pPr>
      <w:r>
        <w:rPr>
          <w:rStyle w:val="EndnoteReference"/>
        </w:rPr>
        <w:endnoteRef/>
      </w:r>
      <w:r>
        <w:t xml:space="preserve"> </w:t>
      </w:r>
      <w:r>
        <w:tab/>
      </w:r>
      <w:r w:rsidRPr="00E24223">
        <w:rPr>
          <w:b/>
          <w:i/>
          <w:color w:val="FF0000"/>
          <w:sz w:val="22"/>
          <w:szCs w:val="22"/>
          <w:u w:val="single"/>
          <w:lang w:eastAsia="ja-JP"/>
        </w:rPr>
        <w:t>COVID-19 Guidance:</w:t>
      </w:r>
    </w:p>
    <w:p w14:paraId="46F34959" w14:textId="48B65EC9" w:rsidR="00080BD2" w:rsidRPr="00087803" w:rsidRDefault="00080BD2" w:rsidP="00554B28">
      <w:pPr>
        <w:pStyle w:val="EndnoteText"/>
        <w:ind w:left="540"/>
        <w:jc w:val="both"/>
        <w:rPr>
          <w:b/>
          <w:color w:val="FF0000"/>
          <w:lang w:eastAsia="ja-JP"/>
        </w:rPr>
      </w:pPr>
      <w:r w:rsidRPr="00087803">
        <w:rPr>
          <w:b/>
          <w:color w:val="FF0000"/>
          <w:lang w:eastAsia="ja-JP"/>
        </w:rPr>
        <w:t xml:space="preserve">Additional language regarding COVID-19 and a related draft disclosure, draft emphasis-of-matter paragraph, and draft GAGAS opening paragraph sentence can be found </w:t>
      </w:r>
      <w:hyperlink r:id="rId1" w:history="1">
        <w:r w:rsidRPr="007C0A70">
          <w:rPr>
            <w:rStyle w:val="Hyperlink"/>
            <w:b/>
            <w:lang w:eastAsia="ja-JP"/>
          </w:rPr>
          <w:t>here</w:t>
        </w:r>
      </w:hyperlink>
      <w:r w:rsidRPr="00087803">
        <w:rPr>
          <w:b/>
          <w:color w:val="FF0000"/>
          <w:lang w:eastAsia="ja-JP"/>
        </w:rPr>
        <w:t>.</w:t>
      </w:r>
    </w:p>
    <w:p w14:paraId="7E51AB34" w14:textId="77777777" w:rsidR="00080BD2" w:rsidRDefault="00080BD2" w:rsidP="00554B28">
      <w:pPr>
        <w:pStyle w:val="EndnoteText"/>
        <w:jc w:val="both"/>
      </w:pPr>
    </w:p>
  </w:endnote>
  <w:endnote w:id="9">
    <w:p w14:paraId="1E21DBDC" w14:textId="77777777" w:rsidR="006F07D4" w:rsidRDefault="006F07D4" w:rsidP="00554B28">
      <w:pPr>
        <w:pStyle w:val="EndnoteText"/>
        <w:ind w:left="540" w:hanging="540"/>
        <w:jc w:val="both"/>
        <w:rPr>
          <w:b/>
        </w:rPr>
      </w:pPr>
      <w:r>
        <w:rPr>
          <w:rStyle w:val="EndnoteReference"/>
        </w:rPr>
        <w:endnoteRef/>
      </w:r>
      <w:r>
        <w:t xml:space="preserve">        </w:t>
      </w:r>
      <w:r w:rsidRPr="00EC7385">
        <w:rPr>
          <w:b/>
        </w:rPr>
        <w:t>Comparative Financial Statements</w:t>
      </w:r>
    </w:p>
    <w:p w14:paraId="13FC450A" w14:textId="77777777" w:rsidR="006F07D4" w:rsidRDefault="006F07D4" w:rsidP="00554B28">
      <w:pPr>
        <w:pStyle w:val="EndnoteText"/>
        <w:ind w:left="540" w:hanging="540"/>
        <w:jc w:val="both"/>
      </w:pPr>
      <w:r>
        <w:tab/>
      </w:r>
    </w:p>
    <w:p w14:paraId="4FF15A5D" w14:textId="68D056B0" w:rsidR="006F07D4" w:rsidRDefault="006F07D4" w:rsidP="00554B28">
      <w:pPr>
        <w:pStyle w:val="EndnoteText"/>
        <w:ind w:left="540" w:hanging="540"/>
        <w:jc w:val="both"/>
      </w:pPr>
      <w:r>
        <w:tab/>
      </w:r>
      <w:r w:rsidR="008902C0" w:rsidRPr="00E6056A">
        <w:t>Note:  “c</w:t>
      </w:r>
      <w:r w:rsidR="008902C0" w:rsidRPr="00E6056A">
        <w:rPr>
          <w:i/>
        </w:rPr>
        <w:t xml:space="preserve">omparative financial statements” means </w:t>
      </w:r>
      <w:r w:rsidR="008902C0" w:rsidRPr="00E6056A">
        <w:t xml:space="preserve">only </w:t>
      </w:r>
      <w:r w:rsidR="008902C0" w:rsidRPr="00E6056A">
        <w:rPr>
          <w:i/>
        </w:rPr>
        <w:t>complete</w:t>
      </w:r>
      <w:r w:rsidR="008902C0" w:rsidRPr="00E6056A">
        <w:t xml:space="preserve"> financial statements for one or more prior periods included for comparison with the current financial statements.  (“Total only” columns are </w:t>
      </w:r>
      <w:r w:rsidR="008902C0" w:rsidRPr="00E6056A">
        <w:rPr>
          <w:i/>
          <w:color w:val="FF0000"/>
        </w:rPr>
        <w:t>in</w:t>
      </w:r>
      <w:r w:rsidR="008902C0" w:rsidRPr="00E6056A">
        <w:t>complete presentations.)</w:t>
      </w:r>
    </w:p>
    <w:p w14:paraId="7924716E" w14:textId="77777777" w:rsidR="006F07D4" w:rsidRDefault="006F07D4" w:rsidP="00554B28">
      <w:pPr>
        <w:pStyle w:val="EndnoteText"/>
        <w:ind w:left="540" w:hanging="540"/>
        <w:jc w:val="both"/>
      </w:pPr>
    </w:p>
    <w:p w14:paraId="41812C43" w14:textId="77777777" w:rsidR="008902C0" w:rsidRDefault="006F07D4" w:rsidP="008902C0">
      <w:pPr>
        <w:pStyle w:val="EndnoteText"/>
        <w:ind w:left="540" w:hanging="540"/>
        <w:jc w:val="both"/>
      </w:pPr>
      <w:r>
        <w:tab/>
      </w:r>
      <w:r w:rsidR="008902C0" w:rsidRPr="00E6056A">
        <w:t xml:space="preserve">Per AU-C 700B.46, when we are the continuing auditor we would refer to </w:t>
      </w:r>
      <w:r w:rsidR="008902C0">
        <w:t>these statements in our opinion</w:t>
      </w:r>
      <w:r w:rsidR="008902C0" w:rsidRPr="00E6056A">
        <w:t xml:space="preserve">; however, when the prior period was audited by a predecessor auditor the following is an example </w:t>
      </w:r>
      <w:r w:rsidR="008902C0" w:rsidRPr="00E6056A">
        <w:rPr>
          <w:b/>
          <w:i/>
        </w:rPr>
        <w:t>other matter</w:t>
      </w:r>
      <w:r w:rsidR="008902C0" w:rsidRPr="00E6056A">
        <w:t xml:space="preserve"> paragraph (See AU-C 700B.55).</w:t>
      </w:r>
    </w:p>
    <w:p w14:paraId="29B67C85" w14:textId="158449BA" w:rsidR="006F07D4" w:rsidRDefault="006F07D4" w:rsidP="008902C0">
      <w:pPr>
        <w:tabs>
          <w:tab w:val="left" w:pos="0"/>
          <w:tab w:val="left" w:pos="547"/>
          <w:tab w:val="left" w:pos="936"/>
          <w:tab w:val="left" w:pos="1440"/>
          <w:tab w:val="left" w:pos="1987"/>
        </w:tabs>
        <w:jc w:val="both"/>
      </w:pPr>
    </w:p>
    <w:p w14:paraId="58D3C9E4" w14:textId="77777777" w:rsidR="006F07D4" w:rsidRPr="00CA09D1" w:rsidRDefault="006F07D4" w:rsidP="00554B28">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4FF505EC" w14:textId="77777777" w:rsidR="006F07D4" w:rsidRDefault="006F07D4" w:rsidP="00554B28">
      <w:pPr>
        <w:tabs>
          <w:tab w:val="left" w:pos="0"/>
          <w:tab w:val="left" w:pos="547"/>
          <w:tab w:val="left" w:pos="936"/>
          <w:tab w:val="left" w:pos="1440"/>
          <w:tab w:val="left" w:pos="1987"/>
        </w:tabs>
        <w:ind w:left="1440"/>
        <w:jc w:val="both"/>
        <w:rPr>
          <w:i/>
        </w:rPr>
      </w:pPr>
    </w:p>
    <w:p w14:paraId="32DCC9BF" w14:textId="77777777" w:rsidR="008902C0" w:rsidRDefault="008902C0" w:rsidP="008902C0">
      <w:pPr>
        <w:tabs>
          <w:tab w:val="left" w:pos="0"/>
          <w:tab w:val="left" w:pos="547"/>
          <w:tab w:val="left" w:pos="936"/>
          <w:tab w:val="left" w:pos="1440"/>
          <w:tab w:val="left" w:pos="1987"/>
        </w:tabs>
        <w:ind w:left="1440"/>
        <w:jc w:val="both"/>
      </w:pPr>
      <w:r w:rsidRPr="0023078D">
        <w:t>The financial statements of the [ENTITY NAME]</w:t>
      </w:r>
      <w:r w:rsidRPr="0023078D">
        <w:rPr>
          <w:rStyle w:val="footnoteref"/>
          <w:color w:val="000000"/>
        </w:rPr>
        <w:t>, [COUNTY NAME]</w:t>
      </w:r>
      <w:r w:rsidRPr="0023078D">
        <w:t>, Ohio (the Entity), as of and for the year ended [FYE DATE], were audited</w:t>
      </w:r>
      <w:r w:rsidRPr="003877EC">
        <w:t xml:space="preserve"> by </w:t>
      </w:r>
      <w:r>
        <w:t>predecessor auditor</w:t>
      </w:r>
      <w:r w:rsidRPr="003877EC">
        <w:t xml:space="preserve"> whose report dated </w:t>
      </w:r>
      <w:r w:rsidRPr="00B00783">
        <w:t>[DATE]</w:t>
      </w:r>
      <w:r w:rsidRPr="003877EC">
        <w:t>, expressed an unmodified opinion on those statements.</w:t>
      </w:r>
      <w:r>
        <w:t xml:space="preserve"> </w:t>
      </w:r>
      <w:r w:rsidRPr="00784CA0">
        <w:rPr>
          <w:b/>
          <w:color w:val="0070C0"/>
        </w:rPr>
        <w:t>&lt;&lt; modify as necessary</w:t>
      </w:r>
      <w:r>
        <w:rPr>
          <w:b/>
          <w:color w:val="0070C0"/>
        </w:rPr>
        <w:t xml:space="preserve"> if other than an unmodified opinion was issued.</w:t>
      </w:r>
    </w:p>
    <w:p w14:paraId="0930B49B" w14:textId="743FAF46" w:rsidR="006F07D4" w:rsidRDefault="006F07D4" w:rsidP="00554B28">
      <w:pPr>
        <w:pStyle w:val="EndnoteText"/>
        <w:ind w:left="540" w:hanging="540"/>
        <w:jc w:val="both"/>
      </w:pPr>
    </w:p>
    <w:p w14:paraId="4A33F80E" w14:textId="72609421" w:rsidR="00256F4C" w:rsidRDefault="00256F4C" w:rsidP="00554B28">
      <w:pPr>
        <w:pStyle w:val="EndnoteText"/>
        <w:ind w:left="540" w:hanging="540"/>
        <w:jc w:val="both"/>
      </w:pPr>
    </w:p>
    <w:p w14:paraId="7E1FA88D" w14:textId="71513AE7" w:rsidR="00256F4C" w:rsidRDefault="00256F4C" w:rsidP="00554B28">
      <w:pPr>
        <w:pStyle w:val="EndnoteText"/>
        <w:ind w:left="540" w:hanging="540"/>
        <w:jc w:val="both"/>
      </w:pPr>
    </w:p>
    <w:p w14:paraId="544DAC5F" w14:textId="77777777" w:rsidR="00256F4C" w:rsidRDefault="00256F4C" w:rsidP="00554B28">
      <w:pPr>
        <w:pStyle w:val="EndnoteText"/>
        <w:ind w:left="540" w:hanging="540"/>
        <w:jc w:val="both"/>
      </w:pPr>
    </w:p>
    <w:p w14:paraId="2C8D59CE" w14:textId="77777777" w:rsidR="006F07D4" w:rsidRDefault="006F07D4" w:rsidP="00554B28">
      <w:pPr>
        <w:pStyle w:val="EndnoteText"/>
        <w:ind w:left="540" w:hanging="540"/>
        <w:jc w:val="both"/>
        <w:rPr>
          <w:b/>
        </w:rPr>
      </w:pPr>
      <w:r w:rsidRPr="00EC7385">
        <w:rPr>
          <w:b/>
        </w:rPr>
        <w:tab/>
        <w:t>Comparative Information</w:t>
      </w:r>
      <w:r>
        <w:rPr>
          <w:b/>
        </w:rPr>
        <w:t xml:space="preserve"> </w:t>
      </w:r>
    </w:p>
    <w:p w14:paraId="45BAEFDA" w14:textId="77777777" w:rsidR="006F07D4" w:rsidRPr="00EC7385" w:rsidRDefault="006F07D4" w:rsidP="00554B28">
      <w:pPr>
        <w:pStyle w:val="EndnoteText"/>
        <w:ind w:left="540" w:hanging="540"/>
        <w:jc w:val="both"/>
        <w:rPr>
          <w:b/>
        </w:rPr>
      </w:pPr>
    </w:p>
    <w:p w14:paraId="7DA4C453" w14:textId="77777777" w:rsidR="00256F4C" w:rsidRPr="00E6056A" w:rsidRDefault="00256F4C" w:rsidP="00256F4C">
      <w:pPr>
        <w:pStyle w:val="EndnoteText"/>
        <w:ind w:left="540"/>
      </w:pPr>
      <w:r w:rsidRPr="00E6056A">
        <w:t xml:space="preserve">AU-C 700B uses the term </w:t>
      </w:r>
      <w:r w:rsidRPr="00E6056A">
        <w:rPr>
          <w:i/>
        </w:rPr>
        <w:t>comparative information</w:t>
      </w:r>
      <w:r w:rsidRPr="00E6056A">
        <w:t xml:space="preserve"> for partial presentations. (e.g. “Total Only” columns).  (</w:t>
      </w:r>
      <w:r w:rsidRPr="00E6056A">
        <w:rPr>
          <w:i/>
        </w:rPr>
        <w:t>Comparative statements</w:t>
      </w:r>
      <w:r w:rsidRPr="00E6056A">
        <w:t xml:space="preserve"> refer only to </w:t>
      </w:r>
      <w:r w:rsidRPr="00E6056A">
        <w:rPr>
          <w:i/>
        </w:rPr>
        <w:t>complete</w:t>
      </w:r>
      <w:r w:rsidRPr="00E6056A">
        <w:t xml:space="preserve"> p/y presentations.)</w:t>
      </w:r>
    </w:p>
    <w:p w14:paraId="52656239" w14:textId="77777777" w:rsidR="006F07D4" w:rsidRDefault="006F07D4" w:rsidP="00554B28">
      <w:pPr>
        <w:pStyle w:val="EndnoteText"/>
        <w:ind w:left="540" w:hanging="540"/>
        <w:jc w:val="both"/>
      </w:pPr>
      <w:r>
        <w:tab/>
      </w:r>
    </w:p>
    <w:p w14:paraId="30F69F5D" w14:textId="72E19807" w:rsidR="00256F4C" w:rsidRPr="00EC7385" w:rsidRDefault="00256F4C" w:rsidP="00256F4C">
      <w:pPr>
        <w:pStyle w:val="ListParagraph"/>
        <w:tabs>
          <w:tab w:val="left" w:pos="-1080"/>
          <w:tab w:val="left" w:pos="-720"/>
          <w:tab w:val="left" w:pos="0"/>
          <w:tab w:val="left" w:pos="360"/>
        </w:tabs>
        <w:ind w:left="540"/>
      </w:pPr>
      <w:r w:rsidRPr="00E6056A">
        <w:t xml:space="preserve">Per AU-C 700B.48   We should include one of the following </w:t>
      </w:r>
      <w:r w:rsidRPr="00E6056A">
        <w:rPr>
          <w:b/>
          <w:i/>
        </w:rPr>
        <w:t>other matter</w:t>
      </w:r>
      <w:r w:rsidRPr="00E6056A">
        <w:t xml:space="preserve"> paragraphs to describe comparative information (from SLG 16.50):</w:t>
      </w:r>
    </w:p>
    <w:p w14:paraId="469C3F13" w14:textId="77777777" w:rsidR="006F07D4" w:rsidRPr="00EC7385" w:rsidRDefault="006F07D4" w:rsidP="00554B28">
      <w:pPr>
        <w:tabs>
          <w:tab w:val="left" w:pos="-1080"/>
          <w:tab w:val="left" w:pos="-720"/>
          <w:tab w:val="left" w:pos="0"/>
          <w:tab w:val="left" w:pos="360"/>
        </w:tabs>
        <w:contextualSpacing/>
        <w:jc w:val="both"/>
      </w:pPr>
    </w:p>
    <w:p w14:paraId="732CA566" w14:textId="77777777" w:rsidR="006F07D4" w:rsidRPr="00CA09D1" w:rsidRDefault="006F07D4" w:rsidP="00554B28">
      <w:pPr>
        <w:tabs>
          <w:tab w:val="left" w:pos="-1080"/>
          <w:tab w:val="left" w:pos="-720"/>
          <w:tab w:val="left" w:pos="0"/>
          <w:tab w:val="left" w:pos="360"/>
        </w:tabs>
        <w:ind w:left="1440"/>
        <w:contextualSpacing/>
        <w:jc w:val="both"/>
        <w:rPr>
          <w:i/>
        </w:rPr>
      </w:pPr>
      <w:r w:rsidRPr="00CA09D1">
        <w:rPr>
          <w:i/>
        </w:rPr>
        <w:t>Report on Summarized Comparative Information</w:t>
      </w:r>
    </w:p>
    <w:p w14:paraId="12D230AB" w14:textId="77777777" w:rsidR="006F07D4" w:rsidRPr="00EC7385" w:rsidRDefault="006F07D4" w:rsidP="00554B28">
      <w:pPr>
        <w:tabs>
          <w:tab w:val="left" w:pos="-1080"/>
          <w:tab w:val="left" w:pos="-720"/>
          <w:tab w:val="left" w:pos="0"/>
          <w:tab w:val="left" w:pos="360"/>
        </w:tabs>
        <w:ind w:left="1440"/>
        <w:contextualSpacing/>
        <w:jc w:val="both"/>
      </w:pPr>
    </w:p>
    <w:p w14:paraId="3523740D" w14:textId="77777777" w:rsidR="00256F4C" w:rsidRDefault="00256F4C" w:rsidP="00256F4C">
      <w:pPr>
        <w:tabs>
          <w:tab w:val="left" w:pos="0"/>
          <w:tab w:val="left" w:pos="547"/>
          <w:tab w:val="left" w:pos="936"/>
          <w:tab w:val="left" w:pos="1440"/>
          <w:tab w:val="left" w:pos="1987"/>
        </w:tabs>
        <w:ind w:left="1440"/>
        <w:jc w:val="both"/>
      </w:pPr>
      <w:r w:rsidRPr="00EC7385">
        <w:rPr>
          <w:i/>
          <w:color w:val="FF0000"/>
        </w:rPr>
        <w:t xml:space="preserve">We </w:t>
      </w:r>
      <w:r w:rsidRPr="00EC7385">
        <w:t xml:space="preserve">have previously </w:t>
      </w:r>
      <w:r w:rsidRPr="0023078D">
        <w:t>audited the Entity's</w:t>
      </w:r>
      <w:r w:rsidRPr="00EC7385">
        <w:t xml:space="preserve"> 20XX</w:t>
      </w:r>
      <w:r w:rsidRPr="00E6056A">
        <w:t>-1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55332A">
        <w:rPr>
          <w:b/>
        </w:rPr>
        <w:t>[aggregate]</w:t>
      </w:r>
      <w:r w:rsidRPr="0055332A">
        <w:t xml:space="preserve"> discretely presented component unit</w:t>
      </w:r>
      <w:r w:rsidRPr="0055332A">
        <w:rPr>
          <w:b/>
        </w:rPr>
        <w:t>(s),</w:t>
      </w:r>
      <w:r w:rsidRPr="0055332A">
        <w:t xml:space="preserve"> each major fund, and the aggregate remaining fund information</w:t>
      </w:r>
      <w:r w:rsidRPr="00EC7385">
        <w:t xml:space="preserve"> dated [DATE]. In our opinion, the summarized comparative information presented herein as of and for the year ended December 31, 20XX</w:t>
      </w:r>
      <w:r>
        <w:t>-1</w:t>
      </w:r>
      <w:r w:rsidRPr="00EC7385">
        <w:t xml:space="preserve"> is consistent, in all material respects, with the audited financial statements from which it has been derived.</w:t>
      </w:r>
      <w:r w:rsidRPr="0030418D">
        <w:rPr>
          <w:b/>
          <w:color w:val="0070C0"/>
        </w:rPr>
        <w:t xml:space="preserve"> </w:t>
      </w:r>
      <w:r w:rsidRPr="00784CA0">
        <w:rPr>
          <w:b/>
          <w:color w:val="0070C0"/>
        </w:rPr>
        <w:t>&lt;&lt; modify as necessary</w:t>
      </w:r>
      <w:r>
        <w:rPr>
          <w:b/>
          <w:color w:val="0070C0"/>
        </w:rPr>
        <w:t xml:space="preserve"> if other than an unmodified opinion was issued, including the nature of, and the reasons for opinion modifications (see SLG 16.50 footnote 18).</w:t>
      </w:r>
    </w:p>
    <w:p w14:paraId="6FF2F28F" w14:textId="77777777" w:rsidR="006F07D4" w:rsidRPr="00EC7385" w:rsidRDefault="006F07D4" w:rsidP="00554B28">
      <w:pPr>
        <w:tabs>
          <w:tab w:val="left" w:pos="-1080"/>
          <w:tab w:val="left" w:pos="-720"/>
          <w:tab w:val="left" w:pos="0"/>
          <w:tab w:val="left" w:pos="360"/>
        </w:tabs>
        <w:ind w:left="1440"/>
        <w:contextualSpacing/>
        <w:jc w:val="both"/>
      </w:pPr>
    </w:p>
    <w:p w14:paraId="56503ED3" w14:textId="77777777" w:rsidR="006F07D4" w:rsidRPr="00EC7385" w:rsidRDefault="006F07D4" w:rsidP="00554B28">
      <w:pPr>
        <w:tabs>
          <w:tab w:val="left" w:pos="-1080"/>
          <w:tab w:val="left" w:pos="-720"/>
          <w:tab w:val="left" w:pos="0"/>
          <w:tab w:val="left" w:pos="360"/>
        </w:tabs>
        <w:ind w:left="1440"/>
        <w:contextualSpacing/>
        <w:jc w:val="both"/>
      </w:pPr>
      <w:r w:rsidRPr="00EC7385">
        <w:t>Or:</w:t>
      </w:r>
    </w:p>
    <w:p w14:paraId="5F870DA0" w14:textId="77777777" w:rsidR="006F07D4" w:rsidRPr="00EC7385" w:rsidRDefault="006F07D4" w:rsidP="00554B28">
      <w:pPr>
        <w:tabs>
          <w:tab w:val="left" w:pos="-1080"/>
          <w:tab w:val="left" w:pos="-720"/>
          <w:tab w:val="left" w:pos="0"/>
          <w:tab w:val="left" w:pos="360"/>
        </w:tabs>
        <w:ind w:left="1440"/>
        <w:contextualSpacing/>
        <w:jc w:val="both"/>
      </w:pPr>
    </w:p>
    <w:p w14:paraId="4F7DDB09" w14:textId="77777777" w:rsidR="00256F4C" w:rsidRDefault="00256F4C" w:rsidP="00256F4C">
      <w:pPr>
        <w:tabs>
          <w:tab w:val="left" w:pos="0"/>
          <w:tab w:val="left" w:pos="547"/>
          <w:tab w:val="left" w:pos="936"/>
          <w:tab w:val="left" w:pos="1440"/>
          <w:tab w:val="left" w:pos="1987"/>
        </w:tabs>
        <w:ind w:left="1440"/>
        <w:jc w:val="both"/>
      </w:pPr>
      <w:r w:rsidRPr="00EC7385">
        <w:t xml:space="preserve">The financial statements of </w:t>
      </w:r>
      <w:r w:rsidRPr="0023078D">
        <w:t>the Entity as</w:t>
      </w:r>
      <w:r w:rsidRPr="00EC7385">
        <w:t xml:space="preserve"> of and for the year ended December 31, 20XX</w:t>
      </w:r>
      <w:r>
        <w:t>-1</w:t>
      </w:r>
      <w:r w:rsidRPr="00EC7385">
        <w:t xml:space="preserve"> </w:t>
      </w:r>
      <w:r>
        <w:t xml:space="preserve">from which the comparative information for December 31, 20XX-1 was derived </w:t>
      </w:r>
      <w:r w:rsidRPr="00EC7385">
        <w:t xml:space="preserve">were </w:t>
      </w:r>
      <w:r w:rsidRPr="00EC7385">
        <w:rPr>
          <w:i/>
          <w:color w:val="FF0000"/>
        </w:rPr>
        <w:t>audited by a predecessor auditor.</w:t>
      </w:r>
      <w:r w:rsidRPr="00EC7385">
        <w:t xml:space="preserve"> An unmodified opinion was issued [DATE] by the predecessor auditor. </w:t>
      </w:r>
      <w:r w:rsidRPr="00784CA0">
        <w:rPr>
          <w:b/>
          <w:color w:val="0070C0"/>
        </w:rPr>
        <w:t>&lt;&lt; modify as necessary</w:t>
      </w:r>
      <w:r>
        <w:rPr>
          <w:b/>
          <w:color w:val="0070C0"/>
        </w:rPr>
        <w:t xml:space="preserve"> if other than an unmodified opinion was issued.</w:t>
      </w:r>
    </w:p>
    <w:p w14:paraId="5A46F1B7" w14:textId="77777777" w:rsidR="006F07D4" w:rsidRDefault="006F07D4" w:rsidP="00554B28">
      <w:pPr>
        <w:pStyle w:val="EndnoteText"/>
        <w:ind w:left="540" w:hanging="540"/>
        <w:jc w:val="both"/>
      </w:pPr>
      <w:r>
        <w:t xml:space="preserve">          </w:t>
      </w:r>
    </w:p>
  </w:endnote>
  <w:endnote w:id="10">
    <w:p w14:paraId="6EB3ED04" w14:textId="77777777" w:rsidR="006F07D4" w:rsidRPr="00A66133" w:rsidRDefault="006F07D4" w:rsidP="00554B28">
      <w:pPr>
        <w:pStyle w:val="EndnoteText"/>
        <w:jc w:val="both"/>
      </w:pPr>
      <w:r>
        <w:rPr>
          <w:rStyle w:val="EndnoteReference"/>
        </w:rPr>
        <w:endnoteRef/>
      </w:r>
      <w:r>
        <w:t xml:space="preserve">        </w:t>
      </w:r>
      <w:r w:rsidRPr="00A66133">
        <w:t>Modify this paragraph in the following circumstances.  See AU</w:t>
      </w:r>
      <w:r>
        <w:t>-C</w:t>
      </w:r>
      <w:r w:rsidRPr="00A66133">
        <w:t xml:space="preserve"> </w:t>
      </w:r>
      <w:r>
        <w:t xml:space="preserve">730 </w:t>
      </w:r>
      <w:r w:rsidRPr="009B00B4">
        <w:t>and SLG 1</w:t>
      </w:r>
      <w:r>
        <w:t>6</w:t>
      </w:r>
      <w:r w:rsidRPr="009B00B4">
        <w:t>.66</w:t>
      </w:r>
      <w:r>
        <w:t>-</w:t>
      </w:r>
      <w:r w:rsidRPr="009B00B4">
        <w:t>.73</w:t>
      </w:r>
      <w:r>
        <w:t xml:space="preserve"> </w:t>
      </w:r>
      <w:r w:rsidRPr="00A66133">
        <w:t>:</w:t>
      </w:r>
    </w:p>
    <w:p w14:paraId="0798B61B" w14:textId="77777777" w:rsidR="006F07D4" w:rsidRPr="00A66133" w:rsidRDefault="006F07D4" w:rsidP="00554B28">
      <w:pPr>
        <w:pStyle w:val="ListParagraph"/>
        <w:numPr>
          <w:ilvl w:val="0"/>
          <w:numId w:val="2"/>
        </w:numPr>
        <w:ind w:left="1080"/>
        <w:jc w:val="both"/>
        <w:rPr>
          <w:color w:val="000000"/>
        </w:rPr>
      </w:pPr>
      <w:r w:rsidRPr="00A66133">
        <w:rPr>
          <w:color w:val="000000"/>
        </w:rPr>
        <w:t xml:space="preserve">The </w:t>
      </w:r>
      <w:r w:rsidRPr="00A66133">
        <w:rPr>
          <w:color w:val="000000"/>
          <w:u w:val="single"/>
        </w:rPr>
        <w:t>required</w:t>
      </w:r>
      <w:r w:rsidRPr="00A66133">
        <w:rPr>
          <w:color w:val="000000"/>
        </w:rPr>
        <w:t xml:space="preserve"> supplementary information is omitted. </w:t>
      </w:r>
    </w:p>
    <w:p w14:paraId="088EE2D5" w14:textId="77777777" w:rsidR="006F07D4" w:rsidRPr="00A66133" w:rsidRDefault="006F07D4" w:rsidP="00554B28">
      <w:pPr>
        <w:pStyle w:val="ListParagraph"/>
        <w:numPr>
          <w:ilvl w:val="0"/>
          <w:numId w:val="2"/>
        </w:numPr>
        <w:ind w:left="1080"/>
        <w:jc w:val="both"/>
        <w:rPr>
          <w:color w:val="000000"/>
        </w:rPr>
      </w:pPr>
      <w:r w:rsidRPr="00A66133">
        <w:rPr>
          <w:color w:val="000000"/>
        </w:rPr>
        <w:t xml:space="preserve">Some required supplementary information is missing and some is presented in accordance with the prescribed guidelines. </w:t>
      </w:r>
    </w:p>
    <w:p w14:paraId="6CA0C19E" w14:textId="77777777" w:rsidR="006F07D4" w:rsidRPr="00A66133" w:rsidRDefault="006F07D4" w:rsidP="00554B28">
      <w:pPr>
        <w:pStyle w:val="ListParagraph"/>
        <w:numPr>
          <w:ilvl w:val="0"/>
          <w:numId w:val="2"/>
        </w:numPr>
        <w:ind w:left="1080"/>
        <w:jc w:val="both"/>
        <w:rPr>
          <w:color w:val="000000"/>
        </w:rPr>
      </w:pPr>
      <w:r w:rsidRPr="00A66133">
        <w:rPr>
          <w:color w:val="000000"/>
        </w:rPr>
        <w:t xml:space="preserve">The auditor has identified material departures from the prescribed guidelines. </w:t>
      </w:r>
    </w:p>
    <w:p w14:paraId="6E30CC19" w14:textId="77777777" w:rsidR="006F07D4" w:rsidRPr="00A66133" w:rsidRDefault="006F07D4" w:rsidP="00554B28">
      <w:pPr>
        <w:pStyle w:val="ListParagraph"/>
        <w:numPr>
          <w:ilvl w:val="0"/>
          <w:numId w:val="2"/>
        </w:numPr>
        <w:ind w:left="1080"/>
        <w:jc w:val="both"/>
        <w:rPr>
          <w:color w:val="000000"/>
        </w:rPr>
      </w:pPr>
      <w:r w:rsidRPr="00A66133">
        <w:rPr>
          <w:color w:val="000000"/>
        </w:rPr>
        <w:t>The auditor is unable to complete the procedures in AU</w:t>
      </w:r>
      <w:r>
        <w:rPr>
          <w:color w:val="000000"/>
        </w:rPr>
        <w:t>-C</w:t>
      </w:r>
      <w:r w:rsidRPr="00A66133">
        <w:rPr>
          <w:color w:val="000000"/>
        </w:rPr>
        <w:t xml:space="preserve"> </w:t>
      </w:r>
      <w:r>
        <w:rPr>
          <w:color w:val="000000"/>
        </w:rPr>
        <w:t>730.05</w:t>
      </w:r>
      <w:r w:rsidRPr="00A66133">
        <w:rPr>
          <w:color w:val="000000"/>
        </w:rPr>
        <w:t xml:space="preserve">. </w:t>
      </w:r>
    </w:p>
    <w:p w14:paraId="6112C51B" w14:textId="77777777" w:rsidR="006F07D4" w:rsidRPr="00A66133" w:rsidRDefault="006F07D4" w:rsidP="00554B28">
      <w:pPr>
        <w:pStyle w:val="ListParagraph"/>
        <w:numPr>
          <w:ilvl w:val="0"/>
          <w:numId w:val="2"/>
        </w:numPr>
        <w:ind w:left="1080"/>
        <w:jc w:val="both"/>
        <w:rPr>
          <w:color w:val="000000"/>
        </w:rPr>
      </w:pPr>
      <w:r w:rsidRPr="00A66133">
        <w:rPr>
          <w:color w:val="000000"/>
        </w:rPr>
        <w:t xml:space="preserve">The auditor has unresolved doubts about whether the required supplementary information is presented in accordance with prescribed guidelines. </w:t>
      </w:r>
    </w:p>
    <w:p w14:paraId="2820778C" w14:textId="77777777" w:rsidR="006F07D4" w:rsidRPr="00A66133" w:rsidRDefault="006F07D4" w:rsidP="00554B28">
      <w:pPr>
        <w:pStyle w:val="EndnoteText"/>
        <w:jc w:val="both"/>
      </w:pPr>
    </w:p>
  </w:endnote>
  <w:endnote w:id="11">
    <w:p w14:paraId="00970E6E" w14:textId="77777777" w:rsidR="006F07D4" w:rsidRDefault="006F07D4" w:rsidP="00554B28">
      <w:pPr>
        <w:pStyle w:val="EndnoteText"/>
        <w:tabs>
          <w:tab w:val="left" w:pos="547"/>
        </w:tabs>
        <w:jc w:val="both"/>
      </w:pPr>
      <w:r>
        <w:rPr>
          <w:rStyle w:val="EndnoteReference"/>
        </w:rPr>
        <w:endnoteRef/>
      </w:r>
      <w:r>
        <w:t xml:space="preserve"> </w:t>
      </w:r>
      <w:r>
        <w:tab/>
        <w:t xml:space="preserve">Modify the list of </w:t>
      </w:r>
      <w:r>
        <w:rPr>
          <w:i/>
        </w:rPr>
        <w:t>supplementary information</w:t>
      </w:r>
      <w:r>
        <w:t xml:space="preserve"> paragraph as necessary. See SLG 16.74-.79.  Also:</w:t>
      </w:r>
    </w:p>
    <w:p w14:paraId="3E1139E6" w14:textId="77777777" w:rsidR="006F07D4" w:rsidRDefault="006F07D4" w:rsidP="00554B28">
      <w:pPr>
        <w:pStyle w:val="EndnoteText"/>
        <w:numPr>
          <w:ilvl w:val="0"/>
          <w:numId w:val="7"/>
        </w:numPr>
        <w:tabs>
          <w:tab w:val="left" w:pos="547"/>
        </w:tabs>
        <w:jc w:val="both"/>
      </w:pPr>
      <w:r>
        <w:rPr>
          <w:color w:val="000000"/>
        </w:rPr>
        <w:t xml:space="preserve">If an opinion qualification on the financial statements also affects the supplementary information, include a statement that, in the auditor's opinion, </w:t>
      </w:r>
      <w:r>
        <w:rPr>
          <w:b/>
          <w:i/>
          <w:color w:val="000000"/>
        </w:rPr>
        <w:t>except for</w:t>
      </w:r>
      <w:r>
        <w:rPr>
          <w:color w:val="000000"/>
        </w:rPr>
        <w:t xml:space="preserve"> the effects on the supplementary information of (refer to the paragraph in the auditor's report explaining the qualification), this information is fairly stated, in all material respects, in relation to the financial statements as a whole.</w:t>
      </w:r>
      <w:r>
        <w:t xml:space="preserve">   </w:t>
      </w:r>
      <w:r>
        <w:rPr>
          <w:color w:val="000000"/>
        </w:rPr>
        <w:t>See AU-C 725.09(f) and AOS auditors consult with CFAE.</w:t>
      </w:r>
    </w:p>
    <w:p w14:paraId="35E6FF47" w14:textId="77777777" w:rsidR="006F07D4" w:rsidRDefault="006F07D4" w:rsidP="00554B28">
      <w:pPr>
        <w:pStyle w:val="EndnoteText"/>
        <w:tabs>
          <w:tab w:val="left" w:pos="547"/>
        </w:tabs>
        <w:ind w:left="1800"/>
        <w:jc w:val="both"/>
      </w:pPr>
    </w:p>
    <w:p w14:paraId="79DC1A1C" w14:textId="77777777" w:rsidR="006F07D4" w:rsidRDefault="006F07D4" w:rsidP="00554B28">
      <w:pPr>
        <w:pStyle w:val="EndnoteText"/>
        <w:numPr>
          <w:ilvl w:val="0"/>
          <w:numId w:val="7"/>
        </w:numPr>
        <w:tabs>
          <w:tab w:val="left" w:pos="547"/>
        </w:tabs>
        <w:jc w:val="both"/>
      </w:pPr>
      <w:r>
        <w:t>We must disclaim on this information if we render an adverse opinion or disclaimer of opinion.  AOS auditors consult with CFAE.</w:t>
      </w:r>
    </w:p>
    <w:p w14:paraId="0BE2A3C7" w14:textId="77777777" w:rsidR="00080BD2" w:rsidRDefault="00080BD2" w:rsidP="00554B28">
      <w:pPr>
        <w:pStyle w:val="ListParagraph"/>
        <w:jc w:val="both"/>
      </w:pPr>
    </w:p>
    <w:p w14:paraId="10B1C9A9" w14:textId="77777777" w:rsidR="00080BD2" w:rsidRPr="002F63B6" w:rsidRDefault="00080BD2" w:rsidP="00554B28">
      <w:pPr>
        <w:pStyle w:val="EndnoteText"/>
        <w:numPr>
          <w:ilvl w:val="0"/>
          <w:numId w:val="1"/>
        </w:numPr>
        <w:tabs>
          <w:tab w:val="left" w:pos="547"/>
        </w:tabs>
        <w:jc w:val="both"/>
        <w:rPr>
          <w:u w:val="wave"/>
        </w:rPr>
      </w:pPr>
      <w:r w:rsidRPr="002F63B6">
        <w:rPr>
          <w:u w:val="wave"/>
        </w:rPr>
        <w:t xml:space="preserve">Remove reference to </w:t>
      </w:r>
      <w:r w:rsidRPr="002F63B6">
        <w:rPr>
          <w:i/>
          <w:u w:val="wave"/>
        </w:rPr>
        <w:t xml:space="preserve">Schedule of Expenditures of Federal Awards </w:t>
      </w:r>
      <w:r w:rsidRPr="002F63B6">
        <w:rPr>
          <w:u w:val="wave"/>
        </w:rPr>
        <w:t>when reporting over it is instead included in the Single Audit Letter.</w:t>
      </w:r>
    </w:p>
    <w:p w14:paraId="0F920CFF" w14:textId="77777777" w:rsidR="006F07D4" w:rsidRDefault="006F07D4" w:rsidP="00554B28">
      <w:pPr>
        <w:pStyle w:val="ListParagraph"/>
        <w:jc w:val="both"/>
      </w:pPr>
    </w:p>
    <w:p w14:paraId="710959BE" w14:textId="48DA3266" w:rsidR="006F07D4" w:rsidRDefault="006F07D4" w:rsidP="00554B28">
      <w:pPr>
        <w:pStyle w:val="EndnoteText"/>
        <w:numPr>
          <w:ilvl w:val="0"/>
          <w:numId w:val="7"/>
        </w:numPr>
        <w:tabs>
          <w:tab w:val="left" w:pos="547"/>
        </w:tabs>
        <w:jc w:val="both"/>
      </w:pPr>
      <w:r>
        <w:rPr>
          <w:b/>
          <w:i/>
        </w:rPr>
        <w:t xml:space="preserve">Important: </w:t>
      </w:r>
      <w:r>
        <w:t xml:space="preserve"> We normally consider </w:t>
      </w:r>
      <w:r>
        <w:rPr>
          <w:color w:val="000000"/>
        </w:rPr>
        <w:t xml:space="preserve">materiality for each opinion unit. However, our in-relation-to opinion on supplementary information is in relation to the financial statements as a whole. Therefore, we consider materiality at a level representing the entire </w:t>
      </w:r>
      <w:r w:rsidRPr="009B03B1">
        <w:rPr>
          <w:color w:val="000000"/>
        </w:rPr>
        <w:t xml:space="preserve">governmental </w:t>
      </w:r>
      <w:r w:rsidR="009B03B1" w:rsidRPr="009B03B1">
        <w:rPr>
          <w:color w:val="000000"/>
        </w:rPr>
        <w:t>e</w:t>
      </w:r>
      <w:r w:rsidR="00200B17" w:rsidRPr="009B03B1">
        <w:rPr>
          <w:color w:val="000000"/>
        </w:rPr>
        <w:t>ntity</w:t>
      </w:r>
      <w:r>
        <w:rPr>
          <w:color w:val="000000"/>
        </w:rPr>
        <w:t>.</w:t>
      </w:r>
    </w:p>
    <w:p w14:paraId="0EC4B654" w14:textId="77777777" w:rsidR="006F07D4" w:rsidRDefault="006F07D4" w:rsidP="00554B28">
      <w:pPr>
        <w:pStyle w:val="EndnoteText"/>
        <w:jc w:val="both"/>
      </w:pPr>
    </w:p>
  </w:endnote>
  <w:endnote w:id="12">
    <w:p w14:paraId="2B936200" w14:textId="77777777" w:rsidR="006F07D4" w:rsidRDefault="006F07D4" w:rsidP="00554B28">
      <w:pPr>
        <w:pStyle w:val="EndnoteText"/>
        <w:tabs>
          <w:tab w:val="left" w:pos="0"/>
        </w:tabs>
        <w:ind w:left="547" w:hanging="547"/>
        <w:jc w:val="both"/>
      </w:pPr>
      <w:r>
        <w:rPr>
          <w:rStyle w:val="EndnoteReference"/>
        </w:rPr>
        <w:endnoteRef/>
      </w:r>
      <w:r>
        <w:t xml:space="preserve"> </w:t>
      </w:r>
      <w:r>
        <w:tab/>
        <w:t xml:space="preserve">This last sentence derives from AU-C 720, and relates to financial or nonfinancial information that is neither RSI nor </w:t>
      </w:r>
      <w:r>
        <w:rPr>
          <w:i/>
        </w:rPr>
        <w:t>supplementary information</w:t>
      </w:r>
      <w:r>
        <w:t xml:space="preserve"> subject to AU-C 725.  Examples include </w:t>
      </w:r>
      <w:r>
        <w:rPr>
          <w:i/>
        </w:rPr>
        <w:t>introductory information</w:t>
      </w:r>
      <w:r>
        <w:t xml:space="preserve"> or </w:t>
      </w:r>
      <w:r>
        <w:rPr>
          <w:i/>
        </w:rPr>
        <w:t>statistical tables</w:t>
      </w:r>
      <w:r>
        <w:t xml:space="preserve">, which are not subject to an “in-relation- to opinion.”  </w:t>
      </w:r>
    </w:p>
    <w:p w14:paraId="5023574A" w14:textId="77777777" w:rsidR="006F07D4" w:rsidRDefault="006F07D4" w:rsidP="00554B28">
      <w:pPr>
        <w:pStyle w:val="EndnoteText"/>
        <w:tabs>
          <w:tab w:val="left" w:pos="0"/>
        </w:tabs>
        <w:ind w:left="547" w:hanging="547"/>
        <w:jc w:val="both"/>
      </w:pPr>
    </w:p>
    <w:p w14:paraId="76D8A20C" w14:textId="77777777" w:rsidR="006F07D4" w:rsidRDefault="006F07D4" w:rsidP="00554B28">
      <w:pPr>
        <w:pStyle w:val="EndnoteText"/>
        <w:tabs>
          <w:tab w:val="left" w:pos="0"/>
        </w:tabs>
        <w:ind w:left="547" w:hanging="547"/>
        <w:jc w:val="both"/>
      </w:pPr>
      <w:r>
        <w:tab/>
        <w:t>Our responsibility for this “unaudited” information is only to “read it”</w:t>
      </w:r>
      <w:r>
        <w:rPr>
          <w:b/>
          <w:color w:val="FF0000"/>
          <w:sz w:val="24"/>
          <w:szCs w:val="24"/>
        </w:rPr>
        <w:t>*</w:t>
      </w:r>
      <w:r>
        <w:rPr>
          <w:color w:val="FF0000"/>
        </w:rPr>
        <w:t xml:space="preserve"> </w:t>
      </w:r>
      <w:r>
        <w:t>to determine if (1) material inconsistencies exist between it and the audited statements, or (2) this information includes material misstatements of fact.  If you identify a material inconsistency or misstatement of fact and management is unwilling to correct it, AOS auditors consult with CFAE.</w:t>
      </w:r>
    </w:p>
    <w:p w14:paraId="6FCDA356" w14:textId="77777777" w:rsidR="006F07D4" w:rsidRDefault="006F07D4" w:rsidP="00554B28">
      <w:pPr>
        <w:pStyle w:val="EndnoteText"/>
        <w:tabs>
          <w:tab w:val="left" w:pos="0"/>
        </w:tabs>
        <w:ind w:left="547" w:hanging="547"/>
        <w:jc w:val="both"/>
      </w:pPr>
    </w:p>
    <w:p w14:paraId="01E0DAB8" w14:textId="3E60ECA6" w:rsidR="006F07D4" w:rsidRDefault="006F07D4" w:rsidP="00A44376">
      <w:pPr>
        <w:pStyle w:val="EndnoteText"/>
        <w:tabs>
          <w:tab w:val="left" w:pos="0"/>
        </w:tabs>
        <w:ind w:left="547" w:hanging="547"/>
        <w:jc w:val="both"/>
      </w:pPr>
      <w:r>
        <w:rPr>
          <w:color w:val="FF0000"/>
        </w:rPr>
        <w:tab/>
      </w:r>
      <w:r>
        <w:rPr>
          <w:color w:val="FF0000"/>
          <w:sz w:val="24"/>
          <w:szCs w:val="24"/>
        </w:rPr>
        <w:t>*</w:t>
      </w:r>
      <w:r>
        <w:t xml:space="preserve">   While standards only require us to “read it,” you should apply the procedures from our specimen program for </w:t>
      </w:r>
      <w:r>
        <w:rPr>
          <w:i/>
        </w:rPr>
        <w:t>finalizing the audit</w:t>
      </w:r>
      <w:r>
        <w:t xml:space="preserve"> to agree this information to supporting documentation.  For example, you should agree 10 - year statistical tables to the prior-year </w:t>
      </w:r>
      <w:r w:rsidR="00554B28" w:rsidRPr="00845E08">
        <w:t xml:space="preserve">Annual </w:t>
      </w:r>
      <w:r w:rsidR="00845E08" w:rsidRPr="00845E08">
        <w:t>Comprehensive Financial Report</w:t>
      </w:r>
      <w:r>
        <w:t xml:space="preserve"> to assure the prior years’ amounts did not inadvertently change.   (See SLG 16.80-.84)</w:t>
      </w:r>
    </w:p>
    <w:p w14:paraId="2A336391" w14:textId="77777777" w:rsidR="006F07D4" w:rsidRDefault="006F07D4" w:rsidP="00554B28">
      <w:pPr>
        <w:pStyle w:val="EndnoteText"/>
        <w:jc w:val="both"/>
      </w:pPr>
    </w:p>
  </w:endnote>
  <w:endnote w:id="13">
    <w:p w14:paraId="107F774A" w14:textId="736E0527" w:rsidR="006F07D4" w:rsidRDefault="006F07D4" w:rsidP="00554B28">
      <w:pPr>
        <w:pStyle w:val="EndnoteText"/>
        <w:tabs>
          <w:tab w:val="left" w:pos="540"/>
        </w:tabs>
        <w:ind w:left="540" w:hanging="540"/>
        <w:jc w:val="both"/>
      </w:pPr>
      <w:r>
        <w:rPr>
          <w:rStyle w:val="EndnoteReference"/>
        </w:rPr>
        <w:endnoteRef/>
      </w:r>
      <w:r>
        <w:t xml:space="preserve"> </w:t>
      </w:r>
      <w:r>
        <w:tab/>
        <w:t>Modify this to say “will also issue” when issuing a</w:t>
      </w:r>
      <w:r w:rsidR="00554B28">
        <w:t>n</w:t>
      </w:r>
      <w:r>
        <w:t xml:space="preserve"> </w:t>
      </w:r>
      <w:r w:rsidR="00554B28" w:rsidRPr="00845E08">
        <w:t xml:space="preserve">Annual </w:t>
      </w:r>
      <w:r w:rsidR="00845E08" w:rsidRPr="00845E08">
        <w:t>Comprehensive Financial Report</w:t>
      </w:r>
      <w:r>
        <w:t xml:space="preserve"> opinion separately from remainder of the report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743598"/>
      <w:docPartObj>
        <w:docPartGallery w:val="Page Numbers (Bottom of Page)"/>
        <w:docPartUnique/>
      </w:docPartObj>
    </w:sdtPr>
    <w:sdtEndPr>
      <w:rPr>
        <w:noProof/>
      </w:rPr>
    </w:sdtEndPr>
    <w:sdtContent>
      <w:p w14:paraId="5A52DDDA" w14:textId="790E42ED" w:rsidR="00605BE3" w:rsidRDefault="00535150">
        <w:pPr>
          <w:pStyle w:val="Footer"/>
          <w:jc w:val="center"/>
        </w:pPr>
        <w:r>
          <w:rPr>
            <w:noProof/>
          </w:rPr>
          <w:fldChar w:fldCharType="begin"/>
        </w:r>
        <w:r>
          <w:rPr>
            <w:noProof/>
          </w:rPr>
          <w:instrText xml:space="preserve"> PAGE   \* MERGEFORMAT </w:instrText>
        </w:r>
        <w:r>
          <w:rPr>
            <w:noProof/>
          </w:rPr>
          <w:fldChar w:fldCharType="separate"/>
        </w:r>
        <w:r w:rsidR="007D20F6">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295086"/>
      <w:docPartObj>
        <w:docPartGallery w:val="Page Numbers (Bottom of Page)"/>
        <w:docPartUnique/>
      </w:docPartObj>
    </w:sdtPr>
    <w:sdtEndPr>
      <w:rPr>
        <w:noProof/>
      </w:rPr>
    </w:sdtEndPr>
    <w:sdtContent>
      <w:p w14:paraId="5838921E" w14:textId="47E99D17" w:rsidR="00DC7E14" w:rsidRDefault="00DC7E14">
        <w:pPr>
          <w:pStyle w:val="Footer"/>
          <w:jc w:val="center"/>
        </w:pPr>
        <w:r>
          <w:fldChar w:fldCharType="begin"/>
        </w:r>
        <w:r>
          <w:instrText xml:space="preserve"> PAGE   \* MERGEFORMAT </w:instrText>
        </w:r>
        <w:r>
          <w:fldChar w:fldCharType="separate"/>
        </w:r>
        <w:r w:rsidR="007D20F6">
          <w:rPr>
            <w:noProof/>
          </w:rPr>
          <w:t>1</w:t>
        </w:r>
        <w:r>
          <w:rPr>
            <w:noProof/>
          </w:rPr>
          <w:fldChar w:fldCharType="end"/>
        </w:r>
      </w:p>
    </w:sdtContent>
  </w:sdt>
  <w:p w14:paraId="6EEF79FC" w14:textId="3972D2F5" w:rsidR="006B236A" w:rsidRDefault="006B236A" w:rsidP="006B236A">
    <w:pPr>
      <w:pStyle w:val="Header"/>
      <w:rPr>
        <w:rFonts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11481"/>
      <w:docPartObj>
        <w:docPartGallery w:val="Page Numbers (Bottom of Page)"/>
        <w:docPartUnique/>
      </w:docPartObj>
    </w:sdtPr>
    <w:sdtEndPr>
      <w:rPr>
        <w:noProof/>
      </w:rPr>
    </w:sdtEndPr>
    <w:sdtContent>
      <w:p w14:paraId="44871D20" w14:textId="49981C25" w:rsidR="00605BE3" w:rsidRDefault="00605BE3">
        <w:pPr>
          <w:pStyle w:val="Footer"/>
          <w:jc w:val="center"/>
        </w:pPr>
        <w:r>
          <w:fldChar w:fldCharType="begin"/>
        </w:r>
        <w:r>
          <w:instrText xml:space="preserve"> PAGE   \* MERGEFORMAT </w:instrText>
        </w:r>
        <w:r>
          <w:fldChar w:fldCharType="separate"/>
        </w:r>
        <w:r w:rsidR="007D20F6">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39332" w14:textId="77777777" w:rsidR="006F07D4" w:rsidRDefault="006F07D4">
      <w:r>
        <w:separator/>
      </w:r>
    </w:p>
  </w:footnote>
  <w:footnote w:type="continuationSeparator" w:id="0">
    <w:p w14:paraId="788C05F8" w14:textId="77777777" w:rsidR="006F07D4" w:rsidRDefault="006F07D4">
      <w:r>
        <w:continuationSeparator/>
      </w:r>
    </w:p>
  </w:footnote>
  <w:footnote w:id="1">
    <w:p w14:paraId="18D4B2A0" w14:textId="080E74A8" w:rsidR="00B62DE5" w:rsidRDefault="00175A75" w:rsidP="00080BD2">
      <w:pPr>
        <w:pStyle w:val="FootnoteText"/>
      </w:pPr>
      <w:r w:rsidRPr="00FD3423">
        <w:rPr>
          <w:rStyle w:val="FootnoteReference"/>
        </w:rPr>
        <w:sym w:font="Symbol" w:char="F046"/>
      </w:r>
      <w:r>
        <w:t xml:space="preserve"> </w:t>
      </w:r>
      <w:r w:rsidR="008902C0" w:rsidRPr="000F69A5">
        <w:rPr>
          <w:u w:val="double"/>
        </w:rPr>
        <w:t>Updated October 2021 for changes a</w:t>
      </w:r>
      <w:r w:rsidR="008902C0" w:rsidRPr="009C2321">
        <w:rPr>
          <w:u w:val="double"/>
        </w:rPr>
        <w:t>nd clarifications to</w:t>
      </w:r>
      <w:r w:rsidR="008902C0" w:rsidRPr="000F69A5">
        <w:rPr>
          <w:u w:val="double"/>
        </w:rPr>
        <w:t xml:space="preserve"> footnote 9 and clerical corrections. Changes not marked.</w:t>
      </w:r>
    </w:p>
    <w:p w14:paraId="59C20F67" w14:textId="052FE0EE" w:rsidR="00845E08" w:rsidRPr="00784090" w:rsidRDefault="00845E08" w:rsidP="00080BD2">
      <w:pPr>
        <w:pStyle w:val="FootnoteText"/>
        <w:rPr>
          <w:strike/>
        </w:rPr>
      </w:pPr>
      <w:r w:rsidRPr="00784090">
        <w:rPr>
          <w:strike/>
        </w:rPr>
        <w:t>Revised June 2021 to remove Comprehensive Annual Financial Report acronym.  Changes not marked.</w:t>
      </w:r>
    </w:p>
    <w:p w14:paraId="04D5BC56" w14:textId="48BB1FE9" w:rsidR="00175A75" w:rsidRPr="00845E08" w:rsidRDefault="00175A75" w:rsidP="00080BD2">
      <w:pPr>
        <w:pStyle w:val="FootnoteText"/>
        <w:rPr>
          <w:strik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37C93" w14:textId="0321F4C8" w:rsidR="006F07D4" w:rsidRDefault="00200B17" w:rsidP="00BA6C4C">
    <w:pPr>
      <w:pStyle w:val="Header"/>
    </w:pPr>
    <w:r w:rsidRPr="00200B17">
      <w:rPr>
        <w:highlight w:val="lightGray"/>
      </w:rPr>
      <w:t>[ENTITY NAME]</w:t>
    </w:r>
  </w:p>
  <w:p w14:paraId="1F6EFBB4" w14:textId="48FF4195" w:rsidR="00080BD2" w:rsidRDefault="00200B17" w:rsidP="00080BD2">
    <w:pPr>
      <w:tabs>
        <w:tab w:val="left" w:pos="0"/>
        <w:tab w:val="left" w:pos="547"/>
        <w:tab w:val="left" w:pos="936"/>
        <w:tab w:val="left" w:pos="1440"/>
        <w:tab w:val="left" w:pos="1987"/>
      </w:tabs>
    </w:pPr>
    <w:r w:rsidRPr="00200B17">
      <w:rPr>
        <w:rStyle w:val="footnoteref"/>
        <w:color w:val="000000"/>
        <w:highlight w:val="lightGray"/>
      </w:rPr>
      <w:t>[COUNTY NAME]</w:t>
    </w:r>
  </w:p>
  <w:p w14:paraId="7FBAFC3B" w14:textId="77777777" w:rsidR="006F07D4" w:rsidRDefault="006F07D4" w:rsidP="00BA6C4C">
    <w:pPr>
      <w:pStyle w:val="Header"/>
    </w:pPr>
    <w:r>
      <w:t>Independent Auditor’s Report</w:t>
    </w:r>
  </w:p>
  <w:p w14:paraId="436B6D74" w14:textId="2B0F7C86" w:rsidR="006F07D4" w:rsidRDefault="006F07D4" w:rsidP="00BA6C4C">
    <w:pPr>
      <w:pStyle w:val="Header"/>
      <w:rPr>
        <w:noProof/>
      </w:rPr>
    </w:pPr>
    <w:r>
      <w:t xml:space="preserve">Page </w:t>
    </w:r>
    <w:r w:rsidR="00535150">
      <w:rPr>
        <w:noProof/>
      </w:rPr>
      <w:fldChar w:fldCharType="begin"/>
    </w:r>
    <w:r w:rsidR="00535150">
      <w:rPr>
        <w:noProof/>
      </w:rPr>
      <w:instrText xml:space="preserve"> PAGE   \* MERGEFORMAT </w:instrText>
    </w:r>
    <w:r w:rsidR="00535150">
      <w:rPr>
        <w:noProof/>
      </w:rPr>
      <w:fldChar w:fldCharType="separate"/>
    </w:r>
    <w:r w:rsidR="00C945E8">
      <w:rPr>
        <w:noProof/>
      </w:rPr>
      <w:t>2</w:t>
    </w:r>
    <w:r w:rsidR="00535150">
      <w:rPr>
        <w:noProof/>
      </w:rPr>
      <w:fldChar w:fldCharType="end"/>
    </w:r>
  </w:p>
  <w:p w14:paraId="31675D46" w14:textId="77777777" w:rsidR="00535150" w:rsidRDefault="00535150" w:rsidP="00BA6C4C">
    <w:pPr>
      <w:pStyle w:val="Header"/>
      <w:rPr>
        <w:noProof/>
      </w:rPr>
    </w:pPr>
  </w:p>
  <w:p w14:paraId="0B52C519" w14:textId="77777777" w:rsidR="006F07D4" w:rsidRDefault="006F0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0CC08" w14:textId="77777777" w:rsidR="00C945E8" w:rsidRDefault="00C945E8" w:rsidP="00BA6C4C">
    <w:pPr>
      <w:pStyle w:val="Header"/>
    </w:pPr>
    <w:r w:rsidRPr="00DC7E14">
      <w:t>[ENTITY NAME]</w:t>
    </w:r>
  </w:p>
  <w:p w14:paraId="7A701722" w14:textId="77777777" w:rsidR="00C945E8" w:rsidRDefault="00C945E8" w:rsidP="00080BD2">
    <w:pPr>
      <w:tabs>
        <w:tab w:val="left" w:pos="0"/>
        <w:tab w:val="left" w:pos="547"/>
        <w:tab w:val="left" w:pos="936"/>
        <w:tab w:val="left" w:pos="1440"/>
        <w:tab w:val="left" w:pos="1987"/>
      </w:tabs>
    </w:pPr>
    <w:r w:rsidRPr="0023078D">
      <w:rPr>
        <w:rStyle w:val="footnoteref"/>
        <w:color w:val="000000"/>
      </w:rPr>
      <w:t>[COUNTY NAME]</w:t>
    </w:r>
  </w:p>
  <w:p w14:paraId="39347773" w14:textId="77777777" w:rsidR="00C945E8" w:rsidRDefault="00C945E8" w:rsidP="00BA6C4C">
    <w:pPr>
      <w:pStyle w:val="Header"/>
    </w:pPr>
    <w:r>
      <w:t>Independent Auditor’s Report</w:t>
    </w:r>
  </w:p>
  <w:p w14:paraId="6E4B21CE" w14:textId="6B993159" w:rsidR="00C945E8" w:rsidRDefault="00C945E8">
    <w:pPr>
      <w:pStyle w:val="Header"/>
      <w:rPr>
        <w:noProof/>
      </w:rPr>
    </w:pPr>
    <w:r>
      <w:t xml:space="preserve">Page </w:t>
    </w:r>
    <w:r>
      <w:rPr>
        <w:noProof/>
      </w:rPr>
      <w:fldChar w:fldCharType="begin"/>
    </w:r>
    <w:r>
      <w:rPr>
        <w:noProof/>
      </w:rPr>
      <w:instrText xml:space="preserve"> PAGE   \* MERGEFORMAT </w:instrText>
    </w:r>
    <w:r>
      <w:rPr>
        <w:noProof/>
      </w:rPr>
      <w:fldChar w:fldCharType="separate"/>
    </w:r>
    <w:r w:rsidR="007D20F6">
      <w:rPr>
        <w:noProof/>
      </w:rPr>
      <w:t>5</w:t>
    </w:r>
    <w:r>
      <w:rPr>
        <w:noProof/>
      </w:rPr>
      <w:fldChar w:fldCharType="end"/>
    </w:r>
  </w:p>
  <w:p w14:paraId="45BD587F" w14:textId="77777777" w:rsidR="00DC7E14" w:rsidRDefault="00DC7E14">
    <w:pPr>
      <w:pStyle w:val="Header"/>
      <w:rPr>
        <w:noProo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76081" w14:textId="77777777" w:rsidR="006F07D4" w:rsidRPr="00BA6C4C" w:rsidRDefault="006F07D4" w:rsidP="00BA6C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42E17" w14:textId="1360EDF1" w:rsidR="008C2B3B" w:rsidRDefault="008C2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1FC"/>
    <w:multiLevelType w:val="hybridMultilevel"/>
    <w:tmpl w:val="620E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53269D"/>
    <w:multiLevelType w:val="hybridMultilevel"/>
    <w:tmpl w:val="AB62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99481A"/>
    <w:multiLevelType w:val="hybridMultilevel"/>
    <w:tmpl w:val="8D0EDEC2"/>
    <w:lvl w:ilvl="0" w:tplc="95902096">
      <w:start w:val="1"/>
      <w:numFmt w:val="decimal"/>
      <w:lvlText w:val="(%1)"/>
      <w:lvlJc w:val="left"/>
      <w:pPr>
        <w:ind w:left="1297" w:hanging="360"/>
      </w:pPr>
      <w:rPr>
        <w:rFonts w:hint="default"/>
      </w:rPr>
    </w:lvl>
    <w:lvl w:ilvl="1" w:tplc="04090019" w:tentative="1">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abstractNum w:abstractNumId="3" w15:restartNumberingAfterBreak="0">
    <w:nsid w:val="3C500E3B"/>
    <w:multiLevelType w:val="hybridMultilevel"/>
    <w:tmpl w:val="2C94A4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4353D7F"/>
    <w:multiLevelType w:val="hybridMultilevel"/>
    <w:tmpl w:val="8E96B99E"/>
    <w:lvl w:ilvl="0" w:tplc="4D308256">
      <w:start w:val="1"/>
      <w:numFmt w:val="upp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6" w15:restartNumberingAfterBreak="0">
    <w:nsid w:val="613C7F78"/>
    <w:multiLevelType w:val="hybridMultilevel"/>
    <w:tmpl w:val="DBD0778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66173B21"/>
    <w:multiLevelType w:val="hybridMultilevel"/>
    <w:tmpl w:val="1D349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4"/>
  </w:num>
  <w:num w:numId="8">
    <w:abstractNumId w:val="2"/>
  </w:num>
  <w:num w:numId="9">
    <w:abstractNumId w:val="0"/>
  </w:num>
  <w:num w:numId="10">
    <w:abstractNumId w:val="7"/>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TY_NAME]" w:val="[COUNTY NAME]"/>
    <w:docVar w:name="[ENTITY_NAME]" w:val="[ENTITY NAME]"/>
    <w:docVar w:name="[FYE_DATE]" w:val="[FYE DATE]"/>
    <w:docVar w:name="[REGION_ADDRESS]" w:val="[REGION_ADDRESS]"/>
    <w:docVar w:name="[REGION_FAX]" w:val="[REGION_FAX]"/>
    <w:docVar w:name="[REGION_PHONE]" w:val="[REGION_PHONE]"/>
    <w:docVar w:name="[REPORT_DATE]" w:val="[REPORT DATE]"/>
    <w:docVar w:name="GOVERNMENT" w:val="Entity"/>
    <w:docVar w:name="THE" w:val=" the "/>
    <w:docVar w:name="var1" w:val="[REPORT DATE]"/>
    <w:docVar w:name="var2" w:val="[ENTITY NAME]"/>
    <w:docVar w:name="var3" w:val="Government"/>
    <w:docVar w:name="var4" w:val="[COUNTY NAME]"/>
    <w:docVar w:name="var5" w:val="[FYE DATE]"/>
    <w:docVar w:name="var6" w:val=" the "/>
    <w:docVar w:name="var8" w:val="year"/>
    <w:docVar w:name="YEARS" w:val="year"/>
  </w:docVars>
  <w:rsids>
    <w:rsidRoot w:val="007F0D97"/>
    <w:rsid w:val="00000E78"/>
    <w:rsid w:val="00014EF7"/>
    <w:rsid w:val="0002103E"/>
    <w:rsid w:val="00023442"/>
    <w:rsid w:val="0002799B"/>
    <w:rsid w:val="0003035F"/>
    <w:rsid w:val="000313A9"/>
    <w:rsid w:val="0003234F"/>
    <w:rsid w:val="000344E2"/>
    <w:rsid w:val="0004035A"/>
    <w:rsid w:val="00045A69"/>
    <w:rsid w:val="00047D12"/>
    <w:rsid w:val="0005238E"/>
    <w:rsid w:val="0005454F"/>
    <w:rsid w:val="00057A55"/>
    <w:rsid w:val="00061B47"/>
    <w:rsid w:val="0006500E"/>
    <w:rsid w:val="00080BD2"/>
    <w:rsid w:val="00082435"/>
    <w:rsid w:val="00086FBE"/>
    <w:rsid w:val="00097ECB"/>
    <w:rsid w:val="000A3B3D"/>
    <w:rsid w:val="000A53F1"/>
    <w:rsid w:val="000B00F0"/>
    <w:rsid w:val="000B05AA"/>
    <w:rsid w:val="000B186A"/>
    <w:rsid w:val="000B5015"/>
    <w:rsid w:val="000B6856"/>
    <w:rsid w:val="000C2640"/>
    <w:rsid w:val="000C380F"/>
    <w:rsid w:val="000D35DD"/>
    <w:rsid w:val="000D46C9"/>
    <w:rsid w:val="000D61B3"/>
    <w:rsid w:val="000F4DCA"/>
    <w:rsid w:val="0010424A"/>
    <w:rsid w:val="0011062F"/>
    <w:rsid w:val="00112A92"/>
    <w:rsid w:val="00115761"/>
    <w:rsid w:val="00130854"/>
    <w:rsid w:val="00135FD1"/>
    <w:rsid w:val="001379FF"/>
    <w:rsid w:val="00145241"/>
    <w:rsid w:val="00154DAB"/>
    <w:rsid w:val="00155964"/>
    <w:rsid w:val="001672B6"/>
    <w:rsid w:val="00175A75"/>
    <w:rsid w:val="00181794"/>
    <w:rsid w:val="00181C14"/>
    <w:rsid w:val="00182A9B"/>
    <w:rsid w:val="00186F12"/>
    <w:rsid w:val="00193EB5"/>
    <w:rsid w:val="001A655B"/>
    <w:rsid w:val="001C6C49"/>
    <w:rsid w:val="001E2B9C"/>
    <w:rsid w:val="001E7383"/>
    <w:rsid w:val="001F5730"/>
    <w:rsid w:val="00200B17"/>
    <w:rsid w:val="00211329"/>
    <w:rsid w:val="00221312"/>
    <w:rsid w:val="0022421F"/>
    <w:rsid w:val="00225D84"/>
    <w:rsid w:val="0023078D"/>
    <w:rsid w:val="002353D1"/>
    <w:rsid w:val="00240B3B"/>
    <w:rsid w:val="00243574"/>
    <w:rsid w:val="0024460E"/>
    <w:rsid w:val="0025349A"/>
    <w:rsid w:val="00256F4C"/>
    <w:rsid w:val="0026103A"/>
    <w:rsid w:val="00264E32"/>
    <w:rsid w:val="002704F4"/>
    <w:rsid w:val="002750C3"/>
    <w:rsid w:val="00284EF1"/>
    <w:rsid w:val="00286E9F"/>
    <w:rsid w:val="002938B4"/>
    <w:rsid w:val="0029768B"/>
    <w:rsid w:val="002A18FD"/>
    <w:rsid w:val="002A6712"/>
    <w:rsid w:val="002B05DF"/>
    <w:rsid w:val="002B0773"/>
    <w:rsid w:val="002B6F23"/>
    <w:rsid w:val="002C2683"/>
    <w:rsid w:val="002C3681"/>
    <w:rsid w:val="002D2DE3"/>
    <w:rsid w:val="002E6D1F"/>
    <w:rsid w:val="00305BA1"/>
    <w:rsid w:val="00307480"/>
    <w:rsid w:val="0031680C"/>
    <w:rsid w:val="00322191"/>
    <w:rsid w:val="00331C5E"/>
    <w:rsid w:val="00341737"/>
    <w:rsid w:val="003430FC"/>
    <w:rsid w:val="00356D43"/>
    <w:rsid w:val="00366655"/>
    <w:rsid w:val="0037072D"/>
    <w:rsid w:val="003777ED"/>
    <w:rsid w:val="00385F9E"/>
    <w:rsid w:val="003949D7"/>
    <w:rsid w:val="0039779D"/>
    <w:rsid w:val="003A0DD4"/>
    <w:rsid w:val="003A1ACA"/>
    <w:rsid w:val="003A2BF8"/>
    <w:rsid w:val="003B2C72"/>
    <w:rsid w:val="003B72BE"/>
    <w:rsid w:val="003B7FA7"/>
    <w:rsid w:val="003F5707"/>
    <w:rsid w:val="00407612"/>
    <w:rsid w:val="0041430A"/>
    <w:rsid w:val="004159F5"/>
    <w:rsid w:val="00416AE0"/>
    <w:rsid w:val="0041778F"/>
    <w:rsid w:val="00444B5B"/>
    <w:rsid w:val="00455261"/>
    <w:rsid w:val="00466353"/>
    <w:rsid w:val="00480B62"/>
    <w:rsid w:val="00480FDD"/>
    <w:rsid w:val="004810D5"/>
    <w:rsid w:val="0048537C"/>
    <w:rsid w:val="00485CB4"/>
    <w:rsid w:val="0048752A"/>
    <w:rsid w:val="00490D43"/>
    <w:rsid w:val="004A11A3"/>
    <w:rsid w:val="004B31F1"/>
    <w:rsid w:val="004B351F"/>
    <w:rsid w:val="004B50E9"/>
    <w:rsid w:val="004D1386"/>
    <w:rsid w:val="004E435D"/>
    <w:rsid w:val="004E45B0"/>
    <w:rsid w:val="004E7B75"/>
    <w:rsid w:val="004E7CC0"/>
    <w:rsid w:val="00501272"/>
    <w:rsid w:val="00501AD8"/>
    <w:rsid w:val="0050426E"/>
    <w:rsid w:val="0051528D"/>
    <w:rsid w:val="00523F88"/>
    <w:rsid w:val="00527119"/>
    <w:rsid w:val="00535150"/>
    <w:rsid w:val="005418C2"/>
    <w:rsid w:val="00541E5F"/>
    <w:rsid w:val="00551F27"/>
    <w:rsid w:val="0055474E"/>
    <w:rsid w:val="00554B28"/>
    <w:rsid w:val="005677C8"/>
    <w:rsid w:val="00567A07"/>
    <w:rsid w:val="00577B84"/>
    <w:rsid w:val="0058120F"/>
    <w:rsid w:val="005827C3"/>
    <w:rsid w:val="00590A4B"/>
    <w:rsid w:val="00593696"/>
    <w:rsid w:val="005952C5"/>
    <w:rsid w:val="00596B47"/>
    <w:rsid w:val="00597C46"/>
    <w:rsid w:val="005A29C4"/>
    <w:rsid w:val="005A3AD8"/>
    <w:rsid w:val="005A63B9"/>
    <w:rsid w:val="005C08F0"/>
    <w:rsid w:val="005C1408"/>
    <w:rsid w:val="005C2FB9"/>
    <w:rsid w:val="005C4524"/>
    <w:rsid w:val="005C77F5"/>
    <w:rsid w:val="005D1956"/>
    <w:rsid w:val="005E04D4"/>
    <w:rsid w:val="005E0951"/>
    <w:rsid w:val="005E169D"/>
    <w:rsid w:val="005F6545"/>
    <w:rsid w:val="006047E5"/>
    <w:rsid w:val="00604928"/>
    <w:rsid w:val="00605BE3"/>
    <w:rsid w:val="0060728F"/>
    <w:rsid w:val="0061034B"/>
    <w:rsid w:val="0061115F"/>
    <w:rsid w:val="00612888"/>
    <w:rsid w:val="00622A56"/>
    <w:rsid w:val="00622DE0"/>
    <w:rsid w:val="00630B02"/>
    <w:rsid w:val="00631435"/>
    <w:rsid w:val="0064069F"/>
    <w:rsid w:val="00660057"/>
    <w:rsid w:val="006616B3"/>
    <w:rsid w:val="006619A4"/>
    <w:rsid w:val="006672E8"/>
    <w:rsid w:val="00692297"/>
    <w:rsid w:val="006961B5"/>
    <w:rsid w:val="006A1E0B"/>
    <w:rsid w:val="006B236A"/>
    <w:rsid w:val="006C2E60"/>
    <w:rsid w:val="006C3A35"/>
    <w:rsid w:val="006C5735"/>
    <w:rsid w:val="006C7C4A"/>
    <w:rsid w:val="006D285D"/>
    <w:rsid w:val="006D2B78"/>
    <w:rsid w:val="006E05F9"/>
    <w:rsid w:val="006E08E9"/>
    <w:rsid w:val="006E2246"/>
    <w:rsid w:val="006E42F2"/>
    <w:rsid w:val="006E6249"/>
    <w:rsid w:val="006F07D4"/>
    <w:rsid w:val="006F0EBC"/>
    <w:rsid w:val="006F1B92"/>
    <w:rsid w:val="00702A74"/>
    <w:rsid w:val="0070514B"/>
    <w:rsid w:val="00705493"/>
    <w:rsid w:val="00717000"/>
    <w:rsid w:val="00722F26"/>
    <w:rsid w:val="00732A29"/>
    <w:rsid w:val="00735001"/>
    <w:rsid w:val="007404BD"/>
    <w:rsid w:val="00743A72"/>
    <w:rsid w:val="00743CC4"/>
    <w:rsid w:val="007513A1"/>
    <w:rsid w:val="007515FE"/>
    <w:rsid w:val="00757353"/>
    <w:rsid w:val="00763343"/>
    <w:rsid w:val="007706C4"/>
    <w:rsid w:val="00784090"/>
    <w:rsid w:val="00786ADB"/>
    <w:rsid w:val="00795072"/>
    <w:rsid w:val="007A6844"/>
    <w:rsid w:val="007A75C0"/>
    <w:rsid w:val="007B289F"/>
    <w:rsid w:val="007B3C88"/>
    <w:rsid w:val="007C0A70"/>
    <w:rsid w:val="007C2C3C"/>
    <w:rsid w:val="007D20F6"/>
    <w:rsid w:val="007F0D97"/>
    <w:rsid w:val="007F0EE4"/>
    <w:rsid w:val="007F4716"/>
    <w:rsid w:val="0080441F"/>
    <w:rsid w:val="008065FF"/>
    <w:rsid w:val="008122D3"/>
    <w:rsid w:val="00815317"/>
    <w:rsid w:val="00831B6C"/>
    <w:rsid w:val="00832257"/>
    <w:rsid w:val="00834FD6"/>
    <w:rsid w:val="0083639F"/>
    <w:rsid w:val="00842FAC"/>
    <w:rsid w:val="00845E08"/>
    <w:rsid w:val="0085395E"/>
    <w:rsid w:val="00856DF5"/>
    <w:rsid w:val="008612BB"/>
    <w:rsid w:val="0086587D"/>
    <w:rsid w:val="00870EAD"/>
    <w:rsid w:val="00873BCF"/>
    <w:rsid w:val="00874350"/>
    <w:rsid w:val="00877D68"/>
    <w:rsid w:val="00880F36"/>
    <w:rsid w:val="008842DA"/>
    <w:rsid w:val="00886D1F"/>
    <w:rsid w:val="008902C0"/>
    <w:rsid w:val="00895DEF"/>
    <w:rsid w:val="008977AF"/>
    <w:rsid w:val="008A2DBF"/>
    <w:rsid w:val="008A2F69"/>
    <w:rsid w:val="008B19A0"/>
    <w:rsid w:val="008B294A"/>
    <w:rsid w:val="008C13C4"/>
    <w:rsid w:val="008C2B3B"/>
    <w:rsid w:val="008C4F06"/>
    <w:rsid w:val="008D4188"/>
    <w:rsid w:val="008D7AA4"/>
    <w:rsid w:val="008E2726"/>
    <w:rsid w:val="008E57DE"/>
    <w:rsid w:val="008E60FD"/>
    <w:rsid w:val="008E65CA"/>
    <w:rsid w:val="008F7D5D"/>
    <w:rsid w:val="00901A03"/>
    <w:rsid w:val="00904E1B"/>
    <w:rsid w:val="00906465"/>
    <w:rsid w:val="00906C1E"/>
    <w:rsid w:val="00926100"/>
    <w:rsid w:val="0093227C"/>
    <w:rsid w:val="00961BF1"/>
    <w:rsid w:val="009658F9"/>
    <w:rsid w:val="0097231C"/>
    <w:rsid w:val="00975067"/>
    <w:rsid w:val="00987764"/>
    <w:rsid w:val="00990E41"/>
    <w:rsid w:val="00992039"/>
    <w:rsid w:val="00996E2E"/>
    <w:rsid w:val="009A3AD4"/>
    <w:rsid w:val="009A45F0"/>
    <w:rsid w:val="009A504D"/>
    <w:rsid w:val="009B03B1"/>
    <w:rsid w:val="009B0CCB"/>
    <w:rsid w:val="009B15D0"/>
    <w:rsid w:val="009B7131"/>
    <w:rsid w:val="009C0AC9"/>
    <w:rsid w:val="009E2BDF"/>
    <w:rsid w:val="009F6723"/>
    <w:rsid w:val="00A029CC"/>
    <w:rsid w:val="00A120A2"/>
    <w:rsid w:val="00A23173"/>
    <w:rsid w:val="00A36DD8"/>
    <w:rsid w:val="00A44376"/>
    <w:rsid w:val="00A524DD"/>
    <w:rsid w:val="00A5781E"/>
    <w:rsid w:val="00A60113"/>
    <w:rsid w:val="00A603DC"/>
    <w:rsid w:val="00A63515"/>
    <w:rsid w:val="00A70E33"/>
    <w:rsid w:val="00A73EFF"/>
    <w:rsid w:val="00A7594D"/>
    <w:rsid w:val="00A7676B"/>
    <w:rsid w:val="00A77008"/>
    <w:rsid w:val="00A82665"/>
    <w:rsid w:val="00A95031"/>
    <w:rsid w:val="00A9647B"/>
    <w:rsid w:val="00A97609"/>
    <w:rsid w:val="00AB33B8"/>
    <w:rsid w:val="00AB36CF"/>
    <w:rsid w:val="00AB7348"/>
    <w:rsid w:val="00AC06A0"/>
    <w:rsid w:val="00AC2610"/>
    <w:rsid w:val="00AC3295"/>
    <w:rsid w:val="00AD2DA2"/>
    <w:rsid w:val="00AE0176"/>
    <w:rsid w:val="00AE1DC4"/>
    <w:rsid w:val="00B00E58"/>
    <w:rsid w:val="00B07449"/>
    <w:rsid w:val="00B126F2"/>
    <w:rsid w:val="00B15985"/>
    <w:rsid w:val="00B1745C"/>
    <w:rsid w:val="00B23525"/>
    <w:rsid w:val="00B25CC1"/>
    <w:rsid w:val="00B26436"/>
    <w:rsid w:val="00B32D50"/>
    <w:rsid w:val="00B33879"/>
    <w:rsid w:val="00B446C8"/>
    <w:rsid w:val="00B456DA"/>
    <w:rsid w:val="00B46426"/>
    <w:rsid w:val="00B55721"/>
    <w:rsid w:val="00B57165"/>
    <w:rsid w:val="00B62DE5"/>
    <w:rsid w:val="00B6382C"/>
    <w:rsid w:val="00B639CE"/>
    <w:rsid w:val="00B72768"/>
    <w:rsid w:val="00B7456D"/>
    <w:rsid w:val="00B745D4"/>
    <w:rsid w:val="00B75A1C"/>
    <w:rsid w:val="00B83421"/>
    <w:rsid w:val="00B8382F"/>
    <w:rsid w:val="00B86188"/>
    <w:rsid w:val="00B86610"/>
    <w:rsid w:val="00BA1529"/>
    <w:rsid w:val="00BA6C4C"/>
    <w:rsid w:val="00BB240F"/>
    <w:rsid w:val="00BC0E53"/>
    <w:rsid w:val="00BC7029"/>
    <w:rsid w:val="00BC7FE2"/>
    <w:rsid w:val="00BD1C5F"/>
    <w:rsid w:val="00BD2956"/>
    <w:rsid w:val="00BD4A52"/>
    <w:rsid w:val="00BF0904"/>
    <w:rsid w:val="00BF2028"/>
    <w:rsid w:val="00C03C7E"/>
    <w:rsid w:val="00C04C75"/>
    <w:rsid w:val="00C11EA2"/>
    <w:rsid w:val="00C15EC7"/>
    <w:rsid w:val="00C17E53"/>
    <w:rsid w:val="00C25204"/>
    <w:rsid w:val="00C30634"/>
    <w:rsid w:val="00C36E39"/>
    <w:rsid w:val="00C378C8"/>
    <w:rsid w:val="00C40960"/>
    <w:rsid w:val="00C54955"/>
    <w:rsid w:val="00C604D3"/>
    <w:rsid w:val="00C67DD9"/>
    <w:rsid w:val="00C76DE9"/>
    <w:rsid w:val="00C7799D"/>
    <w:rsid w:val="00C81184"/>
    <w:rsid w:val="00C945E8"/>
    <w:rsid w:val="00CA1FF4"/>
    <w:rsid w:val="00CA21FF"/>
    <w:rsid w:val="00CB2532"/>
    <w:rsid w:val="00CB36E7"/>
    <w:rsid w:val="00CB65F3"/>
    <w:rsid w:val="00CC0301"/>
    <w:rsid w:val="00CC2AF1"/>
    <w:rsid w:val="00CC5D2C"/>
    <w:rsid w:val="00D05E85"/>
    <w:rsid w:val="00D3563D"/>
    <w:rsid w:val="00D47483"/>
    <w:rsid w:val="00D508D8"/>
    <w:rsid w:val="00D53F19"/>
    <w:rsid w:val="00D54FDC"/>
    <w:rsid w:val="00D551B2"/>
    <w:rsid w:val="00D56D81"/>
    <w:rsid w:val="00D57325"/>
    <w:rsid w:val="00D636B7"/>
    <w:rsid w:val="00D718BC"/>
    <w:rsid w:val="00D72367"/>
    <w:rsid w:val="00D86DD9"/>
    <w:rsid w:val="00D90BE2"/>
    <w:rsid w:val="00D919C8"/>
    <w:rsid w:val="00D94C9A"/>
    <w:rsid w:val="00D9587E"/>
    <w:rsid w:val="00DA03E8"/>
    <w:rsid w:val="00DA6204"/>
    <w:rsid w:val="00DA755B"/>
    <w:rsid w:val="00DA7F3C"/>
    <w:rsid w:val="00DC2CA2"/>
    <w:rsid w:val="00DC5F6A"/>
    <w:rsid w:val="00DC639F"/>
    <w:rsid w:val="00DC7E14"/>
    <w:rsid w:val="00DD14F1"/>
    <w:rsid w:val="00DD2868"/>
    <w:rsid w:val="00DD29E3"/>
    <w:rsid w:val="00DD73AE"/>
    <w:rsid w:val="00DE13FC"/>
    <w:rsid w:val="00DE790C"/>
    <w:rsid w:val="00DF08A1"/>
    <w:rsid w:val="00DF27CD"/>
    <w:rsid w:val="00E027A3"/>
    <w:rsid w:val="00E22D1D"/>
    <w:rsid w:val="00E250F1"/>
    <w:rsid w:val="00E306F8"/>
    <w:rsid w:val="00E30BFB"/>
    <w:rsid w:val="00E33864"/>
    <w:rsid w:val="00E3591C"/>
    <w:rsid w:val="00E36119"/>
    <w:rsid w:val="00E42D1D"/>
    <w:rsid w:val="00E44283"/>
    <w:rsid w:val="00E45335"/>
    <w:rsid w:val="00E45ACC"/>
    <w:rsid w:val="00E512FD"/>
    <w:rsid w:val="00E52724"/>
    <w:rsid w:val="00E57A7C"/>
    <w:rsid w:val="00E604F2"/>
    <w:rsid w:val="00E67764"/>
    <w:rsid w:val="00E72302"/>
    <w:rsid w:val="00E7416B"/>
    <w:rsid w:val="00E80161"/>
    <w:rsid w:val="00E80366"/>
    <w:rsid w:val="00E85B19"/>
    <w:rsid w:val="00EA354E"/>
    <w:rsid w:val="00EE22CC"/>
    <w:rsid w:val="00EF6D4C"/>
    <w:rsid w:val="00F00B0F"/>
    <w:rsid w:val="00F047FA"/>
    <w:rsid w:val="00F05B1B"/>
    <w:rsid w:val="00F13C02"/>
    <w:rsid w:val="00F16CFC"/>
    <w:rsid w:val="00F17BEC"/>
    <w:rsid w:val="00F231C6"/>
    <w:rsid w:val="00F24663"/>
    <w:rsid w:val="00F447E0"/>
    <w:rsid w:val="00F50915"/>
    <w:rsid w:val="00F514CD"/>
    <w:rsid w:val="00F5343B"/>
    <w:rsid w:val="00F54F5F"/>
    <w:rsid w:val="00F57B37"/>
    <w:rsid w:val="00F62B77"/>
    <w:rsid w:val="00F66137"/>
    <w:rsid w:val="00F72914"/>
    <w:rsid w:val="00F7495E"/>
    <w:rsid w:val="00F8015C"/>
    <w:rsid w:val="00F8017D"/>
    <w:rsid w:val="00F846F2"/>
    <w:rsid w:val="00F96BB7"/>
    <w:rsid w:val="00FB3117"/>
    <w:rsid w:val="00FB59EF"/>
    <w:rsid w:val="00FD083D"/>
    <w:rsid w:val="00FD3423"/>
    <w:rsid w:val="00FD389A"/>
    <w:rsid w:val="00FD5594"/>
    <w:rsid w:val="00FE293C"/>
    <w:rsid w:val="00FE3C5D"/>
    <w:rsid w:val="00FE7D53"/>
    <w:rsid w:val="00FF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F6A7ADE"/>
  <w15:docId w15:val="{465E75F8-9381-4930-B06C-49C0CDE3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68B"/>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F0D97"/>
  </w:style>
  <w:style w:type="character" w:styleId="FootnoteReference">
    <w:name w:val="footnote reference"/>
    <w:basedOn w:val="DefaultParagraphFont"/>
    <w:semiHidden/>
    <w:rsid w:val="007F0D97"/>
    <w:rPr>
      <w:vertAlign w:val="superscript"/>
    </w:rPr>
  </w:style>
  <w:style w:type="character" w:customStyle="1" w:styleId="footnoteref">
    <w:name w:val="footnote ref"/>
    <w:rsid w:val="005418C2"/>
  </w:style>
  <w:style w:type="character" w:styleId="CommentReference">
    <w:name w:val="annotation reference"/>
    <w:basedOn w:val="DefaultParagraphFont"/>
    <w:semiHidden/>
    <w:rsid w:val="00A5781E"/>
    <w:rPr>
      <w:sz w:val="16"/>
      <w:szCs w:val="16"/>
    </w:rPr>
  </w:style>
  <w:style w:type="paragraph" w:styleId="CommentText">
    <w:name w:val="annotation text"/>
    <w:basedOn w:val="Normal"/>
    <w:semiHidden/>
    <w:rsid w:val="00A5781E"/>
  </w:style>
  <w:style w:type="paragraph" w:styleId="CommentSubject">
    <w:name w:val="annotation subject"/>
    <w:basedOn w:val="CommentText"/>
    <w:next w:val="CommentText"/>
    <w:semiHidden/>
    <w:rsid w:val="00A5781E"/>
    <w:rPr>
      <w:b/>
      <w:bCs/>
    </w:rPr>
  </w:style>
  <w:style w:type="paragraph" w:styleId="BalloonText">
    <w:name w:val="Balloon Text"/>
    <w:basedOn w:val="Normal"/>
    <w:semiHidden/>
    <w:rsid w:val="00A5781E"/>
    <w:rPr>
      <w:sz w:val="16"/>
      <w:szCs w:val="16"/>
    </w:rPr>
  </w:style>
  <w:style w:type="paragraph" w:styleId="EndnoteText">
    <w:name w:val="endnote text"/>
    <w:basedOn w:val="Normal"/>
    <w:link w:val="EndnoteTextChar"/>
    <w:rsid w:val="00E250F1"/>
  </w:style>
  <w:style w:type="character" w:customStyle="1" w:styleId="EndnoteTextChar">
    <w:name w:val="Endnote Text Char"/>
    <w:basedOn w:val="DefaultParagraphFont"/>
    <w:link w:val="EndnoteText"/>
    <w:rsid w:val="00E250F1"/>
    <w:rPr>
      <w:rFonts w:ascii="Arial" w:hAnsi="Arial" w:cs="Arial"/>
    </w:rPr>
  </w:style>
  <w:style w:type="character" w:styleId="EndnoteReference">
    <w:name w:val="endnote reference"/>
    <w:basedOn w:val="DefaultParagraphFont"/>
    <w:rsid w:val="00E250F1"/>
    <w:rPr>
      <w:vertAlign w:val="superscript"/>
    </w:rPr>
  </w:style>
  <w:style w:type="paragraph" w:styleId="ListParagraph">
    <w:name w:val="List Paragraph"/>
    <w:basedOn w:val="Normal"/>
    <w:uiPriority w:val="34"/>
    <w:qFormat/>
    <w:rsid w:val="000B6856"/>
    <w:pPr>
      <w:ind w:left="720"/>
      <w:contextualSpacing/>
    </w:pPr>
  </w:style>
  <w:style w:type="paragraph" w:customStyle="1" w:styleId="psindent0">
    <w:name w:val="ps_indent_0"/>
    <w:basedOn w:val="Normal"/>
    <w:rsid w:val="00BD4A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ind w:left="720"/>
    </w:pPr>
    <w:rPr>
      <w:rFonts w:ascii="Times New Roman" w:hAnsi="Times New Roman" w:cs="Times New Roman"/>
      <w:sz w:val="24"/>
      <w:szCs w:val="24"/>
    </w:rPr>
  </w:style>
  <w:style w:type="table" w:styleId="TableColumns4">
    <w:name w:val="Table Columns 4"/>
    <w:basedOn w:val="TableNormal"/>
    <w:unhideWhenUsed/>
    <w:rsid w:val="00BD4A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styleId="NormalWeb">
    <w:name w:val="Normal (Web)"/>
    <w:basedOn w:val="Normal"/>
    <w:rsid w:val="004810D5"/>
    <w:rPr>
      <w:rFonts w:ascii="Times New Roman" w:hAnsi="Times New Roman" w:cs="Times New Roman"/>
      <w:sz w:val="24"/>
      <w:szCs w:val="24"/>
    </w:rPr>
  </w:style>
  <w:style w:type="character" w:customStyle="1" w:styleId="c-doc-para-italic2">
    <w:name w:val="c-doc-para-italic2"/>
    <w:basedOn w:val="DefaultParagraphFont"/>
    <w:rsid w:val="00B446C8"/>
  </w:style>
  <w:style w:type="paragraph" w:styleId="Header">
    <w:name w:val="header"/>
    <w:basedOn w:val="Normal"/>
    <w:link w:val="HeaderChar"/>
    <w:rsid w:val="00BA6C4C"/>
    <w:pPr>
      <w:tabs>
        <w:tab w:val="center" w:pos="4680"/>
        <w:tab w:val="right" w:pos="9360"/>
      </w:tabs>
    </w:pPr>
  </w:style>
  <w:style w:type="character" w:customStyle="1" w:styleId="HeaderChar">
    <w:name w:val="Header Char"/>
    <w:basedOn w:val="DefaultParagraphFont"/>
    <w:link w:val="Header"/>
    <w:rsid w:val="00BA6C4C"/>
    <w:rPr>
      <w:rFonts w:ascii="Arial" w:hAnsi="Arial" w:cs="Arial"/>
    </w:rPr>
  </w:style>
  <w:style w:type="paragraph" w:styleId="Footer">
    <w:name w:val="footer"/>
    <w:basedOn w:val="Normal"/>
    <w:link w:val="FooterChar"/>
    <w:uiPriority w:val="99"/>
    <w:rsid w:val="00BA6C4C"/>
    <w:pPr>
      <w:tabs>
        <w:tab w:val="center" w:pos="4680"/>
        <w:tab w:val="right" w:pos="9360"/>
      </w:tabs>
    </w:pPr>
  </w:style>
  <w:style w:type="character" w:customStyle="1" w:styleId="FooterChar">
    <w:name w:val="Footer Char"/>
    <w:basedOn w:val="DefaultParagraphFont"/>
    <w:link w:val="Footer"/>
    <w:uiPriority w:val="99"/>
    <w:rsid w:val="00BA6C4C"/>
    <w:rPr>
      <w:rFonts w:ascii="Arial" w:hAnsi="Arial" w:cs="Arial"/>
    </w:rPr>
  </w:style>
  <w:style w:type="character" w:styleId="Hyperlink">
    <w:name w:val="Hyperlink"/>
    <w:basedOn w:val="DefaultParagraphFont"/>
    <w:uiPriority w:val="99"/>
    <w:unhideWhenUsed/>
    <w:rsid w:val="00080BD2"/>
    <w:rPr>
      <w:color w:val="0000FF"/>
      <w:u w:val="single"/>
    </w:rPr>
  </w:style>
  <w:style w:type="character" w:styleId="FollowedHyperlink">
    <w:name w:val="FollowedHyperlink"/>
    <w:basedOn w:val="DefaultParagraphFont"/>
    <w:semiHidden/>
    <w:unhideWhenUsed/>
    <w:rsid w:val="009B03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043731">
      <w:bodyDiv w:val="1"/>
      <w:marLeft w:val="0"/>
      <w:marRight w:val="0"/>
      <w:marTop w:val="0"/>
      <w:marBottom w:val="0"/>
      <w:divBdr>
        <w:top w:val="none" w:sz="0" w:space="0" w:color="auto"/>
        <w:left w:val="none" w:sz="0" w:space="0" w:color="auto"/>
        <w:bottom w:val="none" w:sz="0" w:space="0" w:color="auto"/>
        <w:right w:val="none" w:sz="0" w:space="0" w:color="auto"/>
      </w:divBdr>
    </w:div>
    <w:div w:id="234047998">
      <w:bodyDiv w:val="1"/>
      <w:marLeft w:val="0"/>
      <w:marRight w:val="0"/>
      <w:marTop w:val="0"/>
      <w:marBottom w:val="0"/>
      <w:divBdr>
        <w:top w:val="none" w:sz="0" w:space="0" w:color="auto"/>
        <w:left w:val="none" w:sz="0" w:space="0" w:color="auto"/>
        <w:bottom w:val="none" w:sz="0" w:space="0" w:color="auto"/>
        <w:right w:val="none" w:sz="0" w:space="0" w:color="auto"/>
      </w:divBdr>
    </w:div>
    <w:div w:id="366831558">
      <w:bodyDiv w:val="1"/>
      <w:marLeft w:val="0"/>
      <w:marRight w:val="0"/>
      <w:marTop w:val="0"/>
      <w:marBottom w:val="0"/>
      <w:divBdr>
        <w:top w:val="none" w:sz="0" w:space="0" w:color="auto"/>
        <w:left w:val="none" w:sz="0" w:space="0" w:color="auto"/>
        <w:bottom w:val="none" w:sz="0" w:space="0" w:color="auto"/>
        <w:right w:val="none" w:sz="0" w:space="0" w:color="auto"/>
      </w:divBdr>
    </w:div>
    <w:div w:id="497157382">
      <w:bodyDiv w:val="1"/>
      <w:marLeft w:val="0"/>
      <w:marRight w:val="0"/>
      <w:marTop w:val="0"/>
      <w:marBottom w:val="0"/>
      <w:divBdr>
        <w:top w:val="none" w:sz="0" w:space="0" w:color="auto"/>
        <w:left w:val="none" w:sz="0" w:space="0" w:color="auto"/>
        <w:bottom w:val="none" w:sz="0" w:space="0" w:color="auto"/>
        <w:right w:val="none" w:sz="0" w:space="0" w:color="auto"/>
      </w:divBdr>
    </w:div>
    <w:div w:id="609820463">
      <w:bodyDiv w:val="1"/>
      <w:marLeft w:val="0"/>
      <w:marRight w:val="0"/>
      <w:marTop w:val="0"/>
      <w:marBottom w:val="0"/>
      <w:divBdr>
        <w:top w:val="none" w:sz="0" w:space="0" w:color="auto"/>
        <w:left w:val="none" w:sz="0" w:space="0" w:color="auto"/>
        <w:bottom w:val="none" w:sz="0" w:space="0" w:color="auto"/>
        <w:right w:val="none" w:sz="0" w:space="0" w:color="auto"/>
      </w:divBdr>
    </w:div>
    <w:div w:id="814491591">
      <w:bodyDiv w:val="1"/>
      <w:marLeft w:val="0"/>
      <w:marRight w:val="0"/>
      <w:marTop w:val="0"/>
      <w:marBottom w:val="0"/>
      <w:divBdr>
        <w:top w:val="none" w:sz="0" w:space="0" w:color="auto"/>
        <w:left w:val="none" w:sz="0" w:space="0" w:color="auto"/>
        <w:bottom w:val="none" w:sz="0" w:space="0" w:color="auto"/>
        <w:right w:val="none" w:sz="0" w:space="0" w:color="auto"/>
      </w:divBdr>
    </w:div>
    <w:div w:id="869956731">
      <w:bodyDiv w:val="1"/>
      <w:marLeft w:val="0"/>
      <w:marRight w:val="0"/>
      <w:marTop w:val="0"/>
      <w:marBottom w:val="0"/>
      <w:divBdr>
        <w:top w:val="none" w:sz="0" w:space="0" w:color="auto"/>
        <w:left w:val="none" w:sz="0" w:space="0" w:color="auto"/>
        <w:bottom w:val="none" w:sz="0" w:space="0" w:color="auto"/>
        <w:right w:val="none" w:sz="0" w:space="0" w:color="auto"/>
      </w:divBdr>
      <w:divsChild>
        <w:div w:id="336928331">
          <w:marLeft w:val="0"/>
          <w:marRight w:val="0"/>
          <w:marTop w:val="0"/>
          <w:marBottom w:val="0"/>
          <w:divBdr>
            <w:top w:val="none" w:sz="0" w:space="0" w:color="auto"/>
            <w:left w:val="none" w:sz="0" w:space="0" w:color="auto"/>
            <w:bottom w:val="none" w:sz="0" w:space="0" w:color="auto"/>
            <w:right w:val="none" w:sz="0" w:space="0" w:color="auto"/>
          </w:divBdr>
          <w:divsChild>
            <w:div w:id="1983146959">
              <w:marLeft w:val="0"/>
              <w:marRight w:val="0"/>
              <w:marTop w:val="0"/>
              <w:marBottom w:val="0"/>
              <w:divBdr>
                <w:top w:val="none" w:sz="0" w:space="0" w:color="auto"/>
                <w:left w:val="none" w:sz="0" w:space="0" w:color="auto"/>
                <w:bottom w:val="none" w:sz="0" w:space="0" w:color="auto"/>
                <w:right w:val="none" w:sz="0" w:space="0" w:color="auto"/>
              </w:divBdr>
              <w:divsChild>
                <w:div w:id="1788771240">
                  <w:marLeft w:val="0"/>
                  <w:marRight w:val="0"/>
                  <w:marTop w:val="0"/>
                  <w:marBottom w:val="0"/>
                  <w:divBdr>
                    <w:top w:val="none" w:sz="0" w:space="0" w:color="auto"/>
                    <w:left w:val="none" w:sz="0" w:space="0" w:color="auto"/>
                    <w:bottom w:val="none" w:sz="0" w:space="0" w:color="auto"/>
                    <w:right w:val="none" w:sz="0" w:space="0" w:color="auto"/>
                  </w:divBdr>
                  <w:divsChild>
                    <w:div w:id="251086812">
                      <w:marLeft w:val="0"/>
                      <w:marRight w:val="0"/>
                      <w:marTop w:val="0"/>
                      <w:marBottom w:val="0"/>
                      <w:divBdr>
                        <w:top w:val="single" w:sz="6" w:space="8" w:color="999999"/>
                        <w:left w:val="single" w:sz="6" w:space="15" w:color="999999"/>
                        <w:bottom w:val="single" w:sz="6" w:space="8" w:color="999999"/>
                        <w:right w:val="single" w:sz="6" w:space="15" w:color="999999"/>
                      </w:divBdr>
                      <w:divsChild>
                        <w:div w:id="1897080739">
                          <w:marLeft w:val="0"/>
                          <w:marRight w:val="0"/>
                          <w:marTop w:val="0"/>
                          <w:marBottom w:val="0"/>
                          <w:divBdr>
                            <w:top w:val="none" w:sz="0" w:space="0" w:color="auto"/>
                            <w:left w:val="none" w:sz="0" w:space="0" w:color="auto"/>
                            <w:bottom w:val="none" w:sz="0" w:space="0" w:color="auto"/>
                            <w:right w:val="none" w:sz="0" w:space="0" w:color="auto"/>
                          </w:divBdr>
                          <w:divsChild>
                            <w:div w:id="663749138">
                              <w:marLeft w:val="0"/>
                              <w:marRight w:val="0"/>
                              <w:marTop w:val="0"/>
                              <w:marBottom w:val="0"/>
                              <w:divBdr>
                                <w:top w:val="none" w:sz="0" w:space="0" w:color="auto"/>
                                <w:left w:val="none" w:sz="0" w:space="0" w:color="auto"/>
                                <w:bottom w:val="none" w:sz="0" w:space="0" w:color="auto"/>
                                <w:right w:val="none" w:sz="0" w:space="0" w:color="auto"/>
                              </w:divBdr>
                            </w:div>
                          </w:divsChild>
                        </w:div>
                        <w:div w:id="7053266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70265149">
      <w:bodyDiv w:val="1"/>
      <w:marLeft w:val="0"/>
      <w:marRight w:val="0"/>
      <w:marTop w:val="0"/>
      <w:marBottom w:val="0"/>
      <w:divBdr>
        <w:top w:val="none" w:sz="0" w:space="0" w:color="auto"/>
        <w:left w:val="none" w:sz="0" w:space="0" w:color="auto"/>
        <w:bottom w:val="none" w:sz="0" w:space="0" w:color="auto"/>
        <w:right w:val="none" w:sz="0" w:space="0" w:color="auto"/>
      </w:divBdr>
    </w:div>
    <w:div w:id="1024671202">
      <w:bodyDiv w:val="1"/>
      <w:marLeft w:val="0"/>
      <w:marRight w:val="0"/>
      <w:marTop w:val="0"/>
      <w:marBottom w:val="0"/>
      <w:divBdr>
        <w:top w:val="none" w:sz="0" w:space="0" w:color="auto"/>
        <w:left w:val="none" w:sz="0" w:space="0" w:color="auto"/>
        <w:bottom w:val="none" w:sz="0" w:space="0" w:color="auto"/>
        <w:right w:val="none" w:sz="0" w:space="0" w:color="auto"/>
      </w:divBdr>
      <w:divsChild>
        <w:div w:id="1419400323">
          <w:marLeft w:val="0"/>
          <w:marRight w:val="0"/>
          <w:marTop w:val="0"/>
          <w:marBottom w:val="0"/>
          <w:divBdr>
            <w:top w:val="none" w:sz="0" w:space="0" w:color="auto"/>
            <w:left w:val="none" w:sz="0" w:space="0" w:color="auto"/>
            <w:bottom w:val="none" w:sz="0" w:space="0" w:color="auto"/>
            <w:right w:val="none" w:sz="0" w:space="0" w:color="auto"/>
          </w:divBdr>
          <w:divsChild>
            <w:div w:id="2061392878">
              <w:marLeft w:val="0"/>
              <w:marRight w:val="0"/>
              <w:marTop w:val="0"/>
              <w:marBottom w:val="0"/>
              <w:divBdr>
                <w:top w:val="none" w:sz="0" w:space="0" w:color="auto"/>
                <w:left w:val="none" w:sz="0" w:space="0" w:color="auto"/>
                <w:bottom w:val="none" w:sz="0" w:space="0" w:color="auto"/>
                <w:right w:val="none" w:sz="0" w:space="0" w:color="auto"/>
              </w:divBdr>
              <w:divsChild>
                <w:div w:id="449471178">
                  <w:marLeft w:val="0"/>
                  <w:marRight w:val="0"/>
                  <w:marTop w:val="0"/>
                  <w:marBottom w:val="0"/>
                  <w:divBdr>
                    <w:top w:val="none" w:sz="0" w:space="0" w:color="auto"/>
                    <w:left w:val="none" w:sz="0" w:space="0" w:color="auto"/>
                    <w:bottom w:val="none" w:sz="0" w:space="0" w:color="auto"/>
                    <w:right w:val="none" w:sz="0" w:space="0" w:color="auto"/>
                  </w:divBdr>
                  <w:divsChild>
                    <w:div w:id="1499080490">
                      <w:marLeft w:val="0"/>
                      <w:marRight w:val="0"/>
                      <w:marTop w:val="0"/>
                      <w:marBottom w:val="0"/>
                      <w:divBdr>
                        <w:top w:val="single" w:sz="6" w:space="8" w:color="999999"/>
                        <w:left w:val="single" w:sz="6" w:space="15" w:color="999999"/>
                        <w:bottom w:val="single" w:sz="6" w:space="8" w:color="999999"/>
                        <w:right w:val="single" w:sz="6" w:space="15" w:color="999999"/>
                      </w:divBdr>
                      <w:divsChild>
                        <w:div w:id="640423552">
                          <w:marLeft w:val="0"/>
                          <w:marRight w:val="0"/>
                          <w:marTop w:val="0"/>
                          <w:marBottom w:val="0"/>
                          <w:divBdr>
                            <w:top w:val="none" w:sz="0" w:space="0" w:color="auto"/>
                            <w:left w:val="none" w:sz="0" w:space="0" w:color="auto"/>
                            <w:bottom w:val="none" w:sz="0" w:space="0" w:color="auto"/>
                            <w:right w:val="none" w:sz="0" w:space="0" w:color="auto"/>
                          </w:divBdr>
                          <w:divsChild>
                            <w:div w:id="112596744">
                              <w:marLeft w:val="0"/>
                              <w:marRight w:val="0"/>
                              <w:marTop w:val="0"/>
                              <w:marBottom w:val="0"/>
                              <w:divBdr>
                                <w:top w:val="none" w:sz="0" w:space="0" w:color="auto"/>
                                <w:left w:val="none" w:sz="0" w:space="0" w:color="auto"/>
                                <w:bottom w:val="none" w:sz="0" w:space="0" w:color="auto"/>
                                <w:right w:val="none" w:sz="0" w:space="0" w:color="auto"/>
                              </w:divBdr>
                            </w:div>
                          </w:divsChild>
                        </w:div>
                        <w:div w:id="13013029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17674844">
      <w:bodyDiv w:val="1"/>
      <w:marLeft w:val="0"/>
      <w:marRight w:val="0"/>
      <w:marTop w:val="0"/>
      <w:marBottom w:val="0"/>
      <w:divBdr>
        <w:top w:val="none" w:sz="0" w:space="0" w:color="auto"/>
        <w:left w:val="none" w:sz="0" w:space="0" w:color="auto"/>
        <w:bottom w:val="none" w:sz="0" w:space="0" w:color="auto"/>
        <w:right w:val="none" w:sz="0" w:space="0" w:color="auto"/>
      </w:divBdr>
    </w:div>
    <w:div w:id="1172449574">
      <w:bodyDiv w:val="1"/>
      <w:marLeft w:val="0"/>
      <w:marRight w:val="0"/>
      <w:marTop w:val="0"/>
      <w:marBottom w:val="0"/>
      <w:divBdr>
        <w:top w:val="none" w:sz="0" w:space="0" w:color="auto"/>
        <w:left w:val="none" w:sz="0" w:space="0" w:color="auto"/>
        <w:bottom w:val="none" w:sz="0" w:space="0" w:color="auto"/>
        <w:right w:val="none" w:sz="0" w:space="0" w:color="auto"/>
      </w:divBdr>
    </w:div>
    <w:div w:id="1200048436">
      <w:bodyDiv w:val="1"/>
      <w:marLeft w:val="0"/>
      <w:marRight w:val="0"/>
      <w:marTop w:val="0"/>
      <w:marBottom w:val="0"/>
      <w:divBdr>
        <w:top w:val="none" w:sz="0" w:space="0" w:color="auto"/>
        <w:left w:val="none" w:sz="0" w:space="0" w:color="auto"/>
        <w:bottom w:val="none" w:sz="0" w:space="0" w:color="auto"/>
        <w:right w:val="none" w:sz="0" w:space="0" w:color="auto"/>
      </w:divBdr>
    </w:div>
    <w:div w:id="1311207882">
      <w:bodyDiv w:val="1"/>
      <w:marLeft w:val="0"/>
      <w:marRight w:val="0"/>
      <w:marTop w:val="0"/>
      <w:marBottom w:val="0"/>
      <w:divBdr>
        <w:top w:val="none" w:sz="0" w:space="0" w:color="auto"/>
        <w:left w:val="none" w:sz="0" w:space="0" w:color="auto"/>
        <w:bottom w:val="none" w:sz="0" w:space="0" w:color="auto"/>
        <w:right w:val="none" w:sz="0" w:space="0" w:color="auto"/>
      </w:divBdr>
    </w:div>
    <w:div w:id="1374577853">
      <w:bodyDiv w:val="1"/>
      <w:marLeft w:val="0"/>
      <w:marRight w:val="0"/>
      <w:marTop w:val="0"/>
      <w:marBottom w:val="0"/>
      <w:divBdr>
        <w:top w:val="none" w:sz="0" w:space="0" w:color="auto"/>
        <w:left w:val="none" w:sz="0" w:space="0" w:color="auto"/>
        <w:bottom w:val="none" w:sz="0" w:space="0" w:color="auto"/>
        <w:right w:val="none" w:sz="0" w:space="0" w:color="auto"/>
      </w:divBdr>
    </w:div>
    <w:div w:id="1695695311">
      <w:bodyDiv w:val="1"/>
      <w:marLeft w:val="0"/>
      <w:marRight w:val="0"/>
      <w:marTop w:val="0"/>
      <w:marBottom w:val="0"/>
      <w:divBdr>
        <w:top w:val="none" w:sz="0" w:space="0" w:color="auto"/>
        <w:left w:val="none" w:sz="0" w:space="0" w:color="auto"/>
        <w:bottom w:val="none" w:sz="0" w:space="0" w:color="auto"/>
        <w:right w:val="none" w:sz="0" w:space="0" w:color="auto"/>
      </w:divBdr>
      <w:divsChild>
        <w:div w:id="1584414100">
          <w:marLeft w:val="0"/>
          <w:marRight w:val="0"/>
          <w:marTop w:val="0"/>
          <w:marBottom w:val="0"/>
          <w:divBdr>
            <w:top w:val="none" w:sz="0" w:space="0" w:color="auto"/>
            <w:left w:val="none" w:sz="0" w:space="0" w:color="auto"/>
            <w:bottom w:val="none" w:sz="0" w:space="0" w:color="auto"/>
            <w:right w:val="none" w:sz="0" w:space="0" w:color="auto"/>
          </w:divBdr>
          <w:divsChild>
            <w:div w:id="9481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47883">
      <w:bodyDiv w:val="1"/>
      <w:marLeft w:val="0"/>
      <w:marRight w:val="0"/>
      <w:marTop w:val="0"/>
      <w:marBottom w:val="0"/>
      <w:divBdr>
        <w:top w:val="none" w:sz="0" w:space="0" w:color="auto"/>
        <w:left w:val="none" w:sz="0" w:space="0" w:color="auto"/>
        <w:bottom w:val="none" w:sz="0" w:space="0" w:color="auto"/>
        <w:right w:val="none" w:sz="0" w:space="0" w:color="auto"/>
      </w:divBdr>
    </w:div>
    <w:div w:id="1818375967">
      <w:bodyDiv w:val="1"/>
      <w:marLeft w:val="0"/>
      <w:marRight w:val="0"/>
      <w:marTop w:val="0"/>
      <w:marBottom w:val="0"/>
      <w:divBdr>
        <w:top w:val="none" w:sz="0" w:space="0" w:color="auto"/>
        <w:left w:val="none" w:sz="0" w:space="0" w:color="auto"/>
        <w:bottom w:val="none" w:sz="0" w:space="0" w:color="auto"/>
        <w:right w:val="none" w:sz="0" w:space="0" w:color="auto"/>
      </w:divBdr>
    </w:div>
    <w:div w:id="1946615952">
      <w:bodyDiv w:val="1"/>
      <w:marLeft w:val="0"/>
      <w:marRight w:val="0"/>
      <w:marTop w:val="0"/>
      <w:marBottom w:val="0"/>
      <w:divBdr>
        <w:top w:val="none" w:sz="0" w:space="0" w:color="auto"/>
        <w:left w:val="none" w:sz="0" w:space="0" w:color="auto"/>
        <w:bottom w:val="none" w:sz="0" w:space="0" w:color="auto"/>
        <w:right w:val="none" w:sz="0" w:space="0" w:color="auto"/>
      </w:divBdr>
    </w:div>
    <w:div w:id="20672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file:///C:/Users/Public/AuditGuidance/Financial/COVID19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b914c5aff6a8cd0db93f1520863cc5e5">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4096ea40247f9c80f64c2f5289797a36"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507A4-D648-4F65-BFDA-AD7F2A30C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64CCF5-DBD2-4C68-8C47-976B1D7A58BA}">
  <ds:schemaRefs>
    <ds:schemaRef ds:uri="http://schemas.microsoft.com/sharepoint/v3/contenttype/forms"/>
  </ds:schemaRefs>
</ds:datastoreItem>
</file>

<file path=customXml/itemProps3.xml><?xml version="1.0" encoding="utf-8"?>
<ds:datastoreItem xmlns:ds="http://schemas.openxmlformats.org/officeDocument/2006/customXml" ds:itemID="{70DE4F4D-6CE6-46EC-963E-30D1F50DBFCC}">
  <ds:schemaRefs>
    <ds:schemaRef ds:uri="http://purl.org/dc/dcmitype/"/>
    <ds:schemaRef ds:uri="http://schemas.microsoft.com/office/2006/documentManagement/types"/>
    <ds:schemaRef ds:uri="368cc7de-4582-4402-8653-1f6c5fcb9822"/>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7e4091d6-ac26-408d-9936-3b28227d19d9"/>
    <ds:schemaRef ds:uri="http://www.w3.org/XML/1998/namespace"/>
  </ds:schemaRefs>
</ds:datastoreItem>
</file>

<file path=customXml/itemProps4.xml><?xml version="1.0" encoding="utf-8"?>
<ds:datastoreItem xmlns:ds="http://schemas.openxmlformats.org/officeDocument/2006/customXml" ds:itemID="{1BA3E280-B38E-4F27-BDB7-DB6673493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Opinion</vt:lpstr>
    </vt:vector>
  </TitlesOfParts>
  <Company>Auditor of State of Ohio</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dc:title>
  <dc:creator>Administrator</dc:creator>
  <cp:lastModifiedBy>Amanda L. Gray</cp:lastModifiedBy>
  <cp:revision>2</cp:revision>
  <cp:lastPrinted>2013-04-11T18:13:00Z</cp:lastPrinted>
  <dcterms:created xsi:type="dcterms:W3CDTF">2022-04-26T14:18:00Z</dcterms:created>
  <dcterms:modified xsi:type="dcterms:W3CDTF">2022-04-26T14:18:00Z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