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EBC2E" w14:textId="77777777" w:rsidR="00A06A46" w:rsidRDefault="00A06A46" w:rsidP="00EB4B63">
      <w:pPr>
        <w:tabs>
          <w:tab w:val="left" w:pos="0"/>
          <w:tab w:val="left" w:pos="547"/>
          <w:tab w:val="left" w:pos="936"/>
          <w:tab w:val="left" w:pos="1440"/>
          <w:tab w:val="left" w:pos="1987"/>
        </w:tabs>
        <w:jc w:val="center"/>
        <w:rPr>
          <w:b/>
        </w:rPr>
      </w:pPr>
    </w:p>
    <w:p w14:paraId="09F309E2" w14:textId="77777777" w:rsidR="00F90F30" w:rsidRDefault="00F90F30" w:rsidP="00EB4B63">
      <w:pPr>
        <w:tabs>
          <w:tab w:val="left" w:pos="0"/>
          <w:tab w:val="left" w:pos="547"/>
          <w:tab w:val="left" w:pos="936"/>
          <w:tab w:val="left" w:pos="1440"/>
          <w:tab w:val="left" w:pos="1987"/>
        </w:tabs>
        <w:jc w:val="center"/>
        <w:rPr>
          <w:b/>
        </w:rPr>
      </w:pPr>
    </w:p>
    <w:p w14:paraId="73206977" w14:textId="77777777" w:rsidR="00F90F30" w:rsidRDefault="00F90F30" w:rsidP="00EB4B63">
      <w:pPr>
        <w:tabs>
          <w:tab w:val="left" w:pos="0"/>
          <w:tab w:val="left" w:pos="547"/>
          <w:tab w:val="left" w:pos="936"/>
          <w:tab w:val="left" w:pos="1440"/>
          <w:tab w:val="left" w:pos="1987"/>
        </w:tabs>
        <w:jc w:val="center"/>
        <w:rPr>
          <w:b/>
        </w:rPr>
      </w:pPr>
    </w:p>
    <w:p w14:paraId="2B82E173" w14:textId="77777777" w:rsidR="00F90F30" w:rsidRDefault="00F90F30" w:rsidP="00EB4B63">
      <w:pPr>
        <w:tabs>
          <w:tab w:val="left" w:pos="0"/>
          <w:tab w:val="left" w:pos="547"/>
          <w:tab w:val="left" w:pos="936"/>
          <w:tab w:val="left" w:pos="1440"/>
          <w:tab w:val="left" w:pos="1987"/>
        </w:tabs>
        <w:jc w:val="center"/>
        <w:rPr>
          <w:b/>
        </w:rPr>
      </w:pPr>
    </w:p>
    <w:p w14:paraId="211B81A8" w14:textId="77777777" w:rsidR="00F90F30" w:rsidRDefault="00F90F30" w:rsidP="00EB4B63">
      <w:pPr>
        <w:tabs>
          <w:tab w:val="left" w:pos="0"/>
          <w:tab w:val="left" w:pos="547"/>
          <w:tab w:val="left" w:pos="936"/>
          <w:tab w:val="left" w:pos="1440"/>
          <w:tab w:val="left" w:pos="1987"/>
        </w:tabs>
        <w:jc w:val="center"/>
        <w:rPr>
          <w:b/>
        </w:rPr>
      </w:pPr>
    </w:p>
    <w:p w14:paraId="555292F9" w14:textId="77777777" w:rsidR="00A06A46" w:rsidRDefault="00A06A46" w:rsidP="00EB4B63">
      <w:pPr>
        <w:tabs>
          <w:tab w:val="left" w:pos="0"/>
          <w:tab w:val="left" w:pos="547"/>
          <w:tab w:val="left" w:pos="936"/>
          <w:tab w:val="left" w:pos="1440"/>
          <w:tab w:val="left" w:pos="1987"/>
        </w:tabs>
        <w:jc w:val="center"/>
        <w:rPr>
          <w:b/>
        </w:rPr>
      </w:pPr>
    </w:p>
    <w:p w14:paraId="1C779FE3" w14:textId="77777777" w:rsidR="00ED7917" w:rsidRDefault="00ED7917" w:rsidP="00EB4B63">
      <w:pPr>
        <w:tabs>
          <w:tab w:val="left" w:pos="0"/>
          <w:tab w:val="left" w:pos="547"/>
          <w:tab w:val="left" w:pos="936"/>
          <w:tab w:val="left" w:pos="1440"/>
          <w:tab w:val="left" w:pos="1987"/>
        </w:tabs>
        <w:jc w:val="center"/>
        <w:rPr>
          <w:b/>
          <w:color w:val="FF0000"/>
        </w:rPr>
      </w:pPr>
    </w:p>
    <w:p w14:paraId="38D57C5E" w14:textId="77777777" w:rsidR="00ED7917" w:rsidRDefault="00ED7917" w:rsidP="00EB4B63">
      <w:pPr>
        <w:tabs>
          <w:tab w:val="left" w:pos="0"/>
          <w:tab w:val="left" w:pos="547"/>
          <w:tab w:val="left" w:pos="936"/>
          <w:tab w:val="left" w:pos="1440"/>
          <w:tab w:val="left" w:pos="1987"/>
        </w:tabs>
        <w:jc w:val="center"/>
        <w:rPr>
          <w:b/>
          <w:color w:val="FF0000"/>
        </w:rPr>
      </w:pPr>
    </w:p>
    <w:p w14:paraId="697A0DA7" w14:textId="343D904C" w:rsidR="00A06A46" w:rsidRDefault="00016A99" w:rsidP="00EB4B63">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2C9D6D48" w14:textId="77777777" w:rsidR="00A06A46" w:rsidRDefault="00A06A46" w:rsidP="00EB4B63">
      <w:pPr>
        <w:tabs>
          <w:tab w:val="left" w:pos="0"/>
          <w:tab w:val="left" w:pos="547"/>
          <w:tab w:val="left" w:pos="936"/>
          <w:tab w:val="left" w:pos="1440"/>
          <w:tab w:val="left" w:pos="1987"/>
        </w:tabs>
        <w:jc w:val="center"/>
        <w:rPr>
          <w:b/>
        </w:rPr>
      </w:pPr>
    </w:p>
    <w:p w14:paraId="3A60E76A" w14:textId="7B9AA31A" w:rsidR="00715C09" w:rsidRPr="00E92DCD" w:rsidRDefault="00715C09" w:rsidP="00715C09">
      <w:pPr>
        <w:jc w:val="center"/>
        <w:rPr>
          <w:b/>
          <w:color w:val="002060"/>
        </w:rPr>
      </w:pPr>
      <w:r w:rsidRPr="00350215">
        <w:rPr>
          <w:b/>
        </w:rPr>
        <w:t xml:space="preserve">  </w:t>
      </w:r>
      <w:r w:rsidRPr="00E92DCD">
        <w:rPr>
          <w:b/>
          <w:color w:val="002060"/>
        </w:rPr>
        <w:t>Report on Basic Financial Statements Qualified Because One (But Not All) Discretely Presented Component Units are not Audited.</w:t>
      </w:r>
      <w:r w:rsidR="00A530A5" w:rsidRPr="00E92DCD">
        <w:rPr>
          <w:b/>
          <w:color w:val="002060"/>
        </w:rPr>
        <w:t xml:space="preserve"> (SLG Chapter 1</w:t>
      </w:r>
      <w:r w:rsidR="00846E1D" w:rsidRPr="00E92DCD">
        <w:rPr>
          <w:b/>
          <w:color w:val="002060"/>
        </w:rPr>
        <w:t>7</w:t>
      </w:r>
      <w:r w:rsidR="00A530A5" w:rsidRPr="00E92DCD">
        <w:rPr>
          <w:b/>
          <w:color w:val="002060"/>
        </w:rPr>
        <w:t>.38-.42</w:t>
      </w:r>
      <w:r w:rsidR="00A530A5" w:rsidRPr="00E92DCD">
        <w:rPr>
          <w:b/>
          <w:color w:val="002060"/>
          <w:u w:val="double"/>
        </w:rPr>
        <w:t>)</w:t>
      </w:r>
    </w:p>
    <w:p w14:paraId="329A9763" w14:textId="78110633" w:rsidR="00715C09" w:rsidRPr="00E92DCD" w:rsidRDefault="00715C09" w:rsidP="00715C09">
      <w:pPr>
        <w:jc w:val="center"/>
        <w:rPr>
          <w:b/>
          <w:color w:val="002060"/>
        </w:rPr>
      </w:pPr>
      <w:r w:rsidRPr="00E92DCD">
        <w:rPr>
          <w:b/>
          <w:color w:val="002060"/>
        </w:rPr>
        <w:t xml:space="preserve">(If a disclaimer is appropriate, see endnote </w:t>
      </w:r>
      <w:r w:rsidRPr="00E92DCD">
        <w:rPr>
          <w:rStyle w:val="EndnoteReference"/>
          <w:b/>
          <w:color w:val="002060"/>
        </w:rPr>
        <w:endnoteReference w:id="1"/>
      </w:r>
      <w:r w:rsidRPr="00E92DCD">
        <w:rPr>
          <w:b/>
          <w:color w:val="002060"/>
        </w:rPr>
        <w:t>)</w:t>
      </w:r>
      <w:r w:rsidR="00B96F84">
        <w:rPr>
          <w:rStyle w:val="EndnoteReference"/>
          <w:b/>
          <w:color w:val="002060"/>
        </w:rPr>
        <w:endnoteReference w:id="2"/>
      </w:r>
    </w:p>
    <w:p w14:paraId="4E6F2784" w14:textId="5BD0A24D" w:rsidR="00EB4B63" w:rsidRPr="004C00CD" w:rsidRDefault="00EB4B63" w:rsidP="00EB4B63">
      <w:pPr>
        <w:tabs>
          <w:tab w:val="left" w:pos="0"/>
          <w:tab w:val="left" w:pos="547"/>
          <w:tab w:val="left" w:pos="936"/>
          <w:tab w:val="left" w:pos="1440"/>
          <w:tab w:val="left" w:pos="1987"/>
          <w:tab w:val="center" w:pos="4680"/>
          <w:tab w:val="left" w:pos="7440"/>
        </w:tabs>
        <w:rPr>
          <w:b/>
        </w:rPr>
      </w:pPr>
    </w:p>
    <w:p w14:paraId="194BC7C6" w14:textId="77777777" w:rsidR="00EB4B63" w:rsidRPr="004C00CD" w:rsidRDefault="00EB4B63" w:rsidP="00B75D2C">
      <w:pPr>
        <w:tabs>
          <w:tab w:val="left" w:pos="0"/>
          <w:tab w:val="left" w:pos="547"/>
          <w:tab w:val="left" w:pos="936"/>
          <w:tab w:val="left" w:pos="1440"/>
          <w:tab w:val="left" w:pos="1987"/>
          <w:tab w:val="center" w:pos="4680"/>
          <w:tab w:val="left" w:pos="7440"/>
        </w:tabs>
        <w:jc w:val="center"/>
        <w:rPr>
          <w:b/>
        </w:rPr>
      </w:pPr>
    </w:p>
    <w:p w14:paraId="0E918097" w14:textId="44DD8EF7" w:rsidR="00EB4B63" w:rsidRPr="004C00CD" w:rsidRDefault="00EB4B63" w:rsidP="00EB4B63">
      <w:pPr>
        <w:tabs>
          <w:tab w:val="left" w:pos="0"/>
          <w:tab w:val="left" w:pos="547"/>
          <w:tab w:val="left" w:pos="936"/>
          <w:tab w:val="left" w:pos="1440"/>
          <w:tab w:val="left" w:pos="1987"/>
        </w:tabs>
        <w:jc w:val="center"/>
        <w:rPr>
          <w:b/>
        </w:rPr>
      </w:pPr>
      <w:r w:rsidRPr="004C00CD">
        <w:rPr>
          <w:b/>
        </w:rPr>
        <w:t>INDEPENDENT AUDITOR’S REPORT</w:t>
      </w:r>
      <w:r w:rsidRPr="004C00CD">
        <w:rPr>
          <w:rStyle w:val="FootnoteReference"/>
          <w:b/>
        </w:rPr>
        <w:footnoteReference w:id="1"/>
      </w:r>
      <w:r w:rsidR="00542090">
        <w:rPr>
          <w:b/>
        </w:rPr>
        <w:t xml:space="preserve"> </w:t>
      </w:r>
      <w:r w:rsidR="00214F46">
        <w:rPr>
          <w:rStyle w:val="EndnoteReference"/>
          <w:b/>
        </w:rPr>
        <w:endnoteReference w:id="3"/>
      </w:r>
    </w:p>
    <w:p w14:paraId="7EFED5FA" w14:textId="77777777" w:rsidR="00EB4B63" w:rsidRPr="004C00CD" w:rsidRDefault="00EB4B63" w:rsidP="00EB4B63">
      <w:pPr>
        <w:tabs>
          <w:tab w:val="left" w:pos="0"/>
          <w:tab w:val="left" w:pos="547"/>
          <w:tab w:val="left" w:pos="936"/>
          <w:tab w:val="left" w:pos="1440"/>
          <w:tab w:val="left" w:pos="1987"/>
        </w:tabs>
      </w:pPr>
    </w:p>
    <w:p w14:paraId="1163CFB5" w14:textId="77777777" w:rsidR="00EB4B63" w:rsidRPr="004C00CD" w:rsidRDefault="00EB4B63" w:rsidP="00EB4B63">
      <w:pPr>
        <w:tabs>
          <w:tab w:val="left" w:pos="0"/>
          <w:tab w:val="left" w:pos="547"/>
          <w:tab w:val="left" w:pos="936"/>
          <w:tab w:val="left" w:pos="1440"/>
          <w:tab w:val="left" w:pos="1987"/>
        </w:tabs>
      </w:pPr>
    </w:p>
    <w:p w14:paraId="3D241E35" w14:textId="554EF0BF" w:rsidR="00EB4B63" w:rsidRPr="004C00CD" w:rsidRDefault="007A0713" w:rsidP="00EB4B63">
      <w:pPr>
        <w:tabs>
          <w:tab w:val="left" w:pos="0"/>
          <w:tab w:val="left" w:pos="547"/>
          <w:tab w:val="left" w:pos="907"/>
          <w:tab w:val="left" w:pos="1440"/>
          <w:tab w:val="left" w:pos="1987"/>
        </w:tabs>
      </w:pPr>
      <w:r>
        <w:rPr>
          <w:highlight w:val="lightGray"/>
        </w:rPr>
        <w:t>Entity Name</w:t>
      </w:r>
    </w:p>
    <w:p w14:paraId="2DA7ADB9" w14:textId="726DBB91" w:rsidR="00EB4B63" w:rsidRPr="004C00CD" w:rsidRDefault="007A0713" w:rsidP="00EB4B63">
      <w:pPr>
        <w:tabs>
          <w:tab w:val="left" w:pos="0"/>
          <w:tab w:val="left" w:pos="547"/>
          <w:tab w:val="left" w:pos="936"/>
          <w:tab w:val="left" w:pos="1440"/>
          <w:tab w:val="left" w:pos="1987"/>
        </w:tabs>
        <w:rPr>
          <w:color w:val="000000"/>
        </w:rPr>
      </w:pPr>
      <w:r>
        <w:rPr>
          <w:highlight w:val="lightGray"/>
        </w:rPr>
        <w:t>County Name</w:t>
      </w:r>
    </w:p>
    <w:p w14:paraId="14C05D37" w14:textId="0B1BDEDD" w:rsidR="00EB4B63" w:rsidRPr="004C00CD" w:rsidRDefault="007A0713" w:rsidP="00EB4B63">
      <w:pPr>
        <w:tabs>
          <w:tab w:val="left" w:pos="0"/>
          <w:tab w:val="left" w:pos="547"/>
          <w:tab w:val="left" w:pos="936"/>
          <w:tab w:val="left" w:pos="1440"/>
          <w:tab w:val="left" w:pos="1987"/>
        </w:tabs>
        <w:rPr>
          <w:rStyle w:val="footnoteref"/>
        </w:rPr>
      </w:pPr>
      <w:r w:rsidRPr="00E92DCD">
        <w:rPr>
          <w:rStyle w:val="footnoteref"/>
          <w:highlight w:val="lightGray"/>
        </w:rPr>
        <w:t>Street Address</w:t>
      </w:r>
    </w:p>
    <w:p w14:paraId="32C4B3A4" w14:textId="57EB3BC4" w:rsidR="00EB4B63" w:rsidRPr="004C00CD" w:rsidRDefault="007A0713" w:rsidP="00EB4B63">
      <w:pPr>
        <w:tabs>
          <w:tab w:val="left" w:pos="0"/>
          <w:tab w:val="left" w:pos="547"/>
          <w:tab w:val="left" w:pos="936"/>
          <w:tab w:val="left" w:pos="1440"/>
          <w:tab w:val="left" w:pos="1987"/>
        </w:tabs>
        <w:rPr>
          <w:rStyle w:val="footnoteref"/>
        </w:rPr>
      </w:pPr>
      <w:r w:rsidRPr="00E92DCD">
        <w:rPr>
          <w:rStyle w:val="footnoteref"/>
          <w:highlight w:val="lightGray"/>
        </w:rPr>
        <w:t>City</w:t>
      </w:r>
      <w:r>
        <w:rPr>
          <w:rStyle w:val="footnoteref"/>
        </w:rPr>
        <w:t xml:space="preserve">, Ohio </w:t>
      </w:r>
      <w:r w:rsidRPr="00E92DCD">
        <w:rPr>
          <w:rStyle w:val="footnoteref"/>
          <w:highlight w:val="lightGray"/>
        </w:rPr>
        <w:t>Zip Code</w:t>
      </w:r>
    </w:p>
    <w:p w14:paraId="3F2C57F2" w14:textId="77777777" w:rsidR="00EB4B63" w:rsidRPr="004C00CD" w:rsidRDefault="00EB4B63" w:rsidP="00EB4B63">
      <w:pPr>
        <w:tabs>
          <w:tab w:val="left" w:pos="0"/>
          <w:tab w:val="left" w:pos="547"/>
          <w:tab w:val="left" w:pos="936"/>
          <w:tab w:val="left" w:pos="1440"/>
          <w:tab w:val="left" w:pos="1987"/>
        </w:tabs>
        <w:rPr>
          <w:rStyle w:val="footnoteref"/>
        </w:rPr>
      </w:pPr>
    </w:p>
    <w:p w14:paraId="6E94A44F" w14:textId="6D2A833A" w:rsidR="00350355" w:rsidRDefault="00350355" w:rsidP="00350355">
      <w:pPr>
        <w:tabs>
          <w:tab w:val="left" w:pos="0"/>
          <w:tab w:val="left" w:pos="547"/>
          <w:tab w:val="left" w:pos="936"/>
          <w:tab w:val="left" w:pos="1440"/>
          <w:tab w:val="left" w:pos="1987"/>
        </w:tabs>
        <w:jc w:val="both"/>
        <w:rPr>
          <w:rStyle w:val="footnoteref"/>
        </w:rPr>
      </w:pPr>
      <w:r>
        <w:rPr>
          <w:rStyle w:val="footnoteref"/>
        </w:rPr>
        <w:t xml:space="preserve">To the </w:t>
      </w:r>
      <w:r w:rsidRPr="00E92DCD">
        <w:rPr>
          <w:rStyle w:val="footnoteref"/>
          <w:highlight w:val="lightGray"/>
        </w:rPr>
        <w:t>Governing Body</w:t>
      </w:r>
      <w:r w:rsidR="00714F1A" w:rsidRPr="00E92DCD">
        <w:rPr>
          <w:rStyle w:val="footnoteref"/>
          <w:highlight w:val="lightGray"/>
        </w:rPr>
        <w:t xml:space="preserve"> Type</w:t>
      </w:r>
      <w:r>
        <w:rPr>
          <w:rStyle w:val="footnoteref"/>
        </w:rPr>
        <w:t>:</w:t>
      </w:r>
    </w:p>
    <w:p w14:paraId="03FEC570" w14:textId="5994CDB2" w:rsidR="00EB4B63" w:rsidRPr="004C00CD" w:rsidRDefault="00EB4B63" w:rsidP="00350355">
      <w:pPr>
        <w:tabs>
          <w:tab w:val="left" w:pos="0"/>
          <w:tab w:val="left" w:pos="547"/>
          <w:tab w:val="left" w:pos="936"/>
          <w:tab w:val="left" w:pos="1440"/>
          <w:tab w:val="left" w:pos="1987"/>
        </w:tabs>
        <w:rPr>
          <w:color w:val="000000"/>
        </w:rPr>
      </w:pPr>
    </w:p>
    <w:p w14:paraId="5FE90CA3" w14:textId="77777777" w:rsidR="00EB4B63" w:rsidRPr="00283937" w:rsidRDefault="00EB4B63" w:rsidP="00EB4B63">
      <w:pPr>
        <w:rPr>
          <w:b/>
        </w:rPr>
      </w:pPr>
      <w:r w:rsidRPr="00283937">
        <w:rPr>
          <w:b/>
        </w:rPr>
        <w:t>Report on the Audit of the Financial Statements</w:t>
      </w:r>
    </w:p>
    <w:p w14:paraId="0A96B6D7" w14:textId="77777777" w:rsidR="00EB4B63" w:rsidRPr="004C00CD" w:rsidRDefault="00EB4B63" w:rsidP="00EB4B63">
      <w:pPr>
        <w:widowControl w:val="0"/>
        <w:tabs>
          <w:tab w:val="left" w:pos="0"/>
          <w:tab w:val="left" w:pos="547"/>
          <w:tab w:val="left" w:pos="936"/>
          <w:tab w:val="left" w:pos="1440"/>
          <w:tab w:val="left" w:pos="1987"/>
        </w:tabs>
        <w:autoSpaceDE w:val="0"/>
        <w:autoSpaceDN w:val="0"/>
        <w:adjustRightInd w:val="0"/>
        <w:rPr>
          <w:b/>
          <w:i/>
        </w:rPr>
      </w:pPr>
    </w:p>
    <w:p w14:paraId="52F0FF9D" w14:textId="5CDAD9C0" w:rsidR="00EB4B63" w:rsidRDefault="00715C09" w:rsidP="00EB4B63">
      <w:pPr>
        <w:widowControl w:val="0"/>
        <w:tabs>
          <w:tab w:val="left" w:pos="0"/>
          <w:tab w:val="left" w:pos="547"/>
          <w:tab w:val="left" w:pos="936"/>
          <w:tab w:val="left" w:pos="1440"/>
          <w:tab w:val="left" w:pos="1987"/>
        </w:tabs>
        <w:autoSpaceDE w:val="0"/>
        <w:autoSpaceDN w:val="0"/>
        <w:adjustRightInd w:val="0"/>
        <w:rPr>
          <w:b/>
          <w:i/>
        </w:rPr>
      </w:pPr>
      <w:r>
        <w:rPr>
          <w:b/>
          <w:i/>
        </w:rPr>
        <w:t xml:space="preserve">Qualified and Unmodified </w:t>
      </w:r>
      <w:r w:rsidR="00EB4B63" w:rsidRPr="00214F46">
        <w:rPr>
          <w:b/>
          <w:i/>
        </w:rPr>
        <w:t>Opinions</w:t>
      </w:r>
    </w:p>
    <w:p w14:paraId="39491422" w14:textId="77777777" w:rsidR="00016A99" w:rsidRPr="004C00CD" w:rsidRDefault="00016A99" w:rsidP="00EB4B63">
      <w:pPr>
        <w:widowControl w:val="0"/>
        <w:tabs>
          <w:tab w:val="left" w:pos="0"/>
          <w:tab w:val="left" w:pos="547"/>
          <w:tab w:val="left" w:pos="936"/>
          <w:tab w:val="left" w:pos="1440"/>
          <w:tab w:val="left" w:pos="1987"/>
        </w:tabs>
        <w:autoSpaceDE w:val="0"/>
        <w:autoSpaceDN w:val="0"/>
        <w:adjustRightInd w:val="0"/>
        <w:rPr>
          <w:b/>
          <w:i/>
        </w:rPr>
      </w:pPr>
    </w:p>
    <w:p w14:paraId="028B1C01" w14:textId="2A5DC6B3" w:rsidR="00EB4B63" w:rsidRPr="004C00CD" w:rsidRDefault="00EB4B63" w:rsidP="00EB4B63">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governmental activities, the business-type activities, the </w:t>
      </w:r>
      <w:r w:rsidRPr="00E92DCD">
        <w:rPr>
          <w:bCs/>
          <w:highlight w:val="lightGray"/>
        </w:rPr>
        <w:t>aggregate</w:t>
      </w:r>
      <w:r w:rsidRPr="004C00CD">
        <w:t xml:space="preserve"> discretely presented component unit</w:t>
      </w:r>
      <w:r w:rsidRPr="00E92DCD">
        <w:rPr>
          <w:bCs/>
          <w:highlight w:val="lightGray"/>
        </w:rPr>
        <w:t>(s)</w:t>
      </w:r>
      <w:r w:rsidRPr="00E92DCD">
        <w:rPr>
          <w:bCs/>
        </w:rPr>
        <w:t>,</w:t>
      </w:r>
      <w:r w:rsidRPr="004C00CD">
        <w:t xml:space="preserve"> each major fund, and the aggregate remaining fund information</w:t>
      </w:r>
      <w:r w:rsidRPr="004C00CD">
        <w:rPr>
          <w:rStyle w:val="EndnoteReference"/>
        </w:rPr>
        <w:endnoteReference w:id="4"/>
      </w:r>
      <w:r w:rsidRPr="004C00CD">
        <w:rPr>
          <w:vertAlign w:val="superscript"/>
        </w:rPr>
        <w:t xml:space="preserve"> </w:t>
      </w:r>
      <w:r w:rsidRPr="004C00CD">
        <w:t>of the</w:t>
      </w:r>
      <w:r>
        <w:t xml:space="preserve"> </w:t>
      </w:r>
      <w:r w:rsidR="007A0713">
        <w:rPr>
          <w:highlight w:val="lightGray"/>
        </w:rPr>
        <w:t>Entity Name</w:t>
      </w:r>
      <w:r>
        <w:t xml:space="preserve">, </w:t>
      </w:r>
      <w:r w:rsidR="007A0713">
        <w:rPr>
          <w:highlight w:val="lightGray"/>
        </w:rPr>
        <w:t>County Name</w:t>
      </w:r>
      <w:r>
        <w:t>, Ohio (</w:t>
      </w:r>
      <w:r w:rsidR="00714F1A">
        <w:t xml:space="preserve">the </w:t>
      </w:r>
      <w:r w:rsidR="00DC299E" w:rsidRPr="00714F1A">
        <w:rPr>
          <w:highlight w:val="lightGray"/>
        </w:rPr>
        <w:t>Entity</w:t>
      </w:r>
      <w:r w:rsidR="00714F1A" w:rsidRPr="00E92DCD">
        <w:rPr>
          <w:highlight w:val="lightGray"/>
        </w:rPr>
        <w:t xml:space="preserve"> Type</w:t>
      </w:r>
      <w:r>
        <w:t>)</w:t>
      </w:r>
      <w:r w:rsidRPr="004C00CD">
        <w:rPr>
          <w:rStyle w:val="EndnoteReference"/>
        </w:rPr>
        <w:t xml:space="preserve"> </w:t>
      </w:r>
      <w:r w:rsidRPr="004C00CD">
        <w:rPr>
          <w:rStyle w:val="EndnoteReference"/>
        </w:rPr>
        <w:endnoteReference w:id="5"/>
      </w:r>
      <w:r w:rsidRPr="004C00CD">
        <w:t xml:space="preserve">, </w:t>
      </w:r>
      <w:r>
        <w:t xml:space="preserve">as of and for the year ended </w:t>
      </w:r>
      <w:r w:rsidR="007A0713">
        <w:rPr>
          <w:highlight w:val="lightGray"/>
        </w:rPr>
        <w:t>FYE Date</w:t>
      </w:r>
      <w:r>
        <w:t xml:space="preserve">, </w:t>
      </w:r>
      <w:r w:rsidRPr="004C00CD">
        <w:t xml:space="preserve">and the related notes to the financial statements, which collectively comprise the </w:t>
      </w:r>
      <w:r w:rsidR="00DC299E" w:rsidRPr="00714F1A">
        <w:rPr>
          <w:highlight w:val="lightGray"/>
        </w:rPr>
        <w:t>Entity</w:t>
      </w:r>
      <w:r w:rsidR="00714F1A" w:rsidRPr="00E92DCD">
        <w:rPr>
          <w:highlight w:val="lightGray"/>
        </w:rPr>
        <w:t xml:space="preserve"> Type</w:t>
      </w:r>
      <w:r w:rsidRPr="004C00CD">
        <w:t xml:space="preserve">’s basic financial statements as listed in the table of contents.  </w:t>
      </w:r>
    </w:p>
    <w:p w14:paraId="2DBE1068" w14:textId="6F58D22C" w:rsidR="00EB4B63" w:rsidRDefault="00EB4B63" w:rsidP="00EB4B63">
      <w:pPr>
        <w:tabs>
          <w:tab w:val="left" w:pos="0"/>
          <w:tab w:val="left" w:pos="547"/>
          <w:tab w:val="left" w:pos="936"/>
          <w:tab w:val="left" w:pos="1440"/>
          <w:tab w:val="left" w:pos="1987"/>
        </w:tabs>
        <w:jc w:val="both"/>
      </w:pPr>
    </w:p>
    <w:p w14:paraId="6F863BF8" w14:textId="77777777" w:rsidR="00715C09" w:rsidRPr="00350215" w:rsidRDefault="00715C09" w:rsidP="00715C09">
      <w:pPr>
        <w:tabs>
          <w:tab w:val="left" w:pos="0"/>
          <w:tab w:val="left" w:pos="547"/>
          <w:tab w:val="left" w:pos="936"/>
          <w:tab w:val="left" w:pos="1440"/>
          <w:tab w:val="left" w:pos="1987"/>
        </w:tabs>
        <w:jc w:val="both"/>
        <w:rPr>
          <w:b/>
          <w:i/>
        </w:rPr>
      </w:pPr>
      <w:r w:rsidRPr="00350215">
        <w:rPr>
          <w:b/>
          <w:i/>
        </w:rPr>
        <w:t>Summary of Opinions</w:t>
      </w:r>
    </w:p>
    <w:p w14:paraId="0BB79E05" w14:textId="77777777" w:rsidR="00715C09" w:rsidRPr="00350215" w:rsidRDefault="00715C09" w:rsidP="00715C09">
      <w:pPr>
        <w:tabs>
          <w:tab w:val="left" w:pos="0"/>
          <w:tab w:val="left" w:pos="547"/>
          <w:tab w:val="left" w:pos="936"/>
          <w:tab w:val="left" w:pos="1440"/>
          <w:tab w:val="left" w:pos="1987"/>
        </w:tabs>
        <w:jc w:val="both"/>
        <w:rPr>
          <w:b/>
          <w:i/>
        </w:rPr>
      </w:pPr>
    </w:p>
    <w:p w14:paraId="1E35E249" w14:textId="0CB29037" w:rsidR="00715C09" w:rsidRPr="00350215" w:rsidRDefault="00715C09" w:rsidP="00715C09">
      <w:pPr>
        <w:tabs>
          <w:tab w:val="left" w:pos="0"/>
          <w:tab w:val="left" w:pos="547"/>
          <w:tab w:val="left" w:pos="936"/>
          <w:tab w:val="left" w:pos="1440"/>
          <w:tab w:val="left" w:pos="1987"/>
        </w:tabs>
        <w:jc w:val="center"/>
        <w:rPr>
          <w:b/>
          <w:i/>
        </w:rPr>
      </w:pPr>
      <w:r>
        <w:rPr>
          <w:b/>
          <w:i/>
          <w:noProof/>
        </w:rPr>
        <w:lastRenderedPageBreak/>
        <w:drawing>
          <wp:inline distT="0" distB="0" distL="0" distR="0" wp14:anchorId="07F2251B" wp14:editId="66FCD635">
            <wp:extent cx="4149725" cy="2737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725" cy="2737485"/>
                    </a:xfrm>
                    <a:prstGeom prst="rect">
                      <a:avLst/>
                    </a:prstGeom>
                    <a:noFill/>
                    <a:ln>
                      <a:noFill/>
                    </a:ln>
                  </pic:spPr>
                </pic:pic>
              </a:graphicData>
            </a:graphic>
          </wp:inline>
        </w:drawing>
      </w:r>
    </w:p>
    <w:p w14:paraId="3D83D4C6" w14:textId="0FA4B8A2" w:rsidR="00715C09" w:rsidRDefault="00B96F84" w:rsidP="00EB4B63">
      <w:pPr>
        <w:tabs>
          <w:tab w:val="left" w:pos="0"/>
          <w:tab w:val="left" w:pos="547"/>
          <w:tab w:val="left" w:pos="936"/>
          <w:tab w:val="left" w:pos="1440"/>
          <w:tab w:val="left" w:pos="1987"/>
        </w:tabs>
        <w:jc w:val="both"/>
      </w:pPr>
      <w:r>
        <w:t>.</w:t>
      </w:r>
    </w:p>
    <w:p w14:paraId="09A0DD30" w14:textId="1823A1AA" w:rsidR="00715C09" w:rsidRPr="00350215" w:rsidRDefault="00715C09" w:rsidP="00715C09">
      <w:pPr>
        <w:tabs>
          <w:tab w:val="left" w:pos="0"/>
          <w:tab w:val="left" w:pos="547"/>
          <w:tab w:val="left" w:pos="936"/>
          <w:tab w:val="left" w:pos="1440"/>
          <w:tab w:val="left" w:pos="1987"/>
        </w:tabs>
        <w:jc w:val="both"/>
        <w:rPr>
          <w:b/>
          <w:i/>
        </w:rPr>
      </w:pPr>
      <w:r w:rsidRPr="00350215">
        <w:rPr>
          <w:b/>
          <w:i/>
        </w:rPr>
        <w:t>Qualified Opinion</w:t>
      </w:r>
      <w:r w:rsidRPr="00715C09">
        <w:rPr>
          <w:b/>
          <w:i/>
        </w:rPr>
        <w:t xml:space="preserve"> </w:t>
      </w:r>
      <w:r w:rsidRPr="00350215">
        <w:rPr>
          <w:b/>
          <w:i/>
        </w:rPr>
        <w:t>on the Aggregate</w:t>
      </w:r>
      <w:r w:rsidRPr="00350215">
        <w:t xml:space="preserve"> </w:t>
      </w:r>
      <w:r w:rsidRPr="00350215">
        <w:rPr>
          <w:b/>
          <w:i/>
        </w:rPr>
        <w:t>Discretely Presented Component Units</w:t>
      </w:r>
    </w:p>
    <w:p w14:paraId="7B523434" w14:textId="77777777" w:rsidR="00715C09" w:rsidRPr="00350215" w:rsidRDefault="00715C09" w:rsidP="00715C09">
      <w:pPr>
        <w:tabs>
          <w:tab w:val="left" w:pos="0"/>
          <w:tab w:val="left" w:pos="547"/>
          <w:tab w:val="left" w:pos="936"/>
          <w:tab w:val="left" w:pos="1440"/>
          <w:tab w:val="left" w:pos="1987"/>
        </w:tabs>
        <w:jc w:val="both"/>
        <w:rPr>
          <w:b/>
          <w:i/>
        </w:rPr>
      </w:pPr>
    </w:p>
    <w:p w14:paraId="1BA9B0D2" w14:textId="32112C6E" w:rsidR="00715C09" w:rsidRPr="00350215" w:rsidRDefault="00715C09" w:rsidP="00715C09">
      <w:pPr>
        <w:tabs>
          <w:tab w:val="left" w:pos="0"/>
          <w:tab w:val="left" w:pos="547"/>
          <w:tab w:val="left" w:pos="936"/>
          <w:tab w:val="left" w:pos="1440"/>
          <w:tab w:val="left" w:pos="1987"/>
        </w:tabs>
        <w:jc w:val="both"/>
      </w:pPr>
      <w:r w:rsidRPr="00350215">
        <w:t xml:space="preserve">In our opinion, except for the </w:t>
      </w:r>
      <w:r w:rsidR="00A530A5">
        <w:t xml:space="preserve">possible </w:t>
      </w:r>
      <w:r w:rsidR="002E487C">
        <w:t>e</w:t>
      </w:r>
      <w:r w:rsidRPr="00350215">
        <w:t>ffects of the matter</w:t>
      </w:r>
      <w:r w:rsidR="00A530A5">
        <w:t>s</w:t>
      </w:r>
      <w:r w:rsidRPr="00350215">
        <w:t xml:space="preserve"> described in the </w:t>
      </w:r>
      <w:r w:rsidRPr="00350215">
        <w:rPr>
          <w:i/>
        </w:rPr>
        <w:t xml:space="preserve">Basis for Qualified </w:t>
      </w:r>
      <w:r w:rsidR="00701C97">
        <w:rPr>
          <w:i/>
        </w:rPr>
        <w:t xml:space="preserve">and Unmodified </w:t>
      </w:r>
      <w:r w:rsidRPr="00350215">
        <w:rPr>
          <w:i/>
        </w:rPr>
        <w:t>Opinion</w:t>
      </w:r>
      <w:r w:rsidR="00701C97">
        <w:rPr>
          <w:i/>
        </w:rPr>
        <w:t>s</w:t>
      </w:r>
      <w:r w:rsidRPr="00350215">
        <w:t xml:space="preserve"> </w:t>
      </w:r>
      <w:r>
        <w:t>section of our report</w:t>
      </w:r>
      <w:r w:rsidRPr="00350215">
        <w:t xml:space="preserve">, the </w:t>
      </w:r>
      <w:r w:rsidR="00701C97">
        <w:t xml:space="preserve">accompanying </w:t>
      </w:r>
      <w:r w:rsidRPr="00350215">
        <w:t xml:space="preserve">financial statements referred to above present fairly, in all material respects, the financial position </w:t>
      </w:r>
      <w:r w:rsidRPr="00E92DCD">
        <w:rPr>
          <w:bCs/>
          <w:highlight w:val="lightGray"/>
        </w:rPr>
        <w:t>and where applicable its cash flows</w:t>
      </w:r>
      <w:r w:rsidRPr="00350215">
        <w:t xml:space="preserve"> of the aggregate discretely presented component units of the </w:t>
      </w:r>
      <w:r w:rsidRPr="00714F1A">
        <w:rPr>
          <w:highlight w:val="lightGray"/>
        </w:rPr>
        <w:t>Entity</w:t>
      </w:r>
      <w:r w:rsidR="00714F1A" w:rsidRPr="00E92DCD">
        <w:rPr>
          <w:highlight w:val="lightGray"/>
        </w:rPr>
        <w:t xml:space="preserve"> Type</w:t>
      </w:r>
      <w:r w:rsidRPr="00350215">
        <w:t xml:space="preserve">, as of </w:t>
      </w:r>
      <w:r w:rsidR="00701C97" w:rsidRPr="00A74CC3">
        <w:rPr>
          <w:highlight w:val="lightGray"/>
        </w:rPr>
        <w:t>FYE D</w:t>
      </w:r>
      <w:r w:rsidR="00701C97">
        <w:rPr>
          <w:highlight w:val="lightGray"/>
        </w:rPr>
        <w:t>ate</w:t>
      </w:r>
      <w:r w:rsidR="00701C97">
        <w:t xml:space="preserve">, </w:t>
      </w:r>
      <w:r w:rsidRPr="00350215">
        <w:t>and the changes in financial position thereof for the year then ended in accordance with accounting principles generally accepted in the United States of America.</w:t>
      </w:r>
    </w:p>
    <w:p w14:paraId="1C0ED4FA" w14:textId="24889ED1" w:rsidR="00715C09" w:rsidRDefault="00715C09" w:rsidP="00EB4B63">
      <w:pPr>
        <w:tabs>
          <w:tab w:val="left" w:pos="0"/>
          <w:tab w:val="left" w:pos="547"/>
          <w:tab w:val="left" w:pos="936"/>
          <w:tab w:val="left" w:pos="1440"/>
          <w:tab w:val="left" w:pos="1987"/>
        </w:tabs>
        <w:jc w:val="both"/>
      </w:pPr>
    </w:p>
    <w:p w14:paraId="6640D780" w14:textId="285F9703" w:rsidR="00715C09" w:rsidRPr="00350215" w:rsidRDefault="00715C09" w:rsidP="00715C09">
      <w:pPr>
        <w:tabs>
          <w:tab w:val="left" w:pos="0"/>
          <w:tab w:val="left" w:pos="547"/>
          <w:tab w:val="left" w:pos="936"/>
          <w:tab w:val="left" w:pos="1440"/>
          <w:tab w:val="left" w:pos="1987"/>
        </w:tabs>
        <w:jc w:val="both"/>
        <w:rPr>
          <w:b/>
          <w:i/>
        </w:rPr>
      </w:pPr>
      <w:r w:rsidRPr="00350215">
        <w:rPr>
          <w:b/>
          <w:i/>
        </w:rPr>
        <w:t>Unmodified Opinions</w:t>
      </w:r>
      <w:r w:rsidR="00A530A5">
        <w:rPr>
          <w:b/>
          <w:i/>
        </w:rPr>
        <w:t xml:space="preserve"> on (list opinion units which are unmodified)</w:t>
      </w:r>
    </w:p>
    <w:p w14:paraId="60983CE3" w14:textId="77777777" w:rsidR="00715C09" w:rsidRPr="00350215" w:rsidRDefault="00715C09" w:rsidP="00715C09">
      <w:pPr>
        <w:tabs>
          <w:tab w:val="left" w:pos="0"/>
          <w:tab w:val="left" w:pos="547"/>
          <w:tab w:val="left" w:pos="936"/>
          <w:tab w:val="left" w:pos="1440"/>
          <w:tab w:val="left" w:pos="1987"/>
        </w:tabs>
        <w:jc w:val="both"/>
        <w:rPr>
          <w:b/>
          <w:i/>
        </w:rPr>
      </w:pPr>
    </w:p>
    <w:p w14:paraId="192B4DA4" w14:textId="49978C32" w:rsidR="00016A99" w:rsidRPr="004C00CD" w:rsidRDefault="00EB4B63" w:rsidP="00016A99">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w:t>
      </w:r>
      <w:r w:rsidRPr="004C00CD">
        <w:t>governmental activities, the business-type activities, each major fund, and the aggregate remaining fund information</w:t>
      </w:r>
      <w:r>
        <w:t xml:space="preserve"> of the </w:t>
      </w:r>
      <w:r w:rsidR="007A0713">
        <w:rPr>
          <w:highlight w:val="lightGray"/>
        </w:rPr>
        <w:t>Entity Name</w:t>
      </w:r>
      <w:r>
        <w:t xml:space="preserve">, </w:t>
      </w:r>
      <w:r w:rsidR="007A0713">
        <w:rPr>
          <w:highlight w:val="lightGray"/>
        </w:rPr>
        <w:t>County Name</w:t>
      </w:r>
      <w:r>
        <w:t xml:space="preserve">, Ohio as of </w:t>
      </w:r>
      <w:r w:rsidR="007A0713">
        <w:rPr>
          <w:highlight w:val="lightGray"/>
        </w:rPr>
        <w:t>FYE Date</w:t>
      </w:r>
      <w:r w:rsidRPr="004C00CD">
        <w:t xml:space="preserve">, and the respective changes in financial position </w:t>
      </w:r>
      <w:r w:rsidRPr="00E92DCD">
        <w:rPr>
          <w:bCs/>
          <w:highlight w:val="lightGray"/>
        </w:rPr>
        <w:t>and, where applicable, cash flows</w:t>
      </w:r>
      <w:r w:rsidRPr="004C00CD">
        <w:rPr>
          <w:b/>
        </w:rPr>
        <w:t xml:space="preserve"> </w:t>
      </w:r>
      <w:r>
        <w:t xml:space="preserve">thereof </w:t>
      </w:r>
      <w:r w:rsidRPr="008C0F63">
        <w:t xml:space="preserve">and the </w:t>
      </w:r>
      <w:r w:rsidR="00016A99" w:rsidRPr="00E92DCD">
        <w:rPr>
          <w:bCs/>
          <w:highlight w:val="lightGray"/>
        </w:rPr>
        <w:t>respective</w:t>
      </w:r>
      <w:r w:rsidR="00714F1A">
        <w:rPr>
          <w:bCs/>
        </w:rPr>
        <w:t xml:space="preserve"> </w:t>
      </w:r>
      <w:r w:rsidR="00016A99" w:rsidRPr="00E92DCD">
        <w:rPr>
          <w:b/>
          <w:i/>
          <w:iCs/>
          <w:color w:val="002060"/>
        </w:rPr>
        <w:t>&lt;&lt;</w:t>
      </w:r>
      <w:r w:rsidR="00714F1A" w:rsidRPr="00E92DCD">
        <w:rPr>
          <w:b/>
          <w:i/>
          <w:iCs/>
          <w:color w:val="002060"/>
        </w:rPr>
        <w:t xml:space="preserve"> delete </w:t>
      </w:r>
      <w:r w:rsidR="00016A99" w:rsidRPr="00E92DCD">
        <w:rPr>
          <w:b/>
          <w:i/>
          <w:iCs/>
          <w:color w:val="002060"/>
        </w:rPr>
        <w:t xml:space="preserve">“respective” </w:t>
      </w:r>
      <w:r w:rsidR="00714F1A" w:rsidRPr="00E92DCD">
        <w:rPr>
          <w:b/>
          <w:i/>
          <w:iCs/>
          <w:color w:val="002060"/>
        </w:rPr>
        <w:t>if only one budgetary fund comparison</w:t>
      </w:r>
      <w:r w:rsidR="00016A99" w:rsidRPr="003A2F6E">
        <w:t xml:space="preserve"> budgetary comparison</w:t>
      </w:r>
      <w:r w:rsidR="00714F1A" w:rsidRPr="00E92DCD">
        <w:rPr>
          <w:highlight w:val="lightGray"/>
        </w:rPr>
        <w:t>(s)</w:t>
      </w:r>
      <w:r w:rsidR="00016A99" w:rsidRPr="003A2F6E">
        <w:t xml:space="preserve"> for the General and </w:t>
      </w:r>
      <w:r w:rsidR="00714F1A" w:rsidRPr="00E92DCD">
        <w:rPr>
          <w:b/>
          <w:bCs/>
          <w:i/>
          <w:iCs/>
          <w:color w:val="002060"/>
        </w:rPr>
        <w:t xml:space="preserve">&lt;&lt; </w:t>
      </w:r>
      <w:r w:rsidR="00016A99" w:rsidRPr="00E92DCD">
        <w:rPr>
          <w:b/>
          <w:bCs/>
          <w:i/>
          <w:iCs/>
          <w:color w:val="002060"/>
        </w:rPr>
        <w:t>list major special revenue funds</w:t>
      </w:r>
      <w:r w:rsidR="00714F1A" w:rsidRPr="00E92DCD">
        <w:rPr>
          <w:b/>
          <w:bCs/>
          <w:i/>
          <w:iCs/>
          <w:color w:val="002060"/>
        </w:rPr>
        <w:t xml:space="preserve"> &gt;&gt;</w:t>
      </w:r>
      <w:r w:rsidR="00016A99" w:rsidRPr="003A2F6E">
        <w:rPr>
          <w:rStyle w:val="EndnoteReference"/>
          <w:color w:val="000000"/>
        </w:rPr>
        <w:t xml:space="preserve"> </w:t>
      </w:r>
      <w:r w:rsidR="00016A99" w:rsidRPr="003A2F6E">
        <w:rPr>
          <w:rStyle w:val="EndnoteReference"/>
          <w:color w:val="000000"/>
        </w:rPr>
        <w:endnoteReference w:id="6"/>
      </w:r>
      <w:r w:rsidR="00016A99" w:rsidRPr="003A2F6E">
        <w:t xml:space="preserve"> </w:t>
      </w:r>
      <w:r w:rsidR="00016A99">
        <w:t xml:space="preserve">for the year then ended </w:t>
      </w:r>
      <w:r w:rsidR="00016A99" w:rsidRPr="004C00CD">
        <w:t xml:space="preserve">in accordance with the accounting principles generally accepted in the United States of America. </w:t>
      </w:r>
    </w:p>
    <w:p w14:paraId="55884745" w14:textId="683FDFBE" w:rsidR="00EB4B63" w:rsidRDefault="00EB4B63" w:rsidP="00EB4B63">
      <w:pPr>
        <w:tabs>
          <w:tab w:val="left" w:pos="0"/>
          <w:tab w:val="left" w:pos="547"/>
          <w:tab w:val="left" w:pos="936"/>
          <w:tab w:val="left" w:pos="1440"/>
          <w:tab w:val="left" w:pos="1987"/>
        </w:tabs>
        <w:jc w:val="both"/>
      </w:pPr>
    </w:p>
    <w:p w14:paraId="6822F5C2" w14:textId="6FB2B356" w:rsidR="00EB4B63" w:rsidRDefault="00EB4B63" w:rsidP="00EB4B63">
      <w:pPr>
        <w:pStyle w:val="Default"/>
        <w:rPr>
          <w:rFonts w:ascii="Arial" w:hAnsi="Arial" w:cs="Arial"/>
          <w:b/>
          <w:bCs/>
          <w:i/>
          <w:iCs/>
          <w:sz w:val="20"/>
          <w:szCs w:val="20"/>
        </w:rPr>
      </w:pPr>
      <w:r w:rsidRPr="00214F46">
        <w:rPr>
          <w:rFonts w:ascii="Arial" w:hAnsi="Arial" w:cs="Arial"/>
          <w:b/>
          <w:bCs/>
          <w:i/>
          <w:iCs/>
          <w:sz w:val="20"/>
          <w:szCs w:val="20"/>
        </w:rPr>
        <w:t xml:space="preserve">Basis for </w:t>
      </w:r>
      <w:r w:rsidR="00715C09">
        <w:rPr>
          <w:rFonts w:ascii="Arial" w:hAnsi="Arial" w:cs="Arial"/>
          <w:b/>
          <w:bCs/>
          <w:i/>
          <w:iCs/>
          <w:sz w:val="20"/>
          <w:szCs w:val="20"/>
        </w:rPr>
        <w:t xml:space="preserve">Qualified and Unmodified </w:t>
      </w:r>
      <w:r w:rsidRPr="00214F46">
        <w:rPr>
          <w:rFonts w:ascii="Arial" w:hAnsi="Arial" w:cs="Arial"/>
          <w:b/>
          <w:bCs/>
          <w:i/>
          <w:iCs/>
          <w:sz w:val="20"/>
          <w:szCs w:val="20"/>
        </w:rPr>
        <w:t>Opinions</w:t>
      </w:r>
      <w:r w:rsidRPr="004C00CD">
        <w:rPr>
          <w:rFonts w:ascii="Arial" w:hAnsi="Arial" w:cs="Arial"/>
          <w:b/>
          <w:bCs/>
          <w:i/>
          <w:iCs/>
          <w:sz w:val="20"/>
          <w:szCs w:val="20"/>
        </w:rPr>
        <w:t xml:space="preserve"> </w:t>
      </w:r>
    </w:p>
    <w:p w14:paraId="06BB2437" w14:textId="77777777" w:rsidR="00016A99" w:rsidRPr="004C00CD" w:rsidRDefault="00016A99" w:rsidP="00EB4B63">
      <w:pPr>
        <w:pStyle w:val="Default"/>
        <w:rPr>
          <w:rFonts w:ascii="Arial" w:hAnsi="Arial" w:cs="Arial"/>
          <w:sz w:val="20"/>
          <w:szCs w:val="20"/>
        </w:rPr>
      </w:pPr>
    </w:p>
    <w:p w14:paraId="14D0B300" w14:textId="4F83FAFF" w:rsidR="00EB4B63" w:rsidRPr="004C00CD" w:rsidRDefault="00EB4B63" w:rsidP="00175725">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w:t>
      </w:r>
      <w:r w:rsidR="00FC496E" w:rsidRPr="00606631">
        <w:rPr>
          <w:rFonts w:ascii="Arial" w:hAnsi="Arial" w:cs="Arial"/>
          <w:sz w:val="20"/>
          <w:szCs w:val="20"/>
        </w:rPr>
        <w:t xml:space="preserve">applicable to financial audits contained </w:t>
      </w:r>
      <w:r w:rsidRPr="00606631">
        <w:rPr>
          <w:rFonts w:ascii="Arial" w:hAnsi="Arial" w:cs="Arial"/>
          <w:sz w:val="20"/>
          <w:szCs w:val="20"/>
        </w:rPr>
        <w:t xml:space="preserve">in </w:t>
      </w:r>
      <w:r w:rsidRPr="00606631">
        <w:rPr>
          <w:rFonts w:ascii="Arial" w:hAnsi="Arial" w:cs="Arial"/>
          <w:i/>
          <w:sz w:val="20"/>
          <w:szCs w:val="20"/>
        </w:rPr>
        <w:t>Government Auditing Standards</w:t>
      </w:r>
      <w:r w:rsidR="00FC496E" w:rsidRPr="00606631">
        <w:rPr>
          <w:rFonts w:ascii="Arial" w:hAnsi="Arial" w:cs="Arial"/>
          <w:i/>
          <w:sz w:val="20"/>
          <w:szCs w:val="20"/>
        </w:rPr>
        <w:t xml:space="preserve">, </w:t>
      </w:r>
      <w:r w:rsidR="00FC496E"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sidR="00016A99">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sidR="00701C97">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00DC299E" w:rsidRPr="00714F1A">
        <w:rPr>
          <w:rFonts w:ascii="Arial" w:hAnsi="Arial" w:cs="Arial"/>
          <w:sz w:val="20"/>
          <w:szCs w:val="20"/>
          <w:highlight w:val="lightGray"/>
        </w:rPr>
        <w:t>Entity</w:t>
      </w:r>
      <w:r w:rsidR="00714F1A" w:rsidRPr="00E92DCD">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sidR="00016A99">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sidR="00E80EF2">
        <w:rPr>
          <w:rFonts w:ascii="Arial" w:hAnsi="Arial" w:cs="Arial"/>
          <w:sz w:val="20"/>
          <w:szCs w:val="20"/>
        </w:rPr>
        <w:t xml:space="preserve">qualified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 xml:space="preserve">. </w:t>
      </w:r>
    </w:p>
    <w:p w14:paraId="1A54D164" w14:textId="20DE6EE9" w:rsidR="00EE239B" w:rsidRDefault="00EE239B" w:rsidP="00EB4B63">
      <w:pPr>
        <w:tabs>
          <w:tab w:val="left" w:pos="0"/>
          <w:tab w:val="left" w:pos="547"/>
          <w:tab w:val="left" w:pos="936"/>
          <w:tab w:val="left" w:pos="1440"/>
          <w:tab w:val="left" w:pos="1987"/>
        </w:tabs>
        <w:jc w:val="both"/>
        <w:rPr>
          <w:b/>
          <w:bCs/>
          <w:i/>
          <w:iCs/>
          <w:highlight w:val="yellow"/>
        </w:rPr>
      </w:pPr>
    </w:p>
    <w:p w14:paraId="4F1BD1B6" w14:textId="10B6E02B" w:rsidR="00701C97" w:rsidRPr="00350215" w:rsidRDefault="00701C97" w:rsidP="00701C97">
      <w:pPr>
        <w:tabs>
          <w:tab w:val="left" w:pos="0"/>
          <w:tab w:val="left" w:pos="547"/>
          <w:tab w:val="left" w:pos="936"/>
          <w:tab w:val="left" w:pos="1440"/>
          <w:tab w:val="left" w:pos="1987"/>
        </w:tabs>
        <w:jc w:val="both"/>
        <w:rPr>
          <w:b/>
          <w:i/>
        </w:rPr>
      </w:pPr>
      <w:r>
        <w:rPr>
          <w:b/>
          <w:i/>
        </w:rPr>
        <w:t xml:space="preserve">Matter Giving Rise to </w:t>
      </w:r>
      <w:r w:rsidRPr="00350215">
        <w:rPr>
          <w:b/>
          <w:i/>
        </w:rPr>
        <w:t>Qualified Opinion on the Aggregate</w:t>
      </w:r>
      <w:r w:rsidRPr="00350215">
        <w:t xml:space="preserve"> </w:t>
      </w:r>
      <w:r w:rsidRPr="00350215">
        <w:rPr>
          <w:b/>
          <w:i/>
        </w:rPr>
        <w:t>Discretely Presented Component Units</w:t>
      </w:r>
    </w:p>
    <w:p w14:paraId="794916FE" w14:textId="77777777" w:rsidR="00701C97" w:rsidRPr="00350215" w:rsidRDefault="00701C97" w:rsidP="00701C97">
      <w:pPr>
        <w:tabs>
          <w:tab w:val="left" w:pos="0"/>
          <w:tab w:val="left" w:pos="547"/>
          <w:tab w:val="left" w:pos="936"/>
          <w:tab w:val="left" w:pos="1440"/>
          <w:tab w:val="left" w:pos="1987"/>
        </w:tabs>
        <w:jc w:val="both"/>
        <w:rPr>
          <w:b/>
          <w:i/>
        </w:rPr>
      </w:pPr>
    </w:p>
    <w:p w14:paraId="0404135A" w14:textId="179CFC39" w:rsidR="00701C97" w:rsidRPr="00350215" w:rsidRDefault="00701C97" w:rsidP="00701C97">
      <w:pPr>
        <w:tabs>
          <w:tab w:val="left" w:pos="0"/>
          <w:tab w:val="left" w:pos="547"/>
          <w:tab w:val="left" w:pos="936"/>
          <w:tab w:val="left" w:pos="1440"/>
          <w:tab w:val="left" w:pos="1987"/>
        </w:tabs>
        <w:jc w:val="both"/>
      </w:pPr>
      <w:r w:rsidRPr="00350215">
        <w:t xml:space="preserve">The financial statements of the </w:t>
      </w:r>
      <w:r>
        <w:rPr>
          <w:highlight w:val="lightGray"/>
        </w:rPr>
        <w:t>Component</w:t>
      </w:r>
      <w:r w:rsidRPr="00715C09">
        <w:rPr>
          <w:highlight w:val="lightGray"/>
        </w:rPr>
        <w:t xml:space="preserve"> U</w:t>
      </w:r>
      <w:r>
        <w:rPr>
          <w:highlight w:val="lightGray"/>
        </w:rPr>
        <w:t>nit</w:t>
      </w:r>
      <w:r w:rsidRPr="00715C09">
        <w:rPr>
          <w:highlight w:val="lightGray"/>
        </w:rPr>
        <w:t xml:space="preserve"> N</w:t>
      </w:r>
      <w:r>
        <w:rPr>
          <w:highlight w:val="lightGray"/>
        </w:rPr>
        <w:t>ame</w:t>
      </w:r>
      <w:r w:rsidRPr="00350215">
        <w:t xml:space="preserve"> were not audited, and we were not engaged to audit the </w:t>
      </w:r>
      <w:r>
        <w:rPr>
          <w:highlight w:val="lightGray"/>
        </w:rPr>
        <w:t>Component</w:t>
      </w:r>
      <w:r w:rsidRPr="00715C09">
        <w:rPr>
          <w:highlight w:val="lightGray"/>
        </w:rPr>
        <w:t xml:space="preserve"> U</w:t>
      </w:r>
      <w:r>
        <w:rPr>
          <w:highlight w:val="lightGray"/>
        </w:rPr>
        <w:t>nit</w:t>
      </w:r>
      <w:r w:rsidRPr="00715C09">
        <w:rPr>
          <w:highlight w:val="lightGray"/>
        </w:rPr>
        <w:t xml:space="preserve"> N</w:t>
      </w:r>
      <w:r>
        <w:rPr>
          <w:highlight w:val="lightGray"/>
        </w:rPr>
        <w:t>ame</w:t>
      </w:r>
      <w:r w:rsidRPr="00350215">
        <w:t xml:space="preserve">’s financial statements as part of our audit of the </w:t>
      </w:r>
      <w:r w:rsidRPr="00714F1A">
        <w:rPr>
          <w:highlight w:val="lightGray"/>
        </w:rPr>
        <w:t>Entity</w:t>
      </w:r>
      <w:r w:rsidR="00714F1A" w:rsidRPr="00E92DCD">
        <w:rPr>
          <w:highlight w:val="lightGray"/>
        </w:rPr>
        <w:t xml:space="preserve"> Type</w:t>
      </w:r>
      <w:r w:rsidRPr="00350215">
        <w:t xml:space="preserve">’s basic financial </w:t>
      </w:r>
      <w:r w:rsidRPr="00350215">
        <w:lastRenderedPageBreak/>
        <w:t xml:space="preserve">statements.  The </w:t>
      </w:r>
      <w:r>
        <w:rPr>
          <w:highlight w:val="lightGray"/>
        </w:rPr>
        <w:t>Component</w:t>
      </w:r>
      <w:r w:rsidRPr="00715C09">
        <w:rPr>
          <w:highlight w:val="lightGray"/>
        </w:rPr>
        <w:t xml:space="preserve"> U</w:t>
      </w:r>
      <w:r>
        <w:rPr>
          <w:highlight w:val="lightGray"/>
        </w:rPr>
        <w:t>nit</w:t>
      </w:r>
      <w:r w:rsidRPr="00715C09">
        <w:rPr>
          <w:highlight w:val="lightGray"/>
        </w:rPr>
        <w:t xml:space="preserve"> N</w:t>
      </w:r>
      <w:r>
        <w:rPr>
          <w:highlight w:val="lightGray"/>
        </w:rPr>
        <w:t>ame</w:t>
      </w:r>
      <w:r w:rsidRPr="00350215">
        <w:t xml:space="preserve">’s financial activities are included in the </w:t>
      </w:r>
      <w:r w:rsidRPr="00714F1A">
        <w:rPr>
          <w:highlight w:val="lightGray"/>
        </w:rPr>
        <w:t>Entity</w:t>
      </w:r>
      <w:r w:rsidR="00714F1A" w:rsidRPr="00E92DCD">
        <w:rPr>
          <w:highlight w:val="lightGray"/>
        </w:rPr>
        <w:t xml:space="preserve"> Type</w:t>
      </w:r>
      <w:r w:rsidRPr="00350215">
        <w:t>’s basic financial statements as a discretely presented component unit and represents</w:t>
      </w:r>
      <w:r w:rsidRPr="00350215">
        <w:rPr>
          <w:i/>
        </w:rPr>
        <w:t xml:space="preserve"> </w:t>
      </w:r>
      <w:r w:rsidRPr="00E92DCD">
        <w:rPr>
          <w:bCs/>
          <w:iCs/>
          <w:highlight w:val="lightGray"/>
        </w:rPr>
        <w:t>XX percent, XX percent and XX percent</w:t>
      </w:r>
      <w:r w:rsidRPr="00350215">
        <w:t xml:space="preserve"> of the assets, net position and revenues, respectively, of the </w:t>
      </w:r>
      <w:r w:rsidRPr="00714F1A">
        <w:rPr>
          <w:highlight w:val="lightGray"/>
        </w:rPr>
        <w:t>Entity</w:t>
      </w:r>
      <w:r w:rsidR="00714F1A" w:rsidRPr="00E92DCD">
        <w:rPr>
          <w:highlight w:val="lightGray"/>
        </w:rPr>
        <w:t xml:space="preserve"> Type</w:t>
      </w:r>
      <w:r w:rsidRPr="00350215">
        <w:t>’s aggregate discretely presented component units.</w:t>
      </w:r>
    </w:p>
    <w:p w14:paraId="38D9C679" w14:textId="77777777" w:rsidR="00701C97" w:rsidRDefault="00701C97" w:rsidP="00EB4B63">
      <w:pPr>
        <w:tabs>
          <w:tab w:val="left" w:pos="0"/>
          <w:tab w:val="left" w:pos="547"/>
          <w:tab w:val="left" w:pos="936"/>
          <w:tab w:val="left" w:pos="1440"/>
          <w:tab w:val="left" w:pos="1987"/>
        </w:tabs>
        <w:jc w:val="both"/>
        <w:rPr>
          <w:b/>
          <w:bCs/>
          <w:i/>
          <w:iCs/>
          <w:highlight w:val="yellow"/>
        </w:rPr>
      </w:pPr>
    </w:p>
    <w:p w14:paraId="256FB682" w14:textId="3A04F7CE" w:rsidR="00EB4B63" w:rsidRPr="00E92DCD" w:rsidRDefault="00EB4B63" w:rsidP="00EB4B63">
      <w:pPr>
        <w:tabs>
          <w:tab w:val="left" w:pos="0"/>
          <w:tab w:val="left" w:pos="547"/>
          <w:tab w:val="left" w:pos="936"/>
          <w:tab w:val="left" w:pos="1440"/>
          <w:tab w:val="left" w:pos="1987"/>
        </w:tabs>
        <w:jc w:val="both"/>
        <w:rPr>
          <w:b/>
          <w:bCs/>
          <w:i/>
          <w:iCs/>
        </w:rPr>
      </w:pPr>
      <w:r w:rsidRPr="00E92DCD">
        <w:rPr>
          <w:b/>
          <w:bCs/>
          <w:i/>
          <w:iCs/>
        </w:rPr>
        <w:t xml:space="preserve"> Emphasis of Matter </w:t>
      </w:r>
      <w:r w:rsidRPr="00E92DCD">
        <w:rPr>
          <w:b/>
          <w:bCs/>
          <w:i/>
          <w:iCs/>
          <w:vertAlign w:val="superscript"/>
        </w:rPr>
        <w:endnoteReference w:id="7"/>
      </w:r>
      <w:r w:rsidR="0069092B">
        <w:rPr>
          <w:b/>
          <w:bCs/>
          <w:i/>
          <w:iCs/>
        </w:rPr>
        <w:t xml:space="preserve"> </w:t>
      </w:r>
      <w:r w:rsidR="0069092B">
        <w:rPr>
          <w:rStyle w:val="EndnoteReference"/>
          <w:b/>
          <w:bCs/>
          <w:i/>
          <w:iCs/>
        </w:rPr>
        <w:endnoteReference w:id="8"/>
      </w:r>
    </w:p>
    <w:p w14:paraId="28137071" w14:textId="77777777" w:rsidR="00016A99" w:rsidRPr="00E92DCD" w:rsidRDefault="00016A99" w:rsidP="00EB4B63">
      <w:pPr>
        <w:tabs>
          <w:tab w:val="left" w:pos="0"/>
          <w:tab w:val="left" w:pos="547"/>
          <w:tab w:val="left" w:pos="936"/>
          <w:tab w:val="left" w:pos="1440"/>
          <w:tab w:val="left" w:pos="1987"/>
        </w:tabs>
        <w:jc w:val="both"/>
      </w:pPr>
    </w:p>
    <w:p w14:paraId="49B952D9" w14:textId="10891981" w:rsidR="00EB4B63" w:rsidRDefault="00EB4B63" w:rsidP="00EB4B63">
      <w:pPr>
        <w:autoSpaceDE w:val="0"/>
        <w:autoSpaceDN w:val="0"/>
        <w:jc w:val="both"/>
      </w:pPr>
      <w:r w:rsidRPr="00E92DCD">
        <w:t xml:space="preserve">As discussed in Note </w:t>
      </w:r>
      <w:r w:rsidRPr="00E92DCD">
        <w:rPr>
          <w:shd w:val="clear" w:color="auto" w:fill="D9D9D9" w:themeFill="background1" w:themeFillShade="D9"/>
        </w:rPr>
        <w:t>X</w:t>
      </w:r>
      <w:r w:rsidRPr="00E92DCD">
        <w:rPr>
          <w:b/>
          <w:bCs/>
        </w:rPr>
        <w:t xml:space="preserve"> </w:t>
      </w:r>
      <w:r w:rsidRPr="00E92DCD">
        <w:t xml:space="preserve">to the financial statements, during </w:t>
      </w:r>
      <w:r w:rsidRPr="00E92DCD">
        <w:rPr>
          <w:shd w:val="clear" w:color="auto" w:fill="D9D9D9" w:themeFill="background1" w:themeFillShade="D9"/>
        </w:rPr>
        <w:t>20XX</w:t>
      </w:r>
      <w:r w:rsidRPr="00E92DCD">
        <w:t xml:space="preserve">, the </w:t>
      </w:r>
      <w:r w:rsidR="00DC299E" w:rsidRPr="00E92DCD">
        <w:rPr>
          <w:shd w:val="clear" w:color="auto" w:fill="D9D9D9" w:themeFill="background1" w:themeFillShade="D9"/>
        </w:rPr>
        <w:t>Entity</w:t>
      </w:r>
      <w:r w:rsidR="00714F1A" w:rsidRPr="00E92DCD">
        <w:rPr>
          <w:shd w:val="clear" w:color="auto" w:fill="D9D9D9" w:themeFill="background1" w:themeFillShade="D9"/>
        </w:rPr>
        <w:t xml:space="preserve"> Type</w:t>
      </w:r>
      <w:r w:rsidRPr="00E92DCD">
        <w:t xml:space="preserve"> adopted new accounting guidance in Governmental Accounting Standards Board (GASB) Statement No. </w:t>
      </w:r>
      <w:r w:rsidRPr="00E92DCD">
        <w:rPr>
          <w:shd w:val="clear" w:color="auto" w:fill="D9D9D9" w:themeFill="background1" w:themeFillShade="D9"/>
        </w:rPr>
        <w:t>XX</w:t>
      </w:r>
      <w:r w:rsidRPr="00E92DCD">
        <w:t>,</w:t>
      </w:r>
      <w:r w:rsidRPr="00E92DCD">
        <w:rPr>
          <w:i/>
          <w:iCs/>
        </w:rPr>
        <w:t xml:space="preserve"> </w:t>
      </w:r>
      <w:r w:rsidRPr="00E92DCD">
        <w:rPr>
          <w:i/>
          <w:iCs/>
          <w:color w:val="002060"/>
          <w:highlight w:val="lightGray"/>
        </w:rPr>
        <w:t>include name/title of GASB Statement in italics</w:t>
      </w:r>
      <w:r w:rsidRPr="00E92DCD">
        <w:t xml:space="preserve">.  </w:t>
      </w:r>
      <w:r w:rsidR="004D1688" w:rsidRPr="00E92DCD">
        <w:t>O</w:t>
      </w:r>
      <w:r w:rsidRPr="00E92DCD">
        <w:t xml:space="preserve">ur opinion </w:t>
      </w:r>
      <w:r w:rsidR="004D1688" w:rsidRPr="00E92DCD">
        <w:t>is not modified with respect to</w:t>
      </w:r>
      <w:r w:rsidRPr="00E92DCD">
        <w:t xml:space="preserve"> this matter.</w:t>
      </w:r>
      <w:r w:rsidRPr="004C00CD">
        <w:t xml:space="preserve"> </w:t>
      </w:r>
    </w:p>
    <w:p w14:paraId="378D40DA" w14:textId="08726FE8" w:rsidR="00DC002B" w:rsidRDefault="00DC002B" w:rsidP="00EB4B63">
      <w:pPr>
        <w:autoSpaceDE w:val="0"/>
        <w:autoSpaceDN w:val="0"/>
        <w:jc w:val="both"/>
      </w:pPr>
    </w:p>
    <w:p w14:paraId="293BC97C" w14:textId="5EA8655F" w:rsidR="00DC002B" w:rsidRPr="00E92DCD" w:rsidRDefault="004F47E1" w:rsidP="00EB4B63">
      <w:pPr>
        <w:autoSpaceDE w:val="0"/>
        <w:autoSpaceDN w:val="0"/>
        <w:jc w:val="both"/>
        <w:rPr>
          <w:b/>
          <w:i/>
          <w:color w:val="002060"/>
        </w:rPr>
      </w:pPr>
      <w:r w:rsidRPr="00E92DCD">
        <w:rPr>
          <w:b/>
          <w:i/>
          <w:color w:val="002060"/>
        </w:rPr>
        <w:t xml:space="preserve">Insert an </w:t>
      </w:r>
      <w:r w:rsidR="00DC002B" w:rsidRPr="00E92DCD">
        <w:rPr>
          <w:b/>
          <w:i/>
          <w:color w:val="002060"/>
        </w:rPr>
        <w:t>Other Matter(s)</w:t>
      </w:r>
      <w:r w:rsidRPr="00E92DCD">
        <w:rPr>
          <w:b/>
          <w:i/>
          <w:color w:val="002060"/>
        </w:rPr>
        <w:t xml:space="preserve"> section here, if required.  See FN </w:t>
      </w:r>
      <w:r w:rsidR="00DC002B" w:rsidRPr="00E92DCD">
        <w:rPr>
          <w:rStyle w:val="EndnoteReference"/>
          <w:b/>
          <w:i/>
          <w:color w:val="002060"/>
          <w:vertAlign w:val="baseline"/>
        </w:rPr>
        <w:endnoteReference w:id="9"/>
      </w:r>
      <w:r w:rsidR="00DC002B" w:rsidRPr="00E92DCD">
        <w:rPr>
          <w:b/>
          <w:i/>
          <w:color w:val="002060"/>
        </w:rPr>
        <w:t xml:space="preserve"> (Omit if no “other matters” included.)</w:t>
      </w:r>
    </w:p>
    <w:p w14:paraId="65AC1C75" w14:textId="77777777" w:rsidR="00EB4B63" w:rsidRPr="004C00CD" w:rsidRDefault="00EB4B63" w:rsidP="00EB4B63">
      <w:pPr>
        <w:autoSpaceDE w:val="0"/>
        <w:autoSpaceDN w:val="0"/>
        <w:jc w:val="both"/>
        <w:rPr>
          <w:b/>
          <w:bCs/>
        </w:rPr>
      </w:pPr>
    </w:p>
    <w:p w14:paraId="68A17D0C" w14:textId="75DCFCA2" w:rsidR="00EB4B63" w:rsidRDefault="00EB4B63" w:rsidP="00EB4B63">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39D4C9D7" w14:textId="77777777" w:rsidR="00016A99" w:rsidRPr="004C00CD" w:rsidRDefault="00016A99" w:rsidP="00EB4B63">
      <w:pPr>
        <w:tabs>
          <w:tab w:val="left" w:pos="0"/>
          <w:tab w:val="left" w:pos="547"/>
          <w:tab w:val="left" w:pos="936"/>
          <w:tab w:val="left" w:pos="1440"/>
          <w:tab w:val="left" w:pos="1987"/>
        </w:tabs>
        <w:jc w:val="both"/>
        <w:rPr>
          <w:b/>
          <w:i/>
        </w:rPr>
      </w:pPr>
    </w:p>
    <w:p w14:paraId="1647278E" w14:textId="77777777" w:rsidR="00EB4B63" w:rsidRPr="004C00CD" w:rsidRDefault="00EB4B63" w:rsidP="00EB4B63">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42C51F2B" w14:textId="77777777" w:rsidR="00EB4B63" w:rsidRPr="004C00CD" w:rsidRDefault="00EB4B63" w:rsidP="00EB4B63">
      <w:pPr>
        <w:pStyle w:val="Default"/>
        <w:jc w:val="both"/>
        <w:rPr>
          <w:rFonts w:ascii="Arial" w:hAnsi="Arial" w:cs="Arial"/>
          <w:sz w:val="20"/>
          <w:szCs w:val="20"/>
        </w:rPr>
      </w:pPr>
    </w:p>
    <w:p w14:paraId="1F499162" w14:textId="0FA66B60" w:rsidR="00EB4B63" w:rsidRPr="004C00CD" w:rsidRDefault="00EB4B63" w:rsidP="00EB4B63">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00DC299E" w:rsidRPr="00714F1A">
        <w:rPr>
          <w:rFonts w:ascii="Arial" w:hAnsi="Arial" w:cs="Arial"/>
          <w:sz w:val="20"/>
          <w:szCs w:val="20"/>
          <w:highlight w:val="lightGray"/>
        </w:rPr>
        <w:t>Entity</w:t>
      </w:r>
      <w:r w:rsidR="00714F1A" w:rsidRPr="00E92DCD">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645B317E" w14:textId="77777777" w:rsidR="00EB4B63" w:rsidRPr="004C00CD" w:rsidRDefault="00EB4B63" w:rsidP="00EB4B63">
      <w:pPr>
        <w:tabs>
          <w:tab w:val="left" w:pos="0"/>
          <w:tab w:val="left" w:pos="547"/>
          <w:tab w:val="left" w:pos="936"/>
          <w:tab w:val="left" w:pos="1440"/>
          <w:tab w:val="left" w:pos="1987"/>
        </w:tabs>
        <w:jc w:val="both"/>
      </w:pPr>
    </w:p>
    <w:p w14:paraId="1986A743" w14:textId="0045F0F1" w:rsidR="00EB4B63" w:rsidRDefault="00EB4B63" w:rsidP="00EB4B63">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1638F81D" w14:textId="77777777" w:rsidR="00016A99" w:rsidRPr="00A676A3" w:rsidRDefault="00016A99" w:rsidP="00EB4B63">
      <w:pPr>
        <w:tabs>
          <w:tab w:val="left" w:pos="0"/>
          <w:tab w:val="left" w:pos="547"/>
          <w:tab w:val="left" w:pos="936"/>
          <w:tab w:val="left" w:pos="1440"/>
          <w:tab w:val="left" w:pos="1987"/>
        </w:tabs>
        <w:jc w:val="both"/>
        <w:rPr>
          <w:b/>
          <w:i/>
        </w:rPr>
      </w:pPr>
    </w:p>
    <w:p w14:paraId="5DCB6BD0" w14:textId="4D084B90" w:rsidR="00EB4B63" w:rsidRPr="00606631" w:rsidRDefault="00EB4B63" w:rsidP="00016A99">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sidR="00016A99">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00016A99" w:rsidRPr="00606631">
        <w:rPr>
          <w:rFonts w:ascii="Arial" w:hAnsi="Arial" w:cs="Arial"/>
          <w:sz w:val="20"/>
          <w:szCs w:val="20"/>
        </w:rPr>
        <w:t xml:space="preserve">and </w:t>
      </w:r>
      <w:r w:rsidR="00016A99" w:rsidRPr="00606631">
        <w:rPr>
          <w:rFonts w:ascii="Arial" w:hAnsi="Arial" w:cs="Arial"/>
          <w:i/>
          <w:sz w:val="20"/>
          <w:szCs w:val="20"/>
        </w:rPr>
        <w:t>Government Auditing Standards</w:t>
      </w:r>
      <w:r w:rsidR="00016A99" w:rsidRPr="00606631">
        <w:rPr>
          <w:rFonts w:ascii="Arial" w:hAnsi="Arial" w:cs="Arial"/>
          <w:sz w:val="20"/>
          <w:szCs w:val="20"/>
        </w:rPr>
        <w:t xml:space="preserve"> </w:t>
      </w:r>
      <w:r w:rsidRPr="00606631">
        <w:rPr>
          <w:rFonts w:ascii="Arial" w:hAnsi="Arial" w:cs="Arial"/>
          <w:sz w:val="20"/>
          <w:szCs w:val="20"/>
        </w:rPr>
        <w:t xml:space="preserve">will always detect a material misstatement when it exists. </w:t>
      </w:r>
      <w:r w:rsidR="00016A99" w:rsidRPr="00606631">
        <w:rPr>
          <w:rFonts w:ascii="Arial" w:hAnsi="Arial" w:cs="Arial"/>
          <w:sz w:val="20"/>
          <w:szCs w:val="20"/>
        </w:rPr>
        <w:t xml:space="preserve">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5FF3E66C" w14:textId="77777777" w:rsidR="00EB4B63" w:rsidRPr="00606631" w:rsidRDefault="00EB4B63" w:rsidP="00EB4B63">
      <w:pPr>
        <w:jc w:val="both"/>
      </w:pPr>
    </w:p>
    <w:p w14:paraId="2ADBB19A" w14:textId="6DE9C947" w:rsidR="00EB4B63" w:rsidRDefault="00EB4B63" w:rsidP="00EB4B63">
      <w:pPr>
        <w:jc w:val="both"/>
      </w:pPr>
      <w:r w:rsidRPr="00606631">
        <w:t>In performing an audit in accordance with GAAS</w:t>
      </w:r>
      <w:r w:rsidR="00086E81" w:rsidRPr="00606631">
        <w:t xml:space="preserve"> and </w:t>
      </w:r>
      <w:r w:rsidR="00086E81" w:rsidRPr="00606631">
        <w:rPr>
          <w:i/>
        </w:rPr>
        <w:t>Government Auditing Standards</w:t>
      </w:r>
      <w:r w:rsidR="00086E81" w:rsidRPr="00606631">
        <w:t>,</w:t>
      </w:r>
      <w:r w:rsidRPr="004C00CD">
        <w:t xml:space="preserve"> we </w:t>
      </w:r>
    </w:p>
    <w:p w14:paraId="493917CB" w14:textId="77777777" w:rsidR="00EB4B63" w:rsidRDefault="00EB4B63" w:rsidP="00EB4B63">
      <w:pPr>
        <w:jc w:val="both"/>
      </w:pPr>
    </w:p>
    <w:p w14:paraId="2E529F17" w14:textId="77777777" w:rsidR="00EB4B63" w:rsidRDefault="00EB4B63" w:rsidP="00EB4B63">
      <w:pPr>
        <w:pStyle w:val="ListParagraph"/>
        <w:numPr>
          <w:ilvl w:val="0"/>
          <w:numId w:val="3"/>
        </w:numPr>
        <w:ind w:left="540"/>
        <w:jc w:val="both"/>
      </w:pPr>
      <w:r w:rsidRPr="004C00CD">
        <w:t xml:space="preserve">exercise professional judgment and maintain professional skepticism throughout the audit.  </w:t>
      </w:r>
    </w:p>
    <w:p w14:paraId="32ADEEC0" w14:textId="77777777" w:rsidR="00EB4B63" w:rsidRPr="004C00CD" w:rsidRDefault="00EB4B63" w:rsidP="00EB4B63">
      <w:pPr>
        <w:pStyle w:val="ListParagraph"/>
        <w:ind w:left="540"/>
        <w:jc w:val="both"/>
      </w:pPr>
    </w:p>
    <w:p w14:paraId="55AD1AD5" w14:textId="1762EA1C" w:rsidR="00EB4B63" w:rsidRDefault="00EB4B63" w:rsidP="00EB4B63">
      <w:pPr>
        <w:pStyle w:val="ListParagraph"/>
        <w:numPr>
          <w:ilvl w:val="0"/>
          <w:numId w:val="3"/>
        </w:numPr>
        <w:ind w:left="540"/>
        <w:jc w:val="both"/>
      </w:pPr>
      <w:r>
        <w:t>i</w:t>
      </w:r>
      <w:r w:rsidRPr="004C00CD">
        <w:t xml:space="preserve">dentify and assess the risks of material misstatement of the financial statements, whether due to fraud or error, </w:t>
      </w:r>
      <w:r w:rsidR="003D636E">
        <w:t xml:space="preserve">and </w:t>
      </w:r>
      <w:r w:rsidRPr="004C00CD">
        <w:t>design and perform audit procedures responsive to those risks</w:t>
      </w:r>
      <w:r>
        <w:t>.  Such procedures include examining, on a test basis, evidence regarding the amount</w:t>
      </w:r>
      <w:r w:rsidR="002E6FF8">
        <w:t>s</w:t>
      </w:r>
      <w:r>
        <w:t xml:space="preserve"> and disclosures in the financial statements. </w:t>
      </w:r>
    </w:p>
    <w:p w14:paraId="6CEB4A79" w14:textId="77777777" w:rsidR="00EB4B63" w:rsidRPr="004C00CD" w:rsidRDefault="00EB4B63" w:rsidP="00EB4B63">
      <w:pPr>
        <w:pStyle w:val="ListParagraph"/>
        <w:ind w:left="540"/>
        <w:jc w:val="both"/>
      </w:pPr>
    </w:p>
    <w:p w14:paraId="1994EFC8" w14:textId="1F00802B" w:rsidR="00EB4B63" w:rsidRPr="004C00CD" w:rsidRDefault="00EB4B63" w:rsidP="00EB4B63">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00DC299E" w:rsidRPr="00714F1A">
        <w:rPr>
          <w:highlight w:val="lightGray"/>
        </w:rPr>
        <w:t>Entity</w:t>
      </w:r>
      <w:r w:rsidR="00714F1A" w:rsidRPr="00E92DCD">
        <w:rPr>
          <w:highlight w:val="lightGray"/>
        </w:rPr>
        <w:t xml:space="preserve"> Type</w:t>
      </w:r>
      <w:r w:rsidRPr="004C00CD">
        <w:t xml:space="preserve">’s internal control. </w:t>
      </w:r>
      <w:r w:rsidR="00016A99">
        <w:t xml:space="preserve"> </w:t>
      </w:r>
      <w:r w:rsidRPr="004C00CD">
        <w:t xml:space="preserve">Accordingly, no such opinion is expressed. </w:t>
      </w:r>
    </w:p>
    <w:p w14:paraId="01BF8DD2" w14:textId="77777777" w:rsidR="00EB4B63" w:rsidRDefault="00EB4B63" w:rsidP="00EB4B63">
      <w:pPr>
        <w:pStyle w:val="ListParagraph"/>
        <w:ind w:left="540"/>
        <w:jc w:val="both"/>
      </w:pPr>
    </w:p>
    <w:p w14:paraId="2CB073AD" w14:textId="1E0C2287" w:rsidR="00EB4B63" w:rsidRDefault="006470EC" w:rsidP="00EB4B63">
      <w:pPr>
        <w:pStyle w:val="ListParagraph"/>
        <w:numPr>
          <w:ilvl w:val="0"/>
          <w:numId w:val="3"/>
        </w:numPr>
        <w:ind w:left="540"/>
        <w:jc w:val="both"/>
      </w:pPr>
      <w:r>
        <w:t>e</w:t>
      </w:r>
      <w:r w:rsidR="00EB4B63" w:rsidRPr="004C00CD">
        <w:t>valuate</w:t>
      </w:r>
      <w:r w:rsidR="00016A99">
        <w:t xml:space="preserve"> </w:t>
      </w:r>
      <w:r w:rsidR="00EB4B63" w:rsidRPr="004C00CD">
        <w:t>the appropriateness of accounting policies used and the reasonableness of significant accounting estimates made by management, as well as evaluat</w:t>
      </w:r>
      <w:r w:rsidR="00016A99">
        <w:t>e</w:t>
      </w:r>
      <w:r w:rsidR="00EB4B63" w:rsidRPr="004C00CD">
        <w:t xml:space="preserve"> the overall presentation of the financial statements. </w:t>
      </w:r>
    </w:p>
    <w:p w14:paraId="08528B25" w14:textId="77777777" w:rsidR="00EB4B63" w:rsidRPr="004C00CD" w:rsidRDefault="00EB4B63" w:rsidP="00EB4B63">
      <w:pPr>
        <w:pStyle w:val="ListParagraph"/>
        <w:ind w:left="540"/>
        <w:jc w:val="both"/>
      </w:pPr>
    </w:p>
    <w:p w14:paraId="61B0C602" w14:textId="5EF08083" w:rsidR="00EB4B63" w:rsidRDefault="00EB4B63" w:rsidP="00EB4B63">
      <w:pPr>
        <w:pStyle w:val="ListParagraph"/>
        <w:numPr>
          <w:ilvl w:val="0"/>
          <w:numId w:val="3"/>
        </w:numPr>
        <w:ind w:left="540"/>
        <w:jc w:val="both"/>
      </w:pPr>
      <w:r>
        <w:lastRenderedPageBreak/>
        <w:t>c</w:t>
      </w:r>
      <w:r w:rsidRPr="004C00CD">
        <w:t xml:space="preserve">onclude </w:t>
      </w:r>
      <w:r>
        <w:t>whether, in our judgment, there are conditions or events, considered in the aggregate, that raise substantial doubt about</w:t>
      </w:r>
      <w:r w:rsidRPr="004C00CD">
        <w:t xml:space="preserve"> the </w:t>
      </w:r>
      <w:r w:rsidR="00DC299E" w:rsidRPr="00714F1A">
        <w:rPr>
          <w:highlight w:val="lightGray"/>
        </w:rPr>
        <w:t>Entity</w:t>
      </w:r>
      <w:r w:rsidR="00714F1A" w:rsidRPr="00E92DCD">
        <w:rPr>
          <w:highlight w:val="lightGray"/>
        </w:rPr>
        <w:t xml:space="preserve"> Type</w:t>
      </w:r>
      <w:r w:rsidRPr="004C00CD">
        <w:t xml:space="preserve">’s ability to continue as a going concern </w:t>
      </w:r>
      <w:r>
        <w:t>for a reasonable period of time.</w:t>
      </w:r>
      <w:r w:rsidRPr="004C00CD">
        <w:t xml:space="preserve"> </w:t>
      </w:r>
    </w:p>
    <w:p w14:paraId="55A92413" w14:textId="77777777" w:rsidR="00EB4B63" w:rsidRDefault="00EB4B63" w:rsidP="00EB4B63">
      <w:pPr>
        <w:pStyle w:val="ListParagraph"/>
      </w:pPr>
    </w:p>
    <w:p w14:paraId="54D9D594" w14:textId="3034E188" w:rsidR="00EB4B63" w:rsidRDefault="00EB4B63" w:rsidP="00EB4B63">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71159EA2" w14:textId="77777777" w:rsidR="00BB2EDC" w:rsidRDefault="00BB2EDC" w:rsidP="00EB4B63">
      <w:pPr>
        <w:tabs>
          <w:tab w:val="left" w:pos="0"/>
          <w:tab w:val="left" w:pos="547"/>
          <w:tab w:val="left" w:pos="936"/>
          <w:tab w:val="left" w:pos="1440"/>
          <w:tab w:val="left" w:pos="1987"/>
        </w:tabs>
        <w:jc w:val="both"/>
        <w:rPr>
          <w:b/>
          <w:i/>
        </w:rPr>
      </w:pPr>
    </w:p>
    <w:p w14:paraId="04C3C469" w14:textId="4493B1B7" w:rsidR="00EB4B63" w:rsidRDefault="00EB4B63" w:rsidP="00EB4B63">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6003715D" w14:textId="77777777" w:rsidR="00016A99" w:rsidRPr="004C00CD" w:rsidRDefault="00016A99" w:rsidP="00EB4B63">
      <w:pPr>
        <w:tabs>
          <w:tab w:val="left" w:pos="0"/>
          <w:tab w:val="left" w:pos="547"/>
          <w:tab w:val="left" w:pos="936"/>
          <w:tab w:val="left" w:pos="1440"/>
          <w:tab w:val="left" w:pos="1987"/>
        </w:tabs>
        <w:jc w:val="both"/>
        <w:rPr>
          <w:b/>
          <w:i/>
        </w:rPr>
      </w:pPr>
    </w:p>
    <w:p w14:paraId="65529575" w14:textId="7D614BB7" w:rsidR="00EB4B63" w:rsidRPr="004C00CD" w:rsidRDefault="00EB4B63" w:rsidP="00EB4B63">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00016A99" w:rsidRPr="003A2F6E">
        <w:rPr>
          <w:i/>
        </w:rPr>
        <w:t>management’s discussion and analysis</w:t>
      </w:r>
      <w:r w:rsidR="00016A99" w:rsidRPr="003A2F6E">
        <w:t xml:space="preserve">, </w:t>
      </w:r>
      <w:r w:rsidR="00714F1A" w:rsidRPr="00E92DCD">
        <w:rPr>
          <w:i/>
          <w:highlight w:val="lightGray"/>
        </w:rPr>
        <w:t>r</w:t>
      </w:r>
      <w:r w:rsidR="00016A99" w:rsidRPr="00E92DCD">
        <w:rPr>
          <w:i/>
          <w:highlight w:val="lightGray"/>
        </w:rPr>
        <w:t>equired budgetary comparison schedule</w:t>
      </w:r>
      <w:r w:rsidR="00016A99" w:rsidRPr="00E92DCD">
        <w:rPr>
          <w:bCs/>
          <w:i/>
          <w:highlight w:val="lightGray"/>
        </w:rPr>
        <w:t>(s)</w:t>
      </w:r>
      <w:r w:rsidR="00016A99" w:rsidRPr="00E92DCD">
        <w:rPr>
          <w:highlight w:val="lightGray"/>
        </w:rPr>
        <w:t xml:space="preserve"> and </w:t>
      </w:r>
      <w:r w:rsidR="00714F1A">
        <w:rPr>
          <w:i/>
          <w:highlight w:val="lightGray"/>
        </w:rPr>
        <w:t>s</w:t>
      </w:r>
      <w:r w:rsidR="00016A99" w:rsidRPr="00E92DCD">
        <w:rPr>
          <w:i/>
          <w:highlight w:val="lightGray"/>
        </w:rPr>
        <w:t>chedules for infrastructure assets accounted for using the modified approach</w:t>
      </w:r>
      <w:r w:rsidR="00016A99" w:rsidRPr="00E92DCD">
        <w:rPr>
          <w:highlight w:val="lightGray"/>
        </w:rPr>
        <w:t>,</w:t>
      </w:r>
      <w:r w:rsidR="00016A99" w:rsidRPr="003A2F6E">
        <w:rPr>
          <w:b/>
        </w:rPr>
        <w:t xml:space="preserve"> </w:t>
      </w:r>
      <w:r w:rsidR="00016A99" w:rsidRPr="00E92DCD">
        <w:rPr>
          <w:highlight w:val="lightGray"/>
        </w:rPr>
        <w:t>and schedules of net pension and other post-employment benefit liabilities and pension and other post-employment benefit contributions</w:t>
      </w:r>
      <w:r w:rsidR="00016A99">
        <w:t xml:space="preserve"> </w:t>
      </w:r>
      <w:r>
        <w:t>be presented</w:t>
      </w:r>
      <w:r w:rsidRPr="004C00CD">
        <w:t xml:space="preserve"> to supplement the basic financial statements. </w:t>
      </w:r>
      <w:r w:rsidR="00016A99">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rsidR="00016A99">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rsidR="00016A99">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0"/>
      </w:r>
    </w:p>
    <w:p w14:paraId="2C3C94E1" w14:textId="77777777" w:rsidR="00EB4B63" w:rsidRPr="004C00CD" w:rsidRDefault="00EB4B63" w:rsidP="00EB4B63">
      <w:pPr>
        <w:tabs>
          <w:tab w:val="left" w:pos="0"/>
          <w:tab w:val="left" w:pos="547"/>
          <w:tab w:val="left" w:pos="936"/>
          <w:tab w:val="left" w:pos="1440"/>
          <w:tab w:val="left" w:pos="1987"/>
        </w:tabs>
        <w:jc w:val="both"/>
      </w:pPr>
    </w:p>
    <w:p w14:paraId="2B283A61" w14:textId="383B8690" w:rsidR="00EB4B63" w:rsidRDefault="00EB4B63" w:rsidP="00EB4B63">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1"/>
      </w:r>
    </w:p>
    <w:p w14:paraId="5EA61123" w14:textId="77777777" w:rsidR="00016A99" w:rsidRPr="004C00CD" w:rsidRDefault="00016A99" w:rsidP="00EB4B63">
      <w:pPr>
        <w:tabs>
          <w:tab w:val="left" w:pos="0"/>
          <w:tab w:val="left" w:pos="547"/>
          <w:tab w:val="left" w:pos="936"/>
          <w:tab w:val="left" w:pos="1440"/>
          <w:tab w:val="left" w:pos="1987"/>
        </w:tabs>
        <w:jc w:val="both"/>
        <w:rPr>
          <w:b/>
          <w:i/>
        </w:rPr>
      </w:pPr>
    </w:p>
    <w:p w14:paraId="3E2D1BC4" w14:textId="7D0DAD42" w:rsidR="006470EC" w:rsidRDefault="00EB4B63" w:rsidP="006470EC">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00DC299E" w:rsidRPr="00714F1A">
        <w:rPr>
          <w:highlight w:val="lightGray"/>
          <w:lang w:eastAsia="ja-JP"/>
        </w:rPr>
        <w:t>Entity</w:t>
      </w:r>
      <w:r w:rsidR="00714F1A" w:rsidRPr="00E92DCD">
        <w:rPr>
          <w:highlight w:val="lightGray"/>
          <w:lang w:eastAsia="ja-JP"/>
        </w:rPr>
        <w:t xml:space="preserve"> Type</w:t>
      </w:r>
      <w:r>
        <w:rPr>
          <w:lang w:eastAsia="ja-JP"/>
        </w:rPr>
        <w:t xml:space="preserve">’s basic financial statements. </w:t>
      </w:r>
      <w:r w:rsidR="006470EC">
        <w:rPr>
          <w:lang w:eastAsia="ja-JP"/>
        </w:rPr>
        <w:t xml:space="preserve"> The </w:t>
      </w:r>
      <w:r w:rsidR="00714F1A" w:rsidRPr="00E92DCD">
        <w:rPr>
          <w:b/>
          <w:i/>
          <w:iCs/>
          <w:color w:val="002060"/>
        </w:rPr>
        <w:t xml:space="preserve">&lt;&lt; </w:t>
      </w:r>
      <w:r w:rsidR="004D1688" w:rsidRPr="00E92DCD">
        <w:rPr>
          <w:b/>
          <w:i/>
          <w:iCs/>
          <w:color w:val="002060"/>
        </w:rPr>
        <w:t xml:space="preserve">identify accompanying supplementary information, such as </w:t>
      </w:r>
      <w:r w:rsidR="006470EC" w:rsidRPr="00E92DCD">
        <w:rPr>
          <w:b/>
          <w:i/>
          <w:iCs/>
          <w:color w:val="002060"/>
        </w:rPr>
        <w:t xml:space="preserve">the combining </w:t>
      </w:r>
      <w:r w:rsidR="004D1688" w:rsidRPr="00E92DCD">
        <w:rPr>
          <w:b/>
          <w:i/>
          <w:iCs/>
          <w:color w:val="002060"/>
        </w:rPr>
        <w:t>and</w:t>
      </w:r>
      <w:r w:rsidR="006470EC" w:rsidRPr="00E92DCD">
        <w:rPr>
          <w:b/>
          <w:i/>
          <w:iCs/>
          <w:color w:val="002060"/>
        </w:rPr>
        <w:t xml:space="preserve"> individual </w:t>
      </w:r>
      <w:r w:rsidR="004D1688" w:rsidRPr="00E92DCD">
        <w:rPr>
          <w:b/>
          <w:i/>
          <w:iCs/>
          <w:color w:val="002060"/>
        </w:rPr>
        <w:t xml:space="preserve">nonmajor </w:t>
      </w:r>
      <w:r w:rsidR="006470EC" w:rsidRPr="00E92DCD">
        <w:rPr>
          <w:b/>
          <w:i/>
          <w:iCs/>
          <w:color w:val="002060"/>
        </w:rPr>
        <w:t xml:space="preserve">fund </w:t>
      </w:r>
      <w:r w:rsidR="004D1688" w:rsidRPr="00E92DCD">
        <w:rPr>
          <w:b/>
          <w:i/>
          <w:iCs/>
          <w:color w:val="002060"/>
        </w:rPr>
        <w:t xml:space="preserve">financial </w:t>
      </w:r>
      <w:r w:rsidR="006470EC" w:rsidRPr="00E92DCD">
        <w:rPr>
          <w:b/>
          <w:i/>
          <w:iCs/>
          <w:color w:val="002060"/>
        </w:rPr>
        <w:t>statements and schedules</w:t>
      </w:r>
      <w:r w:rsidR="00FE0108">
        <w:rPr>
          <w:b/>
          <w:i/>
          <w:iCs/>
          <w:color w:val="002060"/>
        </w:rPr>
        <w:t xml:space="preserve"> or Financial Data Schedule (for MHAs)</w:t>
      </w:r>
      <w:r w:rsidR="00714F1A" w:rsidRPr="00E92DCD">
        <w:rPr>
          <w:b/>
          <w:i/>
          <w:iCs/>
          <w:color w:val="002060"/>
        </w:rPr>
        <w:t xml:space="preserve"> &gt;&gt;</w:t>
      </w:r>
      <w:r w:rsidR="006470EC">
        <w:rPr>
          <w:lang w:eastAsia="ja-JP"/>
        </w:rPr>
        <w:t xml:space="preserve"> </w:t>
      </w:r>
      <w:r w:rsidR="0062217E">
        <w:rPr>
          <w:lang w:eastAsia="ja-JP"/>
        </w:rPr>
        <w:t xml:space="preserve">and </w:t>
      </w:r>
      <w:r w:rsidR="0062217E" w:rsidRPr="00E92DCD">
        <w:rPr>
          <w:highlight w:val="yellow"/>
        </w:rPr>
        <w:t xml:space="preserve">the Schedule of Expenditures of Federal Awards as required by </w:t>
      </w:r>
      <w:r w:rsidR="0062217E" w:rsidRPr="00E92DCD">
        <w:rPr>
          <w:rStyle w:val="c-doc-para-italic2"/>
          <w:highlight w:val="yellow"/>
        </w:rPr>
        <w:t>Title 2 U.S. Code of Federal Regulations (CFR) Part 200,</w:t>
      </w:r>
      <w:r w:rsidR="0062217E" w:rsidRPr="00E92DCD">
        <w:rPr>
          <w:highlight w:val="yellow"/>
        </w:rPr>
        <w:t xml:space="preserve"> Uniform Administrative Requirements, Cost Principles, and Audit Requirements for Federal</w:t>
      </w:r>
      <w:r w:rsidR="000F35A0" w:rsidRPr="00E92DCD">
        <w:rPr>
          <w:highlight w:val="yellow"/>
        </w:rPr>
        <w:t xml:space="preserve"> Awards</w:t>
      </w:r>
      <w:r w:rsidR="000F35A0">
        <w:rPr>
          <w:b/>
        </w:rPr>
        <w:t xml:space="preserve"> </w:t>
      </w:r>
      <w:r w:rsidR="002E033B" w:rsidRPr="002E033B">
        <w:rPr>
          <w:bCs/>
          <w:highlight w:val="lightGray"/>
        </w:rPr>
        <w:t>is/</w:t>
      </w:r>
      <w:r w:rsidR="006470EC" w:rsidRPr="002E033B">
        <w:rPr>
          <w:bCs/>
          <w:highlight w:val="lightGray"/>
          <w:lang w:eastAsia="ja-JP"/>
        </w:rPr>
        <w:t>are</w:t>
      </w:r>
      <w:r w:rsidR="006470EC" w:rsidRPr="004C00CD">
        <w:rPr>
          <w:lang w:eastAsia="ja-JP"/>
        </w:rPr>
        <w:t xml:space="preserve"> presented for purposes of additional analysis and </w:t>
      </w:r>
      <w:r w:rsidR="002E033B" w:rsidRPr="002E033B">
        <w:rPr>
          <w:highlight w:val="lightGray"/>
          <w:lang w:eastAsia="ja-JP"/>
        </w:rPr>
        <w:t>is/</w:t>
      </w:r>
      <w:r w:rsidR="006470EC" w:rsidRPr="002E033B">
        <w:rPr>
          <w:highlight w:val="lightGray"/>
          <w:lang w:eastAsia="ja-JP"/>
        </w:rPr>
        <w:t>are</w:t>
      </w:r>
      <w:r w:rsidR="006470EC" w:rsidRPr="004C00CD">
        <w:rPr>
          <w:lang w:eastAsia="ja-JP"/>
        </w:rPr>
        <w:t xml:space="preserve"> not a required part of the </w:t>
      </w:r>
      <w:r w:rsidR="006470EC">
        <w:rPr>
          <w:lang w:eastAsia="ja-JP"/>
        </w:rPr>
        <w:t xml:space="preserve">basic </w:t>
      </w:r>
      <w:r w:rsidR="006470EC" w:rsidRPr="004C00CD">
        <w:rPr>
          <w:lang w:eastAsia="ja-JP"/>
        </w:rPr>
        <w:t xml:space="preserve">financial statements. </w:t>
      </w:r>
    </w:p>
    <w:p w14:paraId="638EFCE0" w14:textId="77777777" w:rsidR="006470EC" w:rsidRDefault="006470EC" w:rsidP="006470EC">
      <w:pPr>
        <w:tabs>
          <w:tab w:val="left" w:pos="0"/>
          <w:tab w:val="left" w:pos="547"/>
          <w:tab w:val="left" w:pos="936"/>
          <w:tab w:val="left" w:pos="1440"/>
          <w:tab w:val="left" w:pos="1987"/>
        </w:tabs>
        <w:jc w:val="both"/>
        <w:rPr>
          <w:b/>
        </w:rPr>
      </w:pPr>
    </w:p>
    <w:p w14:paraId="41546F62" w14:textId="449396E3" w:rsidR="00EB4B63" w:rsidRPr="004C00CD" w:rsidRDefault="00EB4B63" w:rsidP="00EB4B63">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002E033B" w:rsidRPr="002E033B">
        <w:rPr>
          <w:b/>
          <w:bCs/>
          <w:i/>
          <w:iCs/>
          <w:color w:val="002060"/>
        </w:rPr>
        <w:t>&lt;&lt;</w:t>
      </w:r>
      <w:r w:rsidRPr="002E033B">
        <w:rPr>
          <w:b/>
          <w:bCs/>
          <w:i/>
          <w:iCs/>
          <w:color w:val="002060"/>
        </w:rPr>
        <w:t>identify accompanying supplementary information</w:t>
      </w:r>
      <w:r w:rsidRPr="004C00CD">
        <w:t xml:space="preserve"> is</w:t>
      </w:r>
      <w:r w:rsidR="002E033B">
        <w:t>/are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5F41DBC4" w14:textId="77777777" w:rsidR="00EB4B63" w:rsidRPr="004C00CD" w:rsidRDefault="00EB4B63" w:rsidP="00EB4B63">
      <w:pPr>
        <w:tabs>
          <w:tab w:val="left" w:pos="0"/>
          <w:tab w:val="left" w:pos="547"/>
          <w:tab w:val="left" w:pos="936"/>
          <w:tab w:val="left" w:pos="1440"/>
          <w:tab w:val="left" w:pos="1987"/>
        </w:tabs>
        <w:jc w:val="both"/>
        <w:rPr>
          <w:color w:val="000000"/>
        </w:rPr>
      </w:pPr>
    </w:p>
    <w:p w14:paraId="7C98CDE2" w14:textId="3973DEAF" w:rsidR="00EB4B63" w:rsidRDefault="00EB4B63" w:rsidP="00EB4B63">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00714F1A" w:rsidRPr="00E92DCD">
        <w:rPr>
          <w:b/>
          <w:i/>
          <w:color w:val="002060"/>
        </w:rPr>
        <w:t xml:space="preserve">&lt;&lt; </w:t>
      </w:r>
      <w:r w:rsidRPr="00E92DCD">
        <w:rPr>
          <w:b/>
          <w:i/>
          <w:color w:val="002060"/>
        </w:rPr>
        <w:t>Omit if no “other information” included.</w:t>
      </w:r>
    </w:p>
    <w:p w14:paraId="08486063" w14:textId="77777777" w:rsidR="006470EC" w:rsidRPr="004C00CD" w:rsidRDefault="006470EC" w:rsidP="00EB4B63">
      <w:pPr>
        <w:tabs>
          <w:tab w:val="left" w:pos="0"/>
          <w:tab w:val="left" w:pos="547"/>
          <w:tab w:val="left" w:pos="936"/>
          <w:tab w:val="left" w:pos="1440"/>
          <w:tab w:val="left" w:pos="1987"/>
        </w:tabs>
        <w:jc w:val="both"/>
        <w:rPr>
          <w:b/>
          <w:i/>
          <w:color w:val="8DB3E2" w:themeColor="text2" w:themeTint="66"/>
        </w:rPr>
      </w:pPr>
    </w:p>
    <w:p w14:paraId="0D1F5595" w14:textId="3781A801" w:rsidR="00EB4B63" w:rsidRDefault="00EB4B63" w:rsidP="00EB4B63">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sidR="006470EC">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002E033B" w:rsidRPr="002E033B">
        <w:rPr>
          <w:b/>
          <w:bCs/>
          <w:i/>
          <w:iCs/>
          <w:color w:val="002060"/>
        </w:rPr>
        <w:t>&lt;&lt;</w:t>
      </w:r>
      <w:r w:rsidRPr="002E033B">
        <w:rPr>
          <w:b/>
          <w:bCs/>
          <w:i/>
          <w:iCs/>
          <w:color w:val="002060"/>
        </w:rPr>
        <w:t>identify other information, such as the introductory and statistical sections</w:t>
      </w:r>
      <w:r w:rsidR="00AD62C4">
        <w:rPr>
          <w:b/>
          <w:bCs/>
          <w:i/>
          <w:iCs/>
          <w:color w:val="002060"/>
        </w:rPr>
        <w:t xml:space="preserve"> </w:t>
      </w:r>
      <w:r>
        <w:rPr>
          <w:color w:val="000000"/>
        </w:rPr>
        <w:t xml:space="preserve">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sidR="006470EC">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006470EC" w:rsidRPr="00B0206A">
        <w:rPr>
          <w:rStyle w:val="EndnoteReference"/>
        </w:rPr>
        <w:t xml:space="preserve"> </w:t>
      </w:r>
      <w:r w:rsidR="006470EC" w:rsidRPr="003A2F6E">
        <w:rPr>
          <w:rStyle w:val="EndnoteReference"/>
        </w:rPr>
        <w:endnoteReference w:id="12"/>
      </w:r>
    </w:p>
    <w:p w14:paraId="73BCA7CA" w14:textId="3691B18C" w:rsidR="006470EC" w:rsidRDefault="006470EC" w:rsidP="00EB4B63">
      <w:pPr>
        <w:tabs>
          <w:tab w:val="left" w:pos="0"/>
          <w:tab w:val="left" w:pos="547"/>
          <w:tab w:val="left" w:pos="936"/>
          <w:tab w:val="left" w:pos="1440"/>
          <w:tab w:val="left" w:pos="1987"/>
        </w:tabs>
        <w:jc w:val="both"/>
        <w:rPr>
          <w:color w:val="000000"/>
        </w:rPr>
      </w:pPr>
    </w:p>
    <w:p w14:paraId="07C32BA2" w14:textId="53406A58" w:rsidR="00EB4B63" w:rsidRPr="004C00CD" w:rsidRDefault="00EB4B63" w:rsidP="00EB4B63">
      <w:pPr>
        <w:tabs>
          <w:tab w:val="left" w:pos="0"/>
          <w:tab w:val="left" w:pos="547"/>
          <w:tab w:val="left" w:pos="936"/>
          <w:tab w:val="left" w:pos="1440"/>
          <w:tab w:val="left" w:pos="1987"/>
        </w:tabs>
        <w:jc w:val="both"/>
        <w:rPr>
          <w:color w:val="000000"/>
        </w:rPr>
      </w:pPr>
      <w:r w:rsidRPr="004C00CD">
        <w:rPr>
          <w:color w:val="000000"/>
        </w:rPr>
        <w:lastRenderedPageBreak/>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sidR="006470EC">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656DAB75" w14:textId="77777777" w:rsidR="00EB4B63" w:rsidRPr="004C00CD" w:rsidRDefault="00EB4B63" w:rsidP="00EB4B63">
      <w:pPr>
        <w:rPr>
          <w:b/>
          <w:i/>
        </w:rPr>
      </w:pPr>
    </w:p>
    <w:p w14:paraId="3B579DE4" w14:textId="59E892E9" w:rsidR="00EB4B63" w:rsidRPr="005C6023" w:rsidRDefault="00EB4B63" w:rsidP="00EB4B63">
      <w:pPr>
        <w:rPr>
          <w:b/>
        </w:rPr>
      </w:pPr>
      <w:r w:rsidRPr="005C6023">
        <w:rPr>
          <w:b/>
        </w:rPr>
        <w:t xml:space="preserve">Other Reporting Required by </w:t>
      </w:r>
      <w:r w:rsidRPr="005C6023">
        <w:rPr>
          <w:b/>
          <w:i/>
        </w:rPr>
        <w:t>Government Auditing Standards</w:t>
      </w:r>
    </w:p>
    <w:p w14:paraId="0BB54CEC" w14:textId="77777777" w:rsidR="006470EC" w:rsidRDefault="006470EC" w:rsidP="00EB4B63"/>
    <w:p w14:paraId="5F7AAB4F" w14:textId="34312D35" w:rsidR="00EB4B63" w:rsidRPr="004C00CD" w:rsidRDefault="00EB4B63" w:rsidP="004B560C">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3"/>
      </w:r>
      <w:r w:rsidRPr="004C00CD">
        <w:t xml:space="preserve"> our report dated </w:t>
      </w:r>
      <w:r w:rsidR="00BE2B61">
        <w:rPr>
          <w:highlight w:val="lightGray"/>
        </w:rPr>
        <w:t>Report Date</w:t>
      </w:r>
      <w:r w:rsidRPr="004C00CD">
        <w:t xml:space="preserve">, on our consideration of the </w:t>
      </w:r>
      <w:r w:rsidR="00DC299E" w:rsidRPr="00714F1A">
        <w:rPr>
          <w:highlight w:val="lightGray"/>
        </w:rPr>
        <w:t>Entity</w:t>
      </w:r>
      <w:r w:rsidR="00714F1A" w:rsidRPr="00E92DCD">
        <w:rPr>
          <w:highlight w:val="lightGray"/>
        </w:rPr>
        <w:t xml:space="preserve"> Type</w:t>
      </w:r>
      <w:r w:rsidRPr="004C00CD">
        <w:t xml:space="preserve">’s internal control over financial reporting and our tests of its compliance with certain provisions of laws, regulations, contracts and grant agreements and other matters. </w:t>
      </w:r>
      <w:r w:rsidR="006470EC">
        <w:t xml:space="preserve"> </w:t>
      </w:r>
      <w:r w:rsidR="00954573" w:rsidRPr="004B560C">
        <w:t>The purpose of that report is solely to describe the scope of our testing of internal control over financial reporting and compliance and the results of that testing, and not to provide an opini</w:t>
      </w:r>
      <w:r w:rsidR="001E4814">
        <w:t xml:space="preserve">on on the effectiveness of the </w:t>
      </w:r>
      <w:r w:rsidR="00954573" w:rsidRPr="00714F1A">
        <w:rPr>
          <w:highlight w:val="lightGray"/>
        </w:rPr>
        <w:t>Entity</w:t>
      </w:r>
      <w:r w:rsidR="00714F1A" w:rsidRPr="00E92DCD">
        <w:rPr>
          <w:highlight w:val="lightGray"/>
        </w:rPr>
        <w:t xml:space="preserve"> Type</w:t>
      </w:r>
      <w:r w:rsidR="00954573" w:rsidRPr="004B560C">
        <w:t>'s internal control over financial reporting or on compliance.</w:t>
      </w:r>
      <w:r w:rsidR="00954573">
        <w:t xml:space="preserve">  </w:t>
      </w:r>
      <w:r w:rsidR="00954573" w:rsidRPr="004B560C">
        <w:t>That report is an integral part of an audit performed in accordance with </w:t>
      </w:r>
      <w:r w:rsidR="00954573" w:rsidRPr="004B560C">
        <w:rPr>
          <w:i/>
        </w:rPr>
        <w:t>Government Auditing Standards </w:t>
      </w:r>
      <w:r w:rsidR="001E4814">
        <w:t>in considering</w:t>
      </w:r>
      <w:r w:rsidR="005D0677">
        <w:t xml:space="preserve"> the</w:t>
      </w:r>
      <w:r w:rsidR="001E4814">
        <w:t xml:space="preserve"> </w:t>
      </w:r>
      <w:r w:rsidR="00954573" w:rsidRPr="00714F1A">
        <w:rPr>
          <w:highlight w:val="lightGray"/>
        </w:rPr>
        <w:t>Entity</w:t>
      </w:r>
      <w:r w:rsidR="00714F1A" w:rsidRPr="00E92DCD">
        <w:rPr>
          <w:highlight w:val="lightGray"/>
        </w:rPr>
        <w:t xml:space="preserve"> Type</w:t>
      </w:r>
      <w:r w:rsidR="00954573" w:rsidRPr="004B560C">
        <w:t>'s internal control over financial reporting and compliance.</w:t>
      </w:r>
    </w:p>
    <w:p w14:paraId="000ADF94" w14:textId="77777777" w:rsidR="00EB4B63" w:rsidRPr="004C00CD" w:rsidRDefault="00EB4B63" w:rsidP="00EB4B63">
      <w:pPr>
        <w:tabs>
          <w:tab w:val="left" w:pos="0"/>
          <w:tab w:val="left" w:pos="547"/>
          <w:tab w:val="left" w:pos="936"/>
          <w:tab w:val="left" w:pos="1440"/>
          <w:tab w:val="left" w:pos="1987"/>
        </w:tabs>
        <w:jc w:val="both"/>
        <w:rPr>
          <w:color w:val="000000"/>
          <w:highlight w:val="cyan"/>
        </w:rPr>
      </w:pPr>
    </w:p>
    <w:p w14:paraId="3C2FD721" w14:textId="77777777" w:rsidR="00EB4B63" w:rsidRPr="004C00CD" w:rsidRDefault="00EB4B63" w:rsidP="00EB4B63">
      <w:pPr>
        <w:tabs>
          <w:tab w:val="left" w:pos="0"/>
          <w:tab w:val="left" w:pos="547"/>
          <w:tab w:val="left" w:pos="936"/>
          <w:tab w:val="left" w:pos="1440"/>
          <w:tab w:val="left" w:pos="1987"/>
        </w:tabs>
        <w:jc w:val="both"/>
        <w:rPr>
          <w:color w:val="000000"/>
          <w:highlight w:val="cyan"/>
        </w:rPr>
      </w:pPr>
    </w:p>
    <w:p w14:paraId="5007CC62" w14:textId="2E0662E2" w:rsidR="00542090" w:rsidRPr="00542090" w:rsidRDefault="00542090" w:rsidP="00542090">
      <w:pPr>
        <w:tabs>
          <w:tab w:val="left" w:pos="0"/>
          <w:tab w:val="left" w:pos="547"/>
          <w:tab w:val="left" w:pos="936"/>
          <w:tab w:val="left" w:pos="1440"/>
          <w:tab w:val="left" w:pos="1987"/>
        </w:tabs>
        <w:jc w:val="both"/>
        <w:rPr>
          <w:color w:val="000000"/>
          <w:highlight w:val="lightGray"/>
        </w:rPr>
      </w:pPr>
      <w:r w:rsidRPr="00542090">
        <w:rPr>
          <w:color w:val="000000"/>
          <w:highlight w:val="lightGray"/>
        </w:rPr>
        <w:t>Auditor Signature</w:t>
      </w:r>
    </w:p>
    <w:p w14:paraId="125CE6D5" w14:textId="5638A3B7" w:rsidR="00EB4B63" w:rsidRPr="004C00CD" w:rsidRDefault="00542090" w:rsidP="00542090">
      <w:pPr>
        <w:tabs>
          <w:tab w:val="left" w:pos="0"/>
          <w:tab w:val="left" w:pos="547"/>
          <w:tab w:val="left" w:pos="936"/>
          <w:tab w:val="left" w:pos="1440"/>
          <w:tab w:val="left" w:pos="1987"/>
        </w:tabs>
        <w:jc w:val="both"/>
        <w:rPr>
          <w:color w:val="000000"/>
          <w:highlight w:val="cyan"/>
        </w:rPr>
      </w:pPr>
      <w:r w:rsidRPr="00542090">
        <w:rPr>
          <w:color w:val="000000"/>
          <w:highlight w:val="lightGray"/>
        </w:rPr>
        <w:t>City, State</w:t>
      </w:r>
    </w:p>
    <w:p w14:paraId="11103254" w14:textId="77777777" w:rsidR="00EB4B63" w:rsidRPr="004C00CD" w:rsidRDefault="00EB4B63" w:rsidP="00EB4B63"/>
    <w:p w14:paraId="356775CA" w14:textId="1A5319A3" w:rsidR="00EB4B63" w:rsidRPr="004C00CD" w:rsidRDefault="00BE2B61" w:rsidP="00EB4B63">
      <w:pPr>
        <w:rPr>
          <w:b/>
          <w:iCs/>
        </w:rPr>
      </w:pPr>
      <w:r w:rsidRPr="00E92DCD">
        <w:rPr>
          <w:highlight w:val="lightGray"/>
        </w:rPr>
        <w:t>Report Date</w:t>
      </w:r>
    </w:p>
    <w:p w14:paraId="5D1EA5D7" w14:textId="77777777" w:rsidR="00EB4B63" w:rsidRPr="004C00CD" w:rsidRDefault="00EB4B63" w:rsidP="00EB4B63">
      <w:pPr>
        <w:rPr>
          <w:iCs/>
        </w:rPr>
      </w:pPr>
    </w:p>
    <w:p w14:paraId="7BCD12AD" w14:textId="77777777" w:rsidR="00EB4B63" w:rsidRPr="004C00CD" w:rsidRDefault="00EB4B63" w:rsidP="00EB4B63">
      <w:pPr>
        <w:rPr>
          <w:iCs/>
        </w:rPr>
        <w:sectPr w:rsidR="00EB4B63" w:rsidRPr="004C00CD" w:rsidSect="00F90F30">
          <w:headerReference w:type="default" r:id="rId12"/>
          <w:footerReference w:type="default" r:id="rId13"/>
          <w:headerReference w:type="first" r:id="rId14"/>
          <w:footerReference w:type="first" r:id="rId15"/>
          <w:footnotePr>
            <w:numFmt w:val="chicago"/>
            <w:numStart w:val="2"/>
          </w:footnotePr>
          <w:endnotePr>
            <w:numFmt w:val="decimal"/>
          </w:endnotePr>
          <w:pgSz w:w="12240" w:h="15840"/>
          <w:pgMar w:top="720" w:right="1440" w:bottom="720" w:left="1440" w:header="720" w:footer="720" w:gutter="0"/>
          <w:cols w:space="720"/>
          <w:titlePg/>
          <w:docGrid w:linePitch="360"/>
        </w:sectPr>
      </w:pPr>
    </w:p>
    <w:p w14:paraId="0552746E" w14:textId="77777777" w:rsidR="00EB4B63" w:rsidRPr="004C00CD" w:rsidRDefault="00EB4B63" w:rsidP="00EB4B63">
      <w:pPr>
        <w:rPr>
          <w:iCs/>
        </w:rPr>
      </w:pPr>
    </w:p>
    <w:p w14:paraId="474963EC" w14:textId="77777777" w:rsidR="00C71BD2" w:rsidRDefault="00C71BD2"/>
    <w:sectPr w:rsidR="00C71BD2" w:rsidSect="000E3C09">
      <w:headerReference w:type="default" r:id="rId16"/>
      <w:headerReference w:type="first" r:id="rId17"/>
      <w:footerReference w:type="first" r:id="rId18"/>
      <w:footnotePr>
        <w:numFmt w:val="chicago"/>
        <w:numStart w:val="2"/>
      </w:footnotePr>
      <w:endnotePr>
        <w:numFmt w:val="decimal"/>
      </w:endnotePr>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B1555" w14:textId="77777777" w:rsidR="004067FA" w:rsidRDefault="004067FA" w:rsidP="00EB4B63">
      <w:r>
        <w:separator/>
      </w:r>
    </w:p>
  </w:endnote>
  <w:endnote w:type="continuationSeparator" w:id="0">
    <w:p w14:paraId="28C4573E" w14:textId="77777777" w:rsidR="004067FA" w:rsidRDefault="004067FA" w:rsidP="00EB4B63">
      <w:r>
        <w:continuationSeparator/>
      </w:r>
    </w:p>
  </w:endnote>
  <w:endnote w:id="1">
    <w:p w14:paraId="169F8C0B" w14:textId="37504FAA" w:rsidR="00715C09" w:rsidRPr="002E033B" w:rsidRDefault="00715C09" w:rsidP="00542090">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2E033B">
        <w:rPr>
          <w:color w:val="002060"/>
        </w:rPr>
        <w:t>The example assumes the auditor concluded that the single unaudited component unit warrants a qualified opinion.  Another auditor could make a different professional judgment.  If the auditor concluded a disclaimer on the aggregate discretely presented component units (but not on the financial statements taken as a whole) is appropriate, four modifications are necessary:</w:t>
      </w:r>
      <w:r w:rsidR="00A530A5" w:rsidRPr="002E033B">
        <w:rPr>
          <w:color w:val="002060"/>
        </w:rPr>
        <w:t xml:space="preserve">  The AICPA does not have a current example available.</w:t>
      </w:r>
    </w:p>
    <w:p w14:paraId="01CC4D27" w14:textId="77777777" w:rsidR="00715C09" w:rsidRPr="002E033B" w:rsidRDefault="00715C09" w:rsidP="00715C09">
      <w:pPr>
        <w:pStyle w:val="EndnoteText"/>
        <w:widowControl w:val="0"/>
        <w:tabs>
          <w:tab w:val="left" w:pos="0"/>
          <w:tab w:val="left" w:pos="547"/>
          <w:tab w:val="left" w:pos="936"/>
          <w:tab w:val="left" w:pos="1440"/>
          <w:tab w:val="left" w:pos="1987"/>
        </w:tabs>
        <w:ind w:left="547" w:hanging="547"/>
        <w:jc w:val="both"/>
        <w:rPr>
          <w:color w:val="002060"/>
        </w:rPr>
      </w:pPr>
    </w:p>
    <w:p w14:paraId="1D4DEBE2" w14:textId="1A43C2EE" w:rsidR="00715C09" w:rsidRPr="002E033B" w:rsidRDefault="000720AA" w:rsidP="00715C09">
      <w:pPr>
        <w:pStyle w:val="ListParagraph"/>
        <w:ind w:left="547"/>
        <w:jc w:val="both"/>
        <w:rPr>
          <w:color w:val="002060"/>
        </w:rPr>
      </w:pPr>
      <w:r w:rsidRPr="002E033B">
        <w:rPr>
          <w:rStyle w:val="footnoteref"/>
          <w:color w:val="002060"/>
        </w:rPr>
        <w:t xml:space="preserve">SLG </w:t>
      </w:r>
      <w:r w:rsidR="00715C09" w:rsidRPr="002E033B">
        <w:rPr>
          <w:rStyle w:val="footnoteref"/>
          <w:color w:val="002060"/>
        </w:rPr>
        <w:t>Paragraphs 1</w:t>
      </w:r>
      <w:r w:rsidRPr="002E033B">
        <w:rPr>
          <w:rStyle w:val="footnoteref"/>
          <w:color w:val="002060"/>
        </w:rPr>
        <w:t>7</w:t>
      </w:r>
      <w:r w:rsidR="00715C09" w:rsidRPr="002E033B">
        <w:rPr>
          <w:rStyle w:val="footnoteref"/>
          <w:color w:val="002060"/>
        </w:rPr>
        <w:t>.</w:t>
      </w:r>
      <w:r w:rsidR="00EC2A9F" w:rsidRPr="002E033B">
        <w:rPr>
          <w:rStyle w:val="footnoteref"/>
          <w:color w:val="002060"/>
        </w:rPr>
        <w:t>39</w:t>
      </w:r>
      <w:r w:rsidR="00715C09" w:rsidRPr="002E033B">
        <w:rPr>
          <w:rStyle w:val="footnoteref"/>
          <w:color w:val="002060"/>
        </w:rPr>
        <w:t xml:space="preserve"> </w:t>
      </w:r>
      <w:r w:rsidR="00EC2A9F" w:rsidRPr="002E033B">
        <w:rPr>
          <w:rStyle w:val="footnoteref"/>
          <w:color w:val="002060"/>
        </w:rPr>
        <w:t>-1</w:t>
      </w:r>
      <w:r w:rsidRPr="002E033B">
        <w:rPr>
          <w:rStyle w:val="footnoteref"/>
          <w:color w:val="002060"/>
        </w:rPr>
        <w:t>7</w:t>
      </w:r>
      <w:r w:rsidR="00EC2A9F" w:rsidRPr="002E033B">
        <w:rPr>
          <w:rStyle w:val="footnoteref"/>
          <w:color w:val="002060"/>
        </w:rPr>
        <w:t xml:space="preserve">.42 </w:t>
      </w:r>
      <w:r w:rsidR="00715C09" w:rsidRPr="002E033B">
        <w:rPr>
          <w:rStyle w:val="footnoteref"/>
          <w:color w:val="002060"/>
        </w:rPr>
        <w:t>discuss disclaimers.  The auditor should also refer to AU-C section 705, Modifications to the Opinion in the Independent Auditor’s Report (AICPA, Professional Standards), if a disclaimer or other modification to the report is deemed necessary</w:t>
      </w:r>
    </w:p>
    <w:p w14:paraId="515F0D0D" w14:textId="77777777" w:rsidR="00715C09" w:rsidRDefault="00715C09" w:rsidP="00715C09">
      <w:pPr>
        <w:pStyle w:val="EndnoteText"/>
        <w:jc w:val="both"/>
      </w:pPr>
    </w:p>
  </w:endnote>
  <w:endnote w:id="2">
    <w:p w14:paraId="1E34C37F" w14:textId="5E6D3357" w:rsidR="00FE0108" w:rsidRPr="00FE0108" w:rsidRDefault="00B96F84" w:rsidP="00FE0108">
      <w:pPr>
        <w:pStyle w:val="EndnoteText"/>
        <w:tabs>
          <w:tab w:val="left" w:pos="540"/>
        </w:tabs>
        <w:ind w:left="540" w:hanging="540"/>
        <w:rPr>
          <w:b/>
          <w:bCs/>
          <w:i/>
          <w:iCs/>
          <w:color w:val="002060"/>
        </w:rPr>
      </w:pPr>
      <w:r>
        <w:rPr>
          <w:rStyle w:val="EndnoteReference"/>
        </w:rPr>
        <w:endnoteRef/>
      </w:r>
      <w:r>
        <w:t xml:space="preserve"> </w:t>
      </w:r>
      <w:r>
        <w:tab/>
      </w:r>
      <w:r w:rsidR="00FE0108">
        <w:rPr>
          <w:b/>
          <w:bCs/>
          <w:i/>
          <w:iCs/>
          <w:color w:val="002060"/>
        </w:rPr>
        <w:t>Blue, italicized</w:t>
      </w:r>
      <w:r w:rsidR="00FE0108">
        <w:rPr>
          <w:i/>
          <w:iCs/>
          <w:color w:val="002060"/>
        </w:rPr>
        <w:t xml:space="preserve"> </w:t>
      </w:r>
      <w:r w:rsidR="00FE0108">
        <w:rPr>
          <w:color w:val="002060"/>
        </w:rPr>
        <w:t>text is guidance from CFAE which should be replaced or removed (as necessary) when the letter is prepared.</w:t>
      </w:r>
    </w:p>
    <w:p w14:paraId="693CA232" w14:textId="77777777" w:rsidR="00FE0108" w:rsidRDefault="00FE0108" w:rsidP="00FE0108">
      <w:pPr>
        <w:pStyle w:val="EndnoteText"/>
        <w:tabs>
          <w:tab w:val="left" w:pos="540"/>
        </w:tabs>
        <w:ind w:left="540" w:hanging="540"/>
        <w:rPr>
          <w:color w:val="002060"/>
        </w:rPr>
      </w:pPr>
    </w:p>
    <w:p w14:paraId="562747CE" w14:textId="739EC9A6" w:rsidR="00FE0108" w:rsidRDefault="00FE0108" w:rsidP="00FE0108">
      <w:pPr>
        <w:pStyle w:val="EndnoteText"/>
        <w:tabs>
          <w:tab w:val="left" w:pos="540"/>
        </w:tabs>
        <w:ind w:left="54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r w:rsidR="00F90F30" w:rsidRPr="00F90F30">
        <w:t>Instructions</w:t>
      </w:r>
      <w:r>
        <w:rPr>
          <w:bCs/>
        </w:rPr>
        <w:t xml:space="preserve"> </w:t>
      </w:r>
      <w:r>
        <w:rPr>
          <w:bCs/>
          <w:color w:val="002060"/>
        </w:rPr>
        <w:t xml:space="preserve">are available on how to fill in </w:t>
      </w:r>
      <w:hyperlink r:id="rId1" w:history="1">
        <w:r w:rsidR="00F90F30" w:rsidRPr="00F90F30">
          <w:rPr>
            <w:rStyle w:val="Hyperlink"/>
            <w:bCs/>
          </w:rPr>
          <w:t>entity specific parameters</w:t>
        </w:r>
      </w:hyperlink>
      <w:r>
        <w:rPr>
          <w:bCs/>
          <w:color w:val="002060"/>
        </w:rPr>
        <w:t xml:space="preserve"> within this document</w:t>
      </w:r>
      <w:r>
        <w:rPr>
          <w:bCs/>
          <w:color w:val="002060"/>
        </w:rPr>
        <w:t>.</w:t>
      </w:r>
    </w:p>
    <w:p w14:paraId="6F906030" w14:textId="0754949E" w:rsidR="00B96F84" w:rsidRDefault="00B96F84" w:rsidP="00FE0108">
      <w:pPr>
        <w:pStyle w:val="EndnoteText"/>
        <w:tabs>
          <w:tab w:val="left" w:pos="540"/>
        </w:tabs>
        <w:ind w:left="540" w:hanging="540"/>
        <w:rPr>
          <w:color w:val="002060"/>
        </w:rPr>
      </w:pPr>
    </w:p>
    <w:p w14:paraId="10C6F77E" w14:textId="77777777" w:rsidR="00B96F84" w:rsidRDefault="00B96F84" w:rsidP="00B96F84">
      <w:pPr>
        <w:pStyle w:val="EndnoteText"/>
        <w:tabs>
          <w:tab w:val="left" w:pos="540"/>
        </w:tabs>
        <w:ind w:left="540" w:hanging="540"/>
        <w:rPr>
          <w:color w:val="002060"/>
        </w:rPr>
      </w:pPr>
    </w:p>
    <w:p w14:paraId="3C115F89" w14:textId="77777777" w:rsidR="00B96F84" w:rsidRDefault="00B96F84" w:rsidP="00B96F84">
      <w:pPr>
        <w:pStyle w:val="EndnoteText"/>
        <w:tabs>
          <w:tab w:val="left" w:pos="540"/>
        </w:tabs>
        <w:ind w:left="540"/>
      </w:pPr>
      <w:r>
        <w:rPr>
          <w:highlight w:val="yellow"/>
        </w:rPr>
        <w:t>Yellow highlight relates only to Single audits.  Omit if not a Single audit.</w:t>
      </w:r>
    </w:p>
    <w:p w14:paraId="4027C205" w14:textId="018ADE8B" w:rsidR="00B96F84" w:rsidRDefault="00B96F84">
      <w:pPr>
        <w:pStyle w:val="EndnoteText"/>
      </w:pPr>
    </w:p>
  </w:endnote>
  <w:endnote w:id="3">
    <w:p w14:paraId="7EE88649" w14:textId="3103D097" w:rsidR="00214F46" w:rsidRDefault="00214F46" w:rsidP="00214F46">
      <w:pPr>
        <w:pStyle w:val="EndnoteText"/>
        <w:ind w:left="540" w:hanging="540"/>
      </w:pPr>
      <w:r>
        <w:rPr>
          <w:rStyle w:val="EndnoteReference"/>
        </w:rPr>
        <w:endnoteRef/>
      </w:r>
      <w:r>
        <w:t xml:space="preserve">  </w:t>
      </w:r>
      <w:r>
        <w:tab/>
      </w:r>
      <w:r w:rsidRPr="002E033B">
        <w:rPr>
          <w:color w:val="002060"/>
        </w:rPr>
        <w:t>If we are engaged to report Key Audit Matter (KAM)</w:t>
      </w:r>
      <w:r w:rsidR="00542090" w:rsidRPr="00542090">
        <w:rPr>
          <w:color w:val="002060"/>
        </w:rPr>
        <w:t xml:space="preserve"> </w:t>
      </w:r>
      <w:r w:rsidR="00542090" w:rsidRPr="00542090">
        <w:rPr>
          <w:color w:val="002060"/>
        </w:rPr>
        <w:t>, review AU-C 701.</w:t>
      </w:r>
    </w:p>
    <w:p w14:paraId="385555A1" w14:textId="77777777" w:rsidR="00214F46" w:rsidRDefault="00214F46">
      <w:pPr>
        <w:pStyle w:val="EndnoteText"/>
      </w:pPr>
    </w:p>
  </w:endnote>
  <w:endnote w:id="4">
    <w:p w14:paraId="1D690CF4" w14:textId="7B409EDD" w:rsidR="00EB4B63" w:rsidRPr="002E033B" w:rsidRDefault="00EB4B63" w:rsidP="00EB4B63">
      <w:pPr>
        <w:pStyle w:val="EndnoteText"/>
        <w:widowControl w:val="0"/>
        <w:tabs>
          <w:tab w:val="left" w:pos="0"/>
          <w:tab w:val="left" w:pos="547"/>
          <w:tab w:val="left" w:pos="936"/>
          <w:tab w:val="left" w:pos="1440"/>
          <w:tab w:val="left" w:pos="1987"/>
        </w:tabs>
        <w:ind w:left="547" w:hanging="547"/>
        <w:rPr>
          <w:color w:val="002060"/>
        </w:rPr>
      </w:pPr>
      <w:r w:rsidRPr="00EE2ECE">
        <w:rPr>
          <w:rStyle w:val="EndnoteReference"/>
        </w:rPr>
        <w:endnoteRef/>
      </w:r>
      <w:r w:rsidRPr="00EE2ECE">
        <w:t xml:space="preserve"> </w:t>
      </w:r>
      <w:r w:rsidRPr="00EE2ECE">
        <w:tab/>
      </w:r>
      <w:r w:rsidRPr="002E033B">
        <w:rPr>
          <w:color w:val="002060"/>
        </w:rPr>
        <w:t xml:space="preserve">If we combine </w:t>
      </w:r>
      <w:r w:rsidRPr="002E033B">
        <w:rPr>
          <w:i/>
          <w:color w:val="002060"/>
        </w:rPr>
        <w:t>discrete component units</w:t>
      </w:r>
      <w:r w:rsidRPr="002E033B">
        <w:rPr>
          <w:color w:val="002060"/>
        </w:rPr>
        <w:t xml:space="preserve"> and </w:t>
      </w:r>
      <w:r w:rsidRPr="002E033B">
        <w:rPr>
          <w:i/>
          <w:color w:val="002060"/>
        </w:rPr>
        <w:t>remaining fund information</w:t>
      </w:r>
      <w:r w:rsidRPr="002E033B">
        <w:rPr>
          <w:color w:val="002060"/>
        </w:rPr>
        <w:t xml:space="preserve"> into one opinion unit under the circumstances permitted by footnote 7 to Exhibit 4-</w:t>
      </w:r>
      <w:r w:rsidR="00B96F84" w:rsidRPr="002E033B">
        <w:rPr>
          <w:color w:val="002060"/>
        </w:rPr>
        <w:t>2</w:t>
      </w:r>
      <w:r w:rsidRPr="002E033B">
        <w:rPr>
          <w:color w:val="002060"/>
        </w:rPr>
        <w:t xml:space="preserve"> (following section 4.</w:t>
      </w:r>
      <w:r w:rsidR="00B96F84" w:rsidRPr="002E033B">
        <w:rPr>
          <w:color w:val="002060"/>
        </w:rPr>
        <w:t>17</w:t>
      </w:r>
      <w:r w:rsidR="00E80EF2" w:rsidRPr="002E033B">
        <w:rPr>
          <w:color w:val="002060"/>
        </w:rPr>
        <w:t>0</w:t>
      </w:r>
      <w:r w:rsidRPr="002E033B">
        <w:rPr>
          <w:color w:val="002060"/>
        </w:rPr>
        <w:t>) in SLG, revise this phrase as follows:</w:t>
      </w:r>
    </w:p>
    <w:p w14:paraId="6222BDC9" w14:textId="77777777" w:rsidR="00EB4B63" w:rsidRPr="00EE2ECE" w:rsidRDefault="00EB4B63" w:rsidP="00EB4B63">
      <w:pPr>
        <w:pStyle w:val="EndnoteText"/>
        <w:widowControl w:val="0"/>
        <w:tabs>
          <w:tab w:val="left" w:pos="0"/>
          <w:tab w:val="left" w:pos="547"/>
          <w:tab w:val="left" w:pos="936"/>
          <w:tab w:val="left" w:pos="1440"/>
          <w:tab w:val="left" w:pos="1987"/>
        </w:tabs>
        <w:ind w:left="547" w:hanging="547"/>
      </w:pPr>
    </w:p>
    <w:p w14:paraId="69D7BD5B" w14:textId="321C2A29" w:rsidR="00EB4B63" w:rsidRPr="00EE2ECE" w:rsidRDefault="00EB4B63" w:rsidP="00EB4B63">
      <w:pPr>
        <w:pStyle w:val="EndnoteText"/>
        <w:widowControl w:val="0"/>
        <w:tabs>
          <w:tab w:val="left" w:pos="0"/>
          <w:tab w:val="left" w:pos="547"/>
          <w:tab w:val="left" w:pos="936"/>
          <w:tab w:val="left" w:pos="1440"/>
          <w:tab w:val="left" w:pos="1987"/>
        </w:tabs>
        <w:ind w:left="547"/>
      </w:pPr>
      <w:r w:rsidRPr="00EE2ECE">
        <w:t xml:space="preserve">“ . . . governmental activities, the business-type activities, each major fund and the </w:t>
      </w:r>
      <w:r w:rsidRPr="00E92DCD">
        <w:rPr>
          <w:highlight w:val="lightGray"/>
        </w:rPr>
        <w:t>aggregate</w:t>
      </w:r>
      <w:r w:rsidRPr="00EE2ECE">
        <w:t xml:space="preserve"> discretely presented component unit and remaining fund information . . . “</w:t>
      </w:r>
    </w:p>
    <w:p w14:paraId="14883722" w14:textId="77777777" w:rsidR="00EB4B63" w:rsidRPr="00EE2ECE" w:rsidRDefault="00EB4B63" w:rsidP="00EB4B63">
      <w:pPr>
        <w:pStyle w:val="EndnoteText"/>
        <w:widowControl w:val="0"/>
        <w:tabs>
          <w:tab w:val="left" w:pos="0"/>
          <w:tab w:val="left" w:pos="547"/>
          <w:tab w:val="left" w:pos="936"/>
          <w:tab w:val="left" w:pos="1440"/>
          <w:tab w:val="left" w:pos="1987"/>
        </w:tabs>
        <w:ind w:left="547" w:hanging="547"/>
      </w:pPr>
    </w:p>
  </w:endnote>
  <w:endnote w:id="5">
    <w:p w14:paraId="48B7DC7B" w14:textId="791B8C5A" w:rsidR="00EB4B63" w:rsidRPr="00EE2ECE" w:rsidRDefault="00EB4B63" w:rsidP="00EB4B63">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2E033B">
        <w:rPr>
          <w:color w:val="002060"/>
        </w:rPr>
        <w:t>As discussed in SLG 1</w:t>
      </w:r>
      <w:r w:rsidR="00F56BF4" w:rsidRPr="002E033B">
        <w:rPr>
          <w:color w:val="002060"/>
        </w:rPr>
        <w:t>7</w:t>
      </w:r>
      <w:r w:rsidRPr="002E033B">
        <w:rPr>
          <w:color w:val="002060"/>
        </w:rPr>
        <w:t>.</w:t>
      </w:r>
      <w:r w:rsidR="00E80EF2" w:rsidRPr="002E033B">
        <w:rPr>
          <w:color w:val="002060"/>
        </w:rPr>
        <w:t>70</w:t>
      </w:r>
      <w:r w:rsidRPr="002E033B">
        <w:rPr>
          <w:color w:val="002060"/>
        </w:rPr>
        <w:t>, insert “</w:t>
      </w:r>
      <w:r w:rsidRPr="00EE2ECE">
        <w:t xml:space="preserve">, a component unit of </w:t>
      </w:r>
      <w:r w:rsidR="00714F1A" w:rsidRPr="00E92DCD">
        <w:rPr>
          <w:highlight w:val="lightGray"/>
        </w:rPr>
        <w:t>Primary Government</w:t>
      </w:r>
      <w:r w:rsidRPr="00EE2ECE">
        <w:t>,</w:t>
      </w:r>
      <w:r w:rsidRPr="002E033B">
        <w:rPr>
          <w:color w:val="002060"/>
        </w:rPr>
        <w:t xml:space="preserve">” if applicable. </w:t>
      </w:r>
      <w:r w:rsidRPr="00EE2ECE">
        <w:t xml:space="preserve"> </w:t>
      </w:r>
    </w:p>
    <w:p w14:paraId="50923F50" w14:textId="77777777" w:rsidR="00EB4B63" w:rsidRPr="00EE2ECE" w:rsidRDefault="00EB4B63" w:rsidP="00EB4B63">
      <w:pPr>
        <w:pStyle w:val="EndnoteText"/>
        <w:widowControl w:val="0"/>
        <w:tabs>
          <w:tab w:val="left" w:pos="0"/>
          <w:tab w:val="left" w:pos="547"/>
          <w:tab w:val="left" w:pos="936"/>
          <w:tab w:val="left" w:pos="1440"/>
          <w:tab w:val="left" w:pos="1987"/>
        </w:tabs>
        <w:ind w:left="547" w:hanging="547"/>
      </w:pPr>
    </w:p>
  </w:endnote>
  <w:endnote w:id="6">
    <w:p w14:paraId="2D4E3963" w14:textId="08C1A793" w:rsidR="00016A99" w:rsidRPr="002E033B" w:rsidRDefault="00016A99" w:rsidP="00016A99">
      <w:pPr>
        <w:widowControl w:val="0"/>
        <w:tabs>
          <w:tab w:val="left" w:pos="0"/>
          <w:tab w:val="left" w:pos="547"/>
          <w:tab w:val="left" w:pos="936"/>
          <w:tab w:val="left" w:pos="1440"/>
          <w:tab w:val="left" w:pos="1987"/>
        </w:tabs>
        <w:ind w:left="547" w:hanging="547"/>
        <w:jc w:val="both"/>
        <w:rPr>
          <w:color w:val="002060"/>
        </w:rPr>
      </w:pPr>
      <w:r w:rsidRPr="00EE2ECE">
        <w:rPr>
          <w:rStyle w:val="EndnoteReference"/>
        </w:rPr>
        <w:endnoteRef/>
      </w:r>
      <w:r w:rsidRPr="00EE2ECE">
        <w:t xml:space="preserve"> </w:t>
      </w:r>
      <w:r w:rsidRPr="00EE2ECE">
        <w:tab/>
        <w:t>D</w:t>
      </w:r>
      <w:r w:rsidRPr="002E033B">
        <w:rPr>
          <w:color w:val="002060"/>
        </w:rPr>
        <w:t xml:space="preserve">elete the reference to the budgetary comparisons from the opinion </w:t>
      </w:r>
      <w:r w:rsidR="00AD62C4" w:rsidRPr="002E033B">
        <w:rPr>
          <w:color w:val="002060"/>
        </w:rPr>
        <w:t>section and</w:t>
      </w:r>
      <w:r w:rsidRPr="002E033B">
        <w:rPr>
          <w:color w:val="002060"/>
        </w:rPr>
        <w:t xml:space="preserve"> refer to it with the “RSI </w:t>
      </w:r>
      <w:r w:rsidR="00A87581" w:rsidRPr="002E033B">
        <w:rPr>
          <w:color w:val="002060"/>
        </w:rPr>
        <w:t>section</w:t>
      </w:r>
      <w:r w:rsidRPr="002E033B">
        <w:rPr>
          <w:color w:val="002060"/>
        </w:rPr>
        <w:t>” if the budgetary comparisons are presented as RSI.</w:t>
      </w:r>
    </w:p>
    <w:p w14:paraId="2CFC5645" w14:textId="77777777" w:rsidR="00016A99" w:rsidRPr="002E033B" w:rsidRDefault="00016A99" w:rsidP="00016A99">
      <w:pPr>
        <w:widowControl w:val="0"/>
        <w:tabs>
          <w:tab w:val="left" w:pos="0"/>
          <w:tab w:val="left" w:pos="547"/>
          <w:tab w:val="left" w:pos="936"/>
          <w:tab w:val="left" w:pos="1440"/>
          <w:tab w:val="left" w:pos="1987"/>
        </w:tabs>
        <w:ind w:left="547" w:hanging="547"/>
        <w:jc w:val="both"/>
        <w:rPr>
          <w:color w:val="002060"/>
        </w:rPr>
      </w:pPr>
    </w:p>
  </w:endnote>
  <w:endnote w:id="7">
    <w:p w14:paraId="0F700F6B" w14:textId="4A50030B" w:rsidR="00EB4B63" w:rsidRPr="002E033B" w:rsidRDefault="00EB4B63" w:rsidP="00EB4B63">
      <w:pPr>
        <w:ind w:left="540" w:hanging="540"/>
        <w:rPr>
          <w:b/>
          <w:bCs/>
          <w:color w:val="002060"/>
        </w:rPr>
      </w:pPr>
      <w:r w:rsidRPr="002E033B">
        <w:rPr>
          <w:rStyle w:val="EndnoteReference"/>
          <w:color w:val="002060"/>
        </w:rPr>
        <w:endnoteRef/>
      </w:r>
      <w:r w:rsidRPr="002E033B">
        <w:rPr>
          <w:color w:val="002060"/>
        </w:rPr>
        <w:t xml:space="preserve">        Modify this example when a client properly adopts a new GASB pronouncement (including required disclosures and restatements</w:t>
      </w:r>
      <w:r w:rsidR="00AD62C4" w:rsidRPr="002E033B">
        <w:rPr>
          <w:color w:val="002060"/>
        </w:rPr>
        <w:t>),</w:t>
      </w:r>
      <w:r w:rsidRPr="002E033B">
        <w:rPr>
          <w:color w:val="002060"/>
        </w:rPr>
        <w:t xml:space="preserve"> and it materially </w:t>
      </w:r>
      <w:r w:rsidRPr="002E033B">
        <w:rPr>
          <w:color w:val="002060"/>
          <w:u w:val="single"/>
        </w:rPr>
        <w:t>affects</w:t>
      </w:r>
      <w:r w:rsidRPr="002E033B">
        <w:rPr>
          <w:color w:val="002060"/>
        </w:rPr>
        <w:t xml:space="preserve"> the financial statements</w:t>
      </w:r>
      <w:r w:rsidR="007D4A42" w:rsidRPr="002E033B">
        <w:rPr>
          <w:color w:val="002060"/>
        </w:rPr>
        <w:t xml:space="preserve"> or disclosures</w:t>
      </w:r>
      <w:r w:rsidRPr="002E033B">
        <w:rPr>
          <w:color w:val="002060"/>
        </w:rPr>
        <w:t xml:space="preserve"> (see AU-C 708.08). </w:t>
      </w:r>
    </w:p>
    <w:p w14:paraId="590C3F3B" w14:textId="77777777" w:rsidR="00EB4B63" w:rsidRDefault="00EB4B63" w:rsidP="00EB4B63">
      <w:pPr>
        <w:pStyle w:val="EndnoteText"/>
      </w:pPr>
    </w:p>
    <w:p w14:paraId="45E29F96" w14:textId="7D753E91" w:rsidR="00EB4B63" w:rsidRPr="00E31FB1" w:rsidRDefault="00EB4B63" w:rsidP="00EB4B63">
      <w:pPr>
        <w:pStyle w:val="EndnoteText"/>
        <w:ind w:left="540"/>
        <w:rPr>
          <w:i/>
          <w:color w:val="FF0000"/>
        </w:rPr>
      </w:pPr>
      <w:r w:rsidRPr="00E31FB1">
        <w:rPr>
          <w:i/>
          <w:color w:val="FF0000"/>
        </w:rPr>
        <w:t xml:space="preserve">Do not include EOM </w:t>
      </w:r>
      <w:r w:rsidR="00A87581">
        <w:rPr>
          <w:i/>
          <w:color w:val="FF0000"/>
        </w:rPr>
        <w:t>sections</w:t>
      </w:r>
      <w:r w:rsidRPr="00E31FB1">
        <w:rPr>
          <w:i/>
          <w:color w:val="FF0000"/>
        </w:rPr>
        <w:t xml:space="preserve"> for new standards with immaterial financial statement </w:t>
      </w:r>
      <w:r w:rsidR="007D4A42">
        <w:rPr>
          <w:i/>
          <w:color w:val="FF0000"/>
        </w:rPr>
        <w:t xml:space="preserve">or disclosure </w:t>
      </w:r>
      <w:r w:rsidRPr="00E31FB1">
        <w:rPr>
          <w:i/>
          <w:color w:val="FF0000"/>
        </w:rPr>
        <w:t>effect</w:t>
      </w:r>
      <w:r w:rsidR="007D4A42">
        <w:rPr>
          <w:i/>
          <w:color w:val="FF0000"/>
        </w:rPr>
        <w:t>s.</w:t>
      </w:r>
    </w:p>
    <w:p w14:paraId="22111F93" w14:textId="77777777" w:rsidR="00EB4B63" w:rsidRPr="00CA09D1" w:rsidRDefault="00EB4B63" w:rsidP="00EB4B63">
      <w:pPr>
        <w:pStyle w:val="EndnoteText"/>
        <w:ind w:left="720"/>
        <w:rPr>
          <w:i/>
        </w:rPr>
      </w:pPr>
    </w:p>
  </w:endnote>
  <w:endnote w:id="8">
    <w:p w14:paraId="6BA37D43" w14:textId="730CE2EC" w:rsidR="0069092B" w:rsidRPr="0069092B" w:rsidRDefault="0069092B" w:rsidP="0069092B">
      <w:pPr>
        <w:pStyle w:val="EndnoteText"/>
        <w:ind w:left="540" w:hanging="540"/>
        <w:rPr>
          <w:color w:val="002060"/>
          <w:u w:val="double"/>
        </w:rPr>
      </w:pPr>
      <w:r>
        <w:rPr>
          <w:rStyle w:val="EndnoteReference"/>
        </w:rPr>
        <w:endnoteRef/>
      </w:r>
      <w:r>
        <w:t xml:space="preserve"> </w:t>
      </w:r>
      <w:r>
        <w:tab/>
      </w:r>
      <w:r w:rsidRPr="0069092B">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2E033B" w:rsidRPr="002E033B">
        <w:rPr>
          <w:color w:val="002060"/>
          <w:u w:val="double"/>
        </w:rPr>
        <w:t>, GASB Cod. 2250.130 (for exceptions),</w:t>
      </w:r>
      <w:r w:rsidRPr="0069092B">
        <w:rPr>
          <w:color w:val="002060"/>
          <w:u w:val="double"/>
        </w:rPr>
        <w:t xml:space="preserve"> and AU-C 708.11 when adding the EOM.</w:t>
      </w:r>
    </w:p>
    <w:p w14:paraId="5D590E00" w14:textId="77777777" w:rsidR="0069092B" w:rsidRPr="0069092B" w:rsidRDefault="0069092B" w:rsidP="0069092B">
      <w:pPr>
        <w:pStyle w:val="EndnoteText"/>
        <w:ind w:left="540" w:hanging="540"/>
        <w:rPr>
          <w:color w:val="002060"/>
        </w:rPr>
      </w:pPr>
    </w:p>
  </w:endnote>
  <w:endnote w:id="9">
    <w:p w14:paraId="127D10AE" w14:textId="30E45381" w:rsidR="004F47E1" w:rsidRDefault="00DC002B" w:rsidP="00DC002B">
      <w:pPr>
        <w:pStyle w:val="EndnoteText"/>
        <w:ind w:left="540" w:hanging="540"/>
        <w:jc w:val="both"/>
      </w:pPr>
      <w:r w:rsidRPr="0069092B">
        <w:rPr>
          <w:rStyle w:val="EndnoteReference"/>
          <w:color w:val="002060"/>
        </w:rPr>
        <w:endnoteRef/>
      </w:r>
      <w:r w:rsidRPr="0069092B">
        <w:rPr>
          <w:color w:val="002060"/>
        </w:rPr>
        <w:t xml:space="preserve">        </w:t>
      </w:r>
      <w:r w:rsidR="004F47E1" w:rsidRPr="0069092B">
        <w:rPr>
          <w:color w:val="002060"/>
        </w:rPr>
        <w:t xml:space="preserve"> See AU-C 700</w:t>
      </w:r>
      <w:r w:rsidR="0069092B" w:rsidRPr="0069092B">
        <w:rPr>
          <w:color w:val="002060"/>
          <w:u w:val="double"/>
        </w:rPr>
        <w:t>.47-.60</w:t>
      </w:r>
      <w:r w:rsidR="004F47E1" w:rsidRPr="0069092B">
        <w:rPr>
          <w:color w:val="002060"/>
        </w:rPr>
        <w:t xml:space="preserve"> for discussion about </w:t>
      </w:r>
      <w:r w:rsidR="004F47E1" w:rsidRPr="0069092B">
        <w:rPr>
          <w:strike/>
          <w:color w:val="002060"/>
        </w:rPr>
        <w:t xml:space="preserve">Other Matters.  </w:t>
      </w:r>
      <w:r w:rsidR="0069092B" w:rsidRPr="0069092B">
        <w:rPr>
          <w:color w:val="002060"/>
        </w:rPr>
        <w:t>c</w:t>
      </w:r>
      <w:r w:rsidR="004F47E1" w:rsidRPr="0069092B">
        <w:rPr>
          <w:color w:val="002060"/>
        </w:rPr>
        <w:t>omparative finan</w:t>
      </w:r>
      <w:r w:rsidR="00F33C51" w:rsidRPr="0069092B">
        <w:rPr>
          <w:color w:val="002060"/>
        </w:rPr>
        <w:t xml:space="preserve">cial statements and comparative </w:t>
      </w:r>
      <w:r w:rsidR="004F47E1" w:rsidRPr="0069092B">
        <w:rPr>
          <w:color w:val="002060"/>
        </w:rPr>
        <w:t>information</w:t>
      </w:r>
      <w:r w:rsidR="0069092B" w:rsidRPr="0069092B">
        <w:rPr>
          <w:color w:val="002060"/>
          <w:u w:val="double"/>
        </w:rPr>
        <w:t>, which</w:t>
      </w:r>
      <w:r w:rsidR="004F47E1" w:rsidRPr="0069092B">
        <w:rPr>
          <w:color w:val="002060"/>
        </w:rPr>
        <w:t xml:space="preserve"> are examples of Other Matters</w:t>
      </w:r>
      <w:r w:rsidR="0069092B" w:rsidRPr="0069092B">
        <w:rPr>
          <w:color w:val="002060"/>
        </w:rPr>
        <w:t xml:space="preserve"> </w:t>
      </w:r>
      <w:r w:rsidR="0069092B" w:rsidRPr="0069092B">
        <w:rPr>
          <w:color w:val="002060"/>
          <w:u w:val="double"/>
        </w:rPr>
        <w:t>that might be</w:t>
      </w:r>
      <w:r w:rsidR="004F47E1" w:rsidRPr="0069092B">
        <w:rPr>
          <w:color w:val="002060"/>
        </w:rPr>
        <w:t xml:space="preserve"> included in the opinion.</w:t>
      </w:r>
    </w:p>
    <w:p w14:paraId="7E70DFDB" w14:textId="77777777" w:rsidR="004F47E1" w:rsidRDefault="004F47E1" w:rsidP="00DC002B">
      <w:pPr>
        <w:pStyle w:val="EndnoteText"/>
        <w:ind w:left="540" w:hanging="540"/>
        <w:jc w:val="both"/>
      </w:pPr>
    </w:p>
    <w:p w14:paraId="4BBB1DBC" w14:textId="0FC7C8D9" w:rsidR="00DC002B" w:rsidRPr="0069092B" w:rsidRDefault="00DC002B" w:rsidP="004F47E1">
      <w:pPr>
        <w:pStyle w:val="EndnoteText"/>
        <w:ind w:left="540"/>
        <w:jc w:val="both"/>
        <w:rPr>
          <w:b/>
          <w:color w:val="002060"/>
        </w:rPr>
      </w:pPr>
      <w:r w:rsidRPr="0069092B">
        <w:rPr>
          <w:b/>
          <w:color w:val="002060"/>
        </w:rPr>
        <w:t>Comparative Financial Statements</w:t>
      </w:r>
    </w:p>
    <w:p w14:paraId="6470A2C4" w14:textId="77777777" w:rsidR="00DC002B" w:rsidRPr="0069092B" w:rsidRDefault="00DC002B" w:rsidP="00DC002B">
      <w:pPr>
        <w:pStyle w:val="EndnoteText"/>
        <w:ind w:left="540" w:hanging="540"/>
        <w:jc w:val="both"/>
        <w:rPr>
          <w:color w:val="002060"/>
        </w:rPr>
      </w:pPr>
      <w:r w:rsidRPr="0069092B">
        <w:rPr>
          <w:color w:val="002060"/>
        </w:rPr>
        <w:tab/>
      </w:r>
    </w:p>
    <w:p w14:paraId="50212181" w14:textId="77777777" w:rsidR="00DC002B" w:rsidRPr="00542090" w:rsidRDefault="00DC002B" w:rsidP="00DC002B">
      <w:pPr>
        <w:pStyle w:val="EndnoteText"/>
        <w:ind w:left="540" w:hanging="540"/>
        <w:jc w:val="both"/>
        <w:rPr>
          <w:color w:val="002060"/>
        </w:rPr>
      </w:pPr>
      <w:r w:rsidRPr="0069092B">
        <w:rPr>
          <w:color w:val="002060"/>
        </w:rPr>
        <w:tab/>
        <w:t>Note:  “c</w:t>
      </w:r>
      <w:r w:rsidRPr="0069092B">
        <w:rPr>
          <w:i/>
          <w:color w:val="002060"/>
        </w:rPr>
        <w:t xml:space="preserve">omparative financial statements” means </w:t>
      </w:r>
      <w:r w:rsidRPr="0069092B">
        <w:rPr>
          <w:color w:val="002060"/>
        </w:rPr>
        <w:t xml:space="preserve">only </w:t>
      </w:r>
      <w:r w:rsidRPr="0069092B">
        <w:rPr>
          <w:i/>
          <w:color w:val="002060"/>
        </w:rPr>
        <w:t>complete</w:t>
      </w:r>
      <w:r w:rsidRPr="0069092B">
        <w:rPr>
          <w:color w:val="002060"/>
        </w:rPr>
        <w:t xml:space="preserve"> financial statements for one or more prior periods included for comparison with the current financial statements.  (“Total only” columns are</w:t>
      </w:r>
      <w:r w:rsidRPr="00E6056A">
        <w:t xml:space="preserve"> </w:t>
      </w:r>
      <w:r w:rsidRPr="00B96F84">
        <w:rPr>
          <w:i/>
          <w:color w:val="FF0000"/>
        </w:rPr>
        <w:t>in</w:t>
      </w:r>
      <w:r w:rsidRPr="00E92DCD">
        <w:rPr>
          <w:i/>
          <w:color w:val="FF0000"/>
        </w:rPr>
        <w:t>complete</w:t>
      </w:r>
      <w:r w:rsidRPr="00E6056A">
        <w:t xml:space="preserve"> </w:t>
      </w:r>
      <w:r w:rsidRPr="00542090">
        <w:rPr>
          <w:color w:val="002060"/>
        </w:rPr>
        <w:t>presentations.)</w:t>
      </w:r>
    </w:p>
    <w:p w14:paraId="220F25B6" w14:textId="77777777" w:rsidR="00DC002B" w:rsidRPr="00542090" w:rsidRDefault="00DC002B" w:rsidP="00DC002B">
      <w:pPr>
        <w:pStyle w:val="EndnoteText"/>
        <w:ind w:left="540" w:hanging="540"/>
        <w:jc w:val="both"/>
        <w:rPr>
          <w:color w:val="002060"/>
        </w:rPr>
      </w:pPr>
    </w:p>
    <w:p w14:paraId="3A267469" w14:textId="77777777" w:rsidR="00DC002B" w:rsidRPr="00542090" w:rsidRDefault="00DC002B" w:rsidP="00DC002B">
      <w:pPr>
        <w:pStyle w:val="EndnoteText"/>
        <w:ind w:left="540" w:hanging="540"/>
        <w:jc w:val="both"/>
        <w:rPr>
          <w:color w:val="002060"/>
        </w:rPr>
      </w:pPr>
      <w:r w:rsidRPr="00542090">
        <w:rPr>
          <w:color w:val="002060"/>
        </w:rPr>
        <w:tab/>
        <w:t xml:space="preserve">Per AU-C 700.47, when we are the continuing auditor we would refer to these statements in our opinion; however, when the prior period was audited by a predecessor auditor the following is an example </w:t>
      </w:r>
      <w:r w:rsidRPr="00542090">
        <w:rPr>
          <w:b/>
          <w:i/>
          <w:color w:val="002060"/>
        </w:rPr>
        <w:t>other matter</w:t>
      </w:r>
      <w:r w:rsidRPr="00542090">
        <w:rPr>
          <w:color w:val="002060"/>
        </w:rPr>
        <w:t xml:space="preserve"> section (See AU-C 700.57).</w:t>
      </w:r>
    </w:p>
    <w:p w14:paraId="704CA9F2" w14:textId="77777777" w:rsidR="00DC002B" w:rsidRDefault="00DC002B" w:rsidP="00DC002B">
      <w:pPr>
        <w:tabs>
          <w:tab w:val="left" w:pos="0"/>
          <w:tab w:val="left" w:pos="547"/>
          <w:tab w:val="left" w:pos="936"/>
          <w:tab w:val="left" w:pos="1440"/>
          <w:tab w:val="left" w:pos="1987"/>
        </w:tabs>
        <w:ind w:left="540"/>
        <w:jc w:val="both"/>
      </w:pPr>
    </w:p>
    <w:p w14:paraId="4820A5E5" w14:textId="77777777" w:rsidR="00DC002B" w:rsidRPr="00CA09D1" w:rsidRDefault="00DC002B" w:rsidP="00DC002B">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27891B22" w14:textId="77777777" w:rsidR="00DC002B" w:rsidRDefault="00DC002B" w:rsidP="00DC002B">
      <w:pPr>
        <w:tabs>
          <w:tab w:val="left" w:pos="0"/>
          <w:tab w:val="left" w:pos="547"/>
          <w:tab w:val="left" w:pos="936"/>
          <w:tab w:val="left" w:pos="1440"/>
          <w:tab w:val="left" w:pos="1987"/>
        </w:tabs>
        <w:ind w:left="1440"/>
        <w:jc w:val="both"/>
        <w:rPr>
          <w:i/>
        </w:rPr>
      </w:pPr>
    </w:p>
    <w:p w14:paraId="22ECB1A3" w14:textId="42644A9D" w:rsidR="00F33C51" w:rsidRDefault="00DC002B" w:rsidP="00E92DCD">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714F1A">
        <w:rPr>
          <w:highlight w:val="lightGray"/>
        </w:rPr>
        <w:t>Entity</w:t>
      </w:r>
      <w:r w:rsidR="00714F1A" w:rsidRPr="00E92DCD">
        <w:rPr>
          <w:highlight w:val="lightGray"/>
        </w:rPr>
        <w:t xml:space="preserve"> Type</w:t>
      </w:r>
      <w:r>
        <w:t xml:space="preserve">), as of and for the year ended </w:t>
      </w:r>
      <w:r w:rsidR="0069092B">
        <w:rPr>
          <w:highlight w:val="lightGray"/>
        </w:rPr>
        <w:t>P</w:t>
      </w:r>
      <w:r>
        <w:rPr>
          <w:highlight w:val="lightGray"/>
        </w:rPr>
        <w:t>YE Date</w:t>
      </w:r>
      <w:r w:rsidRPr="003877EC">
        <w:t xml:space="preserve">, were audited by </w:t>
      </w:r>
      <w:r>
        <w:t>predecessor auditor</w:t>
      </w:r>
      <w:r w:rsidRPr="003877EC">
        <w:t xml:space="preserve"> whose report dated </w:t>
      </w:r>
      <w:r w:rsidR="0069092B" w:rsidRPr="0069092B">
        <w:rPr>
          <w:highlight w:val="lightGray"/>
        </w:rPr>
        <w:t xml:space="preserve">Prior Year </w:t>
      </w:r>
      <w:r w:rsidR="0069092B">
        <w:rPr>
          <w:highlight w:val="lightGray"/>
        </w:rPr>
        <w:t>Opinion</w:t>
      </w:r>
      <w:r w:rsidR="0069092B" w:rsidRPr="0069092B">
        <w:rPr>
          <w:highlight w:val="lightGray"/>
        </w:rPr>
        <w:t xml:space="preserve"> </w:t>
      </w:r>
      <w:r w:rsidR="00714F1A" w:rsidRPr="0069092B">
        <w:rPr>
          <w:highlight w:val="lightGray"/>
        </w:rPr>
        <w:t>Date</w:t>
      </w:r>
      <w:r w:rsidRPr="003877EC">
        <w:t>, expressed an unmodified opinion on those statements.</w:t>
      </w:r>
      <w:r>
        <w:t xml:space="preserve"> </w:t>
      </w:r>
      <w:r w:rsidRPr="00E92DCD">
        <w:rPr>
          <w:b/>
          <w:i/>
          <w:iCs/>
          <w:color w:val="002060"/>
        </w:rPr>
        <w:t>&lt;&lt; modify as necessary if other than an unmodified opinion was issued or there was an EOM, OM or going concern.</w:t>
      </w:r>
    </w:p>
    <w:p w14:paraId="7D1306CE" w14:textId="77777777" w:rsidR="00F33C51" w:rsidRDefault="00F33C51" w:rsidP="00DC002B">
      <w:pPr>
        <w:pStyle w:val="EndnoteText"/>
        <w:ind w:left="540" w:hanging="540"/>
        <w:jc w:val="both"/>
      </w:pPr>
    </w:p>
    <w:p w14:paraId="0CC54554" w14:textId="77777777" w:rsidR="00DC002B" w:rsidRPr="0069092B" w:rsidRDefault="00DC002B" w:rsidP="00DC002B">
      <w:pPr>
        <w:pStyle w:val="EndnoteText"/>
        <w:ind w:left="540" w:hanging="540"/>
        <w:jc w:val="both"/>
        <w:rPr>
          <w:b/>
          <w:color w:val="002060"/>
        </w:rPr>
      </w:pPr>
      <w:r w:rsidRPr="00EC7385">
        <w:rPr>
          <w:b/>
        </w:rPr>
        <w:tab/>
      </w:r>
      <w:r w:rsidRPr="0069092B">
        <w:rPr>
          <w:b/>
          <w:color w:val="002060"/>
        </w:rPr>
        <w:t xml:space="preserve">Comparative Information </w:t>
      </w:r>
    </w:p>
    <w:p w14:paraId="070150CE" w14:textId="77777777" w:rsidR="00DC002B" w:rsidRPr="0069092B" w:rsidRDefault="00DC002B" w:rsidP="00DC002B">
      <w:pPr>
        <w:pStyle w:val="EndnoteText"/>
        <w:ind w:left="540" w:hanging="540"/>
        <w:jc w:val="both"/>
        <w:rPr>
          <w:b/>
          <w:color w:val="002060"/>
        </w:rPr>
      </w:pPr>
    </w:p>
    <w:p w14:paraId="5885B109" w14:textId="77777777" w:rsidR="00DC002B" w:rsidRPr="0069092B" w:rsidRDefault="00DC002B" w:rsidP="00DC002B">
      <w:pPr>
        <w:pStyle w:val="EndnoteText"/>
        <w:ind w:left="540"/>
        <w:rPr>
          <w:color w:val="002060"/>
        </w:rPr>
      </w:pPr>
      <w:r w:rsidRPr="0069092B">
        <w:rPr>
          <w:color w:val="002060"/>
        </w:rPr>
        <w:t xml:space="preserve">AU-C 700 uses the term </w:t>
      </w:r>
      <w:r w:rsidRPr="0069092B">
        <w:rPr>
          <w:i/>
          <w:color w:val="002060"/>
        </w:rPr>
        <w:t>comparative information</w:t>
      </w:r>
      <w:r w:rsidRPr="0069092B">
        <w:rPr>
          <w:color w:val="002060"/>
        </w:rPr>
        <w:t xml:space="preserve"> for partial presentations. (e.g. “Total Only” columns).  (</w:t>
      </w:r>
      <w:r w:rsidRPr="0069092B">
        <w:rPr>
          <w:i/>
          <w:color w:val="002060"/>
        </w:rPr>
        <w:t>Comparative statements</w:t>
      </w:r>
      <w:r w:rsidRPr="0069092B">
        <w:rPr>
          <w:color w:val="002060"/>
        </w:rPr>
        <w:t xml:space="preserve"> refer only to </w:t>
      </w:r>
      <w:r w:rsidRPr="0069092B">
        <w:rPr>
          <w:i/>
          <w:color w:val="002060"/>
        </w:rPr>
        <w:t>complete</w:t>
      </w:r>
      <w:r w:rsidRPr="0069092B">
        <w:rPr>
          <w:color w:val="002060"/>
        </w:rPr>
        <w:t xml:space="preserve"> p/y presentations.)</w:t>
      </w:r>
    </w:p>
    <w:p w14:paraId="1BE57F53" w14:textId="77777777" w:rsidR="00DC002B" w:rsidRPr="0069092B" w:rsidRDefault="00DC002B" w:rsidP="00DC002B">
      <w:pPr>
        <w:pStyle w:val="EndnoteText"/>
        <w:ind w:left="540" w:hanging="540"/>
        <w:jc w:val="both"/>
        <w:rPr>
          <w:color w:val="002060"/>
        </w:rPr>
      </w:pPr>
      <w:r w:rsidRPr="0069092B">
        <w:rPr>
          <w:color w:val="002060"/>
        </w:rPr>
        <w:tab/>
      </w:r>
    </w:p>
    <w:p w14:paraId="4E52553D" w14:textId="32897ECD" w:rsidR="00DC002B" w:rsidRPr="0069092B" w:rsidRDefault="00DC002B" w:rsidP="00DC002B">
      <w:pPr>
        <w:pStyle w:val="ListParagraph"/>
        <w:tabs>
          <w:tab w:val="left" w:pos="-1080"/>
          <w:tab w:val="left" w:pos="-720"/>
          <w:tab w:val="left" w:pos="0"/>
          <w:tab w:val="left" w:pos="360"/>
        </w:tabs>
        <w:ind w:left="540"/>
        <w:rPr>
          <w:color w:val="002060"/>
        </w:rPr>
      </w:pPr>
      <w:r w:rsidRPr="0069092B">
        <w:rPr>
          <w:color w:val="002060"/>
        </w:rPr>
        <w:t>Per AU-C 700.49</w:t>
      </w:r>
      <w:r w:rsidR="0069092B" w:rsidRPr="0069092B">
        <w:rPr>
          <w:color w:val="002060"/>
        </w:rPr>
        <w:t xml:space="preserve"> </w:t>
      </w:r>
      <w:r w:rsidR="0069092B" w:rsidRPr="0069092B">
        <w:rPr>
          <w:color w:val="002060"/>
          <w:u w:val="double"/>
        </w:rPr>
        <w:t xml:space="preserve">and .A70-.A71, we need not opine on comparative </w:t>
      </w:r>
      <w:r w:rsidR="00AD62C4" w:rsidRPr="0069092B">
        <w:rPr>
          <w:color w:val="002060"/>
          <w:u w:val="double"/>
        </w:rPr>
        <w:t>information,</w:t>
      </w:r>
      <w:r w:rsidR="0069092B" w:rsidRPr="0069092B">
        <w:rPr>
          <w:color w:val="002060"/>
          <w:u w:val="double"/>
        </w:rPr>
        <w:t xml:space="preserve"> but</w:t>
      </w:r>
      <w:r w:rsidRPr="0069092B">
        <w:rPr>
          <w:color w:val="002060"/>
        </w:rPr>
        <w:t xml:space="preserve">  </w:t>
      </w:r>
      <w:r w:rsidR="0069092B" w:rsidRPr="0069092B">
        <w:rPr>
          <w:color w:val="002060"/>
        </w:rPr>
        <w:t>w</w:t>
      </w:r>
      <w:r w:rsidRPr="0069092B">
        <w:rPr>
          <w:color w:val="002060"/>
        </w:rPr>
        <w:t xml:space="preserve">e should </w:t>
      </w:r>
      <w:r w:rsidR="0069092B" w:rsidRPr="0069092B">
        <w:rPr>
          <w:color w:val="002060"/>
          <w:u w:val="double"/>
        </w:rPr>
        <w:t xml:space="preserve">“clearly indicate in the auditor's report the character of the auditor's work, if any, and the degree of responsibility the auditor is taking” and </w:t>
      </w:r>
      <w:r w:rsidRPr="0069092B">
        <w:rPr>
          <w:color w:val="002060"/>
        </w:rPr>
        <w:t xml:space="preserve">include one of the following </w:t>
      </w:r>
      <w:r w:rsidRPr="0069092B">
        <w:rPr>
          <w:b/>
          <w:i/>
          <w:color w:val="002060"/>
        </w:rPr>
        <w:t>other matter</w:t>
      </w:r>
      <w:r w:rsidRPr="0069092B">
        <w:rPr>
          <w:color w:val="002060"/>
        </w:rPr>
        <w:t xml:space="preserve"> sections to describe comparative information (from SLG 1</w:t>
      </w:r>
      <w:r w:rsidR="00404A51" w:rsidRPr="0069092B">
        <w:rPr>
          <w:color w:val="002060"/>
        </w:rPr>
        <w:t>7</w:t>
      </w:r>
      <w:r w:rsidRPr="0069092B">
        <w:rPr>
          <w:color w:val="002060"/>
        </w:rPr>
        <w:t>.61</w:t>
      </w:r>
      <w:r w:rsidR="0069092B" w:rsidRPr="0069092B">
        <w:rPr>
          <w:color w:val="002060"/>
        </w:rPr>
        <w:t xml:space="preserve"> </w:t>
      </w:r>
      <w:r w:rsidR="0069092B" w:rsidRPr="0069092B">
        <w:rPr>
          <w:color w:val="002060"/>
          <w:u w:val="double"/>
        </w:rPr>
        <w:t>(continuing auditor) and AU-C 700.57 (predecessor auditor)</w:t>
      </w:r>
      <w:r w:rsidRPr="0069092B">
        <w:rPr>
          <w:color w:val="002060"/>
        </w:rPr>
        <w:t>):</w:t>
      </w:r>
    </w:p>
    <w:p w14:paraId="135D5849" w14:textId="77777777" w:rsidR="005C6023" w:rsidRDefault="005C6023" w:rsidP="00DC002B">
      <w:pPr>
        <w:tabs>
          <w:tab w:val="left" w:pos="-1080"/>
          <w:tab w:val="left" w:pos="-720"/>
          <w:tab w:val="left" w:pos="0"/>
          <w:tab w:val="left" w:pos="360"/>
        </w:tabs>
        <w:ind w:left="1440"/>
        <w:contextualSpacing/>
        <w:jc w:val="both"/>
        <w:rPr>
          <w:i/>
        </w:rPr>
      </w:pPr>
    </w:p>
    <w:p w14:paraId="695486F6" w14:textId="7F5C4F5B" w:rsidR="00DC002B" w:rsidRDefault="00DC002B" w:rsidP="00DC002B">
      <w:pPr>
        <w:tabs>
          <w:tab w:val="left" w:pos="-1080"/>
          <w:tab w:val="left" w:pos="-720"/>
          <w:tab w:val="left" w:pos="0"/>
          <w:tab w:val="left" w:pos="360"/>
        </w:tabs>
        <w:ind w:left="1440"/>
        <w:contextualSpacing/>
        <w:jc w:val="both"/>
        <w:rPr>
          <w:i/>
        </w:rPr>
      </w:pPr>
      <w:r w:rsidRPr="00CA09D1">
        <w:rPr>
          <w:i/>
        </w:rPr>
        <w:t>Report on Summarized Comparative Information</w:t>
      </w:r>
    </w:p>
    <w:p w14:paraId="4E29DE55" w14:textId="77777777" w:rsidR="0069092B" w:rsidRDefault="0069092B" w:rsidP="00DC002B">
      <w:pPr>
        <w:tabs>
          <w:tab w:val="left" w:pos="-1080"/>
          <w:tab w:val="left" w:pos="-720"/>
          <w:tab w:val="left" w:pos="0"/>
          <w:tab w:val="left" w:pos="360"/>
        </w:tabs>
        <w:ind w:left="1440"/>
        <w:contextualSpacing/>
        <w:jc w:val="both"/>
        <w:rPr>
          <w:i/>
        </w:rPr>
      </w:pPr>
    </w:p>
    <w:p w14:paraId="5446CE5C" w14:textId="7A660C6A" w:rsidR="0069092B" w:rsidRPr="0069092B" w:rsidRDefault="0069092B" w:rsidP="00DC002B">
      <w:pPr>
        <w:tabs>
          <w:tab w:val="left" w:pos="-1080"/>
          <w:tab w:val="left" w:pos="-720"/>
          <w:tab w:val="left" w:pos="0"/>
          <w:tab w:val="left" w:pos="360"/>
        </w:tabs>
        <w:ind w:left="1440"/>
        <w:contextualSpacing/>
        <w:jc w:val="both"/>
        <w:rPr>
          <w:i/>
          <w:color w:val="002060"/>
        </w:rPr>
      </w:pPr>
      <w:r w:rsidRPr="0069092B">
        <w:rPr>
          <w:i/>
          <w:color w:val="002060"/>
        </w:rPr>
        <w:t xml:space="preserve">When </w:t>
      </w:r>
      <w:r w:rsidR="00542090" w:rsidRPr="00542090">
        <w:rPr>
          <w:i/>
          <w:color w:val="002060"/>
        </w:rPr>
        <w:t>current auditors</w:t>
      </w:r>
      <w:r w:rsidRPr="0069092B">
        <w:rPr>
          <w:i/>
          <w:color w:val="002060"/>
        </w:rPr>
        <w:t xml:space="preserve"> performed the previous audit:</w:t>
      </w:r>
    </w:p>
    <w:p w14:paraId="6ACA7C48" w14:textId="77777777" w:rsidR="00DC002B" w:rsidRPr="00EC7385" w:rsidRDefault="00DC002B" w:rsidP="00DC002B">
      <w:pPr>
        <w:tabs>
          <w:tab w:val="left" w:pos="-1080"/>
          <w:tab w:val="left" w:pos="-720"/>
          <w:tab w:val="left" w:pos="0"/>
          <w:tab w:val="left" w:pos="360"/>
        </w:tabs>
        <w:ind w:left="1440"/>
        <w:contextualSpacing/>
        <w:jc w:val="both"/>
      </w:pPr>
    </w:p>
    <w:p w14:paraId="750ECC17" w14:textId="576CA742" w:rsidR="00DC002B" w:rsidRDefault="00DC002B" w:rsidP="00DC002B">
      <w:pPr>
        <w:tabs>
          <w:tab w:val="left" w:pos="0"/>
          <w:tab w:val="left" w:pos="547"/>
          <w:tab w:val="left" w:pos="936"/>
          <w:tab w:val="left" w:pos="1440"/>
          <w:tab w:val="left" w:pos="1987"/>
        </w:tabs>
        <w:ind w:left="1440"/>
        <w:jc w:val="both"/>
      </w:pPr>
      <w:r w:rsidRPr="0069092B">
        <w:rPr>
          <w:iCs/>
        </w:rPr>
        <w:t xml:space="preserve">We </w:t>
      </w:r>
      <w:r w:rsidRPr="00EC7385">
        <w:t xml:space="preserve">have previously audited the </w:t>
      </w:r>
      <w:r w:rsidRPr="00714F1A">
        <w:rPr>
          <w:highlight w:val="lightGray"/>
        </w:rPr>
        <w:t>Entity</w:t>
      </w:r>
      <w:r w:rsidR="00714F1A" w:rsidRPr="00E92DCD">
        <w:rPr>
          <w:highlight w:val="lightGray"/>
        </w:rPr>
        <w:t xml:space="preserve"> Type</w:t>
      </w:r>
      <w:r w:rsidRPr="00EC7385">
        <w:t xml:space="preserve">'s </w:t>
      </w:r>
      <w:r w:rsidRPr="0069092B">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E92DCD">
        <w:rPr>
          <w:bCs/>
          <w:highlight w:val="lightGray"/>
        </w:rPr>
        <w:t>aggregate</w:t>
      </w:r>
      <w:r w:rsidRPr="0055332A">
        <w:t xml:space="preserve"> discretely presented component unit</w:t>
      </w:r>
      <w:r w:rsidRPr="00E92DCD">
        <w:rPr>
          <w:bCs/>
          <w:highlight w:val="lightGray"/>
        </w:rPr>
        <w:t>(s)</w:t>
      </w:r>
      <w:r w:rsidRPr="00E92DCD">
        <w:rPr>
          <w:bCs/>
        </w:rPr>
        <w:t>,</w:t>
      </w:r>
      <w:r w:rsidRPr="0055332A">
        <w:t xml:space="preserve"> each major fund, and the aggregate remaining fund information</w:t>
      </w:r>
      <w:r w:rsidRPr="00EC7385">
        <w:t xml:space="preserve"> dated</w:t>
      </w:r>
      <w:r w:rsidR="0069092B">
        <w:t xml:space="preserve"> </w:t>
      </w:r>
      <w:r w:rsidR="0069092B" w:rsidRPr="0069092B">
        <w:rPr>
          <w:highlight w:val="lightGray"/>
        </w:rPr>
        <w:t xml:space="preserve">Prior Year </w:t>
      </w:r>
      <w:r w:rsidR="0069092B">
        <w:rPr>
          <w:highlight w:val="lightGray"/>
        </w:rPr>
        <w:t>Opinion</w:t>
      </w:r>
      <w:r w:rsidRPr="0069092B">
        <w:rPr>
          <w:highlight w:val="lightGray"/>
        </w:rPr>
        <w:t xml:space="preserve"> </w:t>
      </w:r>
      <w:r w:rsidR="00282AB8" w:rsidRPr="0069092B">
        <w:rPr>
          <w:highlight w:val="lightGray"/>
        </w:rPr>
        <w:t>Date</w:t>
      </w:r>
      <w:r w:rsidRPr="00EC7385">
        <w:t xml:space="preserve">. In our opinion, the summarized comparative information presented herein as of and for the year ended </w:t>
      </w:r>
      <w:r w:rsidRPr="0069092B">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E92DCD">
        <w:rPr>
          <w:b/>
          <w:i/>
          <w:iCs/>
          <w:color w:val="002060"/>
        </w:rPr>
        <w:t>&lt;&lt; modify as necessary if other than an unmodified opinion was issued, including the nature of, and the reasons for opinion modifications (see SLG 1</w:t>
      </w:r>
      <w:r w:rsidR="00404A51" w:rsidRPr="00E92DCD">
        <w:rPr>
          <w:b/>
          <w:i/>
          <w:iCs/>
          <w:color w:val="002060"/>
        </w:rPr>
        <w:t>7</w:t>
      </w:r>
      <w:r w:rsidRPr="00E92DCD">
        <w:rPr>
          <w:b/>
          <w:i/>
          <w:iCs/>
          <w:color w:val="002060"/>
        </w:rPr>
        <w:t>.61 footnote 2</w:t>
      </w:r>
      <w:r w:rsidR="00404A51" w:rsidRPr="00E92DCD">
        <w:rPr>
          <w:b/>
          <w:i/>
          <w:iCs/>
          <w:color w:val="002060"/>
        </w:rPr>
        <w:t>1</w:t>
      </w:r>
      <w:r w:rsidRPr="00E92DCD">
        <w:rPr>
          <w:b/>
          <w:i/>
          <w:iCs/>
          <w:color w:val="002060"/>
        </w:rPr>
        <w:t>).</w:t>
      </w:r>
    </w:p>
    <w:p w14:paraId="53B88AF6" w14:textId="77777777" w:rsidR="00DC002B" w:rsidRPr="0069092B" w:rsidRDefault="00DC002B" w:rsidP="00DC002B">
      <w:pPr>
        <w:tabs>
          <w:tab w:val="left" w:pos="-1080"/>
          <w:tab w:val="left" w:pos="-720"/>
          <w:tab w:val="left" w:pos="0"/>
          <w:tab w:val="left" w:pos="360"/>
        </w:tabs>
        <w:ind w:left="1440"/>
        <w:contextualSpacing/>
        <w:jc w:val="both"/>
        <w:rPr>
          <w:i/>
          <w:iCs/>
          <w:color w:val="002060"/>
        </w:rPr>
      </w:pPr>
    </w:p>
    <w:p w14:paraId="69B7DBE7" w14:textId="77777777" w:rsidR="00DC002B" w:rsidRPr="0069092B" w:rsidRDefault="00DC002B" w:rsidP="00DC002B">
      <w:pPr>
        <w:tabs>
          <w:tab w:val="left" w:pos="-1080"/>
          <w:tab w:val="left" w:pos="-720"/>
          <w:tab w:val="left" w:pos="0"/>
          <w:tab w:val="left" w:pos="360"/>
        </w:tabs>
        <w:ind w:left="1440"/>
        <w:contextualSpacing/>
        <w:jc w:val="both"/>
        <w:rPr>
          <w:i/>
          <w:iCs/>
          <w:color w:val="002060"/>
        </w:rPr>
      </w:pPr>
      <w:r w:rsidRPr="0069092B">
        <w:rPr>
          <w:i/>
          <w:iCs/>
          <w:color w:val="002060"/>
        </w:rPr>
        <w:t>Or:</w:t>
      </w:r>
    </w:p>
    <w:p w14:paraId="7B38E549" w14:textId="3C5AD70D" w:rsidR="0069092B" w:rsidRPr="0069092B" w:rsidRDefault="0069092B" w:rsidP="00DC002B">
      <w:pPr>
        <w:tabs>
          <w:tab w:val="left" w:pos="-1080"/>
          <w:tab w:val="left" w:pos="-720"/>
          <w:tab w:val="left" w:pos="0"/>
          <w:tab w:val="left" w:pos="360"/>
        </w:tabs>
        <w:ind w:left="1440"/>
        <w:contextualSpacing/>
        <w:jc w:val="both"/>
        <w:rPr>
          <w:i/>
          <w:iCs/>
          <w:color w:val="002060"/>
        </w:rPr>
      </w:pPr>
      <w:r w:rsidRPr="0069092B">
        <w:rPr>
          <w:i/>
          <w:iCs/>
          <w:color w:val="002060"/>
        </w:rPr>
        <w:t>When other auditors performed the previous audit:</w:t>
      </w:r>
    </w:p>
    <w:p w14:paraId="4D7C1345" w14:textId="77777777" w:rsidR="00DC002B" w:rsidRPr="00EC7385" w:rsidRDefault="00DC002B" w:rsidP="00DC002B">
      <w:pPr>
        <w:tabs>
          <w:tab w:val="left" w:pos="-1080"/>
          <w:tab w:val="left" w:pos="-720"/>
          <w:tab w:val="left" w:pos="0"/>
          <w:tab w:val="left" w:pos="360"/>
        </w:tabs>
        <w:ind w:left="1440"/>
        <w:contextualSpacing/>
        <w:jc w:val="both"/>
      </w:pPr>
    </w:p>
    <w:p w14:paraId="2BFC1C8D" w14:textId="7CD16DCB" w:rsidR="00DC002B" w:rsidRDefault="00DC002B" w:rsidP="00DC002B">
      <w:pPr>
        <w:tabs>
          <w:tab w:val="left" w:pos="0"/>
          <w:tab w:val="left" w:pos="547"/>
          <w:tab w:val="left" w:pos="936"/>
          <w:tab w:val="left" w:pos="1440"/>
          <w:tab w:val="left" w:pos="1987"/>
        </w:tabs>
        <w:ind w:left="1440"/>
        <w:jc w:val="both"/>
      </w:pPr>
      <w:r w:rsidRPr="00EC7385">
        <w:t xml:space="preserve">The financial statements of the </w:t>
      </w:r>
      <w:r w:rsidRPr="00282AB8">
        <w:rPr>
          <w:highlight w:val="lightGray"/>
        </w:rPr>
        <w:t>Entity</w:t>
      </w:r>
      <w:r w:rsidR="00282AB8" w:rsidRPr="00E92DCD">
        <w:rPr>
          <w:highlight w:val="lightGray"/>
        </w:rPr>
        <w:t xml:space="preserve"> Type</w:t>
      </w:r>
      <w:r w:rsidRPr="00EC7385">
        <w:t xml:space="preserve"> as of and for the year ended </w:t>
      </w:r>
      <w:r w:rsidRPr="0069092B">
        <w:rPr>
          <w:highlight w:val="lightGray"/>
        </w:rPr>
        <w:t>December 31, 20XX-1</w:t>
      </w:r>
      <w:r w:rsidRPr="00EC7385">
        <w:t xml:space="preserve"> </w:t>
      </w:r>
      <w:r>
        <w:t xml:space="preserve">from which the comparative information for </w:t>
      </w:r>
      <w:r w:rsidRPr="0069092B">
        <w:rPr>
          <w:highlight w:val="lightGray"/>
        </w:rPr>
        <w:t>December 31, 20XX-1</w:t>
      </w:r>
      <w:r>
        <w:t xml:space="preserve"> was derived </w:t>
      </w:r>
      <w:r w:rsidRPr="00EC7385">
        <w:t xml:space="preserve">were </w:t>
      </w:r>
      <w:r w:rsidRPr="0069092B">
        <w:rPr>
          <w:iCs/>
        </w:rPr>
        <w:t>audited by a predecessor auditor.</w:t>
      </w:r>
      <w:r w:rsidRPr="00EC7385">
        <w:t xml:space="preserve"> An unmodified opinion was issued </w:t>
      </w:r>
      <w:r w:rsidR="0069092B" w:rsidRPr="0069092B">
        <w:rPr>
          <w:highlight w:val="lightGray"/>
        </w:rPr>
        <w:t xml:space="preserve">Prior Year </w:t>
      </w:r>
      <w:r w:rsidR="0069092B">
        <w:rPr>
          <w:highlight w:val="lightGray"/>
        </w:rPr>
        <w:t>Opinion</w:t>
      </w:r>
      <w:r w:rsidR="0069092B" w:rsidRPr="0069092B">
        <w:rPr>
          <w:highlight w:val="lightGray"/>
        </w:rPr>
        <w:t xml:space="preserve"> </w:t>
      </w:r>
      <w:r w:rsidRPr="0069092B">
        <w:rPr>
          <w:highlight w:val="lightGray"/>
        </w:rPr>
        <w:t>D</w:t>
      </w:r>
      <w:r w:rsidR="00282AB8" w:rsidRPr="0069092B">
        <w:rPr>
          <w:highlight w:val="lightGray"/>
        </w:rPr>
        <w:t>ate</w:t>
      </w:r>
      <w:r w:rsidRPr="00EC7385">
        <w:t xml:space="preserve"> by the predecessor auditor. </w:t>
      </w:r>
      <w:r w:rsidRPr="00E92DCD">
        <w:rPr>
          <w:b/>
          <w:i/>
          <w:iCs/>
          <w:color w:val="002060"/>
        </w:rPr>
        <w:t>&lt;&lt; modify as necessary if other than an unmodified opinion was issued.</w:t>
      </w:r>
    </w:p>
    <w:p w14:paraId="01E028F0" w14:textId="772CDEBA" w:rsidR="00DC002B" w:rsidRDefault="00DC002B" w:rsidP="00DC002B">
      <w:pPr>
        <w:pStyle w:val="EndnoteText"/>
        <w:ind w:left="540" w:hanging="540"/>
        <w:jc w:val="both"/>
      </w:pPr>
      <w:r>
        <w:t xml:space="preserve">          </w:t>
      </w:r>
    </w:p>
    <w:p w14:paraId="0F69754B" w14:textId="77777777" w:rsidR="00F63A69" w:rsidRDefault="00F63A69" w:rsidP="00DC002B">
      <w:pPr>
        <w:pStyle w:val="EndnoteText"/>
        <w:ind w:left="540" w:hanging="540"/>
        <w:jc w:val="both"/>
      </w:pPr>
    </w:p>
  </w:endnote>
  <w:endnote w:id="10">
    <w:p w14:paraId="36E818AF" w14:textId="3E788362" w:rsidR="00EB4B63" w:rsidRPr="0069092B" w:rsidRDefault="00EB4B63" w:rsidP="00EB4B63">
      <w:pPr>
        <w:pStyle w:val="EndnoteText"/>
        <w:rPr>
          <w:color w:val="002060"/>
        </w:rPr>
      </w:pPr>
      <w:r>
        <w:rPr>
          <w:rStyle w:val="EndnoteReference"/>
        </w:rPr>
        <w:endnoteRef/>
      </w:r>
      <w:r>
        <w:t xml:space="preserve">        </w:t>
      </w:r>
      <w:r w:rsidRPr="0069092B">
        <w:rPr>
          <w:color w:val="002060"/>
        </w:rPr>
        <w:t xml:space="preserve">Modify this </w:t>
      </w:r>
      <w:r w:rsidR="00A87581" w:rsidRPr="0069092B">
        <w:rPr>
          <w:color w:val="002060"/>
        </w:rPr>
        <w:t>section</w:t>
      </w:r>
      <w:r w:rsidRPr="0069092B">
        <w:rPr>
          <w:color w:val="002060"/>
        </w:rPr>
        <w:t xml:space="preserve"> in the following circumstances.  See AU-C 730 and SLG 1</w:t>
      </w:r>
      <w:r w:rsidR="00AE42F0" w:rsidRPr="0069092B">
        <w:rPr>
          <w:color w:val="002060"/>
        </w:rPr>
        <w:t>7</w:t>
      </w:r>
      <w:r w:rsidRPr="0069092B">
        <w:rPr>
          <w:color w:val="002060"/>
        </w:rPr>
        <w:t>.</w:t>
      </w:r>
      <w:r w:rsidR="00A87581" w:rsidRPr="0069092B">
        <w:rPr>
          <w:color w:val="002060"/>
        </w:rPr>
        <w:t>7</w:t>
      </w:r>
      <w:r w:rsidR="000F35A0" w:rsidRPr="0069092B">
        <w:rPr>
          <w:color w:val="002060"/>
        </w:rPr>
        <w:t>7</w:t>
      </w:r>
      <w:r w:rsidR="00A87581" w:rsidRPr="0069092B">
        <w:rPr>
          <w:color w:val="002060"/>
        </w:rPr>
        <w:t>-.8</w:t>
      </w:r>
      <w:r w:rsidR="00E80EF2" w:rsidRPr="0069092B">
        <w:rPr>
          <w:color w:val="002060"/>
        </w:rPr>
        <w:t>4</w:t>
      </w:r>
      <w:r w:rsidRPr="0069092B">
        <w:rPr>
          <w:color w:val="002060"/>
        </w:rPr>
        <w:t>:</w:t>
      </w:r>
    </w:p>
    <w:p w14:paraId="0107BA7C" w14:textId="77777777" w:rsidR="00EB4B63" w:rsidRPr="0069092B" w:rsidRDefault="00EB4B63" w:rsidP="00EB4B63">
      <w:pPr>
        <w:pStyle w:val="ListParagraph"/>
        <w:numPr>
          <w:ilvl w:val="0"/>
          <w:numId w:val="1"/>
        </w:numPr>
        <w:rPr>
          <w:color w:val="002060"/>
        </w:rPr>
      </w:pPr>
      <w:r w:rsidRPr="0069092B">
        <w:rPr>
          <w:color w:val="002060"/>
        </w:rPr>
        <w:t xml:space="preserve">The </w:t>
      </w:r>
      <w:r w:rsidRPr="0069092B">
        <w:rPr>
          <w:color w:val="002060"/>
          <w:u w:val="single"/>
        </w:rPr>
        <w:t>required</w:t>
      </w:r>
      <w:r w:rsidRPr="0069092B">
        <w:rPr>
          <w:color w:val="002060"/>
        </w:rPr>
        <w:t xml:space="preserve"> supplementary information is omitted. </w:t>
      </w:r>
    </w:p>
    <w:p w14:paraId="2089D069" w14:textId="77777777" w:rsidR="00EB4B63" w:rsidRPr="0069092B" w:rsidRDefault="00EB4B63" w:rsidP="00EB4B63">
      <w:pPr>
        <w:pStyle w:val="ListParagraph"/>
        <w:numPr>
          <w:ilvl w:val="0"/>
          <w:numId w:val="1"/>
        </w:numPr>
        <w:rPr>
          <w:color w:val="002060"/>
        </w:rPr>
      </w:pPr>
      <w:r w:rsidRPr="0069092B">
        <w:rPr>
          <w:color w:val="002060"/>
        </w:rPr>
        <w:t xml:space="preserve">Some required supplementary information is missing and some is presented in accordance with the prescribed guidelines. </w:t>
      </w:r>
    </w:p>
    <w:p w14:paraId="620D09CF" w14:textId="77777777" w:rsidR="00EB4B63" w:rsidRPr="0069092B" w:rsidRDefault="00EB4B63" w:rsidP="00EB4B63">
      <w:pPr>
        <w:pStyle w:val="ListParagraph"/>
        <w:numPr>
          <w:ilvl w:val="0"/>
          <w:numId w:val="1"/>
        </w:numPr>
        <w:rPr>
          <w:color w:val="002060"/>
        </w:rPr>
      </w:pPr>
      <w:r w:rsidRPr="0069092B">
        <w:rPr>
          <w:color w:val="002060"/>
        </w:rPr>
        <w:t xml:space="preserve">The auditor has identified material departures from the prescribed guidelines. </w:t>
      </w:r>
    </w:p>
    <w:p w14:paraId="293E4259" w14:textId="77777777" w:rsidR="00EB4B63" w:rsidRPr="0069092B" w:rsidRDefault="00EB4B63" w:rsidP="00EB4B63">
      <w:pPr>
        <w:pStyle w:val="ListParagraph"/>
        <w:numPr>
          <w:ilvl w:val="0"/>
          <w:numId w:val="1"/>
        </w:numPr>
        <w:rPr>
          <w:color w:val="002060"/>
        </w:rPr>
      </w:pPr>
      <w:r w:rsidRPr="0069092B">
        <w:rPr>
          <w:color w:val="002060"/>
        </w:rPr>
        <w:t xml:space="preserve">The auditor is unable to complete the procedures in AU-C 730.05. </w:t>
      </w:r>
    </w:p>
    <w:p w14:paraId="548420F4" w14:textId="13E23D4A" w:rsidR="00EB4B63" w:rsidRPr="0069092B" w:rsidRDefault="00EB4B63" w:rsidP="00EB4B63">
      <w:pPr>
        <w:pStyle w:val="ListParagraph"/>
        <w:numPr>
          <w:ilvl w:val="0"/>
          <w:numId w:val="1"/>
        </w:numPr>
        <w:rPr>
          <w:color w:val="002060"/>
        </w:rPr>
      </w:pPr>
      <w:r w:rsidRPr="0069092B">
        <w:rPr>
          <w:color w:val="002060"/>
        </w:rPr>
        <w:t xml:space="preserve">The auditor has unresolved doubts about whether the required supplementary information is presented in accordance with prescribed guidelines. </w:t>
      </w:r>
    </w:p>
    <w:p w14:paraId="3187D81F" w14:textId="77777777" w:rsidR="000F35A0" w:rsidRPr="0069092B" w:rsidRDefault="000F35A0" w:rsidP="00214F46">
      <w:pPr>
        <w:pStyle w:val="ListParagraph"/>
        <w:ind w:left="1080" w:hanging="540"/>
        <w:rPr>
          <w:color w:val="002060"/>
        </w:rPr>
      </w:pPr>
    </w:p>
    <w:p w14:paraId="30408B12" w14:textId="16255703" w:rsidR="000F35A0" w:rsidRPr="0069092B" w:rsidRDefault="000F35A0" w:rsidP="00214F46">
      <w:pPr>
        <w:pStyle w:val="ListParagraph"/>
        <w:ind w:left="1080" w:hanging="540"/>
        <w:rPr>
          <w:color w:val="002060"/>
        </w:rPr>
      </w:pPr>
      <w:r w:rsidRPr="0069092B">
        <w:rPr>
          <w:color w:val="002060"/>
        </w:rPr>
        <w:t>If all of the RSI is omitted, the section on RSI would be replaced with the following:</w:t>
      </w:r>
    </w:p>
    <w:p w14:paraId="3723F2CD" w14:textId="77777777" w:rsidR="000F35A0" w:rsidRPr="000F35A0" w:rsidRDefault="000F35A0" w:rsidP="000F35A0">
      <w:pPr>
        <w:pStyle w:val="ListParagraph"/>
        <w:ind w:left="1080"/>
        <w:rPr>
          <w:color w:val="000000"/>
        </w:rPr>
      </w:pPr>
    </w:p>
    <w:p w14:paraId="79268453" w14:textId="4B9F4042" w:rsidR="000F35A0" w:rsidRPr="000F35A0" w:rsidRDefault="000F35A0" w:rsidP="000F35A0">
      <w:pPr>
        <w:pStyle w:val="ListParagraph"/>
        <w:ind w:left="1080"/>
        <w:rPr>
          <w:color w:val="000000"/>
        </w:rPr>
      </w:pPr>
      <w:r w:rsidRPr="000F35A0">
        <w:rPr>
          <w:color w:val="000000"/>
        </w:rPr>
        <w:t xml:space="preserve">Management has omitted </w:t>
      </w:r>
      <w:r w:rsidR="00282AB8" w:rsidRPr="00E92DCD">
        <w:rPr>
          <w:b/>
          <w:bCs/>
          <w:i/>
          <w:iCs/>
          <w:color w:val="002060"/>
        </w:rPr>
        <w:t xml:space="preserve">&lt;&lt; </w:t>
      </w:r>
      <w:r w:rsidRPr="00E92DCD">
        <w:rPr>
          <w:b/>
          <w:bCs/>
          <w:i/>
          <w:iCs/>
          <w:color w:val="002060"/>
        </w:rPr>
        <w:t>identify the missing RSI, such as management's discussion and analysis and budgetary comparison information</w:t>
      </w:r>
      <w:r w:rsidR="00282AB8" w:rsidRPr="00E92DCD">
        <w:rPr>
          <w:b/>
          <w:bCs/>
          <w:i/>
          <w:iCs/>
          <w:color w:val="002060"/>
        </w:rPr>
        <w:t xml:space="preserve"> &gt;&gt;</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sidR="004D1688">
        <w:rPr>
          <w:color w:val="000000"/>
        </w:rPr>
        <w:t xml:space="preserve"> is not modified with respect to this matter</w:t>
      </w:r>
      <w:r w:rsidRPr="000F35A0">
        <w:rPr>
          <w:color w:val="000000"/>
        </w:rPr>
        <w:t>.</w:t>
      </w:r>
    </w:p>
    <w:p w14:paraId="55AF6CE5" w14:textId="77777777" w:rsidR="000F35A0" w:rsidRPr="0069092B" w:rsidRDefault="000F35A0" w:rsidP="000F35A0">
      <w:pPr>
        <w:pStyle w:val="ListParagraph"/>
        <w:ind w:left="1080"/>
        <w:rPr>
          <w:color w:val="002060"/>
        </w:rPr>
      </w:pPr>
    </w:p>
    <w:p w14:paraId="695605A4" w14:textId="45F17A10" w:rsidR="000F35A0" w:rsidRPr="0069092B" w:rsidRDefault="000F35A0" w:rsidP="00214F46">
      <w:pPr>
        <w:pStyle w:val="ListParagraph"/>
        <w:ind w:left="540"/>
        <w:rPr>
          <w:color w:val="002060"/>
        </w:rPr>
      </w:pPr>
      <w:r w:rsidRPr="0069092B">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5107FB80" w14:textId="77777777" w:rsidR="00214F46" w:rsidRPr="00A66133" w:rsidRDefault="00214F46" w:rsidP="00EB4B63">
      <w:pPr>
        <w:pStyle w:val="EndnoteText"/>
      </w:pPr>
    </w:p>
  </w:endnote>
  <w:endnote w:id="11">
    <w:p w14:paraId="1BBB44DF" w14:textId="4E3D300A" w:rsidR="00EB4B63" w:rsidRPr="0069092B" w:rsidRDefault="00EB4B63" w:rsidP="00EB4B63">
      <w:pPr>
        <w:pStyle w:val="EndnoteText"/>
        <w:tabs>
          <w:tab w:val="left" w:pos="547"/>
        </w:tabs>
        <w:ind w:left="547" w:hanging="547"/>
        <w:rPr>
          <w:color w:val="002060"/>
        </w:rPr>
      </w:pPr>
      <w:r w:rsidRPr="00A66133">
        <w:rPr>
          <w:rStyle w:val="EndnoteReference"/>
        </w:rPr>
        <w:endnoteRef/>
      </w:r>
      <w:r w:rsidRPr="00A66133">
        <w:tab/>
      </w:r>
      <w:r w:rsidRPr="0069092B">
        <w:rPr>
          <w:color w:val="002060"/>
        </w:rPr>
        <w:t xml:space="preserve">Modify the list of </w:t>
      </w:r>
      <w:r w:rsidRPr="0069092B">
        <w:rPr>
          <w:i/>
          <w:color w:val="002060"/>
        </w:rPr>
        <w:t>supplementary information</w:t>
      </w:r>
      <w:r w:rsidRPr="0069092B">
        <w:rPr>
          <w:color w:val="002060"/>
        </w:rPr>
        <w:t xml:space="preserve"> </w:t>
      </w:r>
      <w:r w:rsidR="00A87581" w:rsidRPr="0069092B">
        <w:rPr>
          <w:color w:val="002060"/>
        </w:rPr>
        <w:t>section</w:t>
      </w:r>
      <w:r w:rsidRPr="0069092B">
        <w:rPr>
          <w:color w:val="002060"/>
        </w:rPr>
        <w:t xml:space="preserve"> as necessary.  See SLG 1</w:t>
      </w:r>
      <w:r w:rsidR="00AE42F0" w:rsidRPr="0069092B">
        <w:rPr>
          <w:color w:val="002060"/>
        </w:rPr>
        <w:t>7</w:t>
      </w:r>
      <w:r w:rsidRPr="0069092B">
        <w:rPr>
          <w:color w:val="002060"/>
        </w:rPr>
        <w:t>.</w:t>
      </w:r>
      <w:r w:rsidR="00A87581" w:rsidRPr="0069092B">
        <w:rPr>
          <w:color w:val="002060"/>
        </w:rPr>
        <w:t>8</w:t>
      </w:r>
      <w:r w:rsidR="00E80EF2" w:rsidRPr="0069092B">
        <w:rPr>
          <w:color w:val="002060"/>
        </w:rPr>
        <w:t>5</w:t>
      </w:r>
      <w:r w:rsidR="00A87581" w:rsidRPr="0069092B">
        <w:rPr>
          <w:color w:val="002060"/>
        </w:rPr>
        <w:t>-.</w:t>
      </w:r>
      <w:r w:rsidR="00E80EF2" w:rsidRPr="0069092B">
        <w:rPr>
          <w:color w:val="002060"/>
        </w:rPr>
        <w:t>90</w:t>
      </w:r>
      <w:r w:rsidRPr="0069092B">
        <w:rPr>
          <w:color w:val="002060"/>
        </w:rPr>
        <w:t>.  Also:</w:t>
      </w:r>
    </w:p>
    <w:p w14:paraId="7A4DE5AA" w14:textId="671A959C" w:rsidR="00EB4B63" w:rsidRPr="00A66133" w:rsidRDefault="00EB4B63" w:rsidP="00EB4B63">
      <w:pPr>
        <w:pStyle w:val="EndnoteText"/>
        <w:numPr>
          <w:ilvl w:val="0"/>
          <w:numId w:val="2"/>
        </w:numPr>
        <w:tabs>
          <w:tab w:val="left" w:pos="547"/>
        </w:tabs>
      </w:pPr>
      <w:r w:rsidRPr="0069092B">
        <w:rPr>
          <w:color w:val="002060"/>
        </w:rPr>
        <w:t xml:space="preserve">If an opinion </w:t>
      </w:r>
      <w:r w:rsidR="005C6023" w:rsidRPr="0069092B">
        <w:rPr>
          <w:color w:val="002060"/>
        </w:rPr>
        <w:t>qualifi</w:t>
      </w:r>
      <w:r w:rsidR="004D1688" w:rsidRPr="0069092B">
        <w:rPr>
          <w:color w:val="002060"/>
        </w:rPr>
        <w:t>cation</w:t>
      </w:r>
      <w:r w:rsidRPr="0069092B">
        <w:rPr>
          <w:color w:val="002060"/>
        </w:rPr>
        <w:t xml:space="preserve"> on the financial statements also affects the supplementary information, include a statement that, in the auditor's opinion, </w:t>
      </w:r>
      <w:r w:rsidRPr="0069092B">
        <w:rPr>
          <w:b/>
          <w:i/>
          <w:color w:val="002060"/>
        </w:rPr>
        <w:t>except for</w:t>
      </w:r>
      <w:r w:rsidRPr="0069092B">
        <w:rPr>
          <w:color w:val="002060"/>
        </w:rPr>
        <w:t xml:space="preserve"> the effects on the supplementary information of (refer to the paragraph in the auditor's report explaining the </w:t>
      </w:r>
      <w:r w:rsidR="005C6023" w:rsidRPr="0069092B">
        <w:rPr>
          <w:color w:val="002060"/>
        </w:rPr>
        <w:t>qualifi</w:t>
      </w:r>
      <w:r w:rsidR="004D1688" w:rsidRPr="0069092B">
        <w:rPr>
          <w:color w:val="002060"/>
        </w:rPr>
        <w:t>cation</w:t>
      </w:r>
      <w:r w:rsidRPr="0069092B">
        <w:rPr>
          <w:color w:val="002060"/>
        </w:rPr>
        <w:t>), this information is fairly stated, in all material respects, in relation to the financial statements as a whole.   See AU-C 725.09(f)</w:t>
      </w:r>
      <w:r w:rsidRPr="00A66133">
        <w:rPr>
          <w:color w:val="000000"/>
        </w:rPr>
        <w:t>.</w:t>
      </w:r>
    </w:p>
    <w:p w14:paraId="1970B5FA" w14:textId="77777777" w:rsidR="00EB4B63" w:rsidRPr="00A66133" w:rsidRDefault="00EB4B63" w:rsidP="00EB4B63">
      <w:pPr>
        <w:pStyle w:val="EndnoteText"/>
        <w:tabs>
          <w:tab w:val="left" w:pos="547"/>
        </w:tabs>
        <w:ind w:left="1800"/>
      </w:pPr>
    </w:p>
    <w:p w14:paraId="1401FE2E" w14:textId="01EA6B66" w:rsidR="00EB4B63" w:rsidRPr="00F33C51" w:rsidRDefault="00EB4B63" w:rsidP="00EB4B63">
      <w:pPr>
        <w:pStyle w:val="EndnoteText"/>
        <w:numPr>
          <w:ilvl w:val="0"/>
          <w:numId w:val="2"/>
        </w:numPr>
        <w:tabs>
          <w:tab w:val="left" w:pos="547"/>
        </w:tabs>
        <w:rPr>
          <w:b/>
          <w:color w:val="C00000"/>
        </w:rPr>
      </w:pPr>
      <w:r w:rsidRPr="0069092B">
        <w:rPr>
          <w:color w:val="002060"/>
        </w:rPr>
        <w:t xml:space="preserve">We must disclaim on this information if we render an adverse opinion or disclaimer of opinion. </w:t>
      </w:r>
      <w:r w:rsidRPr="00A66133">
        <w:t xml:space="preserve"> </w:t>
      </w:r>
    </w:p>
    <w:p w14:paraId="2B80F3B1" w14:textId="77777777" w:rsidR="00EB4B63" w:rsidRPr="00F33C51" w:rsidRDefault="00EB4B63" w:rsidP="00EB4B63">
      <w:pPr>
        <w:pStyle w:val="ListParagraph"/>
        <w:rPr>
          <w:b/>
          <w:color w:val="C00000"/>
        </w:rPr>
      </w:pPr>
    </w:p>
    <w:p w14:paraId="0D11A3FF" w14:textId="77777777" w:rsidR="00EB4B63" w:rsidRPr="0069092B" w:rsidRDefault="00EB4B63" w:rsidP="00EB4B63">
      <w:pPr>
        <w:pStyle w:val="EndnoteText"/>
        <w:numPr>
          <w:ilvl w:val="0"/>
          <w:numId w:val="2"/>
        </w:numPr>
        <w:tabs>
          <w:tab w:val="left" w:pos="547"/>
        </w:tabs>
        <w:rPr>
          <w:color w:val="002060"/>
        </w:rPr>
      </w:pPr>
      <w:r w:rsidRPr="0069092B">
        <w:rPr>
          <w:color w:val="002060"/>
        </w:rPr>
        <w:t xml:space="preserve">Remove reference to </w:t>
      </w:r>
      <w:r w:rsidRPr="0069092B">
        <w:rPr>
          <w:i/>
          <w:color w:val="002060"/>
        </w:rPr>
        <w:t xml:space="preserve">Schedule of Expenditures of Federal Awards </w:t>
      </w:r>
      <w:r w:rsidRPr="0069092B">
        <w:rPr>
          <w:color w:val="002060"/>
        </w:rPr>
        <w:t>when reporting over it is instead included in the Single Audit Letter.</w:t>
      </w:r>
    </w:p>
    <w:p w14:paraId="78CD272E" w14:textId="77777777" w:rsidR="00EB4B63" w:rsidRPr="0069092B" w:rsidRDefault="00EB4B63" w:rsidP="00EB4B63">
      <w:pPr>
        <w:pStyle w:val="ListParagraph"/>
        <w:rPr>
          <w:color w:val="002060"/>
        </w:rPr>
      </w:pPr>
    </w:p>
    <w:p w14:paraId="7164FCBB" w14:textId="1926E6D9" w:rsidR="00EB4B63" w:rsidRPr="0069092B" w:rsidRDefault="00EB4B63" w:rsidP="00EB4B63">
      <w:pPr>
        <w:pStyle w:val="EndnoteText"/>
        <w:numPr>
          <w:ilvl w:val="0"/>
          <w:numId w:val="2"/>
        </w:numPr>
        <w:tabs>
          <w:tab w:val="left" w:pos="547"/>
        </w:tabs>
        <w:rPr>
          <w:color w:val="002060"/>
        </w:rPr>
      </w:pPr>
      <w:r w:rsidRPr="0069092B">
        <w:rPr>
          <w:b/>
          <w:i/>
          <w:color w:val="002060"/>
        </w:rPr>
        <w:t xml:space="preserve">Important: </w:t>
      </w:r>
      <w:r w:rsidRPr="0069092B">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w:t>
      </w:r>
      <w:r w:rsidR="00542090">
        <w:rPr>
          <w:color w:val="002060"/>
        </w:rPr>
        <w:t>e</w:t>
      </w:r>
      <w:r w:rsidR="00DC299E" w:rsidRPr="00542090">
        <w:rPr>
          <w:color w:val="002060"/>
        </w:rPr>
        <w:t>ntity</w:t>
      </w:r>
      <w:r w:rsidRPr="00542090">
        <w:rPr>
          <w:color w:val="002060"/>
        </w:rPr>
        <w:t>.</w:t>
      </w:r>
    </w:p>
    <w:p w14:paraId="5C8129F4" w14:textId="77777777" w:rsidR="00A87581" w:rsidRPr="0069092B" w:rsidRDefault="00A87581" w:rsidP="00EB4B63">
      <w:pPr>
        <w:pStyle w:val="EndnoteText"/>
        <w:tabs>
          <w:tab w:val="left" w:pos="547"/>
        </w:tabs>
        <w:rPr>
          <w:color w:val="002060"/>
        </w:rPr>
      </w:pPr>
    </w:p>
  </w:endnote>
  <w:endnote w:id="12">
    <w:p w14:paraId="3F657270" w14:textId="77777777" w:rsidR="006470EC" w:rsidRPr="00A66133" w:rsidRDefault="006470EC" w:rsidP="006470EC">
      <w:pPr>
        <w:pStyle w:val="EndnoteText"/>
        <w:tabs>
          <w:tab w:val="left" w:pos="0"/>
        </w:tabs>
        <w:ind w:left="547" w:hanging="547"/>
        <w:jc w:val="both"/>
      </w:pPr>
      <w:r w:rsidRPr="0069092B">
        <w:rPr>
          <w:rStyle w:val="EndnoteReference"/>
          <w:color w:val="002060"/>
        </w:rPr>
        <w:endnoteRef/>
      </w:r>
      <w:r w:rsidRPr="0069092B">
        <w:rPr>
          <w:color w:val="002060"/>
        </w:rPr>
        <w:t xml:space="preserve">    </w:t>
      </w:r>
      <w:r w:rsidRPr="0069092B">
        <w:rPr>
          <w:color w:val="002060"/>
        </w:rPr>
        <w:tab/>
        <w:t xml:space="preserve">This last sentence derives from AU-C 720, and relates to financial or nonfinancial information that is neither RSI nor </w:t>
      </w:r>
      <w:r w:rsidRPr="0069092B">
        <w:rPr>
          <w:i/>
          <w:color w:val="002060"/>
        </w:rPr>
        <w:t>supplementary information</w:t>
      </w:r>
      <w:r w:rsidRPr="0069092B">
        <w:rPr>
          <w:color w:val="002060"/>
        </w:rPr>
        <w:t xml:space="preserve"> subject to AU-C 725.  Examples include </w:t>
      </w:r>
      <w:r w:rsidRPr="0069092B">
        <w:rPr>
          <w:i/>
          <w:color w:val="002060"/>
        </w:rPr>
        <w:t>introductory information</w:t>
      </w:r>
      <w:r w:rsidRPr="0069092B">
        <w:rPr>
          <w:color w:val="002060"/>
        </w:rPr>
        <w:t xml:space="preserve"> or </w:t>
      </w:r>
      <w:r w:rsidRPr="0069092B">
        <w:rPr>
          <w:i/>
          <w:color w:val="002060"/>
        </w:rPr>
        <w:t xml:space="preserve">statistical tables, </w:t>
      </w:r>
      <w:r w:rsidRPr="0069092B">
        <w:rPr>
          <w:color w:val="002060"/>
        </w:rPr>
        <w:t>which are not subject to an</w:t>
      </w:r>
      <w:r w:rsidRPr="0069092B">
        <w:rPr>
          <w:i/>
          <w:color w:val="002060"/>
        </w:rPr>
        <w:t xml:space="preserve"> “in-relation-to opinion.”</w:t>
      </w:r>
      <w:r w:rsidRPr="0069092B">
        <w:rPr>
          <w:color w:val="002060"/>
        </w:rPr>
        <w:t xml:space="preserve"> </w:t>
      </w:r>
      <w:r w:rsidRPr="00A66133">
        <w:t xml:space="preserve"> </w:t>
      </w:r>
    </w:p>
    <w:p w14:paraId="31E41080" w14:textId="77777777" w:rsidR="006470EC" w:rsidRPr="00A66133" w:rsidRDefault="006470EC" w:rsidP="006470EC">
      <w:pPr>
        <w:pStyle w:val="EndnoteText"/>
        <w:tabs>
          <w:tab w:val="left" w:pos="0"/>
        </w:tabs>
        <w:ind w:left="547" w:hanging="547"/>
        <w:jc w:val="both"/>
      </w:pPr>
    </w:p>
    <w:p w14:paraId="1559C1DD" w14:textId="67B145E1" w:rsidR="006470EC" w:rsidRPr="00A66133" w:rsidRDefault="006470EC" w:rsidP="006470EC">
      <w:pPr>
        <w:pStyle w:val="EndnoteText"/>
        <w:tabs>
          <w:tab w:val="left" w:pos="0"/>
        </w:tabs>
        <w:ind w:left="547" w:hanging="547"/>
        <w:jc w:val="both"/>
      </w:pPr>
      <w:r>
        <w:tab/>
      </w:r>
      <w:r w:rsidRPr="0069092B">
        <w:rPr>
          <w:color w:val="002060"/>
        </w:rPr>
        <w:t>Our responsibility for this “unaudited” information is only to “read it”</w:t>
      </w:r>
      <w:r w:rsidRPr="002A66C1">
        <w:rPr>
          <w:b/>
          <w:color w:val="FF0000"/>
          <w:sz w:val="24"/>
          <w:szCs w:val="24"/>
        </w:rPr>
        <w:t>*</w:t>
      </w:r>
      <w:r w:rsidRPr="00A66133">
        <w:rPr>
          <w:color w:val="FF0000"/>
        </w:rPr>
        <w:t xml:space="preserve"> </w:t>
      </w:r>
      <w:r w:rsidRPr="0069092B">
        <w:rPr>
          <w:color w:val="002060"/>
        </w:rPr>
        <w:t xml:space="preserve">to determine if (1) material inconsistencies exist between it and the audited statements, or (2) this information includes material misstatements of fact. </w:t>
      </w:r>
    </w:p>
    <w:p w14:paraId="2F6EFA14" w14:textId="77777777" w:rsidR="006470EC" w:rsidRPr="00A66133" w:rsidRDefault="006470EC" w:rsidP="006470EC">
      <w:pPr>
        <w:pStyle w:val="EndnoteText"/>
        <w:tabs>
          <w:tab w:val="left" w:pos="0"/>
        </w:tabs>
        <w:ind w:left="547" w:hanging="547"/>
        <w:jc w:val="both"/>
      </w:pPr>
    </w:p>
    <w:p w14:paraId="4F7C8CFC" w14:textId="2CC77601" w:rsidR="006470EC" w:rsidRPr="0069092B" w:rsidRDefault="006470EC" w:rsidP="006470EC">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69092B">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w:t>
      </w:r>
      <w:r w:rsidR="009A4410" w:rsidRPr="0069092B">
        <w:rPr>
          <w:color w:val="002060"/>
        </w:rPr>
        <w:t>7</w:t>
      </w:r>
      <w:r w:rsidRPr="0069092B">
        <w:rPr>
          <w:color w:val="002060"/>
        </w:rPr>
        <w:t>.</w:t>
      </w:r>
      <w:r w:rsidR="00A87581" w:rsidRPr="0069092B">
        <w:rPr>
          <w:color w:val="002060"/>
        </w:rPr>
        <w:t>9</w:t>
      </w:r>
      <w:r w:rsidR="00E80EF2" w:rsidRPr="0069092B">
        <w:rPr>
          <w:color w:val="002060"/>
        </w:rPr>
        <w:t>1</w:t>
      </w:r>
      <w:r w:rsidR="00A87581" w:rsidRPr="0069092B">
        <w:rPr>
          <w:color w:val="002060"/>
        </w:rPr>
        <w:t>-.93</w:t>
      </w:r>
      <w:r w:rsidRPr="0069092B">
        <w:rPr>
          <w:color w:val="002060"/>
        </w:rPr>
        <w:t>)</w:t>
      </w:r>
    </w:p>
    <w:p w14:paraId="4E9C8C07" w14:textId="77777777" w:rsidR="006470EC" w:rsidRDefault="006470EC" w:rsidP="006470EC">
      <w:pPr>
        <w:pStyle w:val="EndnoteText"/>
        <w:tabs>
          <w:tab w:val="left" w:pos="0"/>
        </w:tabs>
        <w:ind w:left="547" w:hanging="547"/>
        <w:jc w:val="both"/>
      </w:pPr>
    </w:p>
  </w:endnote>
  <w:endnote w:id="13">
    <w:p w14:paraId="261CC98A" w14:textId="7B1F8FEF" w:rsidR="00EB4B63" w:rsidRPr="0069092B" w:rsidRDefault="00EB4B63" w:rsidP="00EB4B63">
      <w:pPr>
        <w:pStyle w:val="EndnoteText"/>
        <w:tabs>
          <w:tab w:val="left" w:pos="540"/>
        </w:tabs>
        <w:ind w:left="540" w:hanging="540"/>
        <w:rPr>
          <w:color w:val="002060"/>
        </w:rPr>
      </w:pPr>
      <w:r>
        <w:rPr>
          <w:rStyle w:val="EndnoteReference"/>
        </w:rPr>
        <w:endnoteRef/>
      </w:r>
      <w:r>
        <w:t xml:space="preserve"> </w:t>
      </w:r>
      <w:r>
        <w:tab/>
      </w:r>
      <w:r w:rsidRPr="0069092B">
        <w:rPr>
          <w:color w:val="002060"/>
        </w:rPr>
        <w:t>Modify this to say “</w:t>
      </w:r>
      <w:r>
        <w:t>will also issue</w:t>
      </w:r>
      <w:r w:rsidRPr="0069092B">
        <w:rPr>
          <w:color w:val="002060"/>
        </w:rPr>
        <w:t>” when issuing a</w:t>
      </w:r>
      <w:r w:rsidR="003D636E" w:rsidRPr="0069092B">
        <w:rPr>
          <w:color w:val="002060"/>
        </w:rPr>
        <w:t>n</w:t>
      </w:r>
      <w:r w:rsidRPr="0069092B">
        <w:rPr>
          <w:color w:val="002060"/>
        </w:rPr>
        <w:t xml:space="preserve"> </w:t>
      </w:r>
      <w:r w:rsidR="003D636E" w:rsidRPr="0069092B">
        <w:rPr>
          <w:color w:val="002060"/>
        </w:rPr>
        <w:t>AC</w:t>
      </w:r>
      <w:r w:rsidRPr="0069092B">
        <w:rPr>
          <w:color w:val="002060"/>
        </w:rPr>
        <w:t>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58110"/>
      <w:docPartObj>
        <w:docPartGallery w:val="Page Numbers (Bottom of Page)"/>
        <w:docPartUnique/>
      </w:docPartObj>
    </w:sdtPr>
    <w:sdtEndPr>
      <w:rPr>
        <w:noProof/>
      </w:rPr>
    </w:sdtEndPr>
    <w:sdtContent>
      <w:p w14:paraId="5DEF07B3" w14:textId="54CBB058" w:rsidR="000A1A0F" w:rsidRDefault="000A1A0F">
        <w:pPr>
          <w:pStyle w:val="Footer"/>
          <w:jc w:val="center"/>
        </w:pPr>
        <w:r>
          <w:fldChar w:fldCharType="begin"/>
        </w:r>
        <w:r>
          <w:instrText xml:space="preserve"> PAGE   \* MERGEFORMAT </w:instrText>
        </w:r>
        <w:r>
          <w:fldChar w:fldCharType="separate"/>
        </w:r>
        <w:r w:rsidR="00F33C51">
          <w:rPr>
            <w:noProof/>
          </w:rPr>
          <w:t>8</w:t>
        </w:r>
        <w:r>
          <w:rPr>
            <w:noProof/>
          </w:rPr>
          <w:fldChar w:fldCharType="end"/>
        </w:r>
      </w:p>
    </w:sdtContent>
  </w:sdt>
  <w:p w14:paraId="0FDF1BE3" w14:textId="77777777" w:rsidR="000A1A0F" w:rsidRDefault="000A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596C" w14:textId="77777777" w:rsidR="00EB4B63" w:rsidRDefault="00EB4B63" w:rsidP="00F464B8">
    <w:pPr>
      <w:pStyle w:val="Header"/>
    </w:pPr>
  </w:p>
  <w:p w14:paraId="30BC9E50" w14:textId="77777777" w:rsidR="00171F65" w:rsidRDefault="00171F65" w:rsidP="00171F65">
    <w:pPr>
      <w:pStyle w:val="Footer"/>
      <w:tabs>
        <w:tab w:val="decimal" w:pos="540"/>
        <w:tab w:val="left" w:pos="1520"/>
        <w:tab w:val="center" w:pos="4500"/>
      </w:tabs>
      <w:jc w:val="center"/>
      <w:rPr>
        <w:rFonts w:ascii="Garamond" w:hAnsi="Garamond" w:cs="Times New Roman"/>
      </w:rPr>
    </w:pPr>
    <w:r>
      <w:rPr>
        <w:noProof/>
      </w:rPr>
      <mc:AlternateContent>
        <mc:Choice Requires="wps">
          <w:drawing>
            <wp:anchor distT="0" distB="0" distL="114300" distR="114300" simplePos="0" relativeHeight="251663360" behindDoc="0" locked="0" layoutInCell="1" allowOverlap="1" wp14:anchorId="6F2866EE" wp14:editId="7C019991">
              <wp:simplePos x="0" y="0"/>
              <wp:positionH relativeFrom="column">
                <wp:posOffset>0</wp:posOffset>
              </wp:positionH>
              <wp:positionV relativeFrom="paragraph">
                <wp:posOffset>-76200</wp:posOffset>
              </wp:positionV>
              <wp:extent cx="5937250" cy="635"/>
              <wp:effectExtent l="0" t="0" r="25400" b="37465"/>
              <wp:wrapNone/>
              <wp:docPr id="7" name="Straight Connector 7"/>
              <wp:cNvGraphicFramePr/>
              <a:graphic xmlns:a="http://schemas.openxmlformats.org/drawingml/2006/main">
                <a:graphicData uri="http://schemas.microsoft.com/office/word/2010/wordprocessingShape">
                  <wps:wsp>
                    <wps:cNvCnPr/>
                    <wps:spPr>
                      <a:xfrm>
                        <a:off x="0" y="0"/>
                        <a:ext cx="5937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AD30C"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6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664384" behindDoc="0" locked="0" layoutInCell="1" allowOverlap="1" wp14:anchorId="646D3919" wp14:editId="4D3463CD">
              <wp:simplePos x="0" y="0"/>
              <wp:positionH relativeFrom="column">
                <wp:posOffset>1071245</wp:posOffset>
              </wp:positionH>
              <wp:positionV relativeFrom="paragraph">
                <wp:posOffset>-24765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D4E9A4"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Pr>
        <w:rFonts w:ascii="Century Gothic" w:hAnsi="Century Gothic" w:cs="Times New Roman"/>
        <w:sz w:val="22"/>
      </w:rPr>
      <w:t>Efficient</w:t>
    </w:r>
    <w:r>
      <w:rPr>
        <w:rFonts w:cs="Times New Roman"/>
      </w:rPr>
      <w:t xml:space="preserve"> </w:t>
    </w:r>
    <w:r>
      <w:rPr>
        <w:rFonts w:ascii="Garamond" w:hAnsi="Garamond" w:cs="Times New Roman"/>
      </w:rPr>
      <w:t xml:space="preserve">       </w:t>
    </w:r>
    <w:r>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Garamond" w:hAnsi="Garamond" w:cs="Times New Roman"/>
      </w:rPr>
      <w:t xml:space="preserve"> </w:t>
    </w:r>
    <w:r>
      <w:rPr>
        <w:rFonts w:ascii="Century Gothic" w:hAnsi="Century Gothic" w:cs="Times New Roman"/>
        <w:sz w:val="22"/>
      </w:rPr>
      <w:t>Effective</w:t>
    </w:r>
    <w:r>
      <w:rPr>
        <w:rFonts w:cs="Times New Roman"/>
        <w:sz w:val="22"/>
      </w:rPr>
      <w:t xml:space="preserve"> </w:t>
    </w:r>
    <w:r>
      <w:rPr>
        <w:rFonts w:ascii="Garamond" w:hAnsi="Garamond" w:cs="Times New Roman"/>
        <w:sz w:val="22"/>
      </w:rPr>
      <w:t xml:space="preserve">       </w:t>
    </w:r>
    <w:r>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Garamond" w:hAnsi="Garamond" w:cs="Times New Roman"/>
      </w:rPr>
      <w:t xml:space="preserve"> </w:t>
    </w:r>
    <w:r>
      <w:rPr>
        <w:rFonts w:ascii="Century Gothic" w:hAnsi="Century Gothic" w:cs="Times New Roman"/>
        <w:sz w:val="22"/>
      </w:rPr>
      <w:t>Transparent</w:t>
    </w:r>
  </w:p>
  <w:p w14:paraId="4F123901" w14:textId="77777777" w:rsidR="00171F65" w:rsidRDefault="00171F65" w:rsidP="00171F65">
    <w:pPr>
      <w:pStyle w:val="Footer"/>
      <w:jc w:val="center"/>
    </w:pPr>
  </w:p>
  <w:p w14:paraId="0921C252" w14:textId="77777777" w:rsidR="00171F65" w:rsidRDefault="00D334E8" w:rsidP="00171F65">
    <w:pPr>
      <w:pStyle w:val="Footer"/>
      <w:tabs>
        <w:tab w:val="clear" w:pos="4680"/>
      </w:tabs>
      <w:jc w:val="center"/>
    </w:pPr>
    <w:sdt>
      <w:sdtPr>
        <w:rPr>
          <w:noProof/>
        </w:rPr>
        <w:id w:val="2100210271"/>
        <w:docPartObj>
          <w:docPartGallery w:val="Page Numbers (Bottom of Page)"/>
          <w:docPartUnique/>
        </w:docPartObj>
      </w:sdtPr>
      <w:sdtEndPr/>
      <w:sdtContent>
        <w:r w:rsidR="00171F65">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3FF8A" w14:textId="77777777" w:rsidR="00282AB8" w:rsidRPr="00A83264" w:rsidRDefault="00282AB8" w:rsidP="00A8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963FF" w14:textId="77777777" w:rsidR="004067FA" w:rsidRDefault="004067FA" w:rsidP="00EB4B63">
      <w:r>
        <w:separator/>
      </w:r>
    </w:p>
  </w:footnote>
  <w:footnote w:type="continuationSeparator" w:id="0">
    <w:p w14:paraId="31BE5F73" w14:textId="77777777" w:rsidR="004067FA" w:rsidRDefault="004067FA" w:rsidP="00EB4B63">
      <w:r>
        <w:continuationSeparator/>
      </w:r>
    </w:p>
  </w:footnote>
  <w:footnote w:id="1">
    <w:p w14:paraId="70AB9C82" w14:textId="4515AB49" w:rsidR="00EB4B63" w:rsidRPr="00BA7E7A" w:rsidRDefault="00EB4B63" w:rsidP="00EB4B63">
      <w:pPr>
        <w:pStyle w:val="FootnoteText"/>
        <w:rPr>
          <w:strike/>
        </w:rPr>
      </w:pPr>
      <w:r w:rsidRPr="00714F1A">
        <w:rPr>
          <w:rStyle w:val="FootnoteReference"/>
        </w:rPr>
        <w:footnoteRef/>
      </w:r>
      <w:r w:rsidRPr="00714F1A">
        <w:t xml:space="preserve"> </w:t>
      </w:r>
      <w:r w:rsidR="00FE0108">
        <w:rPr>
          <w:u w:val="double"/>
        </w:rPr>
        <w:t xml:space="preserve">Updated </w:t>
      </w:r>
      <w:r w:rsidR="00E80EF2">
        <w:rPr>
          <w:u w:val="double"/>
        </w:rPr>
        <w:t xml:space="preserve">Nov </w:t>
      </w:r>
      <w:r w:rsidR="00FE0108" w:rsidRPr="00E80EF2">
        <w:rPr>
          <w:strike/>
          <w:u w:val="double"/>
        </w:rPr>
        <w:t>May</w:t>
      </w:r>
      <w:r w:rsidR="00FE0108">
        <w:rPr>
          <w:u w:val="double"/>
        </w:rPr>
        <w:t xml:space="preserve"> 2024 for </w:t>
      </w:r>
      <w:r w:rsidR="00E80EF2">
        <w:rPr>
          <w:u w:val="double"/>
        </w:rPr>
        <w:t xml:space="preserve">minor edits to SLG references in </w:t>
      </w:r>
      <w:r w:rsidR="0069092B" w:rsidRPr="0069092B">
        <w:rPr>
          <w:u w:val="double"/>
        </w:rPr>
        <w:t>endnotes</w:t>
      </w:r>
      <w:r w:rsidR="0069092B">
        <w:rPr>
          <w:u w:val="double"/>
        </w:rPr>
        <w:t xml:space="preserve"> </w:t>
      </w:r>
      <w:r w:rsidR="0069092B" w:rsidRPr="0069092B">
        <w:rPr>
          <w:u w:val="double"/>
        </w:rPr>
        <w:t>(not marked)</w:t>
      </w:r>
      <w:r w:rsidR="0069092B">
        <w:rPr>
          <w:u w:val="double"/>
        </w:rPr>
        <w:t>,</w:t>
      </w:r>
      <w:r w:rsidR="0069092B" w:rsidRPr="0069092B">
        <w:rPr>
          <w:u w:val="double"/>
        </w:rPr>
        <w:t xml:space="preserve"> clarification of comparative information/financial statements, and new endnote </w:t>
      </w:r>
      <w:r w:rsidR="0069092B">
        <w:rPr>
          <w:u w:val="double"/>
        </w:rPr>
        <w:t xml:space="preserve">8. </w:t>
      </w:r>
      <w:r w:rsidR="00E80EF2">
        <w:rPr>
          <w:u w:val="double"/>
        </w:rPr>
        <w:t xml:space="preserve"> </w:t>
      </w:r>
      <w:r w:rsidR="00FE0108" w:rsidRPr="00E80EF2">
        <w:rPr>
          <w:strike/>
          <w:u w:val="double"/>
        </w:rPr>
        <w:t>letterhead and other minor changes (not marked).</w:t>
      </w:r>
      <w:r w:rsidR="00FE0108">
        <w:rPr>
          <w:u w:val="doub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7F72A" w14:textId="0ACF2CF5" w:rsidR="00EB4B63" w:rsidRDefault="007A0713">
    <w:pPr>
      <w:pStyle w:val="Header"/>
    </w:pPr>
    <w:r>
      <w:rPr>
        <w:highlight w:val="lightGray"/>
      </w:rPr>
      <w:t>Entity Name</w:t>
    </w:r>
  </w:p>
  <w:p w14:paraId="5DF1CE90" w14:textId="15D1B1CC" w:rsidR="00EB4B63" w:rsidRDefault="007A0713">
    <w:pPr>
      <w:pStyle w:val="Header"/>
    </w:pPr>
    <w:r>
      <w:rPr>
        <w:highlight w:val="lightGray"/>
      </w:rPr>
      <w:t>County Name</w:t>
    </w:r>
  </w:p>
  <w:p w14:paraId="208E4F05" w14:textId="77777777" w:rsidR="00EB4B63" w:rsidRDefault="00EB4B63">
    <w:pPr>
      <w:pStyle w:val="Header"/>
    </w:pPr>
    <w:r>
      <w:t>Independent Auditor’s Report</w:t>
    </w:r>
  </w:p>
  <w:p w14:paraId="0E7A2B17" w14:textId="04AC1EED" w:rsidR="00EB4B63" w:rsidRDefault="00EB4B63">
    <w:pPr>
      <w:pStyle w:val="Header"/>
      <w:rPr>
        <w:noProof/>
      </w:rPr>
    </w:pPr>
    <w:r>
      <w:t>Page</w:t>
    </w:r>
    <w:r w:rsidR="00417A08">
      <w:t xml:space="preserve"> </w:t>
    </w:r>
    <w:r w:rsidR="00417A08">
      <w:fldChar w:fldCharType="begin"/>
    </w:r>
    <w:r w:rsidR="00417A08">
      <w:instrText xml:space="preserve"> PAGE   \* MERGEFORMAT </w:instrText>
    </w:r>
    <w:r w:rsidR="00417A08">
      <w:fldChar w:fldCharType="separate"/>
    </w:r>
    <w:r w:rsidR="00F33C51">
      <w:rPr>
        <w:noProof/>
      </w:rPr>
      <w:t>5</w:t>
    </w:r>
    <w:r w:rsidR="00417A08">
      <w:rPr>
        <w:noProof/>
      </w:rPr>
      <w:fldChar w:fldCharType="end"/>
    </w:r>
  </w:p>
  <w:p w14:paraId="087D518D" w14:textId="77777777" w:rsidR="00AB77F4" w:rsidRDefault="00AB77F4">
    <w:pPr>
      <w:pStyle w:val="Header"/>
      <w:rPr>
        <w:noProof/>
      </w:rPr>
    </w:pPr>
  </w:p>
  <w:p w14:paraId="7FD3D4A3" w14:textId="77777777" w:rsidR="00EB4B63" w:rsidRDefault="00EB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767E" w14:textId="60DC869D" w:rsidR="00EB4B63" w:rsidRPr="00542090" w:rsidRDefault="00542090" w:rsidP="00542090">
    <w:pPr>
      <w:pStyle w:val="Header"/>
      <w:jc w:val="center"/>
      <w:rPr>
        <w:color w:val="FF0000"/>
      </w:rPr>
    </w:pPr>
    <w:r w:rsidRPr="00542090">
      <w:rPr>
        <w:rFonts w:cs="Times New Roman"/>
        <w:b/>
        <w:bCs/>
        <w:noProof/>
        <w:color w:val="FF0000"/>
        <w:sz w:val="24"/>
        <w:szCs w:val="24"/>
      </w:rPr>
      <w:t>IPAs: Insert IPA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20F9" w14:textId="77777777" w:rsidR="00282AB8" w:rsidRDefault="00282A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5EA5A" w14:textId="77777777" w:rsidR="00282AB8" w:rsidRDefault="0028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D057D0F"/>
    <w:multiLevelType w:val="hybridMultilevel"/>
    <w:tmpl w:val="EC82DFF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0118387">
    <w:abstractNumId w:val="0"/>
  </w:num>
  <w:num w:numId="2" w16cid:durableId="58528302">
    <w:abstractNumId w:val="2"/>
  </w:num>
  <w:num w:numId="3" w16cid:durableId="1514302527">
    <w:abstractNumId w:val="1"/>
  </w:num>
  <w:num w:numId="4" w16cid:durableId="194880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B63"/>
    <w:rsid w:val="00016A99"/>
    <w:rsid w:val="00056645"/>
    <w:rsid w:val="000720AA"/>
    <w:rsid w:val="000831EA"/>
    <w:rsid w:val="00086E81"/>
    <w:rsid w:val="000A1A0F"/>
    <w:rsid w:val="000E3C09"/>
    <w:rsid w:val="000F35A0"/>
    <w:rsid w:val="001655F6"/>
    <w:rsid w:val="00171F65"/>
    <w:rsid w:val="00175725"/>
    <w:rsid w:val="0017787F"/>
    <w:rsid w:val="00191E2B"/>
    <w:rsid w:val="001A559B"/>
    <w:rsid w:val="001C41FE"/>
    <w:rsid w:val="001E4814"/>
    <w:rsid w:val="00213977"/>
    <w:rsid w:val="00214F46"/>
    <w:rsid w:val="00237621"/>
    <w:rsid w:val="0025188C"/>
    <w:rsid w:val="002732B5"/>
    <w:rsid w:val="00282AB8"/>
    <w:rsid w:val="002D2146"/>
    <w:rsid w:val="002D2988"/>
    <w:rsid w:val="002E033B"/>
    <w:rsid w:val="002E487C"/>
    <w:rsid w:val="002E6FF8"/>
    <w:rsid w:val="002F4232"/>
    <w:rsid w:val="003011FA"/>
    <w:rsid w:val="0032344F"/>
    <w:rsid w:val="00350355"/>
    <w:rsid w:val="00397DCF"/>
    <w:rsid w:val="003D636E"/>
    <w:rsid w:val="003D67F5"/>
    <w:rsid w:val="003D794D"/>
    <w:rsid w:val="00404A51"/>
    <w:rsid w:val="004067FA"/>
    <w:rsid w:val="00417A08"/>
    <w:rsid w:val="00442BCF"/>
    <w:rsid w:val="00464861"/>
    <w:rsid w:val="004B560C"/>
    <w:rsid w:val="004B70C7"/>
    <w:rsid w:val="004D07B9"/>
    <w:rsid w:val="004D1688"/>
    <w:rsid w:val="004F47E1"/>
    <w:rsid w:val="00530654"/>
    <w:rsid w:val="00542090"/>
    <w:rsid w:val="00542368"/>
    <w:rsid w:val="005801E3"/>
    <w:rsid w:val="00591D55"/>
    <w:rsid w:val="00596FAC"/>
    <w:rsid w:val="005C4B41"/>
    <w:rsid w:val="005C6023"/>
    <w:rsid w:val="005D0677"/>
    <w:rsid w:val="005D0734"/>
    <w:rsid w:val="005F2FDC"/>
    <w:rsid w:val="00606631"/>
    <w:rsid w:val="00611240"/>
    <w:rsid w:val="0062217E"/>
    <w:rsid w:val="006470EC"/>
    <w:rsid w:val="006616EF"/>
    <w:rsid w:val="00681DEF"/>
    <w:rsid w:val="00685352"/>
    <w:rsid w:val="0069092B"/>
    <w:rsid w:val="006C20D7"/>
    <w:rsid w:val="00701C97"/>
    <w:rsid w:val="00714F1A"/>
    <w:rsid w:val="0071589D"/>
    <w:rsid w:val="00715C09"/>
    <w:rsid w:val="00732F34"/>
    <w:rsid w:val="00753156"/>
    <w:rsid w:val="007A0713"/>
    <w:rsid w:val="007B40AF"/>
    <w:rsid w:val="007D4A42"/>
    <w:rsid w:val="008242A1"/>
    <w:rsid w:val="00825E00"/>
    <w:rsid w:val="0084585A"/>
    <w:rsid w:val="00846E1D"/>
    <w:rsid w:val="008B5B97"/>
    <w:rsid w:val="008E5D9E"/>
    <w:rsid w:val="008E7D55"/>
    <w:rsid w:val="00917FE0"/>
    <w:rsid w:val="009361FD"/>
    <w:rsid w:val="00936FF0"/>
    <w:rsid w:val="00954573"/>
    <w:rsid w:val="00993336"/>
    <w:rsid w:val="009A4410"/>
    <w:rsid w:val="009B38CA"/>
    <w:rsid w:val="009B738E"/>
    <w:rsid w:val="009E3BFF"/>
    <w:rsid w:val="00A06A46"/>
    <w:rsid w:val="00A530A5"/>
    <w:rsid w:val="00A67ABD"/>
    <w:rsid w:val="00A84855"/>
    <w:rsid w:val="00A8593D"/>
    <w:rsid w:val="00A87581"/>
    <w:rsid w:val="00AA4C5F"/>
    <w:rsid w:val="00AB77F4"/>
    <w:rsid w:val="00AD62C4"/>
    <w:rsid w:val="00AE42F0"/>
    <w:rsid w:val="00B026DA"/>
    <w:rsid w:val="00B40FC6"/>
    <w:rsid w:val="00B67C6B"/>
    <w:rsid w:val="00B75D2C"/>
    <w:rsid w:val="00B91760"/>
    <w:rsid w:val="00B96F84"/>
    <w:rsid w:val="00BA56ED"/>
    <w:rsid w:val="00BA7E7A"/>
    <w:rsid w:val="00BB2EDC"/>
    <w:rsid w:val="00BE2B61"/>
    <w:rsid w:val="00C271CA"/>
    <w:rsid w:val="00C43BDE"/>
    <w:rsid w:val="00C67267"/>
    <w:rsid w:val="00C71BD2"/>
    <w:rsid w:val="00C72500"/>
    <w:rsid w:val="00C81FCE"/>
    <w:rsid w:val="00C8635F"/>
    <w:rsid w:val="00D3246D"/>
    <w:rsid w:val="00D464EA"/>
    <w:rsid w:val="00D54625"/>
    <w:rsid w:val="00D648C7"/>
    <w:rsid w:val="00DB1CAE"/>
    <w:rsid w:val="00DC002B"/>
    <w:rsid w:val="00DC299E"/>
    <w:rsid w:val="00DC7D6A"/>
    <w:rsid w:val="00E0038F"/>
    <w:rsid w:val="00E35874"/>
    <w:rsid w:val="00E41593"/>
    <w:rsid w:val="00E80EF2"/>
    <w:rsid w:val="00E92DCD"/>
    <w:rsid w:val="00EB4B63"/>
    <w:rsid w:val="00EC2A9F"/>
    <w:rsid w:val="00ED7917"/>
    <w:rsid w:val="00EE239B"/>
    <w:rsid w:val="00F17D8B"/>
    <w:rsid w:val="00F336DA"/>
    <w:rsid w:val="00F33C51"/>
    <w:rsid w:val="00F46D9F"/>
    <w:rsid w:val="00F56BF4"/>
    <w:rsid w:val="00F63A69"/>
    <w:rsid w:val="00F90F30"/>
    <w:rsid w:val="00FC496E"/>
    <w:rsid w:val="00FE0108"/>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2FC0"/>
  <w15:chartTrackingRefBased/>
  <w15:docId w15:val="{0662D9A1-EFD0-438A-A225-02EB21EB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63"/>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4B63"/>
  </w:style>
  <w:style w:type="character" w:customStyle="1" w:styleId="FootnoteTextChar">
    <w:name w:val="Footnote Text Char"/>
    <w:basedOn w:val="DefaultParagraphFont"/>
    <w:link w:val="FootnoteText"/>
    <w:semiHidden/>
    <w:rsid w:val="00EB4B63"/>
    <w:rPr>
      <w:rFonts w:eastAsia="Times New Roman"/>
    </w:rPr>
  </w:style>
  <w:style w:type="character" w:styleId="FootnoteReference">
    <w:name w:val="footnote reference"/>
    <w:basedOn w:val="DefaultParagraphFont"/>
    <w:semiHidden/>
    <w:rsid w:val="00EB4B63"/>
    <w:rPr>
      <w:vertAlign w:val="superscript"/>
    </w:rPr>
  </w:style>
  <w:style w:type="character" w:customStyle="1" w:styleId="footnoteref">
    <w:name w:val="footnote ref"/>
    <w:rsid w:val="00EB4B63"/>
  </w:style>
  <w:style w:type="paragraph" w:styleId="EndnoteText">
    <w:name w:val="endnote text"/>
    <w:basedOn w:val="Normal"/>
    <w:link w:val="EndnoteTextChar"/>
    <w:uiPriority w:val="99"/>
    <w:rsid w:val="00EB4B63"/>
  </w:style>
  <w:style w:type="character" w:customStyle="1" w:styleId="EndnoteTextChar">
    <w:name w:val="Endnote Text Char"/>
    <w:basedOn w:val="DefaultParagraphFont"/>
    <w:link w:val="EndnoteText"/>
    <w:uiPriority w:val="99"/>
    <w:rsid w:val="00EB4B63"/>
    <w:rPr>
      <w:rFonts w:eastAsia="Times New Roman"/>
    </w:rPr>
  </w:style>
  <w:style w:type="character" w:styleId="EndnoteReference">
    <w:name w:val="endnote reference"/>
    <w:basedOn w:val="DefaultParagraphFont"/>
    <w:rsid w:val="00EB4B63"/>
    <w:rPr>
      <w:vertAlign w:val="superscript"/>
    </w:rPr>
  </w:style>
  <w:style w:type="paragraph" w:styleId="Header">
    <w:name w:val="header"/>
    <w:basedOn w:val="Normal"/>
    <w:link w:val="HeaderChar"/>
    <w:uiPriority w:val="99"/>
    <w:rsid w:val="00EB4B63"/>
    <w:pPr>
      <w:tabs>
        <w:tab w:val="center" w:pos="4680"/>
        <w:tab w:val="right" w:pos="9360"/>
      </w:tabs>
    </w:pPr>
  </w:style>
  <w:style w:type="character" w:customStyle="1" w:styleId="HeaderChar">
    <w:name w:val="Header Char"/>
    <w:basedOn w:val="DefaultParagraphFont"/>
    <w:link w:val="Header"/>
    <w:uiPriority w:val="99"/>
    <w:rsid w:val="00EB4B63"/>
    <w:rPr>
      <w:rFonts w:eastAsia="Times New Roman"/>
    </w:rPr>
  </w:style>
  <w:style w:type="paragraph" w:styleId="Footer">
    <w:name w:val="footer"/>
    <w:basedOn w:val="Normal"/>
    <w:link w:val="FooterChar"/>
    <w:uiPriority w:val="99"/>
    <w:rsid w:val="00EB4B63"/>
    <w:pPr>
      <w:tabs>
        <w:tab w:val="center" w:pos="4680"/>
        <w:tab w:val="right" w:pos="9360"/>
      </w:tabs>
    </w:pPr>
  </w:style>
  <w:style w:type="character" w:customStyle="1" w:styleId="FooterChar">
    <w:name w:val="Footer Char"/>
    <w:basedOn w:val="DefaultParagraphFont"/>
    <w:link w:val="Footer"/>
    <w:uiPriority w:val="99"/>
    <w:rsid w:val="00EB4B63"/>
    <w:rPr>
      <w:rFonts w:eastAsia="Times New Roman"/>
    </w:rPr>
  </w:style>
  <w:style w:type="paragraph" w:styleId="ListParagraph">
    <w:name w:val="List Paragraph"/>
    <w:basedOn w:val="Normal"/>
    <w:uiPriority w:val="34"/>
    <w:qFormat/>
    <w:rsid w:val="00EB4B63"/>
    <w:pPr>
      <w:ind w:left="720"/>
      <w:contextualSpacing/>
    </w:pPr>
  </w:style>
  <w:style w:type="character" w:styleId="Hyperlink">
    <w:name w:val="Hyperlink"/>
    <w:basedOn w:val="DefaultParagraphFont"/>
    <w:uiPriority w:val="99"/>
    <w:unhideWhenUsed/>
    <w:rsid w:val="00EB4B63"/>
    <w:rPr>
      <w:color w:val="0000FF"/>
      <w:u w:val="single"/>
    </w:rPr>
  </w:style>
  <w:style w:type="character" w:styleId="CommentReference">
    <w:name w:val="annotation reference"/>
    <w:basedOn w:val="DefaultParagraphFont"/>
    <w:rsid w:val="00EB4B63"/>
    <w:rPr>
      <w:sz w:val="16"/>
      <w:szCs w:val="16"/>
    </w:rPr>
  </w:style>
  <w:style w:type="paragraph" w:styleId="CommentText">
    <w:name w:val="annotation text"/>
    <w:basedOn w:val="Normal"/>
    <w:link w:val="CommentTextChar"/>
    <w:rsid w:val="00EB4B63"/>
  </w:style>
  <w:style w:type="character" w:customStyle="1" w:styleId="CommentTextChar">
    <w:name w:val="Comment Text Char"/>
    <w:basedOn w:val="DefaultParagraphFont"/>
    <w:link w:val="CommentText"/>
    <w:rsid w:val="00EB4B63"/>
    <w:rPr>
      <w:rFonts w:eastAsia="Times New Roman"/>
    </w:rPr>
  </w:style>
  <w:style w:type="paragraph" w:customStyle="1" w:styleId="Default">
    <w:name w:val="Default"/>
    <w:rsid w:val="00EB4B6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B63"/>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732B5"/>
    <w:rPr>
      <w:color w:val="800080" w:themeColor="followedHyperlink"/>
      <w:u w:val="single"/>
    </w:rPr>
  </w:style>
  <w:style w:type="character" w:customStyle="1" w:styleId="c-doc-para-italic2">
    <w:name w:val="c-doc-para-italic2"/>
    <w:basedOn w:val="DefaultParagraphFont"/>
    <w:rsid w:val="006470EC"/>
  </w:style>
  <w:style w:type="paragraph" w:styleId="CommentSubject">
    <w:name w:val="annotation subject"/>
    <w:basedOn w:val="CommentText"/>
    <w:next w:val="CommentText"/>
    <w:link w:val="CommentSubjectChar"/>
    <w:uiPriority w:val="99"/>
    <w:semiHidden/>
    <w:unhideWhenUsed/>
    <w:rsid w:val="00A87581"/>
    <w:rPr>
      <w:b/>
      <w:bCs/>
    </w:rPr>
  </w:style>
  <w:style w:type="character" w:customStyle="1" w:styleId="CommentSubjectChar">
    <w:name w:val="Comment Subject Char"/>
    <w:basedOn w:val="CommentTextChar"/>
    <w:link w:val="CommentSubject"/>
    <w:uiPriority w:val="99"/>
    <w:semiHidden/>
    <w:rsid w:val="00A87581"/>
    <w:rPr>
      <w:rFonts w:eastAsia="Times New Roman"/>
      <w:b/>
      <w:bCs/>
    </w:rPr>
  </w:style>
  <w:style w:type="character" w:customStyle="1" w:styleId="c-doc-para-italic">
    <w:name w:val="c-doc-para-italic"/>
    <w:basedOn w:val="DefaultParagraphFont"/>
    <w:rsid w:val="00954573"/>
  </w:style>
  <w:style w:type="paragraph" w:styleId="Revision">
    <w:name w:val="Revision"/>
    <w:hidden/>
    <w:uiPriority w:val="99"/>
    <w:semiHidden/>
    <w:rsid w:val="00191E2B"/>
    <w:pPr>
      <w:spacing w:after="0" w:line="240" w:lineRule="auto"/>
    </w:pPr>
    <w:rPr>
      <w:rFonts w:eastAsia="Times New Roman"/>
    </w:rPr>
  </w:style>
  <w:style w:type="character" w:styleId="UnresolvedMention">
    <w:name w:val="Unresolved Mention"/>
    <w:basedOn w:val="DefaultParagraphFont"/>
    <w:uiPriority w:val="99"/>
    <w:semiHidden/>
    <w:unhideWhenUsed/>
    <w:rsid w:val="00F9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72141">
      <w:bodyDiv w:val="1"/>
      <w:marLeft w:val="0"/>
      <w:marRight w:val="0"/>
      <w:marTop w:val="0"/>
      <w:marBottom w:val="0"/>
      <w:divBdr>
        <w:top w:val="none" w:sz="0" w:space="0" w:color="auto"/>
        <w:left w:val="none" w:sz="0" w:space="0" w:color="auto"/>
        <w:bottom w:val="none" w:sz="0" w:space="0" w:color="auto"/>
        <w:right w:val="none" w:sz="0" w:space="0" w:color="auto"/>
      </w:divBdr>
    </w:div>
    <w:div w:id="1079672486">
      <w:bodyDiv w:val="1"/>
      <w:marLeft w:val="0"/>
      <w:marRight w:val="0"/>
      <w:marTop w:val="0"/>
      <w:marBottom w:val="0"/>
      <w:divBdr>
        <w:top w:val="none" w:sz="0" w:space="0" w:color="auto"/>
        <w:left w:val="none" w:sz="0" w:space="0" w:color="auto"/>
        <w:bottom w:val="none" w:sz="0" w:space="0" w:color="auto"/>
        <w:right w:val="none" w:sz="0" w:space="0" w:color="auto"/>
      </w:divBdr>
    </w:div>
    <w:div w:id="1213422225">
      <w:bodyDiv w:val="1"/>
      <w:marLeft w:val="0"/>
      <w:marRight w:val="0"/>
      <w:marTop w:val="0"/>
      <w:marBottom w:val="0"/>
      <w:divBdr>
        <w:top w:val="none" w:sz="0" w:space="0" w:color="auto"/>
        <w:left w:val="none" w:sz="0" w:space="0" w:color="auto"/>
        <w:bottom w:val="none" w:sz="0" w:space="0" w:color="auto"/>
        <w:right w:val="none" w:sz="0" w:space="0" w:color="auto"/>
      </w:divBdr>
    </w:div>
    <w:div w:id="12343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2" ma:contentTypeDescription="Create a new document." ma:contentTypeScope="" ma:versionID="75446f4dec779c5daf1a07d523860bf8">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343247e84c36a1c5b11fecd5dc63877c"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2022-06-07T13:52:51+00:00</AddDate>
    <TaxCatchAll xmlns="afbe0f3c-19b9-4654-b3a0-3e9f76fd8c8a" xsi:nil="true"/>
    <lcf76f155ced4ddcb4097134ff3c332f xmlns="0d5817e3-b880-408f-991f-e458db71995f">
      <Terms xmlns="http://schemas.microsoft.com/office/infopath/2007/PartnerControls"/>
    </lcf76f155ced4ddcb4097134ff3c332f>
    <Thumbnail xmlns="0d5817e3-b880-408f-991f-e458db7199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9947A-EE28-4D19-8F9A-BA0696B2B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6ECAA-898C-4B6C-8BF3-2C599762FDC8}">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customXml/itemProps3.xml><?xml version="1.0" encoding="utf-8"?>
<ds:datastoreItem xmlns:ds="http://schemas.openxmlformats.org/officeDocument/2006/customXml" ds:itemID="{F2C74BCE-6F1E-4B9B-A6A9-06F5417C3F29}">
  <ds:schemaRefs>
    <ds:schemaRef ds:uri="http://schemas.openxmlformats.org/officeDocument/2006/bibliography"/>
  </ds:schemaRefs>
</ds:datastoreItem>
</file>

<file path=customXml/itemProps4.xml><?xml version="1.0" encoding="utf-8"?>
<ds:datastoreItem xmlns:ds="http://schemas.openxmlformats.org/officeDocument/2006/customXml" ds:itemID="{A153D30A-4203-4B61-8EA8-6FB2EF48F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Gray</dc:creator>
  <cp:keywords/>
  <dc:description/>
  <cp:lastModifiedBy>Melissa L. Reed</cp:lastModifiedBy>
  <cp:revision>3</cp:revision>
  <dcterms:created xsi:type="dcterms:W3CDTF">2024-12-10T14:21:00Z</dcterms:created>
  <dcterms:modified xsi:type="dcterms:W3CDTF">2024-12-10T14:22:00Z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