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02437" w14:textId="7376B2B9" w:rsidR="00936DBB" w:rsidRPr="00993997" w:rsidRDefault="00936DBB" w:rsidP="00D231C7">
      <w:pPr>
        <w:autoSpaceDE w:val="0"/>
        <w:autoSpaceDN w:val="0"/>
        <w:jc w:val="both"/>
        <w:rPr>
          <w:rFonts w:ascii="Times New Roman" w:hAnsi="Times New Roman"/>
          <w:b/>
          <w:bCs/>
          <w:sz w:val="24"/>
          <w:szCs w:val="24"/>
          <w:u w:val="single"/>
        </w:rPr>
      </w:pPr>
      <w:r w:rsidRPr="00993997">
        <w:rPr>
          <w:rFonts w:ascii="Times New Roman" w:hAnsi="Times New Roman"/>
          <w:b/>
          <w:bCs/>
          <w:sz w:val="24"/>
          <w:szCs w:val="24"/>
          <w:u w:val="single"/>
        </w:rPr>
        <w:t>Sample Contingency Footnotes</w:t>
      </w:r>
      <w:r w:rsidR="00097914">
        <w:rPr>
          <w:rStyle w:val="EndnoteReference"/>
          <w:rFonts w:ascii="Times New Roman" w:hAnsi="Times New Roman"/>
          <w:b/>
          <w:bCs/>
          <w:sz w:val="24"/>
          <w:szCs w:val="24"/>
          <w:u w:val="single"/>
        </w:rPr>
        <w:endnoteReference w:id="1"/>
      </w:r>
    </w:p>
    <w:p w14:paraId="41AA1CE9" w14:textId="0BE43B41" w:rsidR="00BB7042" w:rsidRDefault="00BB7042" w:rsidP="00D231C7">
      <w:pPr>
        <w:autoSpaceDE w:val="0"/>
        <w:autoSpaceDN w:val="0"/>
        <w:jc w:val="both"/>
        <w:rPr>
          <w:rFonts w:ascii="Times New Roman" w:hAnsi="Times New Roman"/>
          <w:color w:val="FF0000"/>
          <w:sz w:val="24"/>
          <w:szCs w:val="24"/>
        </w:rPr>
      </w:pPr>
      <w:r>
        <w:rPr>
          <w:rFonts w:ascii="Times New Roman" w:hAnsi="Times New Roman"/>
          <w:color w:val="FF0000"/>
          <w:sz w:val="24"/>
          <w:szCs w:val="24"/>
        </w:rPr>
        <w:t>[You must modify these sample footnotes</w:t>
      </w:r>
      <w:r w:rsidRPr="00D231C7">
        <w:rPr>
          <w:rFonts w:ascii="Times New Roman" w:hAnsi="Times New Roman"/>
          <w:color w:val="FF0000"/>
          <w:sz w:val="24"/>
          <w:szCs w:val="24"/>
        </w:rPr>
        <w:t xml:space="preserve"> based on </w:t>
      </w:r>
      <w:r>
        <w:rPr>
          <w:rFonts w:ascii="Times New Roman" w:hAnsi="Times New Roman"/>
          <w:color w:val="FF0000"/>
          <w:sz w:val="24"/>
          <w:szCs w:val="24"/>
        </w:rPr>
        <w:t xml:space="preserve">the timing, and the circumstances of the </w:t>
      </w:r>
      <w:proofErr w:type="gramStart"/>
      <w:r>
        <w:rPr>
          <w:rFonts w:ascii="Times New Roman" w:hAnsi="Times New Roman"/>
          <w:color w:val="FF0000"/>
          <w:sz w:val="24"/>
          <w:szCs w:val="24"/>
        </w:rPr>
        <w:t>School</w:t>
      </w:r>
      <w:proofErr w:type="gramEnd"/>
      <w:r>
        <w:rPr>
          <w:rFonts w:ascii="Times New Roman" w:hAnsi="Times New Roman"/>
          <w:color w:val="FF0000"/>
          <w:sz w:val="24"/>
          <w:szCs w:val="24"/>
        </w:rPr>
        <w:t>.]</w:t>
      </w:r>
    </w:p>
    <w:p w14:paraId="4DC1D719" w14:textId="3C93CE94" w:rsidR="005E626B" w:rsidRPr="0069520E" w:rsidRDefault="005E626B" w:rsidP="00D231C7">
      <w:pPr>
        <w:autoSpaceDE w:val="0"/>
        <w:autoSpaceDN w:val="0"/>
        <w:jc w:val="both"/>
        <w:rPr>
          <w:rFonts w:ascii="Times New Roman" w:hAnsi="Times New Roman"/>
          <w:b/>
          <w:bCs/>
          <w:color w:val="FF0000"/>
          <w:sz w:val="24"/>
          <w:szCs w:val="24"/>
        </w:rPr>
      </w:pPr>
      <w:r>
        <w:rPr>
          <w:rFonts w:ascii="Times New Roman" w:hAnsi="Times New Roman"/>
          <w:color w:val="FF0000"/>
          <w:sz w:val="24"/>
          <w:szCs w:val="24"/>
        </w:rPr>
        <w:t>[Th</w:t>
      </w:r>
      <w:r w:rsidR="00FD16C2">
        <w:rPr>
          <w:rFonts w:ascii="Times New Roman" w:hAnsi="Times New Roman"/>
          <w:color w:val="FF0000"/>
          <w:sz w:val="24"/>
          <w:szCs w:val="24"/>
        </w:rPr>
        <w:t>e</w:t>
      </w:r>
      <w:r>
        <w:rPr>
          <w:rFonts w:ascii="Times New Roman" w:hAnsi="Times New Roman"/>
          <w:color w:val="FF0000"/>
          <w:sz w:val="24"/>
          <w:szCs w:val="24"/>
        </w:rPr>
        <w:t xml:space="preserve"> contingency footnote is not required</w:t>
      </w:r>
      <w:r w:rsidR="00CA39D8">
        <w:rPr>
          <w:rFonts w:ascii="Times New Roman" w:hAnsi="Times New Roman"/>
          <w:color w:val="FF0000"/>
          <w:sz w:val="24"/>
          <w:szCs w:val="24"/>
        </w:rPr>
        <w:t xml:space="preserve"> if </w:t>
      </w:r>
      <w:r w:rsidR="002A754F">
        <w:rPr>
          <w:rFonts w:ascii="Times New Roman" w:hAnsi="Times New Roman"/>
          <w:color w:val="FF0000"/>
          <w:sz w:val="24"/>
          <w:szCs w:val="24"/>
        </w:rPr>
        <w:t xml:space="preserve">DEW </w:t>
      </w:r>
      <w:r w:rsidR="00CA39D8">
        <w:rPr>
          <w:rFonts w:ascii="Times New Roman" w:hAnsi="Times New Roman"/>
          <w:color w:val="FF0000"/>
          <w:sz w:val="24"/>
          <w:szCs w:val="24"/>
        </w:rPr>
        <w:t>has completed all FTE adjustments for the year</w:t>
      </w:r>
      <w:r>
        <w:rPr>
          <w:rFonts w:ascii="Times New Roman" w:hAnsi="Times New Roman"/>
          <w:color w:val="FF0000"/>
          <w:sz w:val="24"/>
          <w:szCs w:val="24"/>
        </w:rPr>
        <w:t xml:space="preserve">, </w:t>
      </w:r>
      <w:r w:rsidR="00CA39D8">
        <w:rPr>
          <w:rFonts w:ascii="Times New Roman" w:hAnsi="Times New Roman"/>
          <w:color w:val="FF0000"/>
          <w:sz w:val="24"/>
          <w:szCs w:val="24"/>
        </w:rPr>
        <w:t>the school</w:t>
      </w:r>
      <w:r>
        <w:rPr>
          <w:rFonts w:ascii="Times New Roman" w:hAnsi="Times New Roman"/>
          <w:color w:val="FF0000"/>
          <w:sz w:val="24"/>
          <w:szCs w:val="24"/>
        </w:rPr>
        <w:t xml:space="preserve"> is not appealing their FTE </w:t>
      </w:r>
      <w:r w:rsidR="001D4A23">
        <w:rPr>
          <w:rFonts w:ascii="Times New Roman" w:hAnsi="Times New Roman"/>
          <w:color w:val="FF0000"/>
          <w:sz w:val="24"/>
          <w:szCs w:val="24"/>
        </w:rPr>
        <w:t>r</w:t>
      </w:r>
      <w:r w:rsidR="003D6339">
        <w:rPr>
          <w:rFonts w:ascii="Times New Roman" w:hAnsi="Times New Roman"/>
          <w:color w:val="FF0000"/>
          <w:sz w:val="24"/>
          <w:szCs w:val="24"/>
        </w:rPr>
        <w:t>eview final determination results</w:t>
      </w:r>
      <w:r>
        <w:rPr>
          <w:rFonts w:ascii="Times New Roman" w:hAnsi="Times New Roman"/>
          <w:color w:val="FF0000"/>
          <w:sz w:val="24"/>
          <w:szCs w:val="24"/>
        </w:rPr>
        <w:t>, and if material, the liability is on the statements and disclosed in the footnotes.]</w:t>
      </w:r>
    </w:p>
    <w:p w14:paraId="3623E2B3" w14:textId="77777777" w:rsidR="00936DBB" w:rsidRDefault="00936DBB" w:rsidP="00D231C7">
      <w:pPr>
        <w:autoSpaceDE w:val="0"/>
        <w:autoSpaceDN w:val="0"/>
        <w:jc w:val="both"/>
        <w:rPr>
          <w:rFonts w:ascii="Times New Roman" w:hAnsi="Times New Roman"/>
          <w:b/>
          <w:bCs/>
          <w:sz w:val="24"/>
          <w:szCs w:val="24"/>
        </w:rPr>
      </w:pPr>
    </w:p>
    <w:p w14:paraId="19BCAE84" w14:textId="77777777" w:rsidR="00AE6A8A" w:rsidRPr="00D231C7" w:rsidRDefault="00AE6A8A" w:rsidP="00D231C7">
      <w:pPr>
        <w:autoSpaceDE w:val="0"/>
        <w:autoSpaceDN w:val="0"/>
        <w:jc w:val="both"/>
        <w:rPr>
          <w:rFonts w:ascii="Times New Roman" w:hAnsi="Times New Roman"/>
          <w:b/>
          <w:bCs/>
          <w:sz w:val="24"/>
          <w:szCs w:val="24"/>
        </w:rPr>
      </w:pPr>
      <w:r w:rsidRPr="00D231C7">
        <w:rPr>
          <w:rFonts w:ascii="Times New Roman" w:hAnsi="Times New Roman"/>
          <w:b/>
          <w:bCs/>
          <w:sz w:val="24"/>
          <w:szCs w:val="24"/>
        </w:rPr>
        <w:t>School Foundation (Community Schools)</w:t>
      </w:r>
    </w:p>
    <w:p w14:paraId="767FCE59" w14:textId="77777777" w:rsidR="00AE6A8A" w:rsidRPr="00D231C7" w:rsidRDefault="00AE6A8A" w:rsidP="00D231C7">
      <w:pPr>
        <w:autoSpaceDE w:val="0"/>
        <w:autoSpaceDN w:val="0"/>
        <w:jc w:val="both"/>
        <w:rPr>
          <w:rFonts w:ascii="Times New Roman" w:hAnsi="Times New Roman"/>
          <w:b/>
          <w:bCs/>
          <w:sz w:val="24"/>
          <w:szCs w:val="24"/>
        </w:rPr>
      </w:pPr>
    </w:p>
    <w:p w14:paraId="201C28B7" w14:textId="0D68DA3C" w:rsidR="00A60577" w:rsidRDefault="00A60577" w:rsidP="00A60577">
      <w:pPr>
        <w:pStyle w:val="ListParagraph"/>
        <w:numPr>
          <w:ilvl w:val="0"/>
          <w:numId w:val="2"/>
        </w:numPr>
        <w:autoSpaceDE w:val="0"/>
        <w:autoSpaceDN w:val="0"/>
        <w:jc w:val="both"/>
        <w:rPr>
          <w:rFonts w:ascii="Times New Roman" w:hAnsi="Times New Roman"/>
          <w:sz w:val="24"/>
          <w:szCs w:val="24"/>
        </w:rPr>
      </w:pPr>
      <w:r w:rsidRPr="00DA2F71">
        <w:rPr>
          <w:rFonts w:ascii="Times New Roman" w:hAnsi="Times New Roman"/>
          <w:color w:val="FF0000"/>
          <w:sz w:val="24"/>
          <w:szCs w:val="24"/>
        </w:rPr>
        <w:t>[</w:t>
      </w:r>
      <w:r>
        <w:rPr>
          <w:rFonts w:ascii="Times New Roman" w:hAnsi="Times New Roman"/>
          <w:color w:val="FF0000"/>
          <w:sz w:val="24"/>
          <w:szCs w:val="24"/>
        </w:rPr>
        <w:t>Use this footnote</w:t>
      </w:r>
      <w:r w:rsidRPr="00DA2F71">
        <w:rPr>
          <w:rFonts w:ascii="Times New Roman" w:hAnsi="Times New Roman"/>
          <w:color w:val="FF0000"/>
          <w:sz w:val="24"/>
          <w:szCs w:val="24"/>
        </w:rPr>
        <w:t xml:space="preserve"> if the </w:t>
      </w:r>
      <w:proofErr w:type="gramStart"/>
      <w:r w:rsidRPr="00DA2F71">
        <w:rPr>
          <w:rFonts w:ascii="Times New Roman" w:hAnsi="Times New Roman"/>
          <w:color w:val="FF0000"/>
          <w:sz w:val="24"/>
          <w:szCs w:val="24"/>
        </w:rPr>
        <w:t>School</w:t>
      </w:r>
      <w:proofErr w:type="gramEnd"/>
      <w:r w:rsidRPr="00DA2F71">
        <w:rPr>
          <w:rFonts w:ascii="Times New Roman" w:hAnsi="Times New Roman"/>
          <w:color w:val="FF0000"/>
          <w:sz w:val="24"/>
          <w:szCs w:val="24"/>
        </w:rPr>
        <w:t xml:space="preserve"> did </w:t>
      </w:r>
      <w:r w:rsidRPr="00DA2F71">
        <w:rPr>
          <w:rFonts w:ascii="Times New Roman" w:hAnsi="Times New Roman"/>
          <w:color w:val="FF0000"/>
          <w:sz w:val="24"/>
          <w:szCs w:val="24"/>
          <w:u w:val="single"/>
        </w:rPr>
        <w:t>not</w:t>
      </w:r>
      <w:r>
        <w:rPr>
          <w:rFonts w:ascii="Times New Roman" w:hAnsi="Times New Roman"/>
          <w:color w:val="FF0000"/>
          <w:sz w:val="24"/>
          <w:szCs w:val="24"/>
        </w:rPr>
        <w:t xml:space="preserve"> appeal their Fy </w:t>
      </w:r>
      <w:r w:rsidR="005A304A">
        <w:rPr>
          <w:rFonts w:ascii="Times New Roman" w:hAnsi="Times New Roman"/>
          <w:color w:val="FF0000"/>
          <w:sz w:val="24"/>
          <w:szCs w:val="24"/>
        </w:rPr>
        <w:t>202</w:t>
      </w:r>
      <w:r w:rsidR="00533F67">
        <w:rPr>
          <w:rFonts w:ascii="Times New Roman" w:hAnsi="Times New Roman"/>
          <w:color w:val="FF0000"/>
          <w:sz w:val="24"/>
          <w:szCs w:val="24"/>
        </w:rPr>
        <w:t>X</w:t>
      </w:r>
      <w:r w:rsidR="00757C46">
        <w:rPr>
          <w:rFonts w:ascii="Times New Roman" w:hAnsi="Times New Roman"/>
          <w:color w:val="FF0000"/>
          <w:sz w:val="24"/>
          <w:szCs w:val="24"/>
        </w:rPr>
        <w:t xml:space="preserve"> </w:t>
      </w:r>
      <w:r>
        <w:rPr>
          <w:rFonts w:ascii="Times New Roman" w:hAnsi="Times New Roman"/>
          <w:color w:val="FF0000"/>
          <w:sz w:val="24"/>
          <w:szCs w:val="24"/>
        </w:rPr>
        <w:t xml:space="preserve">FTE </w:t>
      </w:r>
      <w:r w:rsidR="001D4A23">
        <w:rPr>
          <w:rFonts w:ascii="Times New Roman" w:hAnsi="Times New Roman"/>
          <w:color w:val="FF0000"/>
          <w:sz w:val="24"/>
          <w:szCs w:val="24"/>
        </w:rPr>
        <w:t>r</w:t>
      </w:r>
      <w:r>
        <w:rPr>
          <w:rFonts w:ascii="Times New Roman" w:hAnsi="Times New Roman"/>
          <w:color w:val="FF0000"/>
          <w:sz w:val="24"/>
          <w:szCs w:val="24"/>
        </w:rPr>
        <w:t xml:space="preserve">eview </w:t>
      </w:r>
      <w:r w:rsidR="005E626B">
        <w:rPr>
          <w:rFonts w:ascii="Times New Roman" w:hAnsi="Times New Roman"/>
          <w:color w:val="FF0000"/>
          <w:sz w:val="24"/>
          <w:szCs w:val="24"/>
        </w:rPr>
        <w:t xml:space="preserve">final determination </w:t>
      </w:r>
      <w:r>
        <w:rPr>
          <w:rFonts w:ascii="Times New Roman" w:hAnsi="Times New Roman"/>
          <w:color w:val="FF0000"/>
          <w:sz w:val="24"/>
          <w:szCs w:val="24"/>
        </w:rPr>
        <w:t>results</w:t>
      </w:r>
      <w:r w:rsidR="001E1732">
        <w:rPr>
          <w:rFonts w:ascii="Times New Roman" w:hAnsi="Times New Roman"/>
          <w:color w:val="FF0000"/>
          <w:sz w:val="24"/>
          <w:szCs w:val="24"/>
        </w:rPr>
        <w:t xml:space="preserve">, or </w:t>
      </w:r>
      <w:r w:rsidR="002A754F">
        <w:rPr>
          <w:rFonts w:ascii="Times New Roman" w:hAnsi="Times New Roman"/>
          <w:color w:val="FF0000"/>
          <w:sz w:val="24"/>
          <w:szCs w:val="24"/>
        </w:rPr>
        <w:t xml:space="preserve">DEW </w:t>
      </w:r>
      <w:r w:rsidR="001E1732">
        <w:rPr>
          <w:rFonts w:ascii="Times New Roman" w:hAnsi="Times New Roman"/>
          <w:color w:val="FF0000"/>
          <w:sz w:val="24"/>
          <w:szCs w:val="24"/>
        </w:rPr>
        <w:t xml:space="preserve">did not </w:t>
      </w:r>
      <w:r w:rsidR="007107FA">
        <w:rPr>
          <w:rFonts w:ascii="Times New Roman" w:hAnsi="Times New Roman"/>
          <w:color w:val="FF0000"/>
          <w:sz w:val="24"/>
          <w:szCs w:val="24"/>
        </w:rPr>
        <w:t xml:space="preserve">perform </w:t>
      </w:r>
      <w:r w:rsidR="00720B4B">
        <w:rPr>
          <w:rFonts w:ascii="Times New Roman" w:hAnsi="Times New Roman"/>
          <w:color w:val="FF0000"/>
          <w:sz w:val="24"/>
          <w:szCs w:val="24"/>
        </w:rPr>
        <w:t>a Fy</w:t>
      </w:r>
      <w:r w:rsidR="001E1732">
        <w:rPr>
          <w:rFonts w:ascii="Times New Roman" w:hAnsi="Times New Roman"/>
          <w:color w:val="FF0000"/>
          <w:sz w:val="24"/>
          <w:szCs w:val="24"/>
        </w:rPr>
        <w:t xml:space="preserve"> </w:t>
      </w:r>
      <w:r w:rsidR="005A304A">
        <w:rPr>
          <w:rFonts w:ascii="Times New Roman" w:hAnsi="Times New Roman"/>
          <w:color w:val="FF0000"/>
          <w:sz w:val="24"/>
          <w:szCs w:val="24"/>
        </w:rPr>
        <w:t>202</w:t>
      </w:r>
      <w:r w:rsidR="00533F67">
        <w:rPr>
          <w:rFonts w:ascii="Times New Roman" w:hAnsi="Times New Roman"/>
          <w:color w:val="FF0000"/>
          <w:sz w:val="24"/>
          <w:szCs w:val="24"/>
        </w:rPr>
        <w:t>X</w:t>
      </w:r>
      <w:r w:rsidR="00757C46">
        <w:rPr>
          <w:rFonts w:ascii="Times New Roman" w:hAnsi="Times New Roman"/>
          <w:color w:val="FF0000"/>
          <w:sz w:val="24"/>
          <w:szCs w:val="24"/>
        </w:rPr>
        <w:t xml:space="preserve"> </w:t>
      </w:r>
      <w:r w:rsidR="001E1732">
        <w:rPr>
          <w:rFonts w:ascii="Times New Roman" w:hAnsi="Times New Roman"/>
          <w:color w:val="FF0000"/>
          <w:sz w:val="24"/>
          <w:szCs w:val="24"/>
        </w:rPr>
        <w:t xml:space="preserve">FTE </w:t>
      </w:r>
      <w:r w:rsidR="001D4A23">
        <w:rPr>
          <w:rFonts w:ascii="Times New Roman" w:hAnsi="Times New Roman"/>
          <w:color w:val="FF0000"/>
          <w:sz w:val="24"/>
          <w:szCs w:val="24"/>
        </w:rPr>
        <w:t>r</w:t>
      </w:r>
      <w:r w:rsidR="001E1732">
        <w:rPr>
          <w:rFonts w:ascii="Times New Roman" w:hAnsi="Times New Roman"/>
          <w:color w:val="FF0000"/>
          <w:sz w:val="24"/>
          <w:szCs w:val="24"/>
        </w:rPr>
        <w:t>eview</w:t>
      </w:r>
      <w:r>
        <w:rPr>
          <w:rFonts w:ascii="Times New Roman" w:hAnsi="Times New Roman"/>
          <w:color w:val="FF0000"/>
          <w:sz w:val="24"/>
          <w:szCs w:val="24"/>
        </w:rPr>
        <w:t>.</w:t>
      </w:r>
      <w:r w:rsidRPr="00DA2F71">
        <w:rPr>
          <w:rFonts w:ascii="Times New Roman" w:hAnsi="Times New Roman"/>
          <w:color w:val="FF0000"/>
          <w:sz w:val="24"/>
          <w:szCs w:val="24"/>
        </w:rPr>
        <w:t>]</w:t>
      </w:r>
    </w:p>
    <w:p w14:paraId="7352BC09" w14:textId="77777777" w:rsidR="00A60577" w:rsidRDefault="00A60577" w:rsidP="00A60577">
      <w:pPr>
        <w:pStyle w:val="ListParagraph"/>
        <w:autoSpaceDE w:val="0"/>
        <w:autoSpaceDN w:val="0"/>
        <w:jc w:val="both"/>
        <w:rPr>
          <w:rFonts w:ascii="Times New Roman" w:hAnsi="Times New Roman"/>
          <w:sz w:val="24"/>
          <w:szCs w:val="24"/>
        </w:rPr>
      </w:pPr>
    </w:p>
    <w:p w14:paraId="48049104" w14:textId="3EABCA95" w:rsidR="00936DBB" w:rsidRDefault="00936DBB" w:rsidP="00A60577">
      <w:pPr>
        <w:pStyle w:val="ListParagraph"/>
        <w:autoSpaceDE w:val="0"/>
        <w:autoSpaceDN w:val="0"/>
        <w:jc w:val="both"/>
        <w:rPr>
          <w:rFonts w:ascii="Times New Roman" w:hAnsi="Times New Roman"/>
          <w:sz w:val="24"/>
          <w:szCs w:val="24"/>
        </w:rPr>
      </w:pPr>
      <w:r>
        <w:rPr>
          <w:rFonts w:ascii="Times New Roman" w:hAnsi="Times New Roman"/>
          <w:sz w:val="24"/>
          <w:szCs w:val="24"/>
        </w:rPr>
        <w:t>School f</w:t>
      </w:r>
      <w:r w:rsidR="00AE6A8A" w:rsidRPr="00D231C7">
        <w:rPr>
          <w:rFonts w:ascii="Times New Roman" w:hAnsi="Times New Roman"/>
          <w:sz w:val="24"/>
          <w:szCs w:val="24"/>
        </w:rPr>
        <w:t>oundation funding is based on the annualized full-time equivalent (FTE) enrollment of each student.  However, there is an important nexus between attendance and enrollment for Foundation funding purposes.  Community schools must provide documentation that clearly demonstrates students have participated in learning opp</w:t>
      </w:r>
      <w:r w:rsidR="00316073">
        <w:rPr>
          <w:rFonts w:ascii="Times New Roman" w:hAnsi="Times New Roman"/>
          <w:sz w:val="24"/>
          <w:szCs w:val="24"/>
        </w:rPr>
        <w:t xml:space="preserve">ortunities. </w:t>
      </w:r>
      <w:r>
        <w:rPr>
          <w:rFonts w:ascii="Times New Roman" w:hAnsi="Times New Roman"/>
          <w:sz w:val="24"/>
          <w:szCs w:val="24"/>
        </w:rPr>
        <w:t>The Ohio Department of Education</w:t>
      </w:r>
      <w:r w:rsidR="002A754F">
        <w:rPr>
          <w:rFonts w:ascii="Times New Roman" w:hAnsi="Times New Roman"/>
          <w:sz w:val="24"/>
          <w:szCs w:val="24"/>
        </w:rPr>
        <w:t xml:space="preserve"> and Workforce</w:t>
      </w:r>
      <w:r>
        <w:rPr>
          <w:rFonts w:ascii="Times New Roman" w:hAnsi="Times New Roman"/>
          <w:sz w:val="24"/>
          <w:szCs w:val="24"/>
        </w:rPr>
        <w:t xml:space="preserve"> (</w:t>
      </w:r>
      <w:r w:rsidR="002A754F">
        <w:rPr>
          <w:rFonts w:ascii="Times New Roman" w:hAnsi="Times New Roman"/>
          <w:sz w:val="24"/>
          <w:szCs w:val="24"/>
        </w:rPr>
        <w:t>DEW</w:t>
      </w:r>
      <w:r>
        <w:rPr>
          <w:rFonts w:ascii="Times New Roman" w:hAnsi="Times New Roman"/>
          <w:sz w:val="24"/>
          <w:szCs w:val="24"/>
        </w:rPr>
        <w:t>) is legislatively required to adjust/reconcile funding as enrollment information is updated by schools throughout the State, which can extend past the fiscal year end.</w:t>
      </w:r>
      <w:r w:rsidR="00AE6A8A" w:rsidRPr="00D231C7">
        <w:rPr>
          <w:rFonts w:ascii="Times New Roman" w:hAnsi="Times New Roman"/>
          <w:sz w:val="24"/>
          <w:szCs w:val="24"/>
        </w:rPr>
        <w:t xml:space="preserve"> </w:t>
      </w:r>
    </w:p>
    <w:p w14:paraId="723C2815" w14:textId="35D7654A" w:rsidR="00936DBB" w:rsidRDefault="00E532DE" w:rsidP="002B64FB">
      <w:pPr>
        <w:pStyle w:val="ListParagraph"/>
        <w:tabs>
          <w:tab w:val="left" w:pos="5771"/>
        </w:tabs>
        <w:autoSpaceDE w:val="0"/>
        <w:autoSpaceDN w:val="0"/>
        <w:jc w:val="both"/>
        <w:rPr>
          <w:rFonts w:ascii="Times New Roman" w:hAnsi="Times New Roman"/>
          <w:sz w:val="24"/>
          <w:szCs w:val="24"/>
        </w:rPr>
      </w:pPr>
      <w:r>
        <w:rPr>
          <w:rFonts w:ascii="Times New Roman" w:hAnsi="Times New Roman"/>
          <w:sz w:val="24"/>
          <w:szCs w:val="24"/>
        </w:rPr>
        <w:tab/>
      </w:r>
    </w:p>
    <w:p w14:paraId="46714B8A" w14:textId="6A5F4580" w:rsidR="00A60577" w:rsidRDefault="00936DBB" w:rsidP="00936DBB">
      <w:pPr>
        <w:pStyle w:val="ListParagraph"/>
        <w:autoSpaceDE w:val="0"/>
        <w:autoSpaceDN w:val="0"/>
        <w:jc w:val="both"/>
        <w:rPr>
          <w:rFonts w:ascii="Times New Roman" w:hAnsi="Times New Roman"/>
          <w:sz w:val="24"/>
          <w:szCs w:val="24"/>
        </w:rPr>
      </w:pPr>
      <w:r w:rsidRPr="00936DBB">
        <w:rPr>
          <w:rFonts w:ascii="Times New Roman" w:hAnsi="Times New Roman"/>
          <w:sz w:val="24"/>
          <w:szCs w:val="24"/>
        </w:rPr>
        <w:t>Under Ohio Rev. Code Section 3314.08</w:t>
      </w:r>
      <w:r>
        <w:rPr>
          <w:rFonts w:ascii="Times New Roman" w:hAnsi="Times New Roman"/>
          <w:sz w:val="24"/>
          <w:szCs w:val="24"/>
        </w:rPr>
        <w:t>,</w:t>
      </w:r>
      <w:r w:rsidRPr="00936DBB">
        <w:rPr>
          <w:rFonts w:ascii="Times New Roman" w:hAnsi="Times New Roman"/>
          <w:sz w:val="24"/>
          <w:szCs w:val="24"/>
        </w:rPr>
        <w:t xml:space="preserve"> </w:t>
      </w:r>
      <w:r w:rsidR="002A754F">
        <w:rPr>
          <w:rFonts w:ascii="Times New Roman" w:hAnsi="Times New Roman"/>
          <w:sz w:val="24"/>
          <w:szCs w:val="24"/>
        </w:rPr>
        <w:t>DEW</w:t>
      </w:r>
      <w:r w:rsidR="002A754F" w:rsidRPr="00D231C7">
        <w:rPr>
          <w:rFonts w:ascii="Times New Roman" w:hAnsi="Times New Roman"/>
          <w:sz w:val="24"/>
          <w:szCs w:val="24"/>
        </w:rPr>
        <w:t xml:space="preserve"> </w:t>
      </w:r>
      <w:r w:rsidRPr="00D231C7">
        <w:rPr>
          <w:rFonts w:ascii="Times New Roman" w:hAnsi="Times New Roman"/>
          <w:sz w:val="24"/>
          <w:szCs w:val="24"/>
        </w:rPr>
        <w:t xml:space="preserve">may </w:t>
      </w:r>
      <w:r>
        <w:rPr>
          <w:rFonts w:ascii="Times New Roman" w:hAnsi="Times New Roman"/>
          <w:sz w:val="24"/>
          <w:szCs w:val="24"/>
        </w:rPr>
        <w:t xml:space="preserve">also </w:t>
      </w:r>
      <w:r w:rsidRPr="00D231C7">
        <w:rPr>
          <w:rFonts w:ascii="Times New Roman" w:hAnsi="Times New Roman"/>
          <w:sz w:val="24"/>
          <w:szCs w:val="24"/>
        </w:rPr>
        <w:t xml:space="preserve">perform </w:t>
      </w:r>
      <w:proofErr w:type="gramStart"/>
      <w:r w:rsidRPr="00D231C7">
        <w:rPr>
          <w:rFonts w:ascii="Times New Roman" w:hAnsi="Times New Roman"/>
          <w:sz w:val="24"/>
          <w:szCs w:val="24"/>
        </w:rPr>
        <w:t>a</w:t>
      </w:r>
      <w:proofErr w:type="gramEnd"/>
      <w:r w:rsidRPr="00D231C7">
        <w:rPr>
          <w:rFonts w:ascii="Times New Roman" w:hAnsi="Times New Roman"/>
          <w:sz w:val="24"/>
          <w:szCs w:val="24"/>
        </w:rPr>
        <w:t xml:space="preserve"> FTE </w:t>
      </w:r>
      <w:r w:rsidR="00E52A40">
        <w:rPr>
          <w:rFonts w:ascii="Times New Roman" w:hAnsi="Times New Roman"/>
          <w:sz w:val="24"/>
          <w:szCs w:val="24"/>
        </w:rPr>
        <w:t>r</w:t>
      </w:r>
      <w:r w:rsidRPr="00D231C7">
        <w:rPr>
          <w:rFonts w:ascii="Times New Roman" w:hAnsi="Times New Roman"/>
          <w:sz w:val="24"/>
          <w:szCs w:val="24"/>
        </w:rPr>
        <w:t xml:space="preserve">eview </w:t>
      </w:r>
      <w:r w:rsidR="0031711B">
        <w:rPr>
          <w:rFonts w:ascii="Times New Roman" w:hAnsi="Times New Roman"/>
          <w:sz w:val="24"/>
          <w:szCs w:val="24"/>
        </w:rPr>
        <w:t>for</w:t>
      </w:r>
      <w:r w:rsidRPr="00D231C7">
        <w:rPr>
          <w:rFonts w:ascii="Times New Roman" w:hAnsi="Times New Roman"/>
          <w:sz w:val="24"/>
          <w:szCs w:val="24"/>
        </w:rPr>
        <w:t xml:space="preserve"> the fiscal year that may result in </w:t>
      </w:r>
      <w:r>
        <w:rPr>
          <w:rFonts w:ascii="Times New Roman" w:hAnsi="Times New Roman"/>
          <w:sz w:val="24"/>
          <w:szCs w:val="24"/>
        </w:rPr>
        <w:t>an additional adjustment</w:t>
      </w:r>
      <w:r w:rsidRPr="00D231C7">
        <w:rPr>
          <w:rFonts w:ascii="Times New Roman" w:hAnsi="Times New Roman"/>
          <w:sz w:val="24"/>
          <w:szCs w:val="24"/>
        </w:rPr>
        <w:t xml:space="preserve"> to the enrollment information as well as claw backs of Foundation funding due to a lack of evidence to support student participation and other matters of noncompliance. </w:t>
      </w:r>
      <w:r w:rsidR="002A754F">
        <w:rPr>
          <w:rFonts w:ascii="Times New Roman" w:hAnsi="Times New Roman"/>
          <w:sz w:val="24"/>
          <w:szCs w:val="24"/>
        </w:rPr>
        <w:t xml:space="preserve">DEW </w:t>
      </w:r>
      <w:r>
        <w:rPr>
          <w:rFonts w:ascii="Times New Roman" w:hAnsi="Times New Roman"/>
          <w:sz w:val="24"/>
          <w:szCs w:val="24"/>
        </w:rPr>
        <w:t>performed such a review on</w:t>
      </w:r>
      <w:r w:rsidR="00A60577">
        <w:rPr>
          <w:rFonts w:ascii="Times New Roman" w:hAnsi="Times New Roman"/>
          <w:sz w:val="24"/>
          <w:szCs w:val="24"/>
        </w:rPr>
        <w:t xml:space="preserve"> the </w:t>
      </w:r>
      <w:proofErr w:type="gramStart"/>
      <w:r w:rsidR="00A60577">
        <w:rPr>
          <w:rFonts w:ascii="Times New Roman" w:hAnsi="Times New Roman"/>
          <w:sz w:val="24"/>
          <w:szCs w:val="24"/>
        </w:rPr>
        <w:t>School</w:t>
      </w:r>
      <w:proofErr w:type="gramEnd"/>
      <w:r w:rsidR="00A60577">
        <w:rPr>
          <w:rFonts w:ascii="Times New Roman" w:hAnsi="Times New Roman"/>
          <w:sz w:val="24"/>
          <w:szCs w:val="24"/>
        </w:rPr>
        <w:t xml:space="preserve"> for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DA2F71">
        <w:rPr>
          <w:rFonts w:ascii="Times New Roman" w:hAnsi="Times New Roman"/>
          <w:sz w:val="24"/>
          <w:szCs w:val="24"/>
        </w:rPr>
        <w:t xml:space="preserve">. </w:t>
      </w:r>
      <w:r w:rsidR="002B64FB" w:rsidRPr="002B64FB">
        <w:rPr>
          <w:rFonts w:ascii="Times New Roman" w:hAnsi="Times New Roman"/>
          <w:color w:val="FF0000"/>
          <w:sz w:val="24"/>
          <w:szCs w:val="24"/>
        </w:rPr>
        <w:t xml:space="preserve">[OR As of the date of this report, </w:t>
      </w:r>
      <w:r w:rsidR="002A754F">
        <w:rPr>
          <w:rFonts w:ascii="Times New Roman" w:hAnsi="Times New Roman"/>
          <w:color w:val="FF0000"/>
          <w:sz w:val="24"/>
          <w:szCs w:val="24"/>
        </w:rPr>
        <w:t>DEW</w:t>
      </w:r>
      <w:r w:rsidR="002A754F" w:rsidRPr="002B64FB">
        <w:rPr>
          <w:rFonts w:ascii="Times New Roman" w:hAnsi="Times New Roman"/>
          <w:color w:val="FF0000"/>
          <w:sz w:val="24"/>
          <w:szCs w:val="24"/>
        </w:rPr>
        <w:t xml:space="preserve"> </w:t>
      </w:r>
      <w:r w:rsidR="002B64FB" w:rsidRPr="002B64FB">
        <w:rPr>
          <w:rFonts w:ascii="Times New Roman" w:hAnsi="Times New Roman"/>
          <w:color w:val="FF0000"/>
          <w:sz w:val="24"/>
          <w:szCs w:val="24"/>
        </w:rPr>
        <w:t xml:space="preserve">has not performed an FTE </w:t>
      </w:r>
      <w:r w:rsidR="00E52A40">
        <w:rPr>
          <w:rFonts w:ascii="Times New Roman" w:hAnsi="Times New Roman"/>
          <w:color w:val="FF0000"/>
          <w:sz w:val="24"/>
          <w:szCs w:val="24"/>
        </w:rPr>
        <w:t>r</w:t>
      </w:r>
      <w:r w:rsidR="002B64FB" w:rsidRPr="002B64FB">
        <w:rPr>
          <w:rFonts w:ascii="Times New Roman" w:hAnsi="Times New Roman"/>
          <w:color w:val="FF0000"/>
          <w:sz w:val="24"/>
          <w:szCs w:val="24"/>
        </w:rPr>
        <w:t>eview</w:t>
      </w:r>
      <w:r w:rsidR="002B64FB">
        <w:rPr>
          <w:rFonts w:ascii="Times New Roman" w:hAnsi="Times New Roman"/>
          <w:color w:val="FF0000"/>
          <w:sz w:val="24"/>
          <w:szCs w:val="24"/>
        </w:rPr>
        <w:t xml:space="preserve"> on the School</w:t>
      </w:r>
      <w:r w:rsidR="002B64FB" w:rsidRPr="002B64FB">
        <w:rPr>
          <w:rFonts w:ascii="Times New Roman" w:hAnsi="Times New Roman"/>
          <w:color w:val="FF0000"/>
          <w:sz w:val="24"/>
          <w:szCs w:val="24"/>
        </w:rPr>
        <w:t xml:space="preserve"> for </w:t>
      </w:r>
      <w:r w:rsidR="002B64FB">
        <w:rPr>
          <w:rFonts w:ascii="Times New Roman" w:hAnsi="Times New Roman"/>
          <w:color w:val="FF0000"/>
          <w:sz w:val="24"/>
          <w:szCs w:val="24"/>
        </w:rPr>
        <w:t xml:space="preserve">fiscal year </w:t>
      </w:r>
      <w:r w:rsidR="00757C46">
        <w:rPr>
          <w:rFonts w:ascii="Times New Roman" w:hAnsi="Times New Roman"/>
          <w:color w:val="FF0000"/>
          <w:sz w:val="24"/>
          <w:szCs w:val="24"/>
        </w:rPr>
        <w:t>20</w:t>
      </w:r>
      <w:r w:rsidR="005454A2">
        <w:rPr>
          <w:rFonts w:ascii="Times New Roman" w:hAnsi="Times New Roman"/>
          <w:color w:val="FF0000"/>
          <w:sz w:val="24"/>
          <w:szCs w:val="24"/>
        </w:rPr>
        <w:t>2</w:t>
      </w:r>
      <w:r w:rsidR="00533F67">
        <w:rPr>
          <w:rFonts w:ascii="Times New Roman" w:hAnsi="Times New Roman"/>
          <w:color w:val="FF0000"/>
          <w:sz w:val="24"/>
          <w:szCs w:val="24"/>
        </w:rPr>
        <w:t>X</w:t>
      </w:r>
      <w:r w:rsidR="002B64FB">
        <w:rPr>
          <w:rFonts w:ascii="Times New Roman" w:hAnsi="Times New Roman"/>
          <w:color w:val="FF0000"/>
          <w:sz w:val="24"/>
          <w:szCs w:val="24"/>
        </w:rPr>
        <w:t>.</w:t>
      </w:r>
      <w:r w:rsidR="002B64FB" w:rsidRPr="002B64FB">
        <w:rPr>
          <w:rFonts w:ascii="Times New Roman" w:hAnsi="Times New Roman"/>
          <w:color w:val="FF0000"/>
          <w:sz w:val="24"/>
          <w:szCs w:val="24"/>
        </w:rPr>
        <w:t>]</w:t>
      </w:r>
      <w:r w:rsidR="00DA2F71" w:rsidRPr="002B64FB">
        <w:rPr>
          <w:rFonts w:ascii="Times New Roman" w:hAnsi="Times New Roman"/>
          <w:color w:val="FF0000"/>
          <w:sz w:val="24"/>
          <w:szCs w:val="24"/>
        </w:rPr>
        <w:t xml:space="preserve"> </w:t>
      </w:r>
    </w:p>
    <w:p w14:paraId="036BC9E6" w14:textId="77777777" w:rsidR="00A25A1D" w:rsidRDefault="00A25A1D" w:rsidP="00936DBB">
      <w:pPr>
        <w:pStyle w:val="ListParagraph"/>
        <w:autoSpaceDE w:val="0"/>
        <w:autoSpaceDN w:val="0"/>
        <w:jc w:val="both"/>
        <w:rPr>
          <w:rFonts w:ascii="Times New Roman" w:hAnsi="Times New Roman"/>
          <w:sz w:val="24"/>
          <w:szCs w:val="24"/>
        </w:rPr>
      </w:pPr>
    </w:p>
    <w:p w14:paraId="592D2B15" w14:textId="7146C359" w:rsidR="00936DBB" w:rsidRDefault="00936DBB" w:rsidP="00936DBB">
      <w:pPr>
        <w:autoSpaceDE w:val="0"/>
        <w:autoSpaceDN w:val="0"/>
        <w:ind w:left="720"/>
        <w:jc w:val="both"/>
        <w:rPr>
          <w:rFonts w:ascii="Times New Roman" w:hAnsi="Times New Roman"/>
          <w:sz w:val="24"/>
          <w:szCs w:val="24"/>
        </w:rPr>
      </w:pPr>
      <w:r>
        <w:rPr>
          <w:rFonts w:ascii="Times New Roman" w:hAnsi="Times New Roman"/>
          <w:sz w:val="24"/>
          <w:szCs w:val="24"/>
        </w:rPr>
        <w:t>As of the date of this report</w:t>
      </w:r>
      <w:r w:rsidRPr="00131F78">
        <w:rPr>
          <w:rFonts w:ascii="Times New Roman" w:hAnsi="Times New Roman"/>
          <w:sz w:val="24"/>
          <w:szCs w:val="24"/>
        </w:rPr>
        <w:t>, additional</w:t>
      </w:r>
      <w:r>
        <w:rPr>
          <w:rFonts w:ascii="Times New Roman" w:hAnsi="Times New Roman"/>
          <w:color w:val="1F497D" w:themeColor="dark2"/>
          <w:sz w:val="24"/>
          <w:szCs w:val="24"/>
        </w:rPr>
        <w:t xml:space="preserve"> </w:t>
      </w:r>
      <w:r w:rsidR="002A754F">
        <w:rPr>
          <w:rFonts w:ascii="Times New Roman" w:hAnsi="Times New Roman"/>
          <w:sz w:val="24"/>
          <w:szCs w:val="24"/>
        </w:rPr>
        <w:t xml:space="preserve">DEW </w:t>
      </w:r>
      <w:r>
        <w:rPr>
          <w:rFonts w:ascii="Times New Roman" w:hAnsi="Times New Roman"/>
          <w:sz w:val="24"/>
          <w:szCs w:val="24"/>
        </w:rPr>
        <w:t xml:space="preserve">adjustments for fiscal </w:t>
      </w:r>
      <w:r w:rsidR="00A60577">
        <w:rPr>
          <w:rFonts w:ascii="Times New Roman" w:hAnsi="Times New Roman"/>
          <w:sz w:val="24"/>
          <w:szCs w:val="24"/>
        </w:rPr>
        <w:t xml:space="preserve">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are not finalized.  As a result, the impact of future FTE adj</w:t>
      </w:r>
      <w:r w:rsidR="00A60577">
        <w:rPr>
          <w:rFonts w:ascii="Times New Roman" w:hAnsi="Times New Roman"/>
          <w:sz w:val="24"/>
          <w:szCs w:val="24"/>
        </w:rPr>
        <w:t xml:space="preserve">ustments on the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 xml:space="preserve">financial statements is not determinable, </w:t>
      </w:r>
      <w:proofErr w:type="gramStart"/>
      <w:r>
        <w:rPr>
          <w:rFonts w:ascii="Times New Roman" w:hAnsi="Times New Roman"/>
          <w:sz w:val="24"/>
          <w:szCs w:val="24"/>
        </w:rPr>
        <w:t>at this time</w:t>
      </w:r>
      <w:proofErr w:type="gramEnd"/>
      <w:r>
        <w:rPr>
          <w:rFonts w:ascii="Times New Roman" w:hAnsi="Times New Roman"/>
          <w:sz w:val="24"/>
          <w:szCs w:val="24"/>
        </w:rPr>
        <w:t xml:space="preserve">. </w:t>
      </w:r>
      <w:r w:rsidR="006851D4">
        <w:rPr>
          <w:rFonts w:ascii="Times New Roman" w:hAnsi="Times New Roman"/>
          <w:sz w:val="24"/>
          <w:szCs w:val="24"/>
        </w:rPr>
        <w:t>M</w:t>
      </w:r>
      <w:r>
        <w:rPr>
          <w:rFonts w:ascii="Times New Roman" w:hAnsi="Times New Roman"/>
          <w:sz w:val="24"/>
          <w:szCs w:val="24"/>
        </w:rPr>
        <w:t>anagement believe</w:t>
      </w:r>
      <w:r w:rsidR="006851D4">
        <w:rPr>
          <w:rFonts w:ascii="Times New Roman" w:hAnsi="Times New Roman"/>
          <w:sz w:val="24"/>
          <w:szCs w:val="24"/>
        </w:rPr>
        <w:t>s</w:t>
      </w:r>
      <w:r>
        <w:rPr>
          <w:rFonts w:ascii="Times New Roman" w:hAnsi="Times New Roman"/>
          <w:sz w:val="24"/>
          <w:szCs w:val="24"/>
        </w:rPr>
        <w:t xml:space="preserve"> this may result in either an additional receivable to, or a liability of, the </w:t>
      </w:r>
      <w:proofErr w:type="gramStart"/>
      <w:r>
        <w:rPr>
          <w:rFonts w:ascii="Times New Roman" w:hAnsi="Times New Roman"/>
          <w:sz w:val="24"/>
          <w:szCs w:val="24"/>
        </w:rPr>
        <w:t>School</w:t>
      </w:r>
      <w:proofErr w:type="gramEnd"/>
      <w:r>
        <w:rPr>
          <w:rFonts w:ascii="Times New Roman" w:hAnsi="Times New Roman"/>
          <w:sz w:val="24"/>
          <w:szCs w:val="24"/>
        </w:rPr>
        <w:t>.</w:t>
      </w:r>
    </w:p>
    <w:p w14:paraId="34DABD1D" w14:textId="77777777" w:rsidR="00936DBB" w:rsidRDefault="00936DBB" w:rsidP="00936DBB">
      <w:pPr>
        <w:pStyle w:val="ListParagraph"/>
        <w:autoSpaceDE w:val="0"/>
        <w:autoSpaceDN w:val="0"/>
        <w:jc w:val="both"/>
        <w:rPr>
          <w:rFonts w:ascii="Times New Roman" w:hAnsi="Times New Roman"/>
          <w:sz w:val="24"/>
          <w:szCs w:val="24"/>
        </w:rPr>
      </w:pPr>
    </w:p>
    <w:p w14:paraId="4695DE5F" w14:textId="06B9D5BA" w:rsidR="00D231C7" w:rsidRDefault="00D231C7" w:rsidP="00F05F96">
      <w:pPr>
        <w:autoSpaceDE w:val="0"/>
        <w:autoSpaceDN w:val="0"/>
        <w:ind w:left="720"/>
        <w:jc w:val="both"/>
        <w:rPr>
          <w:rFonts w:ascii="Times New Roman" w:hAnsi="Times New Roman"/>
          <w:sz w:val="24"/>
          <w:szCs w:val="24"/>
        </w:rPr>
      </w:pPr>
      <w:r w:rsidRPr="00D231C7">
        <w:rPr>
          <w:rFonts w:ascii="Times New Roman" w:hAnsi="Times New Roman"/>
          <w:color w:val="FF0000"/>
          <w:sz w:val="24"/>
          <w:szCs w:val="24"/>
        </w:rPr>
        <w:t xml:space="preserve">[You must modify this paragraph based on the contracts </w:t>
      </w:r>
      <w:r w:rsidR="0037066D">
        <w:rPr>
          <w:rFonts w:ascii="Times New Roman" w:hAnsi="Times New Roman"/>
          <w:color w:val="FF0000"/>
          <w:sz w:val="24"/>
          <w:szCs w:val="24"/>
        </w:rPr>
        <w:t xml:space="preserve">or other documents </w:t>
      </w:r>
      <w:r w:rsidRPr="00D231C7">
        <w:rPr>
          <w:rFonts w:ascii="Times New Roman" w:hAnsi="Times New Roman"/>
          <w:color w:val="FF0000"/>
          <w:sz w:val="24"/>
          <w:szCs w:val="24"/>
        </w:rPr>
        <w:t xml:space="preserve">involved </w:t>
      </w:r>
      <w:r w:rsidR="00F05F96">
        <w:rPr>
          <w:rFonts w:ascii="Times New Roman" w:hAnsi="Times New Roman"/>
          <w:color w:val="FF0000"/>
          <w:sz w:val="24"/>
          <w:szCs w:val="24"/>
        </w:rPr>
        <w:t xml:space="preserve">&amp; </w:t>
      </w:r>
      <w:r w:rsidRPr="00D231C7">
        <w:rPr>
          <w:rFonts w:ascii="Times New Roman" w:hAnsi="Times New Roman"/>
          <w:color w:val="FF0000"/>
          <w:sz w:val="24"/>
          <w:szCs w:val="24"/>
        </w:rPr>
        <w:t>related language.  The first sentence may need split out for each contract</w:t>
      </w:r>
      <w:r w:rsidR="0037066D">
        <w:rPr>
          <w:rFonts w:ascii="Times New Roman" w:hAnsi="Times New Roman"/>
          <w:color w:val="FF0000"/>
          <w:sz w:val="24"/>
          <w:szCs w:val="24"/>
        </w:rPr>
        <w:t>/agreement</w:t>
      </w:r>
      <w:r w:rsidRPr="00D231C7">
        <w:rPr>
          <w:rFonts w:ascii="Times New Roman" w:hAnsi="Times New Roman"/>
          <w:color w:val="FF0000"/>
          <w:sz w:val="24"/>
          <w:szCs w:val="24"/>
        </w:rPr>
        <w:t xml:space="preserve"> depending on the terms.]</w:t>
      </w:r>
      <w:r w:rsidRPr="00D231C7">
        <w:rPr>
          <w:rFonts w:ascii="Times New Roman" w:hAnsi="Times New Roman"/>
          <w:sz w:val="24"/>
          <w:szCs w:val="24"/>
        </w:rPr>
        <w:t xml:space="preserve">  In addition, the </w:t>
      </w:r>
      <w:proofErr w:type="gramStart"/>
      <w:r w:rsidRPr="00D231C7">
        <w:rPr>
          <w:rFonts w:ascii="Times New Roman" w:hAnsi="Times New Roman"/>
          <w:sz w:val="24"/>
          <w:szCs w:val="24"/>
        </w:rPr>
        <w:t>School</w:t>
      </w:r>
      <w:r w:rsidR="001C405A">
        <w:rPr>
          <w:rFonts w:ascii="Times New Roman" w:hAnsi="Times New Roman"/>
          <w:sz w:val="24"/>
          <w:szCs w:val="24"/>
        </w:rPr>
        <w:t>’</w:t>
      </w:r>
      <w:r w:rsidRPr="00D231C7">
        <w:rPr>
          <w:rFonts w:ascii="Times New Roman" w:hAnsi="Times New Roman"/>
          <w:sz w:val="24"/>
          <w:szCs w:val="24"/>
        </w:rPr>
        <w:t>s</w:t>
      </w:r>
      <w:proofErr w:type="gramEnd"/>
      <w:r w:rsidRPr="00D231C7">
        <w:rPr>
          <w:rFonts w:ascii="Times New Roman" w:hAnsi="Times New Roman"/>
          <w:sz w:val="24"/>
          <w:szCs w:val="24"/>
        </w:rPr>
        <w:t xml:space="preserve"> contracts with their [Sponsor, Management Company and [software] vendor] require payment based on revenues received from the State.  </w:t>
      </w:r>
      <w:r w:rsidR="00F05F96">
        <w:rPr>
          <w:rFonts w:ascii="Times New Roman" w:hAnsi="Times New Roman"/>
          <w:sz w:val="24"/>
          <w:szCs w:val="24"/>
        </w:rPr>
        <w:t>As discussed abov</w:t>
      </w:r>
      <w:r w:rsidR="00F05F96" w:rsidRPr="006851D4">
        <w:rPr>
          <w:rFonts w:ascii="Times New Roman" w:hAnsi="Times New Roman"/>
          <w:sz w:val="24"/>
          <w:szCs w:val="24"/>
        </w:rPr>
        <w:t>e, additional</w:t>
      </w:r>
      <w:r w:rsidR="00F05F96" w:rsidRPr="006851D4">
        <w:rPr>
          <w:rFonts w:ascii="Times New Roman" w:hAnsi="Times New Roman"/>
          <w:color w:val="1F497D" w:themeColor="dark2"/>
          <w:sz w:val="24"/>
          <w:szCs w:val="24"/>
        </w:rPr>
        <w:t xml:space="preserve"> </w:t>
      </w:r>
      <w:r w:rsidR="00DA2F71" w:rsidRPr="006851D4">
        <w:rPr>
          <w:rFonts w:ascii="Times New Roman" w:hAnsi="Times New Roman"/>
          <w:sz w:val="24"/>
          <w:szCs w:val="24"/>
        </w:rPr>
        <w:t>FTE</w:t>
      </w:r>
      <w:r w:rsidR="00F05F96" w:rsidRPr="006851D4">
        <w:rPr>
          <w:rFonts w:ascii="Times New Roman" w:hAnsi="Times New Roman"/>
          <w:sz w:val="24"/>
          <w:szCs w:val="24"/>
        </w:rPr>
        <w:t xml:space="preserve"> </w:t>
      </w:r>
      <w:r w:rsidR="00A60577">
        <w:rPr>
          <w:rFonts w:ascii="Times New Roman" w:hAnsi="Times New Roman"/>
          <w:sz w:val="24"/>
          <w:szCs w:val="24"/>
        </w:rPr>
        <w:t xml:space="preserve">adjustments for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sidRPr="006851D4">
        <w:rPr>
          <w:rFonts w:ascii="Times New Roman" w:hAnsi="Times New Roman"/>
          <w:sz w:val="24"/>
          <w:szCs w:val="24"/>
        </w:rPr>
        <w:t xml:space="preserve"> </w:t>
      </w:r>
      <w:r w:rsidR="00F05F96" w:rsidRPr="006851D4">
        <w:rPr>
          <w:rFonts w:ascii="Times New Roman" w:hAnsi="Times New Roman"/>
          <w:sz w:val="24"/>
          <w:szCs w:val="24"/>
        </w:rPr>
        <w:t>are not finalized</w:t>
      </w:r>
      <w:r w:rsidR="000C35B4" w:rsidRPr="006851D4">
        <w:rPr>
          <w:rFonts w:ascii="Times New Roman" w:hAnsi="Times New Roman"/>
          <w:sz w:val="24"/>
          <w:szCs w:val="24"/>
        </w:rPr>
        <w:t>.</w:t>
      </w:r>
      <w:r w:rsidR="00F05F96" w:rsidRPr="006851D4">
        <w:rPr>
          <w:rFonts w:ascii="Times New Roman" w:hAnsi="Times New Roman"/>
          <w:sz w:val="24"/>
          <w:szCs w:val="24"/>
        </w:rPr>
        <w:t xml:space="preserve"> </w:t>
      </w:r>
      <w:r w:rsidR="000C35B4" w:rsidRPr="006851D4">
        <w:rPr>
          <w:rFonts w:ascii="Times New Roman" w:hAnsi="Times New Roman"/>
          <w:sz w:val="24"/>
          <w:szCs w:val="24"/>
        </w:rPr>
        <w:t xml:space="preserve"> </w:t>
      </w:r>
      <w:r w:rsidR="00936DBB" w:rsidRPr="006851D4">
        <w:rPr>
          <w:rFonts w:ascii="Times New Roman" w:hAnsi="Times New Roman"/>
          <w:sz w:val="24"/>
          <w:szCs w:val="24"/>
        </w:rPr>
        <w:t>U</w:t>
      </w:r>
      <w:r w:rsidRPr="006851D4">
        <w:rPr>
          <w:rFonts w:ascii="Times New Roman" w:hAnsi="Times New Roman"/>
          <w:sz w:val="24"/>
          <w:szCs w:val="24"/>
        </w:rPr>
        <w:t xml:space="preserve">ntil </w:t>
      </w:r>
      <w:r w:rsidR="006B3A31" w:rsidRPr="006851D4">
        <w:rPr>
          <w:rFonts w:ascii="Times New Roman" w:hAnsi="Times New Roman"/>
          <w:sz w:val="24"/>
          <w:szCs w:val="24"/>
        </w:rPr>
        <w:t xml:space="preserve">such adjustments are finalized by </w:t>
      </w:r>
      <w:r w:rsidR="002A754F">
        <w:rPr>
          <w:rFonts w:ascii="Times New Roman" w:hAnsi="Times New Roman"/>
          <w:sz w:val="24"/>
          <w:szCs w:val="24"/>
        </w:rPr>
        <w:t>DEW</w:t>
      </w:r>
      <w:r w:rsidR="005C0860" w:rsidRPr="006851D4">
        <w:rPr>
          <w:rFonts w:ascii="Times New Roman" w:hAnsi="Times New Roman"/>
          <w:sz w:val="24"/>
          <w:szCs w:val="24"/>
        </w:rPr>
        <w:t>,</w:t>
      </w:r>
      <w:r w:rsidRPr="006851D4">
        <w:rPr>
          <w:rFonts w:ascii="Times New Roman" w:hAnsi="Times New Roman"/>
          <w:sz w:val="24"/>
          <w:szCs w:val="24"/>
        </w:rPr>
        <w:t xml:space="preserve"> </w:t>
      </w:r>
      <w:r w:rsidR="006851D4">
        <w:rPr>
          <w:rFonts w:ascii="Times New Roman" w:hAnsi="Times New Roman"/>
          <w:sz w:val="24"/>
          <w:szCs w:val="24"/>
        </w:rPr>
        <w:t xml:space="preserve">the </w:t>
      </w:r>
      <w:r w:rsidR="009319F9" w:rsidRPr="006851D4">
        <w:rPr>
          <w:rFonts w:ascii="Times New Roman" w:hAnsi="Times New Roman"/>
          <w:sz w:val="24"/>
          <w:szCs w:val="24"/>
        </w:rPr>
        <w:t xml:space="preserve">impact </w:t>
      </w:r>
      <w:r w:rsidR="007847A0" w:rsidRPr="006851D4">
        <w:rPr>
          <w:rFonts w:ascii="Times New Roman" w:hAnsi="Times New Roman"/>
          <w:sz w:val="24"/>
          <w:szCs w:val="24"/>
        </w:rPr>
        <w:t>on the</w:t>
      </w:r>
      <w:r w:rsidR="00BB7042" w:rsidRPr="006851D4">
        <w:rPr>
          <w:rFonts w:ascii="Times New Roman" w:hAnsi="Times New Roman"/>
          <w:sz w:val="24"/>
          <w:szCs w:val="24"/>
        </w:rPr>
        <w:t xml:space="preserve"> </w:t>
      </w:r>
      <w:r w:rsidR="00A60577">
        <w:rPr>
          <w:rFonts w:ascii="Times New Roman" w:hAnsi="Times New Roman"/>
          <w:sz w:val="24"/>
          <w:szCs w:val="24"/>
        </w:rPr>
        <w:t xml:space="preserve">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sidRPr="006851D4">
        <w:rPr>
          <w:rFonts w:ascii="Times New Roman" w:hAnsi="Times New Roman"/>
          <w:sz w:val="24"/>
          <w:szCs w:val="24"/>
        </w:rPr>
        <w:t xml:space="preserve"> </w:t>
      </w:r>
      <w:r w:rsidR="007847A0" w:rsidRPr="006851D4">
        <w:rPr>
          <w:rFonts w:ascii="Times New Roman" w:hAnsi="Times New Roman"/>
          <w:sz w:val="24"/>
          <w:szCs w:val="24"/>
        </w:rPr>
        <w:t>financial statements</w:t>
      </w:r>
      <w:r w:rsidR="00DA2F71" w:rsidRPr="006851D4">
        <w:rPr>
          <w:rFonts w:ascii="Times New Roman" w:hAnsi="Times New Roman"/>
          <w:sz w:val="24"/>
          <w:szCs w:val="24"/>
        </w:rPr>
        <w:t>,</w:t>
      </w:r>
      <w:r w:rsidR="007847A0" w:rsidRPr="006851D4">
        <w:rPr>
          <w:rFonts w:ascii="Times New Roman" w:hAnsi="Times New Roman"/>
          <w:sz w:val="24"/>
          <w:szCs w:val="24"/>
        </w:rPr>
        <w:t xml:space="preserve"> related to </w:t>
      </w:r>
      <w:r w:rsidR="00D86FC7" w:rsidRPr="006851D4">
        <w:rPr>
          <w:rFonts w:ascii="Times New Roman" w:hAnsi="Times New Roman"/>
          <w:sz w:val="24"/>
          <w:szCs w:val="24"/>
        </w:rPr>
        <w:t xml:space="preserve">additional reconciliation necessary with </w:t>
      </w:r>
      <w:r w:rsidR="007847A0" w:rsidRPr="006851D4">
        <w:rPr>
          <w:rFonts w:ascii="Times New Roman" w:hAnsi="Times New Roman"/>
          <w:sz w:val="24"/>
          <w:szCs w:val="24"/>
        </w:rPr>
        <w:t>these contracts</w:t>
      </w:r>
      <w:r w:rsidR="004F3895">
        <w:rPr>
          <w:rFonts w:ascii="Times New Roman" w:hAnsi="Times New Roman"/>
          <w:sz w:val="24"/>
          <w:szCs w:val="24"/>
        </w:rPr>
        <w:t>/agreements</w:t>
      </w:r>
      <w:r w:rsidR="007847A0" w:rsidRPr="006851D4">
        <w:rPr>
          <w:rFonts w:ascii="Times New Roman" w:hAnsi="Times New Roman"/>
          <w:sz w:val="24"/>
          <w:szCs w:val="24"/>
        </w:rPr>
        <w:t>,</w:t>
      </w:r>
      <w:r w:rsidR="000C35B4" w:rsidRPr="006851D4">
        <w:rPr>
          <w:rFonts w:ascii="Times New Roman" w:hAnsi="Times New Roman"/>
          <w:sz w:val="24"/>
          <w:szCs w:val="24"/>
        </w:rPr>
        <w:t xml:space="preserve"> is not determinable.  Manag</w:t>
      </w:r>
      <w:r w:rsidR="000C35B4">
        <w:rPr>
          <w:rFonts w:ascii="Times New Roman" w:hAnsi="Times New Roman"/>
          <w:sz w:val="24"/>
          <w:szCs w:val="24"/>
        </w:rPr>
        <w:t xml:space="preserve">ement believes this may result in either an additional receivable to, or </w:t>
      </w:r>
      <w:r w:rsidR="007847A0">
        <w:rPr>
          <w:rFonts w:ascii="Times New Roman" w:hAnsi="Times New Roman"/>
          <w:sz w:val="24"/>
          <w:szCs w:val="24"/>
        </w:rPr>
        <w:t xml:space="preserve">liability of, the </w:t>
      </w:r>
      <w:proofErr w:type="gramStart"/>
      <w:r w:rsidR="007847A0">
        <w:rPr>
          <w:rFonts w:ascii="Times New Roman" w:hAnsi="Times New Roman"/>
          <w:sz w:val="24"/>
          <w:szCs w:val="24"/>
        </w:rPr>
        <w:t>School</w:t>
      </w:r>
      <w:proofErr w:type="gramEnd"/>
      <w:r w:rsidR="007847A0">
        <w:rPr>
          <w:rFonts w:ascii="Times New Roman" w:hAnsi="Times New Roman"/>
          <w:sz w:val="24"/>
          <w:szCs w:val="24"/>
        </w:rPr>
        <w:t xml:space="preserve">. </w:t>
      </w:r>
      <w:r w:rsidRPr="00D231C7">
        <w:rPr>
          <w:rFonts w:ascii="Times New Roman" w:hAnsi="Times New Roman"/>
          <w:sz w:val="24"/>
          <w:szCs w:val="24"/>
        </w:rPr>
        <w:t xml:space="preserve"> </w:t>
      </w:r>
    </w:p>
    <w:p w14:paraId="7E80BE5F" w14:textId="77777777" w:rsidR="00D231C7" w:rsidRPr="00D231C7" w:rsidRDefault="00D231C7" w:rsidP="00316073">
      <w:pPr>
        <w:jc w:val="both"/>
        <w:rPr>
          <w:rFonts w:ascii="Times New Roman" w:hAnsi="Times New Roman"/>
          <w:sz w:val="24"/>
          <w:szCs w:val="24"/>
        </w:rPr>
      </w:pPr>
    </w:p>
    <w:p w14:paraId="2C1436E0" w14:textId="4E48D90A" w:rsidR="00A60577" w:rsidRDefault="00A60577" w:rsidP="00A60577">
      <w:pPr>
        <w:pStyle w:val="ListParagraph"/>
        <w:numPr>
          <w:ilvl w:val="0"/>
          <w:numId w:val="2"/>
        </w:numPr>
        <w:autoSpaceDE w:val="0"/>
        <w:autoSpaceDN w:val="0"/>
        <w:jc w:val="both"/>
        <w:rPr>
          <w:rFonts w:ascii="Times New Roman" w:hAnsi="Times New Roman"/>
          <w:sz w:val="24"/>
          <w:szCs w:val="24"/>
        </w:rPr>
      </w:pPr>
      <w:r>
        <w:rPr>
          <w:rFonts w:ascii="Times New Roman" w:hAnsi="Times New Roman"/>
          <w:color w:val="FF0000"/>
          <w:sz w:val="24"/>
          <w:szCs w:val="24"/>
        </w:rPr>
        <w:t>[Use this footnote if</w:t>
      </w:r>
      <w:r w:rsidRPr="00DA2F71">
        <w:rPr>
          <w:rFonts w:ascii="Times New Roman" w:hAnsi="Times New Roman"/>
          <w:color w:val="FF0000"/>
          <w:sz w:val="24"/>
          <w:szCs w:val="24"/>
        </w:rPr>
        <w:t xml:space="preserve"> the school </w:t>
      </w:r>
      <w:r w:rsidRPr="00DA2F71">
        <w:rPr>
          <w:rFonts w:ascii="Times New Roman" w:hAnsi="Times New Roman"/>
          <w:color w:val="FF0000"/>
          <w:sz w:val="24"/>
          <w:szCs w:val="24"/>
          <w:u w:val="single"/>
        </w:rPr>
        <w:t>did</w:t>
      </w:r>
      <w:r>
        <w:rPr>
          <w:rFonts w:ascii="Times New Roman" w:hAnsi="Times New Roman"/>
          <w:color w:val="FF0000"/>
          <w:sz w:val="24"/>
          <w:szCs w:val="24"/>
        </w:rPr>
        <w:t xml:space="preserve"> appeal their Fy </w:t>
      </w:r>
      <w:r w:rsidR="00757C46">
        <w:rPr>
          <w:rFonts w:ascii="Times New Roman" w:hAnsi="Times New Roman"/>
          <w:color w:val="FF0000"/>
          <w:sz w:val="24"/>
          <w:szCs w:val="24"/>
        </w:rPr>
        <w:t>20</w:t>
      </w:r>
      <w:r w:rsidR="005454A2">
        <w:rPr>
          <w:rFonts w:ascii="Times New Roman" w:hAnsi="Times New Roman"/>
          <w:color w:val="FF0000"/>
          <w:sz w:val="24"/>
          <w:szCs w:val="24"/>
        </w:rPr>
        <w:t>2</w:t>
      </w:r>
      <w:r w:rsidR="00533F67">
        <w:rPr>
          <w:rFonts w:ascii="Times New Roman" w:hAnsi="Times New Roman"/>
          <w:color w:val="FF0000"/>
          <w:sz w:val="24"/>
          <w:szCs w:val="24"/>
        </w:rPr>
        <w:t>X</w:t>
      </w:r>
      <w:r w:rsidR="00757C46" w:rsidRPr="00DA2F71">
        <w:rPr>
          <w:rFonts w:ascii="Times New Roman" w:hAnsi="Times New Roman"/>
          <w:color w:val="FF0000"/>
          <w:sz w:val="24"/>
          <w:szCs w:val="24"/>
        </w:rPr>
        <w:t xml:space="preserve"> </w:t>
      </w:r>
      <w:r w:rsidRPr="00DA2F71">
        <w:rPr>
          <w:rFonts w:ascii="Times New Roman" w:hAnsi="Times New Roman"/>
          <w:color w:val="FF0000"/>
          <w:sz w:val="24"/>
          <w:szCs w:val="24"/>
        </w:rPr>
        <w:t xml:space="preserve">FTE </w:t>
      </w:r>
      <w:r w:rsidR="00E52A40">
        <w:rPr>
          <w:rFonts w:ascii="Times New Roman" w:hAnsi="Times New Roman"/>
          <w:color w:val="FF0000"/>
          <w:sz w:val="24"/>
          <w:szCs w:val="24"/>
        </w:rPr>
        <w:t>r</w:t>
      </w:r>
      <w:r w:rsidRPr="00DA2F71">
        <w:rPr>
          <w:rFonts w:ascii="Times New Roman" w:hAnsi="Times New Roman"/>
          <w:color w:val="FF0000"/>
          <w:sz w:val="24"/>
          <w:szCs w:val="24"/>
        </w:rPr>
        <w:t xml:space="preserve">eview </w:t>
      </w:r>
      <w:r w:rsidR="001D4A23">
        <w:rPr>
          <w:rFonts w:ascii="Times New Roman" w:hAnsi="Times New Roman"/>
          <w:color w:val="FF0000"/>
          <w:sz w:val="24"/>
          <w:szCs w:val="24"/>
        </w:rPr>
        <w:t xml:space="preserve">final determination </w:t>
      </w:r>
      <w:r w:rsidRPr="00DA2F71">
        <w:rPr>
          <w:rFonts w:ascii="Times New Roman" w:hAnsi="Times New Roman"/>
          <w:color w:val="FF0000"/>
          <w:sz w:val="24"/>
          <w:szCs w:val="24"/>
        </w:rPr>
        <w:t>results,</w:t>
      </w:r>
      <w:r>
        <w:rPr>
          <w:rFonts w:ascii="Times New Roman" w:hAnsi="Times New Roman"/>
          <w:color w:val="FF0000"/>
          <w:sz w:val="24"/>
          <w:szCs w:val="24"/>
        </w:rPr>
        <w:t xml:space="preserve"> and </w:t>
      </w:r>
      <w:r w:rsidR="007107FA">
        <w:rPr>
          <w:rFonts w:ascii="Times New Roman" w:hAnsi="Times New Roman"/>
          <w:color w:val="FF0000"/>
          <w:sz w:val="24"/>
          <w:szCs w:val="24"/>
        </w:rPr>
        <w:t xml:space="preserve">the appeal </w:t>
      </w:r>
      <w:r>
        <w:rPr>
          <w:rFonts w:ascii="Times New Roman" w:hAnsi="Times New Roman"/>
          <w:color w:val="FF0000"/>
          <w:sz w:val="24"/>
          <w:szCs w:val="24"/>
        </w:rPr>
        <w:t>has not yet been settled.]</w:t>
      </w:r>
    </w:p>
    <w:p w14:paraId="1E8A0CAA" w14:textId="77777777" w:rsidR="00A60577" w:rsidRDefault="00A60577" w:rsidP="00A60577">
      <w:pPr>
        <w:pStyle w:val="ListParagraph"/>
        <w:autoSpaceDE w:val="0"/>
        <w:autoSpaceDN w:val="0"/>
        <w:jc w:val="both"/>
        <w:rPr>
          <w:rFonts w:ascii="Times New Roman" w:hAnsi="Times New Roman"/>
          <w:sz w:val="24"/>
          <w:szCs w:val="24"/>
        </w:rPr>
      </w:pPr>
    </w:p>
    <w:p w14:paraId="31148EB4" w14:textId="2003C97F" w:rsidR="00A60577" w:rsidRDefault="00A60577" w:rsidP="00A60577">
      <w:pPr>
        <w:pStyle w:val="ListParagraph"/>
        <w:autoSpaceDE w:val="0"/>
        <w:autoSpaceDN w:val="0"/>
        <w:jc w:val="both"/>
        <w:rPr>
          <w:rFonts w:ascii="Times New Roman" w:hAnsi="Times New Roman"/>
          <w:sz w:val="24"/>
          <w:szCs w:val="24"/>
        </w:rPr>
      </w:pPr>
      <w:r>
        <w:rPr>
          <w:rFonts w:ascii="Times New Roman" w:hAnsi="Times New Roman"/>
          <w:sz w:val="24"/>
          <w:szCs w:val="24"/>
        </w:rPr>
        <w:lastRenderedPageBreak/>
        <w:t>School f</w:t>
      </w:r>
      <w:r w:rsidRPr="00D231C7">
        <w:rPr>
          <w:rFonts w:ascii="Times New Roman" w:hAnsi="Times New Roman"/>
          <w:sz w:val="24"/>
          <w:szCs w:val="24"/>
        </w:rPr>
        <w:t>oundation funding is based on the annualized full-time equivalent (FTE) enrollment of each student.  However, there is an important nexus between attendance and enrollment for Foundation funding purposes.  Community schools must provide documentation that clearly demonstrates students have participated in learning opp</w:t>
      </w:r>
      <w:r>
        <w:rPr>
          <w:rFonts w:ascii="Times New Roman" w:hAnsi="Times New Roman"/>
          <w:sz w:val="24"/>
          <w:szCs w:val="24"/>
        </w:rPr>
        <w:t>ortunities. The Ohio Department of Education</w:t>
      </w:r>
      <w:r w:rsidR="002A754F">
        <w:rPr>
          <w:rFonts w:ascii="Times New Roman" w:hAnsi="Times New Roman"/>
          <w:sz w:val="24"/>
          <w:szCs w:val="24"/>
        </w:rPr>
        <w:t xml:space="preserve"> and Workforce</w:t>
      </w:r>
      <w:r>
        <w:rPr>
          <w:rFonts w:ascii="Times New Roman" w:hAnsi="Times New Roman"/>
          <w:sz w:val="24"/>
          <w:szCs w:val="24"/>
        </w:rPr>
        <w:t xml:space="preserve"> (</w:t>
      </w:r>
      <w:r w:rsidR="002A754F">
        <w:rPr>
          <w:rFonts w:ascii="Times New Roman" w:hAnsi="Times New Roman"/>
          <w:sz w:val="24"/>
          <w:szCs w:val="24"/>
        </w:rPr>
        <w:t>DEW</w:t>
      </w:r>
      <w:r>
        <w:rPr>
          <w:rFonts w:ascii="Times New Roman" w:hAnsi="Times New Roman"/>
          <w:sz w:val="24"/>
          <w:szCs w:val="24"/>
        </w:rPr>
        <w:t>) is legislatively required to adjust/reconcile funding as enrollment information is updated by schools throughout the State, which can extend past the fiscal year end.</w:t>
      </w:r>
      <w:r w:rsidRPr="00D231C7">
        <w:rPr>
          <w:rFonts w:ascii="Times New Roman" w:hAnsi="Times New Roman"/>
          <w:sz w:val="24"/>
          <w:szCs w:val="24"/>
        </w:rPr>
        <w:t xml:space="preserve"> </w:t>
      </w:r>
    </w:p>
    <w:p w14:paraId="3401A8BA" w14:textId="77777777" w:rsidR="00A60577" w:rsidRDefault="00A60577" w:rsidP="00A60577">
      <w:pPr>
        <w:pStyle w:val="ListParagraph"/>
        <w:jc w:val="both"/>
        <w:rPr>
          <w:rFonts w:ascii="Times New Roman" w:hAnsi="Times New Roman"/>
          <w:sz w:val="24"/>
          <w:szCs w:val="24"/>
        </w:rPr>
      </w:pPr>
    </w:p>
    <w:p w14:paraId="3EB2A65C" w14:textId="798BE444" w:rsidR="00CD0348" w:rsidRPr="00D231C7" w:rsidRDefault="00602AA1" w:rsidP="00A60577">
      <w:pPr>
        <w:pStyle w:val="ListParagraph"/>
        <w:jc w:val="both"/>
        <w:rPr>
          <w:rFonts w:ascii="Times New Roman" w:hAnsi="Times New Roman"/>
          <w:sz w:val="24"/>
          <w:szCs w:val="24"/>
        </w:rPr>
      </w:pPr>
      <w:r w:rsidRPr="00BB7042">
        <w:rPr>
          <w:rFonts w:ascii="Times New Roman" w:hAnsi="Times New Roman"/>
          <w:sz w:val="24"/>
          <w:szCs w:val="24"/>
        </w:rPr>
        <w:t xml:space="preserve">Under Ohio Rev. Code Section 3314.08 </w:t>
      </w:r>
      <w:r w:rsidR="002A754F">
        <w:rPr>
          <w:rFonts w:ascii="Times New Roman" w:hAnsi="Times New Roman"/>
          <w:sz w:val="24"/>
          <w:szCs w:val="24"/>
        </w:rPr>
        <w:t>DEW</w:t>
      </w:r>
      <w:r w:rsidR="002A754F" w:rsidRPr="00D231C7">
        <w:rPr>
          <w:rFonts w:ascii="Times New Roman" w:hAnsi="Times New Roman"/>
          <w:sz w:val="24"/>
          <w:szCs w:val="24"/>
        </w:rPr>
        <w:t xml:space="preserve"> </w:t>
      </w:r>
      <w:r w:rsidR="00CD0348" w:rsidRPr="00D231C7">
        <w:rPr>
          <w:rFonts w:ascii="Times New Roman" w:hAnsi="Times New Roman"/>
          <w:sz w:val="24"/>
          <w:szCs w:val="24"/>
        </w:rPr>
        <w:t xml:space="preserve">may </w:t>
      </w:r>
      <w:r w:rsidR="00D231C7">
        <w:rPr>
          <w:rFonts w:ascii="Times New Roman" w:hAnsi="Times New Roman"/>
          <w:sz w:val="24"/>
          <w:szCs w:val="24"/>
        </w:rPr>
        <w:t xml:space="preserve">also </w:t>
      </w:r>
      <w:r w:rsidR="00CD0348" w:rsidRPr="00D231C7">
        <w:rPr>
          <w:rFonts w:ascii="Times New Roman" w:hAnsi="Times New Roman"/>
          <w:sz w:val="24"/>
          <w:szCs w:val="24"/>
        </w:rPr>
        <w:t xml:space="preserve">perform </w:t>
      </w:r>
      <w:proofErr w:type="gramStart"/>
      <w:r w:rsidR="00CD0348" w:rsidRPr="00D231C7">
        <w:rPr>
          <w:rFonts w:ascii="Times New Roman" w:hAnsi="Times New Roman"/>
          <w:sz w:val="24"/>
          <w:szCs w:val="24"/>
        </w:rPr>
        <w:t>a</w:t>
      </w:r>
      <w:proofErr w:type="gramEnd"/>
      <w:r w:rsidR="00CD0348" w:rsidRPr="00D231C7">
        <w:rPr>
          <w:rFonts w:ascii="Times New Roman" w:hAnsi="Times New Roman"/>
          <w:sz w:val="24"/>
          <w:szCs w:val="24"/>
        </w:rPr>
        <w:t xml:space="preserve"> FTE </w:t>
      </w:r>
      <w:r w:rsidR="001D4A23">
        <w:rPr>
          <w:rFonts w:ascii="Times New Roman" w:hAnsi="Times New Roman"/>
          <w:sz w:val="24"/>
          <w:szCs w:val="24"/>
        </w:rPr>
        <w:t>r</w:t>
      </w:r>
      <w:r w:rsidR="00CD0348" w:rsidRPr="00D231C7">
        <w:rPr>
          <w:rFonts w:ascii="Times New Roman" w:hAnsi="Times New Roman"/>
          <w:sz w:val="24"/>
          <w:szCs w:val="24"/>
        </w:rPr>
        <w:t xml:space="preserve">eview </w:t>
      </w:r>
      <w:r w:rsidR="001D4A23">
        <w:rPr>
          <w:rFonts w:ascii="Times New Roman" w:hAnsi="Times New Roman"/>
          <w:sz w:val="24"/>
          <w:szCs w:val="24"/>
        </w:rPr>
        <w:t>for</w:t>
      </w:r>
      <w:r w:rsidR="00CD0348" w:rsidRPr="00D231C7">
        <w:rPr>
          <w:rFonts w:ascii="Times New Roman" w:hAnsi="Times New Roman"/>
          <w:sz w:val="24"/>
          <w:szCs w:val="24"/>
        </w:rPr>
        <w:t xml:space="preserve"> the fiscal year that may result in </w:t>
      </w:r>
      <w:r w:rsidR="002D6CB0">
        <w:rPr>
          <w:rFonts w:ascii="Times New Roman" w:hAnsi="Times New Roman"/>
          <w:sz w:val="24"/>
          <w:szCs w:val="24"/>
        </w:rPr>
        <w:t>an additional adjustment</w:t>
      </w:r>
      <w:r w:rsidR="00CD0348" w:rsidRPr="00D231C7">
        <w:rPr>
          <w:rFonts w:ascii="Times New Roman" w:hAnsi="Times New Roman"/>
          <w:sz w:val="24"/>
          <w:szCs w:val="24"/>
        </w:rPr>
        <w:t xml:space="preserve"> to the enrollment information as well as claw backs of Foundation funding due to a lack of evidence to support student participation and other matters of noncompliance. </w:t>
      </w:r>
      <w:r w:rsidR="002A754F">
        <w:rPr>
          <w:rFonts w:ascii="Times New Roman" w:hAnsi="Times New Roman"/>
          <w:sz w:val="24"/>
          <w:szCs w:val="24"/>
        </w:rPr>
        <w:t xml:space="preserve">DEW </w:t>
      </w:r>
      <w:r>
        <w:rPr>
          <w:rFonts w:ascii="Times New Roman" w:hAnsi="Times New Roman"/>
          <w:sz w:val="24"/>
          <w:szCs w:val="24"/>
        </w:rPr>
        <w:t>performed such a review on</w:t>
      </w:r>
      <w:r w:rsidR="00A25A1D">
        <w:rPr>
          <w:rFonts w:ascii="Times New Roman" w:hAnsi="Times New Roman"/>
          <w:sz w:val="24"/>
          <w:szCs w:val="24"/>
        </w:rPr>
        <w:t xml:space="preserve"> the </w:t>
      </w:r>
      <w:proofErr w:type="gramStart"/>
      <w:r w:rsidR="00A25A1D">
        <w:rPr>
          <w:rFonts w:ascii="Times New Roman" w:hAnsi="Times New Roman"/>
          <w:sz w:val="24"/>
          <w:szCs w:val="24"/>
        </w:rPr>
        <w:t>School</w:t>
      </w:r>
      <w:proofErr w:type="gramEnd"/>
      <w:r w:rsidR="00A25A1D">
        <w:rPr>
          <w:rFonts w:ascii="Times New Roman" w:hAnsi="Times New Roman"/>
          <w:sz w:val="24"/>
          <w:szCs w:val="24"/>
        </w:rPr>
        <w:t xml:space="preserve"> for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Pr>
          <w:rFonts w:ascii="Times New Roman" w:hAnsi="Times New Roman"/>
          <w:sz w:val="24"/>
          <w:szCs w:val="24"/>
        </w:rPr>
        <w:t xml:space="preserve">.  </w:t>
      </w:r>
      <w:r w:rsidR="00BB7042">
        <w:rPr>
          <w:rFonts w:ascii="Times New Roman" w:hAnsi="Times New Roman"/>
          <w:sz w:val="24"/>
          <w:szCs w:val="24"/>
        </w:rPr>
        <w:t>T</w:t>
      </w:r>
      <w:r w:rsidR="00CD0348" w:rsidRPr="00D231C7">
        <w:rPr>
          <w:rFonts w:ascii="Times New Roman" w:hAnsi="Times New Roman"/>
          <w:sz w:val="24"/>
          <w:szCs w:val="24"/>
        </w:rPr>
        <w:t xml:space="preserve">he </w:t>
      </w:r>
      <w:proofErr w:type="gramStart"/>
      <w:r w:rsidR="00CD0348" w:rsidRPr="00D231C7">
        <w:rPr>
          <w:rFonts w:ascii="Times New Roman" w:hAnsi="Times New Roman"/>
          <w:sz w:val="24"/>
          <w:szCs w:val="24"/>
        </w:rPr>
        <w:t>School</w:t>
      </w:r>
      <w:proofErr w:type="gramEnd"/>
      <w:r w:rsidR="001D0AE5">
        <w:rPr>
          <w:rFonts w:ascii="Times New Roman" w:hAnsi="Times New Roman"/>
          <w:sz w:val="24"/>
          <w:szCs w:val="24"/>
        </w:rPr>
        <w:t xml:space="preserve"> appealed their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sidRPr="00D231C7">
        <w:rPr>
          <w:rFonts w:ascii="Times New Roman" w:hAnsi="Times New Roman"/>
          <w:sz w:val="24"/>
          <w:szCs w:val="24"/>
        </w:rPr>
        <w:t xml:space="preserve"> </w:t>
      </w:r>
      <w:r w:rsidR="00CD0348" w:rsidRPr="00D231C7">
        <w:rPr>
          <w:rFonts w:ascii="Times New Roman" w:hAnsi="Times New Roman"/>
          <w:sz w:val="24"/>
          <w:szCs w:val="24"/>
        </w:rPr>
        <w:t>FTE review</w:t>
      </w:r>
      <w:r w:rsidR="001D4A23">
        <w:rPr>
          <w:rFonts w:ascii="Times New Roman" w:hAnsi="Times New Roman"/>
          <w:sz w:val="24"/>
          <w:szCs w:val="24"/>
        </w:rPr>
        <w:t xml:space="preserve"> final determination results</w:t>
      </w:r>
      <w:r w:rsidR="00BB7042">
        <w:rPr>
          <w:rFonts w:ascii="Times New Roman" w:hAnsi="Times New Roman"/>
          <w:sz w:val="24"/>
          <w:szCs w:val="24"/>
        </w:rPr>
        <w:t>,</w:t>
      </w:r>
      <w:r w:rsidR="00CD0348" w:rsidRPr="00D231C7">
        <w:rPr>
          <w:rFonts w:ascii="Times New Roman" w:hAnsi="Times New Roman"/>
          <w:sz w:val="24"/>
          <w:szCs w:val="24"/>
        </w:rPr>
        <w:t xml:space="preserve"> which</w:t>
      </w:r>
      <w:r w:rsidR="00BB7042">
        <w:rPr>
          <w:rFonts w:ascii="Times New Roman" w:hAnsi="Times New Roman"/>
          <w:sz w:val="24"/>
          <w:szCs w:val="24"/>
        </w:rPr>
        <w:t xml:space="preserve"> as</w:t>
      </w:r>
      <w:r w:rsidR="00BB7042" w:rsidRPr="00D231C7">
        <w:rPr>
          <w:rFonts w:ascii="Times New Roman" w:hAnsi="Times New Roman"/>
          <w:sz w:val="24"/>
          <w:szCs w:val="24"/>
        </w:rPr>
        <w:t xml:space="preserve"> of the date of this report</w:t>
      </w:r>
      <w:r w:rsidR="00BB7042">
        <w:rPr>
          <w:rFonts w:ascii="Times New Roman" w:hAnsi="Times New Roman"/>
          <w:sz w:val="24"/>
          <w:szCs w:val="24"/>
        </w:rPr>
        <w:t>,</w:t>
      </w:r>
      <w:r w:rsidR="00CD0348" w:rsidRPr="00D231C7">
        <w:rPr>
          <w:rFonts w:ascii="Times New Roman" w:hAnsi="Times New Roman"/>
          <w:sz w:val="24"/>
          <w:szCs w:val="24"/>
        </w:rPr>
        <w:t xml:space="preserve"> has not been settled.  As a result, </w:t>
      </w:r>
      <w:r w:rsidR="006851D4">
        <w:rPr>
          <w:rFonts w:ascii="Times New Roman" w:hAnsi="Times New Roman"/>
          <w:sz w:val="24"/>
          <w:szCs w:val="24"/>
        </w:rPr>
        <w:t xml:space="preserve">the </w:t>
      </w:r>
      <w:r w:rsidR="002D6CB0">
        <w:rPr>
          <w:rFonts w:ascii="Times New Roman" w:hAnsi="Times New Roman"/>
          <w:sz w:val="24"/>
          <w:szCs w:val="24"/>
        </w:rPr>
        <w:t>impact</w:t>
      </w:r>
      <w:r w:rsidR="00CD0348" w:rsidRPr="00D231C7">
        <w:rPr>
          <w:rFonts w:ascii="Times New Roman" w:hAnsi="Times New Roman"/>
          <w:sz w:val="24"/>
          <w:szCs w:val="24"/>
        </w:rPr>
        <w:t xml:space="preserve"> of the appealed FTE </w:t>
      </w:r>
      <w:r w:rsidR="001D4A23">
        <w:rPr>
          <w:rFonts w:ascii="Times New Roman" w:hAnsi="Times New Roman"/>
          <w:sz w:val="24"/>
          <w:szCs w:val="24"/>
        </w:rPr>
        <w:t>r</w:t>
      </w:r>
      <w:r w:rsidR="00CD0348" w:rsidRPr="00D231C7">
        <w:rPr>
          <w:rFonts w:ascii="Times New Roman" w:hAnsi="Times New Roman"/>
          <w:sz w:val="24"/>
          <w:szCs w:val="24"/>
        </w:rPr>
        <w:t xml:space="preserve">eview </w:t>
      </w:r>
      <w:r w:rsidR="001D4A23">
        <w:rPr>
          <w:rFonts w:ascii="Times New Roman" w:hAnsi="Times New Roman"/>
          <w:sz w:val="24"/>
          <w:szCs w:val="24"/>
        </w:rPr>
        <w:t xml:space="preserve">final determination </w:t>
      </w:r>
      <w:r w:rsidR="002D6CB0">
        <w:rPr>
          <w:rFonts w:ascii="Times New Roman" w:hAnsi="Times New Roman"/>
          <w:sz w:val="24"/>
          <w:szCs w:val="24"/>
        </w:rPr>
        <w:t xml:space="preserve">on the </w:t>
      </w:r>
      <w:r w:rsidR="002D6CB0" w:rsidRPr="00D231C7">
        <w:rPr>
          <w:rFonts w:ascii="Times New Roman" w:hAnsi="Times New Roman"/>
          <w:sz w:val="24"/>
          <w:szCs w:val="24"/>
        </w:rPr>
        <w:t xml:space="preserve">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sidR="002D6CB0">
        <w:rPr>
          <w:rFonts w:ascii="Times New Roman" w:hAnsi="Times New Roman"/>
          <w:sz w:val="24"/>
          <w:szCs w:val="24"/>
        </w:rPr>
        <w:t xml:space="preserve">financial statements </w:t>
      </w:r>
      <w:r w:rsidR="004313FF">
        <w:rPr>
          <w:rFonts w:ascii="Times New Roman" w:hAnsi="Times New Roman"/>
          <w:sz w:val="24"/>
          <w:szCs w:val="24"/>
        </w:rPr>
        <w:t>is</w:t>
      </w:r>
      <w:r w:rsidR="00CD0348" w:rsidRPr="00D231C7">
        <w:rPr>
          <w:rFonts w:ascii="Times New Roman" w:hAnsi="Times New Roman"/>
          <w:sz w:val="24"/>
          <w:szCs w:val="24"/>
        </w:rPr>
        <w:t xml:space="preserve"> not determinable</w:t>
      </w:r>
      <w:r w:rsidR="001C405A">
        <w:rPr>
          <w:rFonts w:ascii="Times New Roman" w:hAnsi="Times New Roman"/>
          <w:sz w:val="24"/>
          <w:szCs w:val="24"/>
        </w:rPr>
        <w:t>,</w:t>
      </w:r>
      <w:r w:rsidR="00CD0348" w:rsidRPr="00D231C7">
        <w:rPr>
          <w:rFonts w:ascii="Times New Roman" w:hAnsi="Times New Roman"/>
          <w:sz w:val="24"/>
          <w:szCs w:val="24"/>
        </w:rPr>
        <w:t xml:space="preserve"> </w:t>
      </w:r>
      <w:proofErr w:type="gramStart"/>
      <w:r w:rsidR="00CD0348" w:rsidRPr="00D231C7">
        <w:rPr>
          <w:rFonts w:ascii="Times New Roman" w:hAnsi="Times New Roman"/>
          <w:sz w:val="24"/>
          <w:szCs w:val="24"/>
        </w:rPr>
        <w:t>at this time</w:t>
      </w:r>
      <w:proofErr w:type="gramEnd"/>
      <w:r w:rsidR="00CD0348" w:rsidRPr="00D231C7">
        <w:rPr>
          <w:rFonts w:ascii="Times New Roman" w:hAnsi="Times New Roman"/>
          <w:sz w:val="24"/>
          <w:szCs w:val="24"/>
        </w:rPr>
        <w:t xml:space="preserve">.  </w:t>
      </w:r>
      <w:r w:rsidR="006851D4">
        <w:rPr>
          <w:rFonts w:ascii="Times New Roman" w:hAnsi="Times New Roman"/>
          <w:sz w:val="24"/>
          <w:szCs w:val="24"/>
        </w:rPr>
        <w:t>M</w:t>
      </w:r>
      <w:r w:rsidR="00CD0348" w:rsidRPr="00D231C7">
        <w:rPr>
          <w:rFonts w:ascii="Times New Roman" w:hAnsi="Times New Roman"/>
          <w:sz w:val="24"/>
          <w:szCs w:val="24"/>
        </w:rPr>
        <w:t>anagement believe</w:t>
      </w:r>
      <w:r w:rsidR="006851D4">
        <w:rPr>
          <w:rFonts w:ascii="Times New Roman" w:hAnsi="Times New Roman"/>
          <w:sz w:val="24"/>
          <w:szCs w:val="24"/>
        </w:rPr>
        <w:t>s</w:t>
      </w:r>
      <w:r w:rsidR="00CD0348" w:rsidRPr="00D231C7">
        <w:rPr>
          <w:rFonts w:ascii="Times New Roman" w:hAnsi="Times New Roman"/>
          <w:sz w:val="24"/>
          <w:szCs w:val="24"/>
        </w:rPr>
        <w:t xml:space="preserve"> this may result in a liability of the </w:t>
      </w:r>
      <w:proofErr w:type="gramStart"/>
      <w:r w:rsidR="00CD0348" w:rsidRPr="00D231C7">
        <w:rPr>
          <w:rFonts w:ascii="Times New Roman" w:hAnsi="Times New Roman"/>
          <w:sz w:val="24"/>
          <w:szCs w:val="24"/>
        </w:rPr>
        <w:t>School</w:t>
      </w:r>
      <w:proofErr w:type="gramEnd"/>
      <w:r w:rsidR="00CD0348" w:rsidRPr="00D231C7">
        <w:rPr>
          <w:rFonts w:ascii="Times New Roman" w:hAnsi="Times New Roman"/>
          <w:sz w:val="24"/>
          <w:szCs w:val="24"/>
        </w:rPr>
        <w:t>.</w:t>
      </w:r>
    </w:p>
    <w:p w14:paraId="6D039A08" w14:textId="77777777" w:rsidR="002B64FB" w:rsidRDefault="002B64FB" w:rsidP="002B64FB">
      <w:pPr>
        <w:autoSpaceDE w:val="0"/>
        <w:autoSpaceDN w:val="0"/>
        <w:ind w:left="720"/>
        <w:jc w:val="both"/>
        <w:rPr>
          <w:rFonts w:ascii="Times New Roman" w:hAnsi="Times New Roman"/>
          <w:sz w:val="24"/>
          <w:szCs w:val="24"/>
        </w:rPr>
      </w:pPr>
    </w:p>
    <w:p w14:paraId="3E391899" w14:textId="7EFF8CD0" w:rsidR="002B64FB" w:rsidRDefault="002B64FB" w:rsidP="002B64FB">
      <w:pPr>
        <w:autoSpaceDE w:val="0"/>
        <w:autoSpaceDN w:val="0"/>
        <w:ind w:left="720"/>
        <w:jc w:val="both"/>
        <w:rPr>
          <w:rFonts w:ascii="Times New Roman" w:hAnsi="Times New Roman"/>
          <w:sz w:val="24"/>
          <w:szCs w:val="24"/>
        </w:rPr>
      </w:pPr>
      <w:r>
        <w:rPr>
          <w:rFonts w:ascii="Times New Roman" w:hAnsi="Times New Roman"/>
          <w:sz w:val="24"/>
          <w:szCs w:val="24"/>
        </w:rPr>
        <w:t>As of the date of this report</w:t>
      </w:r>
      <w:r w:rsidRPr="00131F78">
        <w:rPr>
          <w:rFonts w:ascii="Times New Roman" w:hAnsi="Times New Roman"/>
          <w:sz w:val="24"/>
          <w:szCs w:val="24"/>
        </w:rPr>
        <w:t>, additional</w:t>
      </w:r>
      <w:r>
        <w:rPr>
          <w:rFonts w:ascii="Times New Roman" w:hAnsi="Times New Roman"/>
          <w:color w:val="1F497D" w:themeColor="dark2"/>
          <w:sz w:val="24"/>
          <w:szCs w:val="24"/>
        </w:rPr>
        <w:t xml:space="preserve"> </w:t>
      </w:r>
      <w:r w:rsidR="002A754F">
        <w:rPr>
          <w:rFonts w:ascii="Times New Roman" w:hAnsi="Times New Roman"/>
          <w:sz w:val="24"/>
          <w:szCs w:val="24"/>
        </w:rPr>
        <w:t xml:space="preserve">DEW </w:t>
      </w:r>
      <w:r>
        <w:rPr>
          <w:rFonts w:ascii="Times New Roman" w:hAnsi="Times New Roman"/>
          <w:sz w:val="24"/>
          <w:szCs w:val="24"/>
        </w:rPr>
        <w:t xml:space="preserve">adjustments for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 xml:space="preserve">are not finalized.  As a result, the impact of future FTE adjustments on the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 xml:space="preserve">financial statements is not determinable, </w:t>
      </w:r>
      <w:proofErr w:type="gramStart"/>
      <w:r>
        <w:rPr>
          <w:rFonts w:ascii="Times New Roman" w:hAnsi="Times New Roman"/>
          <w:sz w:val="24"/>
          <w:szCs w:val="24"/>
        </w:rPr>
        <w:t>at this time</w:t>
      </w:r>
      <w:proofErr w:type="gramEnd"/>
      <w:r>
        <w:rPr>
          <w:rFonts w:ascii="Times New Roman" w:hAnsi="Times New Roman"/>
          <w:sz w:val="24"/>
          <w:szCs w:val="24"/>
        </w:rPr>
        <w:t xml:space="preserve">. Management believes this may result in either an additional receivable to, or a liability of, the </w:t>
      </w:r>
      <w:proofErr w:type="gramStart"/>
      <w:r>
        <w:rPr>
          <w:rFonts w:ascii="Times New Roman" w:hAnsi="Times New Roman"/>
          <w:sz w:val="24"/>
          <w:szCs w:val="24"/>
        </w:rPr>
        <w:t>School</w:t>
      </w:r>
      <w:proofErr w:type="gramEnd"/>
      <w:r>
        <w:rPr>
          <w:rFonts w:ascii="Times New Roman" w:hAnsi="Times New Roman"/>
          <w:sz w:val="24"/>
          <w:szCs w:val="24"/>
        </w:rPr>
        <w:t>.</w:t>
      </w:r>
    </w:p>
    <w:p w14:paraId="66A4F980" w14:textId="77777777" w:rsidR="001C405A" w:rsidRDefault="001C405A" w:rsidP="00316073">
      <w:pPr>
        <w:ind w:left="720"/>
        <w:jc w:val="both"/>
        <w:rPr>
          <w:rFonts w:ascii="Times New Roman" w:hAnsi="Times New Roman"/>
          <w:color w:val="FF0000"/>
          <w:sz w:val="24"/>
          <w:szCs w:val="24"/>
        </w:rPr>
      </w:pPr>
    </w:p>
    <w:p w14:paraId="62049AC9" w14:textId="1E201DB9" w:rsidR="001C405A" w:rsidRDefault="005C0860" w:rsidP="001C405A">
      <w:pPr>
        <w:autoSpaceDE w:val="0"/>
        <w:autoSpaceDN w:val="0"/>
        <w:ind w:left="720"/>
        <w:jc w:val="both"/>
        <w:rPr>
          <w:rFonts w:ascii="Times New Roman" w:hAnsi="Times New Roman"/>
          <w:sz w:val="24"/>
          <w:szCs w:val="24"/>
        </w:rPr>
      </w:pPr>
      <w:r w:rsidRPr="00D231C7">
        <w:rPr>
          <w:rFonts w:ascii="Times New Roman" w:hAnsi="Times New Roman"/>
          <w:color w:val="FF0000"/>
          <w:sz w:val="24"/>
          <w:szCs w:val="24"/>
        </w:rPr>
        <w:t xml:space="preserve">[You must modify this paragraph based on the contracts </w:t>
      </w:r>
      <w:r w:rsidR="009E3DB4">
        <w:rPr>
          <w:rFonts w:ascii="Times New Roman" w:hAnsi="Times New Roman"/>
          <w:color w:val="FF0000"/>
          <w:sz w:val="24"/>
          <w:szCs w:val="24"/>
        </w:rPr>
        <w:t xml:space="preserve">or other documents </w:t>
      </w:r>
      <w:r w:rsidRPr="00D231C7">
        <w:rPr>
          <w:rFonts w:ascii="Times New Roman" w:hAnsi="Times New Roman"/>
          <w:color w:val="FF0000"/>
          <w:sz w:val="24"/>
          <w:szCs w:val="24"/>
        </w:rPr>
        <w:t xml:space="preserve">involved </w:t>
      </w:r>
      <w:r w:rsidR="00F05F96">
        <w:rPr>
          <w:rFonts w:ascii="Times New Roman" w:hAnsi="Times New Roman"/>
          <w:color w:val="FF0000"/>
          <w:sz w:val="24"/>
          <w:szCs w:val="24"/>
        </w:rPr>
        <w:t xml:space="preserve">&amp; </w:t>
      </w:r>
      <w:r w:rsidRPr="00D231C7">
        <w:rPr>
          <w:rFonts w:ascii="Times New Roman" w:hAnsi="Times New Roman"/>
          <w:color w:val="FF0000"/>
          <w:sz w:val="24"/>
          <w:szCs w:val="24"/>
        </w:rPr>
        <w:t>related language.  The first sentence may need split out for each contract</w:t>
      </w:r>
      <w:r w:rsidR="009E3DB4">
        <w:rPr>
          <w:rFonts w:ascii="Times New Roman" w:hAnsi="Times New Roman"/>
          <w:color w:val="FF0000"/>
          <w:sz w:val="24"/>
          <w:szCs w:val="24"/>
        </w:rPr>
        <w:t>/agreement</w:t>
      </w:r>
      <w:r w:rsidRPr="00D231C7">
        <w:rPr>
          <w:rFonts w:ascii="Times New Roman" w:hAnsi="Times New Roman"/>
          <w:color w:val="FF0000"/>
          <w:sz w:val="24"/>
          <w:szCs w:val="24"/>
        </w:rPr>
        <w:t xml:space="preserve"> depending on the terms.]</w:t>
      </w:r>
      <w:r w:rsidRPr="00D231C7">
        <w:rPr>
          <w:rFonts w:ascii="Times New Roman" w:hAnsi="Times New Roman"/>
          <w:sz w:val="24"/>
          <w:szCs w:val="24"/>
        </w:rPr>
        <w:t xml:space="preserve">  In addition, the </w:t>
      </w:r>
      <w:proofErr w:type="gramStart"/>
      <w:r w:rsidRPr="00D231C7">
        <w:rPr>
          <w:rFonts w:ascii="Times New Roman" w:hAnsi="Times New Roman"/>
          <w:sz w:val="24"/>
          <w:szCs w:val="24"/>
        </w:rPr>
        <w:t>School</w:t>
      </w:r>
      <w:r w:rsidR="00602AA1">
        <w:rPr>
          <w:rFonts w:ascii="Times New Roman" w:hAnsi="Times New Roman"/>
          <w:sz w:val="24"/>
          <w:szCs w:val="24"/>
        </w:rPr>
        <w:t>’</w:t>
      </w:r>
      <w:r w:rsidRPr="00D231C7">
        <w:rPr>
          <w:rFonts w:ascii="Times New Roman" w:hAnsi="Times New Roman"/>
          <w:sz w:val="24"/>
          <w:szCs w:val="24"/>
        </w:rPr>
        <w:t>s</w:t>
      </w:r>
      <w:proofErr w:type="gramEnd"/>
      <w:r w:rsidRPr="00D231C7">
        <w:rPr>
          <w:rFonts w:ascii="Times New Roman" w:hAnsi="Times New Roman"/>
          <w:sz w:val="24"/>
          <w:szCs w:val="24"/>
        </w:rPr>
        <w:t xml:space="preserve"> contracts with their [Sponsor, Management Company and [software] vendor] require payment based on revenues received from the State.  </w:t>
      </w:r>
      <w:r w:rsidR="001C405A">
        <w:rPr>
          <w:rFonts w:ascii="Times New Roman" w:hAnsi="Times New Roman"/>
          <w:sz w:val="24"/>
          <w:szCs w:val="24"/>
        </w:rPr>
        <w:t>As discussed above, the</w:t>
      </w:r>
      <w:r w:rsidRPr="00D231C7">
        <w:rPr>
          <w:rFonts w:ascii="Times New Roman" w:hAnsi="Times New Roman"/>
          <w:sz w:val="24"/>
          <w:szCs w:val="24"/>
        </w:rPr>
        <w:t xml:space="preserve"> fisca</w:t>
      </w:r>
      <w:r w:rsidR="001C405A">
        <w:rPr>
          <w:rFonts w:ascii="Times New Roman" w:hAnsi="Times New Roman"/>
          <w:sz w:val="24"/>
          <w:szCs w:val="24"/>
        </w:rPr>
        <w:t xml:space="preserve">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sidR="001C405A">
        <w:rPr>
          <w:rFonts w:ascii="Times New Roman" w:hAnsi="Times New Roman"/>
          <w:sz w:val="24"/>
          <w:szCs w:val="24"/>
        </w:rPr>
        <w:t xml:space="preserve">FTE </w:t>
      </w:r>
      <w:r w:rsidR="00E52A40">
        <w:rPr>
          <w:rFonts w:ascii="Times New Roman" w:hAnsi="Times New Roman"/>
          <w:sz w:val="24"/>
          <w:szCs w:val="24"/>
        </w:rPr>
        <w:t>r</w:t>
      </w:r>
      <w:r w:rsidR="001C405A">
        <w:rPr>
          <w:rFonts w:ascii="Times New Roman" w:hAnsi="Times New Roman"/>
          <w:sz w:val="24"/>
          <w:szCs w:val="24"/>
        </w:rPr>
        <w:t xml:space="preserve">eview </w:t>
      </w:r>
      <w:r w:rsidR="00596F75">
        <w:rPr>
          <w:rFonts w:ascii="Times New Roman" w:hAnsi="Times New Roman"/>
          <w:sz w:val="24"/>
          <w:szCs w:val="24"/>
        </w:rPr>
        <w:t xml:space="preserve">final determination </w:t>
      </w:r>
      <w:r w:rsidR="001C405A">
        <w:rPr>
          <w:rFonts w:ascii="Times New Roman" w:hAnsi="Times New Roman"/>
          <w:sz w:val="24"/>
          <w:szCs w:val="24"/>
        </w:rPr>
        <w:t>appeal is not finalized.  U</w:t>
      </w:r>
      <w:r w:rsidR="00212C0E">
        <w:rPr>
          <w:rFonts w:ascii="Times New Roman" w:hAnsi="Times New Roman"/>
          <w:sz w:val="24"/>
          <w:szCs w:val="24"/>
        </w:rPr>
        <w:t xml:space="preserve">ntil </w:t>
      </w:r>
      <w:r w:rsidR="002A754F">
        <w:rPr>
          <w:rFonts w:ascii="Times New Roman" w:hAnsi="Times New Roman"/>
          <w:sz w:val="24"/>
          <w:szCs w:val="24"/>
        </w:rPr>
        <w:t xml:space="preserve">DEW </w:t>
      </w:r>
      <w:r w:rsidR="00212C0E">
        <w:rPr>
          <w:rFonts w:ascii="Times New Roman" w:hAnsi="Times New Roman"/>
          <w:sz w:val="24"/>
          <w:szCs w:val="24"/>
        </w:rPr>
        <w:t>finalizes this</w:t>
      </w:r>
      <w:r w:rsidR="001C405A">
        <w:rPr>
          <w:rFonts w:ascii="Times New Roman" w:hAnsi="Times New Roman"/>
          <w:sz w:val="24"/>
          <w:szCs w:val="24"/>
        </w:rPr>
        <w:t xml:space="preserve"> appeal,</w:t>
      </w:r>
      <w:r w:rsidR="001C405A" w:rsidRPr="00D231C7">
        <w:rPr>
          <w:rFonts w:ascii="Times New Roman" w:hAnsi="Times New Roman"/>
          <w:sz w:val="24"/>
          <w:szCs w:val="24"/>
        </w:rPr>
        <w:t xml:space="preserve"> </w:t>
      </w:r>
      <w:r w:rsidR="006851D4">
        <w:rPr>
          <w:rFonts w:ascii="Times New Roman" w:hAnsi="Times New Roman"/>
          <w:sz w:val="24"/>
          <w:szCs w:val="24"/>
        </w:rPr>
        <w:t xml:space="preserve">the </w:t>
      </w:r>
      <w:r w:rsidR="001C405A">
        <w:rPr>
          <w:rFonts w:ascii="Times New Roman" w:hAnsi="Times New Roman"/>
          <w:sz w:val="24"/>
          <w:szCs w:val="24"/>
        </w:rPr>
        <w:t>impact on</w:t>
      </w:r>
      <w:r w:rsidR="001C405A" w:rsidRPr="00D231C7">
        <w:rPr>
          <w:rFonts w:ascii="Times New Roman" w:hAnsi="Times New Roman"/>
          <w:sz w:val="24"/>
          <w:szCs w:val="24"/>
        </w:rPr>
        <w:t xml:space="preserve"> the</w:t>
      </w:r>
      <w:r w:rsidR="001C405A">
        <w:rPr>
          <w:rFonts w:ascii="Times New Roman" w:hAnsi="Times New Roman"/>
          <w:sz w:val="24"/>
          <w:szCs w:val="24"/>
        </w:rPr>
        <w:t xml:space="preserve">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sidR="001C405A">
        <w:rPr>
          <w:rFonts w:ascii="Times New Roman" w:hAnsi="Times New Roman"/>
          <w:sz w:val="24"/>
          <w:szCs w:val="24"/>
        </w:rPr>
        <w:t xml:space="preserve">financial statements related to </w:t>
      </w:r>
      <w:r w:rsidR="006851D4" w:rsidRPr="006851D4">
        <w:rPr>
          <w:rFonts w:ascii="Times New Roman" w:hAnsi="Times New Roman"/>
          <w:sz w:val="24"/>
          <w:szCs w:val="24"/>
        </w:rPr>
        <w:t xml:space="preserve">additional reconciliation necessary with </w:t>
      </w:r>
      <w:r w:rsidR="001C405A">
        <w:rPr>
          <w:rFonts w:ascii="Times New Roman" w:hAnsi="Times New Roman"/>
          <w:sz w:val="24"/>
          <w:szCs w:val="24"/>
        </w:rPr>
        <w:t>these contracts</w:t>
      </w:r>
      <w:r w:rsidR="00596F75">
        <w:rPr>
          <w:rFonts w:ascii="Times New Roman" w:hAnsi="Times New Roman"/>
          <w:sz w:val="24"/>
          <w:szCs w:val="24"/>
        </w:rPr>
        <w:t>/agreements</w:t>
      </w:r>
      <w:r w:rsidR="001C405A">
        <w:rPr>
          <w:rFonts w:ascii="Times New Roman" w:hAnsi="Times New Roman"/>
          <w:sz w:val="24"/>
          <w:szCs w:val="24"/>
        </w:rPr>
        <w:t>, is not determinable.  Management believes this may result in</w:t>
      </w:r>
      <w:r w:rsidR="001D387D">
        <w:rPr>
          <w:rFonts w:ascii="Times New Roman" w:hAnsi="Times New Roman"/>
          <w:sz w:val="24"/>
          <w:szCs w:val="24"/>
        </w:rPr>
        <w:t xml:space="preserve"> a</w:t>
      </w:r>
      <w:r w:rsidR="001C405A">
        <w:rPr>
          <w:rFonts w:ascii="Times New Roman" w:hAnsi="Times New Roman"/>
          <w:sz w:val="24"/>
          <w:szCs w:val="24"/>
        </w:rPr>
        <w:t xml:space="preserve"> receivable to</w:t>
      </w:r>
      <w:r w:rsidR="00037A2C">
        <w:rPr>
          <w:rFonts w:ascii="Times New Roman" w:hAnsi="Times New Roman"/>
          <w:sz w:val="24"/>
          <w:szCs w:val="24"/>
        </w:rPr>
        <w:t xml:space="preserve"> </w:t>
      </w:r>
      <w:r w:rsidR="001C405A">
        <w:rPr>
          <w:rFonts w:ascii="Times New Roman" w:hAnsi="Times New Roman"/>
          <w:sz w:val="24"/>
          <w:szCs w:val="24"/>
        </w:rPr>
        <w:t xml:space="preserve">the </w:t>
      </w:r>
      <w:proofErr w:type="gramStart"/>
      <w:r w:rsidR="001C405A">
        <w:rPr>
          <w:rFonts w:ascii="Times New Roman" w:hAnsi="Times New Roman"/>
          <w:sz w:val="24"/>
          <w:szCs w:val="24"/>
        </w:rPr>
        <w:t>School</w:t>
      </w:r>
      <w:proofErr w:type="gramEnd"/>
      <w:r w:rsidR="001C405A">
        <w:rPr>
          <w:rFonts w:ascii="Times New Roman" w:hAnsi="Times New Roman"/>
          <w:sz w:val="24"/>
          <w:szCs w:val="24"/>
        </w:rPr>
        <w:t xml:space="preserve">. </w:t>
      </w:r>
      <w:r w:rsidR="001C405A" w:rsidRPr="00D231C7">
        <w:rPr>
          <w:rFonts w:ascii="Times New Roman" w:hAnsi="Times New Roman"/>
          <w:sz w:val="24"/>
          <w:szCs w:val="24"/>
        </w:rPr>
        <w:t xml:space="preserve"> </w:t>
      </w:r>
    </w:p>
    <w:p w14:paraId="65B2F173" w14:textId="77777777" w:rsidR="001C405A" w:rsidRDefault="001C405A" w:rsidP="00316073">
      <w:pPr>
        <w:ind w:left="720"/>
        <w:jc w:val="both"/>
        <w:rPr>
          <w:rFonts w:ascii="Times New Roman" w:hAnsi="Times New Roman"/>
          <w:sz w:val="24"/>
          <w:szCs w:val="24"/>
        </w:rPr>
      </w:pPr>
    </w:p>
    <w:p w14:paraId="1CE5C037" w14:textId="77777777" w:rsidR="0093743C" w:rsidRDefault="0093743C" w:rsidP="00316073">
      <w:pPr>
        <w:autoSpaceDE w:val="0"/>
        <w:autoSpaceDN w:val="0"/>
        <w:jc w:val="both"/>
        <w:rPr>
          <w:rFonts w:ascii="Times New Roman" w:hAnsi="Times New Roman"/>
          <w:b/>
          <w:bCs/>
          <w:sz w:val="24"/>
          <w:szCs w:val="24"/>
        </w:rPr>
      </w:pPr>
    </w:p>
    <w:p w14:paraId="350BC5FD" w14:textId="114A0C6F" w:rsidR="001E695B" w:rsidRPr="0012657B" w:rsidRDefault="001E695B" w:rsidP="00316073">
      <w:pPr>
        <w:autoSpaceDE w:val="0"/>
        <w:autoSpaceDN w:val="0"/>
        <w:jc w:val="both"/>
        <w:rPr>
          <w:rFonts w:ascii="Times New Roman" w:hAnsi="Times New Roman"/>
          <w:b/>
          <w:bCs/>
          <w:color w:val="00B050"/>
          <w:sz w:val="24"/>
          <w:szCs w:val="24"/>
        </w:rPr>
      </w:pPr>
      <w:r>
        <w:rPr>
          <w:rFonts w:ascii="Times New Roman" w:hAnsi="Times New Roman"/>
          <w:b/>
          <w:bCs/>
          <w:sz w:val="24"/>
          <w:szCs w:val="24"/>
        </w:rPr>
        <w:t>School Foundation (Traditional Schools)</w:t>
      </w:r>
      <w:r w:rsidR="0012657B">
        <w:rPr>
          <w:rFonts w:ascii="Times New Roman" w:hAnsi="Times New Roman"/>
          <w:b/>
          <w:bCs/>
          <w:sz w:val="24"/>
          <w:szCs w:val="24"/>
        </w:rPr>
        <w:t xml:space="preserve"> </w:t>
      </w:r>
    </w:p>
    <w:p w14:paraId="1FB743BE" w14:textId="77777777" w:rsidR="001E695B" w:rsidRDefault="001E695B" w:rsidP="00316073">
      <w:pPr>
        <w:autoSpaceDE w:val="0"/>
        <w:autoSpaceDN w:val="0"/>
        <w:jc w:val="both"/>
        <w:rPr>
          <w:rFonts w:ascii="Times New Roman" w:hAnsi="Times New Roman"/>
          <w:b/>
          <w:bCs/>
          <w:sz w:val="24"/>
          <w:szCs w:val="24"/>
        </w:rPr>
      </w:pPr>
    </w:p>
    <w:p w14:paraId="1A38F22B" w14:textId="1F132F43" w:rsidR="00C64F4F" w:rsidRDefault="00131F78" w:rsidP="00167214">
      <w:pPr>
        <w:autoSpaceDE w:val="0"/>
        <w:autoSpaceDN w:val="0"/>
        <w:jc w:val="both"/>
        <w:rPr>
          <w:rFonts w:ascii="Times New Roman" w:hAnsi="Times New Roman"/>
          <w:sz w:val="24"/>
          <w:szCs w:val="24"/>
        </w:rPr>
      </w:pPr>
      <w:r>
        <w:rPr>
          <w:rFonts w:ascii="Times New Roman" w:hAnsi="Times New Roman"/>
          <w:sz w:val="24"/>
          <w:szCs w:val="24"/>
        </w:rPr>
        <w:t>School District foundation funding is based on the annualized full-time equivalent (FTE) enrollment of each student. The Ohio Department of Education</w:t>
      </w:r>
      <w:r w:rsidR="002A754F">
        <w:rPr>
          <w:rFonts w:ascii="Times New Roman" w:hAnsi="Times New Roman"/>
          <w:sz w:val="24"/>
          <w:szCs w:val="24"/>
        </w:rPr>
        <w:t xml:space="preserve"> and Workforce</w:t>
      </w:r>
      <w:r>
        <w:rPr>
          <w:rFonts w:ascii="Times New Roman" w:hAnsi="Times New Roman"/>
          <w:sz w:val="24"/>
          <w:szCs w:val="24"/>
        </w:rPr>
        <w:t xml:space="preserve"> (</w:t>
      </w:r>
      <w:r w:rsidR="002A754F">
        <w:rPr>
          <w:rFonts w:ascii="Times New Roman" w:hAnsi="Times New Roman"/>
          <w:sz w:val="24"/>
          <w:szCs w:val="24"/>
        </w:rPr>
        <w:t>DEW</w:t>
      </w:r>
      <w:r>
        <w:rPr>
          <w:rFonts w:ascii="Times New Roman" w:hAnsi="Times New Roman"/>
          <w:sz w:val="24"/>
          <w:szCs w:val="24"/>
        </w:rPr>
        <w:t>) is legislatively required to adjust/reconcile funding as enrollment information is updated by schools throughout the State, which can extend past the fiscal year end.  As of the date of this report</w:t>
      </w:r>
      <w:r w:rsidRPr="00131F78">
        <w:rPr>
          <w:rFonts w:ascii="Times New Roman" w:hAnsi="Times New Roman"/>
          <w:sz w:val="24"/>
          <w:szCs w:val="24"/>
        </w:rPr>
        <w:t>, additional</w:t>
      </w:r>
      <w:r>
        <w:rPr>
          <w:rFonts w:ascii="Times New Roman" w:hAnsi="Times New Roman"/>
          <w:color w:val="1F497D" w:themeColor="dark2"/>
          <w:sz w:val="24"/>
          <w:szCs w:val="24"/>
        </w:rPr>
        <w:t xml:space="preserve"> </w:t>
      </w:r>
      <w:r w:rsidR="002A754F">
        <w:rPr>
          <w:rFonts w:ascii="Times New Roman" w:hAnsi="Times New Roman"/>
          <w:sz w:val="24"/>
          <w:szCs w:val="24"/>
        </w:rPr>
        <w:t xml:space="preserve">DEW </w:t>
      </w:r>
      <w:r>
        <w:rPr>
          <w:rFonts w:ascii="Times New Roman" w:hAnsi="Times New Roman"/>
          <w:sz w:val="24"/>
          <w:szCs w:val="24"/>
        </w:rPr>
        <w:t xml:space="preserve">adjustments for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are not finalized.  As a result,</w:t>
      </w:r>
      <w:r w:rsidR="006851D4">
        <w:rPr>
          <w:rFonts w:ascii="Times New Roman" w:hAnsi="Times New Roman"/>
          <w:sz w:val="24"/>
          <w:szCs w:val="24"/>
        </w:rPr>
        <w:t xml:space="preserve"> the</w:t>
      </w:r>
      <w:r>
        <w:rPr>
          <w:rFonts w:ascii="Times New Roman" w:hAnsi="Times New Roman"/>
          <w:sz w:val="24"/>
          <w:szCs w:val="24"/>
        </w:rPr>
        <w:t xml:space="preserve"> impact of future FTE adjustments on the fiscal year </w:t>
      </w:r>
      <w:r w:rsidR="00757C46">
        <w:rPr>
          <w:rFonts w:ascii="Times New Roman" w:hAnsi="Times New Roman"/>
          <w:sz w:val="24"/>
          <w:szCs w:val="24"/>
        </w:rPr>
        <w:t>20</w:t>
      </w:r>
      <w:r w:rsidR="005454A2">
        <w:rPr>
          <w:rFonts w:ascii="Times New Roman" w:hAnsi="Times New Roman"/>
          <w:sz w:val="24"/>
          <w:szCs w:val="24"/>
        </w:rPr>
        <w:t>2</w:t>
      </w:r>
      <w:r w:rsidR="00533F67">
        <w:rPr>
          <w:rFonts w:ascii="Times New Roman" w:hAnsi="Times New Roman"/>
          <w:sz w:val="24"/>
          <w:szCs w:val="24"/>
        </w:rPr>
        <w:t>X</w:t>
      </w:r>
      <w:r w:rsidR="00757C46">
        <w:rPr>
          <w:rFonts w:ascii="Times New Roman" w:hAnsi="Times New Roman"/>
          <w:sz w:val="24"/>
          <w:szCs w:val="24"/>
        </w:rPr>
        <w:t xml:space="preserve"> </w:t>
      </w:r>
      <w:r>
        <w:rPr>
          <w:rFonts w:ascii="Times New Roman" w:hAnsi="Times New Roman"/>
          <w:sz w:val="24"/>
          <w:szCs w:val="24"/>
        </w:rPr>
        <w:t xml:space="preserve">financial statements is not determinable, </w:t>
      </w:r>
      <w:proofErr w:type="gramStart"/>
      <w:r>
        <w:rPr>
          <w:rFonts w:ascii="Times New Roman" w:hAnsi="Times New Roman"/>
          <w:sz w:val="24"/>
          <w:szCs w:val="24"/>
        </w:rPr>
        <w:t>at this time</w:t>
      </w:r>
      <w:proofErr w:type="gramEnd"/>
      <w:r>
        <w:rPr>
          <w:rFonts w:ascii="Times New Roman" w:hAnsi="Times New Roman"/>
          <w:sz w:val="24"/>
          <w:szCs w:val="24"/>
        </w:rPr>
        <w:t xml:space="preserve">. </w:t>
      </w:r>
      <w:r w:rsidR="006851D4">
        <w:rPr>
          <w:rFonts w:ascii="Times New Roman" w:hAnsi="Times New Roman"/>
          <w:sz w:val="24"/>
          <w:szCs w:val="24"/>
        </w:rPr>
        <w:t>M</w:t>
      </w:r>
      <w:r>
        <w:rPr>
          <w:rFonts w:ascii="Times New Roman" w:hAnsi="Times New Roman"/>
          <w:sz w:val="24"/>
          <w:szCs w:val="24"/>
        </w:rPr>
        <w:t>anagement believe</w:t>
      </w:r>
      <w:r w:rsidR="006851D4">
        <w:rPr>
          <w:rFonts w:ascii="Times New Roman" w:hAnsi="Times New Roman"/>
          <w:sz w:val="24"/>
          <w:szCs w:val="24"/>
        </w:rPr>
        <w:t>s</w:t>
      </w:r>
      <w:r>
        <w:rPr>
          <w:rFonts w:ascii="Times New Roman" w:hAnsi="Times New Roman"/>
          <w:sz w:val="24"/>
          <w:szCs w:val="24"/>
        </w:rPr>
        <w:t xml:space="preserve"> this may result in either an additional receivable to, or a li</w:t>
      </w:r>
      <w:r w:rsidR="00037A2C">
        <w:rPr>
          <w:rFonts w:ascii="Times New Roman" w:hAnsi="Times New Roman"/>
          <w:sz w:val="24"/>
          <w:szCs w:val="24"/>
        </w:rPr>
        <w:t>ability of, the School District.</w:t>
      </w:r>
    </w:p>
    <w:p w14:paraId="75E05555" w14:textId="77777777" w:rsidR="00167214" w:rsidRPr="00676144" w:rsidRDefault="00167214" w:rsidP="00167214">
      <w:pPr>
        <w:autoSpaceDE w:val="0"/>
        <w:autoSpaceDN w:val="0"/>
        <w:jc w:val="both"/>
        <w:rPr>
          <w:rFonts w:ascii="Times New Roman" w:hAnsi="Times New Roman"/>
        </w:rPr>
      </w:pPr>
    </w:p>
    <w:sectPr w:rsidR="00167214" w:rsidRPr="0067614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AC476" w14:textId="77777777" w:rsidR="00AC37F3" w:rsidRDefault="00AC37F3" w:rsidP="00906533">
      <w:r>
        <w:separator/>
      </w:r>
    </w:p>
  </w:endnote>
  <w:endnote w:type="continuationSeparator" w:id="0">
    <w:p w14:paraId="0D223A62" w14:textId="77777777" w:rsidR="00AC37F3" w:rsidRDefault="00AC37F3" w:rsidP="00906533">
      <w:r>
        <w:continuationSeparator/>
      </w:r>
    </w:p>
  </w:endnote>
  <w:endnote w:id="1">
    <w:p w14:paraId="2BB34AD6" w14:textId="7B329C8A" w:rsidR="00097914" w:rsidRDefault="00097914">
      <w:pPr>
        <w:pStyle w:val="EndnoteText"/>
      </w:pPr>
      <w:r>
        <w:rPr>
          <w:rStyle w:val="EndnoteReference"/>
        </w:rPr>
        <w:endnoteRef/>
      </w:r>
      <w:r>
        <w:t xml:space="preserve"> File updated</w:t>
      </w:r>
      <w:r w:rsidR="002A754F">
        <w:t xml:space="preserve"> January 2025 to update ODE’s name to DEW – changes not marked</w:t>
      </w:r>
      <w:r w:rsidR="00167214">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30B9" w14:textId="537088AD" w:rsidR="00906533" w:rsidRPr="00906533" w:rsidRDefault="00906533" w:rsidP="00906533">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31A3" w14:textId="77777777" w:rsidR="00AC37F3" w:rsidRDefault="00AC37F3" w:rsidP="00906533">
      <w:r>
        <w:separator/>
      </w:r>
    </w:p>
  </w:footnote>
  <w:footnote w:type="continuationSeparator" w:id="0">
    <w:p w14:paraId="2143F4A7" w14:textId="77777777" w:rsidR="00AC37F3" w:rsidRDefault="00AC37F3" w:rsidP="0090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FFEB" w14:textId="52826306" w:rsidR="00426420" w:rsidRPr="00426420" w:rsidRDefault="00426420" w:rsidP="00426420">
    <w:pPr>
      <w:pStyle w:val="Header"/>
      <w:jc w:val="center"/>
      <w:rPr>
        <w:b/>
      </w:rPr>
    </w:pPr>
    <w:r w:rsidRPr="00426420">
      <w:rPr>
        <w:b/>
      </w:rPr>
      <w:t xml:space="preserve">School Funding Footnotes – Contingency </w:t>
    </w:r>
  </w:p>
  <w:p w14:paraId="0B70AA89" w14:textId="05A7798A" w:rsidR="00426420" w:rsidRPr="00426420" w:rsidRDefault="00426420" w:rsidP="00426420">
    <w:pPr>
      <w:pStyle w:val="Header"/>
      <w:jc w:val="center"/>
      <w:rPr>
        <w:b/>
      </w:rPr>
    </w:pPr>
    <w:r w:rsidRPr="00426420">
      <w:rPr>
        <w:b/>
      </w:rPr>
      <w:t>Traditional &amp; Community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E69BD"/>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3260B"/>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7A4B"/>
    <w:multiLevelType w:val="hybridMultilevel"/>
    <w:tmpl w:val="A01E399A"/>
    <w:lvl w:ilvl="0" w:tplc="4DE84F38">
      <w:start w:val="1"/>
      <w:numFmt w:val="bullet"/>
      <w:lvlText w:val="o"/>
      <w:lvlJc w:val="left"/>
      <w:pPr>
        <w:tabs>
          <w:tab w:val="num" w:pos="720"/>
        </w:tabs>
        <w:ind w:left="720" w:hanging="360"/>
      </w:pPr>
      <w:rPr>
        <w:rFonts w:ascii="Courier New" w:hAnsi="Courier New" w:hint="default"/>
      </w:rPr>
    </w:lvl>
    <w:lvl w:ilvl="1" w:tplc="9842807C">
      <w:start w:val="1"/>
      <w:numFmt w:val="bullet"/>
      <w:lvlText w:val="o"/>
      <w:lvlJc w:val="left"/>
      <w:pPr>
        <w:tabs>
          <w:tab w:val="num" w:pos="1440"/>
        </w:tabs>
        <w:ind w:left="1440" w:hanging="360"/>
      </w:pPr>
      <w:rPr>
        <w:rFonts w:ascii="Courier New" w:hAnsi="Courier New" w:hint="default"/>
      </w:rPr>
    </w:lvl>
    <w:lvl w:ilvl="2" w:tplc="897E4076" w:tentative="1">
      <w:start w:val="1"/>
      <w:numFmt w:val="bullet"/>
      <w:lvlText w:val="o"/>
      <w:lvlJc w:val="left"/>
      <w:pPr>
        <w:tabs>
          <w:tab w:val="num" w:pos="2160"/>
        </w:tabs>
        <w:ind w:left="2160" w:hanging="360"/>
      </w:pPr>
      <w:rPr>
        <w:rFonts w:ascii="Courier New" w:hAnsi="Courier New" w:hint="default"/>
      </w:rPr>
    </w:lvl>
    <w:lvl w:ilvl="3" w:tplc="75E66A7E" w:tentative="1">
      <w:start w:val="1"/>
      <w:numFmt w:val="bullet"/>
      <w:lvlText w:val="o"/>
      <w:lvlJc w:val="left"/>
      <w:pPr>
        <w:tabs>
          <w:tab w:val="num" w:pos="2880"/>
        </w:tabs>
        <w:ind w:left="2880" w:hanging="360"/>
      </w:pPr>
      <w:rPr>
        <w:rFonts w:ascii="Courier New" w:hAnsi="Courier New" w:hint="default"/>
      </w:rPr>
    </w:lvl>
    <w:lvl w:ilvl="4" w:tplc="C48CC536" w:tentative="1">
      <w:start w:val="1"/>
      <w:numFmt w:val="bullet"/>
      <w:lvlText w:val="o"/>
      <w:lvlJc w:val="left"/>
      <w:pPr>
        <w:tabs>
          <w:tab w:val="num" w:pos="3600"/>
        </w:tabs>
        <w:ind w:left="3600" w:hanging="360"/>
      </w:pPr>
      <w:rPr>
        <w:rFonts w:ascii="Courier New" w:hAnsi="Courier New" w:hint="default"/>
      </w:rPr>
    </w:lvl>
    <w:lvl w:ilvl="5" w:tplc="601223FC" w:tentative="1">
      <w:start w:val="1"/>
      <w:numFmt w:val="bullet"/>
      <w:lvlText w:val="o"/>
      <w:lvlJc w:val="left"/>
      <w:pPr>
        <w:tabs>
          <w:tab w:val="num" w:pos="4320"/>
        </w:tabs>
        <w:ind w:left="4320" w:hanging="360"/>
      </w:pPr>
      <w:rPr>
        <w:rFonts w:ascii="Courier New" w:hAnsi="Courier New" w:hint="default"/>
      </w:rPr>
    </w:lvl>
    <w:lvl w:ilvl="6" w:tplc="E0DC0FC0" w:tentative="1">
      <w:start w:val="1"/>
      <w:numFmt w:val="bullet"/>
      <w:lvlText w:val="o"/>
      <w:lvlJc w:val="left"/>
      <w:pPr>
        <w:tabs>
          <w:tab w:val="num" w:pos="5040"/>
        </w:tabs>
        <w:ind w:left="5040" w:hanging="360"/>
      </w:pPr>
      <w:rPr>
        <w:rFonts w:ascii="Courier New" w:hAnsi="Courier New" w:hint="default"/>
      </w:rPr>
    </w:lvl>
    <w:lvl w:ilvl="7" w:tplc="A4BC6960" w:tentative="1">
      <w:start w:val="1"/>
      <w:numFmt w:val="bullet"/>
      <w:lvlText w:val="o"/>
      <w:lvlJc w:val="left"/>
      <w:pPr>
        <w:tabs>
          <w:tab w:val="num" w:pos="5760"/>
        </w:tabs>
        <w:ind w:left="5760" w:hanging="360"/>
      </w:pPr>
      <w:rPr>
        <w:rFonts w:ascii="Courier New" w:hAnsi="Courier New" w:hint="default"/>
      </w:rPr>
    </w:lvl>
    <w:lvl w:ilvl="8" w:tplc="EAFA222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30F0AFF"/>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C590E"/>
    <w:multiLevelType w:val="hybridMultilevel"/>
    <w:tmpl w:val="01E0373C"/>
    <w:lvl w:ilvl="0" w:tplc="15A48EE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8503857">
    <w:abstractNumId w:val="2"/>
  </w:num>
  <w:num w:numId="2" w16cid:durableId="609313298">
    <w:abstractNumId w:val="1"/>
  </w:num>
  <w:num w:numId="3" w16cid:durableId="646278471">
    <w:abstractNumId w:val="3"/>
  </w:num>
  <w:num w:numId="4" w16cid:durableId="305285804">
    <w:abstractNumId w:val="0"/>
  </w:num>
  <w:num w:numId="5" w16cid:durableId="149390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8A"/>
    <w:rsid w:val="00013AFA"/>
    <w:rsid w:val="00037A2C"/>
    <w:rsid w:val="000951BD"/>
    <w:rsid w:val="00097914"/>
    <w:rsid w:val="000C0314"/>
    <w:rsid w:val="000C35B4"/>
    <w:rsid w:val="000C3C90"/>
    <w:rsid w:val="0012657B"/>
    <w:rsid w:val="00131F78"/>
    <w:rsid w:val="00167214"/>
    <w:rsid w:val="001921D6"/>
    <w:rsid w:val="001C405A"/>
    <w:rsid w:val="001D0AE5"/>
    <w:rsid w:val="001D387D"/>
    <w:rsid w:val="001D4A23"/>
    <w:rsid w:val="001E1732"/>
    <w:rsid w:val="001E695B"/>
    <w:rsid w:val="00212C0E"/>
    <w:rsid w:val="00222715"/>
    <w:rsid w:val="002357B4"/>
    <w:rsid w:val="00265AA1"/>
    <w:rsid w:val="00295E6F"/>
    <w:rsid w:val="002A754F"/>
    <w:rsid w:val="002B64FB"/>
    <w:rsid w:val="002D6CB0"/>
    <w:rsid w:val="002E4C46"/>
    <w:rsid w:val="00305F24"/>
    <w:rsid w:val="00316073"/>
    <w:rsid w:val="0031711B"/>
    <w:rsid w:val="00332BF8"/>
    <w:rsid w:val="0037066D"/>
    <w:rsid w:val="003D6339"/>
    <w:rsid w:val="00426420"/>
    <w:rsid w:val="004313FF"/>
    <w:rsid w:val="00465E34"/>
    <w:rsid w:val="004923B9"/>
    <w:rsid w:val="004B4AF6"/>
    <w:rsid w:val="004F3895"/>
    <w:rsid w:val="005174A8"/>
    <w:rsid w:val="00533F67"/>
    <w:rsid w:val="005454A2"/>
    <w:rsid w:val="00596F75"/>
    <w:rsid w:val="005A304A"/>
    <w:rsid w:val="005C0860"/>
    <w:rsid w:val="005E626B"/>
    <w:rsid w:val="005F7CE0"/>
    <w:rsid w:val="00602AA1"/>
    <w:rsid w:val="00676144"/>
    <w:rsid w:val="006851D4"/>
    <w:rsid w:val="00692FE8"/>
    <w:rsid w:val="0069520E"/>
    <w:rsid w:val="006A19D0"/>
    <w:rsid w:val="006B3A31"/>
    <w:rsid w:val="006C110D"/>
    <w:rsid w:val="006C4290"/>
    <w:rsid w:val="00704D27"/>
    <w:rsid w:val="007107FA"/>
    <w:rsid w:val="00720B4B"/>
    <w:rsid w:val="00757C46"/>
    <w:rsid w:val="007847A0"/>
    <w:rsid w:val="007C0825"/>
    <w:rsid w:val="007E2795"/>
    <w:rsid w:val="007F1B4D"/>
    <w:rsid w:val="0085551E"/>
    <w:rsid w:val="00892362"/>
    <w:rsid w:val="008A2289"/>
    <w:rsid w:val="008F441B"/>
    <w:rsid w:val="00906533"/>
    <w:rsid w:val="00910FA5"/>
    <w:rsid w:val="009319F9"/>
    <w:rsid w:val="00936DBB"/>
    <w:rsid w:val="0093743C"/>
    <w:rsid w:val="009604F5"/>
    <w:rsid w:val="00993997"/>
    <w:rsid w:val="009C3A6C"/>
    <w:rsid w:val="009D4532"/>
    <w:rsid w:val="009E060E"/>
    <w:rsid w:val="009E3DB4"/>
    <w:rsid w:val="00A21706"/>
    <w:rsid w:val="00A25A1D"/>
    <w:rsid w:val="00A272B0"/>
    <w:rsid w:val="00A60577"/>
    <w:rsid w:val="00A64C1D"/>
    <w:rsid w:val="00AC37F3"/>
    <w:rsid w:val="00AE6A8A"/>
    <w:rsid w:val="00B46C13"/>
    <w:rsid w:val="00BB7042"/>
    <w:rsid w:val="00C50A95"/>
    <w:rsid w:val="00C64F4F"/>
    <w:rsid w:val="00C662B6"/>
    <w:rsid w:val="00CA39D8"/>
    <w:rsid w:val="00CD0348"/>
    <w:rsid w:val="00CE7A24"/>
    <w:rsid w:val="00CF00F0"/>
    <w:rsid w:val="00D1541E"/>
    <w:rsid w:val="00D20179"/>
    <w:rsid w:val="00D231C7"/>
    <w:rsid w:val="00D86FC7"/>
    <w:rsid w:val="00D941F0"/>
    <w:rsid w:val="00DA2F71"/>
    <w:rsid w:val="00DA3CB0"/>
    <w:rsid w:val="00DE4D95"/>
    <w:rsid w:val="00E42B23"/>
    <w:rsid w:val="00E52A40"/>
    <w:rsid w:val="00E532DE"/>
    <w:rsid w:val="00E85237"/>
    <w:rsid w:val="00E956B3"/>
    <w:rsid w:val="00EB2428"/>
    <w:rsid w:val="00F05F96"/>
    <w:rsid w:val="00FB4BE8"/>
    <w:rsid w:val="00FD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7D80"/>
  <w15:docId w15:val="{F9556075-E3F3-4DAE-B431-FD904C4A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A8A"/>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C7"/>
    <w:pPr>
      <w:ind w:left="720"/>
      <w:contextualSpacing/>
    </w:pPr>
  </w:style>
  <w:style w:type="character" w:styleId="CommentReference">
    <w:name w:val="annotation reference"/>
    <w:basedOn w:val="DefaultParagraphFont"/>
    <w:uiPriority w:val="99"/>
    <w:semiHidden/>
    <w:unhideWhenUsed/>
    <w:rsid w:val="00602AA1"/>
    <w:rPr>
      <w:sz w:val="16"/>
      <w:szCs w:val="16"/>
    </w:rPr>
  </w:style>
  <w:style w:type="paragraph" w:styleId="CommentText">
    <w:name w:val="annotation text"/>
    <w:basedOn w:val="Normal"/>
    <w:link w:val="CommentTextChar"/>
    <w:uiPriority w:val="99"/>
    <w:semiHidden/>
    <w:unhideWhenUsed/>
    <w:rsid w:val="00602AA1"/>
    <w:rPr>
      <w:sz w:val="20"/>
      <w:szCs w:val="20"/>
    </w:rPr>
  </w:style>
  <w:style w:type="character" w:customStyle="1" w:styleId="CommentTextChar">
    <w:name w:val="Comment Text Char"/>
    <w:basedOn w:val="DefaultParagraphFont"/>
    <w:link w:val="CommentText"/>
    <w:uiPriority w:val="99"/>
    <w:semiHidden/>
    <w:rsid w:val="00602AA1"/>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02AA1"/>
    <w:rPr>
      <w:b/>
      <w:bCs/>
    </w:rPr>
  </w:style>
  <w:style w:type="character" w:customStyle="1" w:styleId="CommentSubjectChar">
    <w:name w:val="Comment Subject Char"/>
    <w:basedOn w:val="CommentTextChar"/>
    <w:link w:val="CommentSubject"/>
    <w:uiPriority w:val="99"/>
    <w:semiHidden/>
    <w:rsid w:val="00602AA1"/>
    <w:rPr>
      <w:rFonts w:ascii="Calibri" w:hAnsi="Calibri" w:cs="Times New Roman"/>
      <w:b/>
      <w:bCs/>
    </w:rPr>
  </w:style>
  <w:style w:type="paragraph" w:styleId="BalloonText">
    <w:name w:val="Balloon Text"/>
    <w:basedOn w:val="Normal"/>
    <w:link w:val="BalloonTextChar"/>
    <w:uiPriority w:val="99"/>
    <w:semiHidden/>
    <w:unhideWhenUsed/>
    <w:rsid w:val="00602AA1"/>
    <w:rPr>
      <w:rFonts w:ascii="Arial" w:hAnsi="Arial" w:cs="Arial"/>
      <w:sz w:val="16"/>
      <w:szCs w:val="16"/>
    </w:rPr>
  </w:style>
  <w:style w:type="character" w:customStyle="1" w:styleId="BalloonTextChar">
    <w:name w:val="Balloon Text Char"/>
    <w:basedOn w:val="DefaultParagraphFont"/>
    <w:link w:val="BalloonText"/>
    <w:uiPriority w:val="99"/>
    <w:semiHidden/>
    <w:rsid w:val="00602AA1"/>
    <w:rPr>
      <w:sz w:val="16"/>
      <w:szCs w:val="16"/>
    </w:rPr>
  </w:style>
  <w:style w:type="character" w:styleId="Hyperlink">
    <w:name w:val="Hyperlink"/>
    <w:basedOn w:val="DefaultParagraphFont"/>
    <w:uiPriority w:val="99"/>
    <w:unhideWhenUsed/>
    <w:rsid w:val="00757C46"/>
    <w:rPr>
      <w:color w:val="0000FF" w:themeColor="hyperlink"/>
      <w:u w:val="single"/>
    </w:rPr>
  </w:style>
  <w:style w:type="paragraph" w:styleId="Header">
    <w:name w:val="header"/>
    <w:basedOn w:val="Normal"/>
    <w:link w:val="HeaderChar"/>
    <w:uiPriority w:val="99"/>
    <w:unhideWhenUsed/>
    <w:rsid w:val="00906533"/>
    <w:pPr>
      <w:tabs>
        <w:tab w:val="center" w:pos="4680"/>
        <w:tab w:val="right" w:pos="9360"/>
      </w:tabs>
    </w:pPr>
  </w:style>
  <w:style w:type="character" w:customStyle="1" w:styleId="HeaderChar">
    <w:name w:val="Header Char"/>
    <w:basedOn w:val="DefaultParagraphFont"/>
    <w:link w:val="Header"/>
    <w:uiPriority w:val="99"/>
    <w:rsid w:val="00906533"/>
    <w:rPr>
      <w:rFonts w:ascii="Calibri" w:hAnsi="Calibri" w:cs="Times New Roman"/>
      <w:sz w:val="22"/>
      <w:szCs w:val="22"/>
    </w:rPr>
  </w:style>
  <w:style w:type="paragraph" w:styleId="Footer">
    <w:name w:val="footer"/>
    <w:basedOn w:val="Normal"/>
    <w:link w:val="FooterChar"/>
    <w:uiPriority w:val="99"/>
    <w:unhideWhenUsed/>
    <w:rsid w:val="00906533"/>
    <w:pPr>
      <w:tabs>
        <w:tab w:val="center" w:pos="4680"/>
        <w:tab w:val="right" w:pos="9360"/>
      </w:tabs>
    </w:pPr>
  </w:style>
  <w:style w:type="character" w:customStyle="1" w:styleId="FooterChar">
    <w:name w:val="Footer Char"/>
    <w:basedOn w:val="DefaultParagraphFont"/>
    <w:link w:val="Footer"/>
    <w:uiPriority w:val="99"/>
    <w:rsid w:val="00906533"/>
    <w:rPr>
      <w:rFonts w:ascii="Calibri" w:hAnsi="Calibri" w:cs="Times New Roman"/>
      <w:sz w:val="22"/>
      <w:szCs w:val="22"/>
    </w:rPr>
  </w:style>
  <w:style w:type="paragraph" w:styleId="Revision">
    <w:name w:val="Revision"/>
    <w:hidden/>
    <w:uiPriority w:val="99"/>
    <w:semiHidden/>
    <w:rsid w:val="00692FE8"/>
    <w:pPr>
      <w:spacing w:after="0" w:line="240" w:lineRule="auto"/>
    </w:pPr>
    <w:rPr>
      <w:rFonts w:ascii="Calibri" w:hAnsi="Calibri" w:cs="Times New Roman"/>
      <w:sz w:val="22"/>
      <w:szCs w:val="22"/>
    </w:rPr>
  </w:style>
  <w:style w:type="paragraph" w:styleId="EndnoteText">
    <w:name w:val="endnote text"/>
    <w:basedOn w:val="Normal"/>
    <w:link w:val="EndnoteTextChar"/>
    <w:uiPriority w:val="99"/>
    <w:semiHidden/>
    <w:unhideWhenUsed/>
    <w:rsid w:val="00097914"/>
    <w:rPr>
      <w:sz w:val="20"/>
      <w:szCs w:val="20"/>
    </w:rPr>
  </w:style>
  <w:style w:type="character" w:customStyle="1" w:styleId="EndnoteTextChar">
    <w:name w:val="Endnote Text Char"/>
    <w:basedOn w:val="DefaultParagraphFont"/>
    <w:link w:val="EndnoteText"/>
    <w:uiPriority w:val="99"/>
    <w:semiHidden/>
    <w:rsid w:val="00097914"/>
    <w:rPr>
      <w:rFonts w:ascii="Calibri" w:hAnsi="Calibri" w:cs="Times New Roman"/>
    </w:rPr>
  </w:style>
  <w:style w:type="character" w:styleId="EndnoteReference">
    <w:name w:val="endnote reference"/>
    <w:basedOn w:val="DefaultParagraphFont"/>
    <w:uiPriority w:val="99"/>
    <w:semiHidden/>
    <w:unhideWhenUsed/>
    <w:rsid w:val="00097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1219">
      <w:bodyDiv w:val="1"/>
      <w:marLeft w:val="0"/>
      <w:marRight w:val="0"/>
      <w:marTop w:val="0"/>
      <w:marBottom w:val="0"/>
      <w:divBdr>
        <w:top w:val="none" w:sz="0" w:space="0" w:color="auto"/>
        <w:left w:val="none" w:sz="0" w:space="0" w:color="auto"/>
        <w:bottom w:val="none" w:sz="0" w:space="0" w:color="auto"/>
        <w:right w:val="none" w:sz="0" w:space="0" w:color="auto"/>
      </w:divBdr>
    </w:div>
    <w:div w:id="152571949">
      <w:bodyDiv w:val="1"/>
      <w:marLeft w:val="0"/>
      <w:marRight w:val="0"/>
      <w:marTop w:val="0"/>
      <w:marBottom w:val="0"/>
      <w:divBdr>
        <w:top w:val="none" w:sz="0" w:space="0" w:color="auto"/>
        <w:left w:val="none" w:sz="0" w:space="0" w:color="auto"/>
        <w:bottom w:val="none" w:sz="0" w:space="0" w:color="auto"/>
        <w:right w:val="none" w:sz="0" w:space="0" w:color="auto"/>
      </w:divBdr>
    </w:div>
    <w:div w:id="371613166">
      <w:bodyDiv w:val="1"/>
      <w:marLeft w:val="0"/>
      <w:marRight w:val="0"/>
      <w:marTop w:val="0"/>
      <w:marBottom w:val="0"/>
      <w:divBdr>
        <w:top w:val="none" w:sz="0" w:space="0" w:color="auto"/>
        <w:left w:val="none" w:sz="0" w:space="0" w:color="auto"/>
        <w:bottom w:val="none" w:sz="0" w:space="0" w:color="auto"/>
        <w:right w:val="none" w:sz="0" w:space="0" w:color="auto"/>
      </w:divBdr>
    </w:div>
    <w:div w:id="625547751">
      <w:bodyDiv w:val="1"/>
      <w:marLeft w:val="0"/>
      <w:marRight w:val="0"/>
      <w:marTop w:val="0"/>
      <w:marBottom w:val="0"/>
      <w:divBdr>
        <w:top w:val="none" w:sz="0" w:space="0" w:color="auto"/>
        <w:left w:val="none" w:sz="0" w:space="0" w:color="auto"/>
        <w:bottom w:val="none" w:sz="0" w:space="0" w:color="auto"/>
        <w:right w:val="none" w:sz="0" w:space="0" w:color="auto"/>
      </w:divBdr>
    </w:div>
    <w:div w:id="773093521">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sChild>
        <w:div w:id="389813559">
          <w:marLeft w:val="1008"/>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A736-3AD2-4FB7-8841-7B050117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 Berger-Davis</dc:creator>
  <cp:lastModifiedBy>Kelly M. Berger-Davis</cp:lastModifiedBy>
  <cp:revision>57</cp:revision>
  <dcterms:created xsi:type="dcterms:W3CDTF">2019-07-16T18:04:00Z</dcterms:created>
  <dcterms:modified xsi:type="dcterms:W3CDTF">2025-01-13T12:33:00Z</dcterms:modified>
</cp:coreProperties>
</file>