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5AE1" w14:textId="3FBF31FE" w:rsidR="008F6A36" w:rsidRDefault="27F03BD9" w:rsidP="00F94A52">
      <w:pPr>
        <w:pStyle w:val="Heading1"/>
        <w:rPr>
          <w:u w:val="none"/>
        </w:rPr>
      </w:pPr>
      <w:bookmarkStart w:id="0" w:name="_Toc342563122"/>
      <w:bookmarkStart w:id="1" w:name="_Toc342563979"/>
      <w:bookmarkStart w:id="2" w:name="_Toc342570542"/>
      <w:bookmarkStart w:id="3" w:name="_Toc342573146"/>
      <w:bookmarkStart w:id="4" w:name="_Toc345661611"/>
      <w:bookmarkStart w:id="5" w:name="_Toc346287677"/>
      <w:bookmarkStart w:id="6" w:name="_Toc346627918"/>
      <w:bookmarkStart w:id="7" w:name="_Toc347221534"/>
      <w:bookmarkStart w:id="8" w:name="_Toc347223679"/>
      <w:bookmarkStart w:id="9" w:name="_Toc347232129"/>
      <w:bookmarkStart w:id="10" w:name="_Toc214431118"/>
      <w:r>
        <w:rPr>
          <w:u w:val="none"/>
        </w:rPr>
        <w:t xml:space="preserve">IMPLEMENTATION GUIDE FOR </w:t>
      </w:r>
      <w:r w:rsidR="2A97089B">
        <w:rPr>
          <w:u w:val="none"/>
        </w:rPr>
        <w:t>L</w:t>
      </w:r>
      <w:r w:rsidR="60879AE2">
        <w:rPr>
          <w:u w:val="none"/>
        </w:rPr>
        <w:t>EGAL COMPLIANCE AUDITING IN OHIO</w:t>
      </w:r>
      <w:bookmarkEnd w:id="0"/>
      <w:bookmarkEnd w:id="1"/>
      <w:bookmarkEnd w:id="2"/>
      <w:bookmarkEnd w:id="3"/>
      <w:bookmarkEnd w:id="4"/>
      <w:bookmarkEnd w:id="5"/>
      <w:bookmarkEnd w:id="6"/>
      <w:bookmarkEnd w:id="7"/>
      <w:bookmarkEnd w:id="8"/>
      <w:bookmarkEnd w:id="9"/>
      <w:bookmarkEnd w:id="10"/>
    </w:p>
    <w:p w14:paraId="2ADD4394" w14:textId="28C504E5" w:rsidR="0049323D" w:rsidRDefault="00083D71" w:rsidP="00F94A52">
      <w:pPr>
        <w:jc w:val="center"/>
        <w:rPr>
          <w:lang w:eastAsia="ja-JP"/>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67BA308A" wp14:editId="1EF39D53">
                <wp:simplePos x="0" y="0"/>
                <wp:positionH relativeFrom="margin">
                  <wp:align>right</wp:align>
                </wp:positionH>
                <wp:positionV relativeFrom="paragraph">
                  <wp:posOffset>307610</wp:posOffset>
                </wp:positionV>
                <wp:extent cx="6112510" cy="1404620"/>
                <wp:effectExtent l="0" t="0" r="2159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404620"/>
                        </a:xfrm>
                        <a:prstGeom prst="rect">
                          <a:avLst/>
                        </a:prstGeom>
                        <a:solidFill>
                          <a:srgbClr val="FFFFFF"/>
                        </a:solidFill>
                        <a:ln w="9525">
                          <a:solidFill>
                            <a:srgbClr val="000000"/>
                          </a:solidFill>
                          <a:miter lim="800000"/>
                          <a:headEnd/>
                          <a:tailEnd/>
                        </a:ln>
                      </wps:spPr>
                      <wps:txbx>
                        <w:txbxContent>
                          <w:p w14:paraId="3E311A40" w14:textId="0ADB4FFB" w:rsidR="000D7C7B" w:rsidRPr="00387AB4" w:rsidRDefault="000D7C7B" w:rsidP="00083D71">
                            <w:pPr>
                              <w:jc w:val="center"/>
                              <w:rPr>
                                <w:sz w:val="28"/>
                                <w:szCs w:val="28"/>
                              </w:rPr>
                            </w:pPr>
                            <w:r w:rsidRPr="00744FF8">
                              <w:rPr>
                                <w:b/>
                                <w:color w:val="FF0000"/>
                                <w:sz w:val="28"/>
                                <w:szCs w:val="28"/>
                                <w:lang w:eastAsia="ja-JP"/>
                              </w:rPr>
                              <w:t>NOT</w:t>
                            </w:r>
                            <w:r>
                              <w:rPr>
                                <w:b/>
                                <w:color w:val="FF0000"/>
                                <w:sz w:val="28"/>
                                <w:szCs w:val="28"/>
                                <w:lang w:eastAsia="ja-JP"/>
                              </w:rPr>
                              <w:t>E:  Red text throughout this</w:t>
                            </w:r>
                            <w:r w:rsidRPr="00744FF8">
                              <w:rPr>
                                <w:b/>
                                <w:color w:val="FF0000"/>
                                <w:sz w:val="28"/>
                                <w:szCs w:val="28"/>
                                <w:lang w:eastAsia="ja-JP"/>
                              </w:rPr>
                              <w:t xml:space="preserve"> Ohio Compliance Supplement is related to COVID-19</w:t>
                            </w:r>
                            <w:r w:rsidR="0029666E">
                              <w:rPr>
                                <w:b/>
                                <w:color w:val="FF0000"/>
                                <w:sz w:val="28"/>
                                <w:szCs w:val="28"/>
                                <w:lang w:eastAsia="ja-JP"/>
                              </w:rPr>
                              <w:t xml:space="preserve"> </w:t>
                            </w:r>
                            <w:r w:rsidR="0029666E" w:rsidRPr="00387AB4">
                              <w:rPr>
                                <w:b/>
                                <w:color w:val="FF0000"/>
                                <w:sz w:val="28"/>
                                <w:szCs w:val="28"/>
                                <w:lang w:eastAsia="ja-JP"/>
                              </w:rPr>
                              <w:t>and the Infrastructure Investment and Jobs Act (IIJA)</w:t>
                            </w:r>
                            <w:r w:rsidR="0029666E" w:rsidRPr="0029666E">
                              <w:rPr>
                                <w:b/>
                                <w:color w:val="FF0000"/>
                                <w:sz w:val="28"/>
                                <w:szCs w:val="28"/>
                                <w:lang w:eastAsia="ja-JP"/>
                              </w:rPr>
                              <w:t>.</w:t>
                            </w:r>
                          </w:p>
                          <w:p w14:paraId="20EA47A3" w14:textId="04DA1A56" w:rsidR="000D7C7B" w:rsidRDefault="000D7C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A308A" id="_x0000_t202" coordsize="21600,21600" o:spt="202" path="m,l,21600r21600,l21600,xe">
                <v:stroke joinstyle="miter"/>
                <v:path gradientshapeok="t" o:connecttype="rect"/>
              </v:shapetype>
              <v:shape id="Text Box 217" o:spid="_x0000_s1026" type="#_x0000_t202" style="position:absolute;left:0;text-align:left;margin-left:430.1pt;margin-top:24.2pt;width:481.3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rD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">
                <v:textbox style="mso-fit-shape-to-text:t">
                  <w:txbxContent>
                    <w:p w14:paraId="3E311A40" w14:textId="0ADB4FFB" w:rsidR="000D7C7B" w:rsidRPr="00387AB4" w:rsidRDefault="000D7C7B" w:rsidP="00083D71">
                      <w:pPr>
                        <w:jc w:val="center"/>
                        <w:rPr>
                          <w:sz w:val="28"/>
                          <w:szCs w:val="28"/>
                        </w:rPr>
                      </w:pPr>
                      <w:r w:rsidRPr="00744FF8">
                        <w:rPr>
                          <w:b/>
                          <w:color w:val="FF0000"/>
                          <w:sz w:val="28"/>
                          <w:szCs w:val="28"/>
                          <w:lang w:eastAsia="ja-JP"/>
                        </w:rPr>
                        <w:t>NOT</w:t>
                      </w:r>
                      <w:r>
                        <w:rPr>
                          <w:b/>
                          <w:color w:val="FF0000"/>
                          <w:sz w:val="28"/>
                          <w:szCs w:val="28"/>
                          <w:lang w:eastAsia="ja-JP"/>
                        </w:rPr>
                        <w:t>E:  Red text throughout this</w:t>
                      </w:r>
                      <w:r w:rsidRPr="00744FF8">
                        <w:rPr>
                          <w:b/>
                          <w:color w:val="FF0000"/>
                          <w:sz w:val="28"/>
                          <w:szCs w:val="28"/>
                          <w:lang w:eastAsia="ja-JP"/>
                        </w:rPr>
                        <w:t xml:space="preserve"> Ohio Compliance Supplement is related to COVID-19</w:t>
                      </w:r>
                      <w:r w:rsidR="0029666E">
                        <w:rPr>
                          <w:b/>
                          <w:color w:val="FF0000"/>
                          <w:sz w:val="28"/>
                          <w:szCs w:val="28"/>
                          <w:lang w:eastAsia="ja-JP"/>
                        </w:rPr>
                        <w:t xml:space="preserve"> </w:t>
                      </w:r>
                      <w:r w:rsidR="0029666E" w:rsidRPr="00387AB4">
                        <w:rPr>
                          <w:b/>
                          <w:color w:val="FF0000"/>
                          <w:sz w:val="28"/>
                          <w:szCs w:val="28"/>
                          <w:lang w:eastAsia="ja-JP"/>
                        </w:rPr>
                        <w:t>and the Infrastructure Investment and Jobs Act (IIJA)</w:t>
                      </w:r>
                      <w:r w:rsidR="0029666E" w:rsidRPr="0029666E">
                        <w:rPr>
                          <w:b/>
                          <w:color w:val="FF0000"/>
                          <w:sz w:val="28"/>
                          <w:szCs w:val="28"/>
                          <w:lang w:eastAsia="ja-JP"/>
                        </w:rPr>
                        <w:t>.</w:t>
                      </w:r>
                    </w:p>
                    <w:p w14:paraId="20EA47A3" w14:textId="04DA1A56" w:rsidR="000D7C7B" w:rsidRDefault="000D7C7B"/>
                  </w:txbxContent>
                </v:textbox>
                <w10:wrap type="square" anchorx="margin"/>
              </v:shape>
            </w:pict>
          </mc:Fallback>
        </mc:AlternateContent>
      </w:r>
    </w:p>
    <w:sdt>
      <w:sdtPr>
        <w:rPr>
          <w:rFonts w:ascii="Times New Roman" w:eastAsia="Times New Roman" w:hAnsi="Times New Roman" w:cs="Times New Roman"/>
          <w:b w:val="0"/>
          <w:bCs w:val="0"/>
          <w:color w:val="auto"/>
          <w:sz w:val="20"/>
          <w:szCs w:val="20"/>
          <w:shd w:val="clear" w:color="auto" w:fill="E6E6E6"/>
          <w:lang w:eastAsia="en-US"/>
        </w:rPr>
        <w:id w:val="-1056776268"/>
        <w:docPartObj>
          <w:docPartGallery w:val="Table of Contents"/>
          <w:docPartUnique/>
        </w:docPartObj>
      </w:sdtPr>
      <w:sdtEndPr>
        <w:rPr>
          <w:noProof/>
        </w:rPr>
      </w:sdtEndPr>
      <w:sdtContent>
        <w:p w14:paraId="05765671" w14:textId="218E6EEF" w:rsidR="0049323D" w:rsidRDefault="00837B73">
          <w:pPr>
            <w:pStyle w:val="TOCHeading"/>
          </w:pPr>
          <w:r w:rsidRPr="00837B73">
            <w:t>Table of</w:t>
          </w:r>
          <w:r>
            <w:rPr>
              <w:rFonts w:ascii="Times New Roman" w:eastAsia="Times New Roman" w:hAnsi="Times New Roman" w:cs="Times New Roman"/>
              <w:b w:val="0"/>
              <w:bCs w:val="0"/>
              <w:color w:val="auto"/>
              <w:sz w:val="20"/>
              <w:szCs w:val="20"/>
              <w:lang w:eastAsia="en-US"/>
            </w:rPr>
            <w:t xml:space="preserve"> </w:t>
          </w:r>
          <w:r w:rsidR="0049323D">
            <w:t>Contents</w:t>
          </w:r>
        </w:p>
        <w:p w14:paraId="43A11BE7" w14:textId="683E7105" w:rsidR="007538A7" w:rsidRDefault="00FB7D48">
          <w:pPr>
            <w:pStyle w:val="TOC1"/>
            <w:tabs>
              <w:tab w:val="right" w:leader="dot" w:pos="9638"/>
            </w:tabs>
            <w:rPr>
              <w:rFonts w:asciiTheme="minorHAnsi" w:eastAsiaTheme="minorEastAsia" w:hAnsiTheme="minorHAnsi" w:cstheme="minorBidi"/>
              <w:noProof/>
              <w:kern w:val="2"/>
              <w:sz w:val="24"/>
              <w:szCs w:val="24"/>
              <w14:ligatures w14:val="standardContextual"/>
            </w:rPr>
          </w:pPr>
          <w:r>
            <w:rPr>
              <w:color w:val="2B579A"/>
              <w:shd w:val="clear" w:color="auto" w:fill="E6E6E6"/>
            </w:rPr>
            <w:fldChar w:fldCharType="begin"/>
          </w:r>
          <w:r w:rsidR="0049323D">
            <w:instrText xml:space="preserve"> TOC \o "1-3" \h \z \u </w:instrText>
          </w:r>
          <w:r>
            <w:rPr>
              <w:color w:val="2B579A"/>
              <w:shd w:val="clear" w:color="auto" w:fill="E6E6E6"/>
            </w:rPr>
            <w:fldChar w:fldCharType="separate"/>
          </w:r>
          <w:hyperlink w:anchor="_Toc214431118" w:history="1">
            <w:r w:rsidR="007538A7" w:rsidRPr="00A02213">
              <w:rPr>
                <w:rStyle w:val="Hyperlink"/>
                <w:noProof/>
              </w:rPr>
              <w:t>IMPLEMENTATION GUIDE FOR LEGAL COMPLIANCE AUDITING IN OHIO</w:t>
            </w:r>
            <w:r w:rsidR="007538A7">
              <w:rPr>
                <w:noProof/>
                <w:webHidden/>
              </w:rPr>
              <w:tab/>
            </w:r>
            <w:r w:rsidR="007538A7">
              <w:rPr>
                <w:noProof/>
                <w:webHidden/>
              </w:rPr>
              <w:fldChar w:fldCharType="begin"/>
            </w:r>
            <w:r w:rsidR="007538A7">
              <w:rPr>
                <w:noProof/>
                <w:webHidden/>
              </w:rPr>
              <w:instrText xml:space="preserve"> PAGEREF _Toc214431118 \h </w:instrText>
            </w:r>
            <w:r w:rsidR="007538A7">
              <w:rPr>
                <w:noProof/>
                <w:webHidden/>
              </w:rPr>
            </w:r>
            <w:r w:rsidR="007538A7">
              <w:rPr>
                <w:noProof/>
                <w:webHidden/>
              </w:rPr>
              <w:fldChar w:fldCharType="separate"/>
            </w:r>
            <w:r w:rsidR="007538A7">
              <w:rPr>
                <w:noProof/>
                <w:webHidden/>
              </w:rPr>
              <w:t>1</w:t>
            </w:r>
            <w:r w:rsidR="007538A7">
              <w:rPr>
                <w:noProof/>
                <w:webHidden/>
              </w:rPr>
              <w:fldChar w:fldCharType="end"/>
            </w:r>
          </w:hyperlink>
        </w:p>
        <w:p w14:paraId="16B83CA5" w14:textId="39DAD7AE"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19" w:history="1">
            <w:r w:rsidRPr="00A02213">
              <w:rPr>
                <w:rStyle w:val="Hyperlink"/>
                <w:noProof/>
              </w:rPr>
              <w:t>Introduction</w:t>
            </w:r>
            <w:r>
              <w:rPr>
                <w:noProof/>
                <w:webHidden/>
              </w:rPr>
              <w:tab/>
            </w:r>
            <w:r>
              <w:rPr>
                <w:noProof/>
                <w:webHidden/>
              </w:rPr>
              <w:fldChar w:fldCharType="begin"/>
            </w:r>
            <w:r>
              <w:rPr>
                <w:noProof/>
                <w:webHidden/>
              </w:rPr>
              <w:instrText xml:space="preserve"> PAGEREF _Toc214431119 \h </w:instrText>
            </w:r>
            <w:r>
              <w:rPr>
                <w:noProof/>
                <w:webHidden/>
              </w:rPr>
            </w:r>
            <w:r>
              <w:rPr>
                <w:noProof/>
                <w:webHidden/>
              </w:rPr>
              <w:fldChar w:fldCharType="separate"/>
            </w:r>
            <w:r>
              <w:rPr>
                <w:noProof/>
                <w:webHidden/>
              </w:rPr>
              <w:t>3</w:t>
            </w:r>
            <w:r>
              <w:rPr>
                <w:noProof/>
                <w:webHidden/>
              </w:rPr>
              <w:fldChar w:fldCharType="end"/>
            </w:r>
          </w:hyperlink>
        </w:p>
        <w:p w14:paraId="34FB4F13" w14:textId="259E3004"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20" w:history="1">
            <w:r w:rsidRPr="00A02213">
              <w:rPr>
                <w:rStyle w:val="Hyperlink"/>
                <w:noProof/>
              </w:rPr>
              <w:t>Compliance Risk and Controls</w:t>
            </w:r>
            <w:r>
              <w:rPr>
                <w:noProof/>
                <w:webHidden/>
              </w:rPr>
              <w:tab/>
            </w:r>
            <w:r>
              <w:rPr>
                <w:noProof/>
                <w:webHidden/>
              </w:rPr>
              <w:fldChar w:fldCharType="begin"/>
            </w:r>
            <w:r>
              <w:rPr>
                <w:noProof/>
                <w:webHidden/>
              </w:rPr>
              <w:instrText xml:space="preserve"> PAGEREF _Toc214431120 \h </w:instrText>
            </w:r>
            <w:r>
              <w:rPr>
                <w:noProof/>
                <w:webHidden/>
              </w:rPr>
            </w:r>
            <w:r>
              <w:rPr>
                <w:noProof/>
                <w:webHidden/>
              </w:rPr>
              <w:fldChar w:fldCharType="separate"/>
            </w:r>
            <w:r>
              <w:rPr>
                <w:noProof/>
                <w:webHidden/>
              </w:rPr>
              <w:t>8</w:t>
            </w:r>
            <w:r>
              <w:rPr>
                <w:noProof/>
                <w:webHidden/>
              </w:rPr>
              <w:fldChar w:fldCharType="end"/>
            </w:r>
          </w:hyperlink>
        </w:p>
        <w:p w14:paraId="28154A2B" w14:textId="10AAC62E"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21" w:history="1">
            <w:r w:rsidRPr="00A02213">
              <w:rPr>
                <w:rStyle w:val="Hyperlink"/>
                <w:noProof/>
              </w:rPr>
              <w:t>Organization of the OCS</w:t>
            </w:r>
            <w:r>
              <w:rPr>
                <w:noProof/>
                <w:webHidden/>
              </w:rPr>
              <w:tab/>
            </w:r>
            <w:r>
              <w:rPr>
                <w:noProof/>
                <w:webHidden/>
              </w:rPr>
              <w:fldChar w:fldCharType="begin"/>
            </w:r>
            <w:r>
              <w:rPr>
                <w:noProof/>
                <w:webHidden/>
              </w:rPr>
              <w:instrText xml:space="preserve"> PAGEREF _Toc214431121 \h </w:instrText>
            </w:r>
            <w:r>
              <w:rPr>
                <w:noProof/>
                <w:webHidden/>
              </w:rPr>
            </w:r>
            <w:r>
              <w:rPr>
                <w:noProof/>
                <w:webHidden/>
              </w:rPr>
              <w:fldChar w:fldCharType="separate"/>
            </w:r>
            <w:r>
              <w:rPr>
                <w:noProof/>
                <w:webHidden/>
              </w:rPr>
              <w:t>11</w:t>
            </w:r>
            <w:r>
              <w:rPr>
                <w:noProof/>
                <w:webHidden/>
              </w:rPr>
              <w:fldChar w:fldCharType="end"/>
            </w:r>
          </w:hyperlink>
        </w:p>
        <w:p w14:paraId="53CB2B49" w14:textId="3F30A3A9"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22" w:history="1">
            <w:r w:rsidRPr="00A02213">
              <w:rPr>
                <w:rStyle w:val="Hyperlink"/>
                <w:noProof/>
              </w:rPr>
              <w:t>Home Rule Powers</w:t>
            </w:r>
            <w:r>
              <w:rPr>
                <w:noProof/>
                <w:webHidden/>
              </w:rPr>
              <w:tab/>
            </w:r>
            <w:r>
              <w:rPr>
                <w:noProof/>
                <w:webHidden/>
              </w:rPr>
              <w:fldChar w:fldCharType="begin"/>
            </w:r>
            <w:r>
              <w:rPr>
                <w:noProof/>
                <w:webHidden/>
              </w:rPr>
              <w:instrText xml:space="preserve"> PAGEREF _Toc214431122 \h </w:instrText>
            </w:r>
            <w:r>
              <w:rPr>
                <w:noProof/>
                <w:webHidden/>
              </w:rPr>
            </w:r>
            <w:r>
              <w:rPr>
                <w:noProof/>
                <w:webHidden/>
              </w:rPr>
              <w:fldChar w:fldCharType="separate"/>
            </w:r>
            <w:r>
              <w:rPr>
                <w:noProof/>
                <w:webHidden/>
              </w:rPr>
              <w:t>13</w:t>
            </w:r>
            <w:r>
              <w:rPr>
                <w:noProof/>
                <w:webHidden/>
              </w:rPr>
              <w:fldChar w:fldCharType="end"/>
            </w:r>
          </w:hyperlink>
        </w:p>
        <w:p w14:paraId="34487D4A" w14:textId="441B06A1"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23" w:history="1">
            <w:r w:rsidRPr="00A02213">
              <w:rPr>
                <w:rStyle w:val="Hyperlink"/>
                <w:noProof/>
              </w:rPr>
              <w:t>Reporting</w:t>
            </w:r>
            <w:r>
              <w:rPr>
                <w:noProof/>
                <w:webHidden/>
              </w:rPr>
              <w:tab/>
            </w:r>
            <w:r>
              <w:rPr>
                <w:noProof/>
                <w:webHidden/>
              </w:rPr>
              <w:fldChar w:fldCharType="begin"/>
            </w:r>
            <w:r>
              <w:rPr>
                <w:noProof/>
                <w:webHidden/>
              </w:rPr>
              <w:instrText xml:space="preserve"> PAGEREF _Toc214431123 \h </w:instrText>
            </w:r>
            <w:r>
              <w:rPr>
                <w:noProof/>
                <w:webHidden/>
              </w:rPr>
            </w:r>
            <w:r>
              <w:rPr>
                <w:noProof/>
                <w:webHidden/>
              </w:rPr>
              <w:fldChar w:fldCharType="separate"/>
            </w:r>
            <w:r>
              <w:rPr>
                <w:noProof/>
                <w:webHidden/>
              </w:rPr>
              <w:t>15</w:t>
            </w:r>
            <w:r>
              <w:rPr>
                <w:noProof/>
                <w:webHidden/>
              </w:rPr>
              <w:fldChar w:fldCharType="end"/>
            </w:r>
          </w:hyperlink>
        </w:p>
        <w:p w14:paraId="5BFB5DB1" w14:textId="5A6C9A25"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24" w:history="1">
            <w:r w:rsidRPr="00A02213">
              <w:rPr>
                <w:rStyle w:val="Hyperlink"/>
                <w:noProof/>
              </w:rPr>
              <w:t>Audit Findings</w:t>
            </w:r>
            <w:r>
              <w:rPr>
                <w:noProof/>
                <w:webHidden/>
              </w:rPr>
              <w:tab/>
            </w:r>
            <w:r>
              <w:rPr>
                <w:noProof/>
                <w:webHidden/>
              </w:rPr>
              <w:fldChar w:fldCharType="begin"/>
            </w:r>
            <w:r>
              <w:rPr>
                <w:noProof/>
                <w:webHidden/>
              </w:rPr>
              <w:instrText xml:space="preserve"> PAGEREF _Toc214431124 \h </w:instrText>
            </w:r>
            <w:r>
              <w:rPr>
                <w:noProof/>
                <w:webHidden/>
              </w:rPr>
            </w:r>
            <w:r>
              <w:rPr>
                <w:noProof/>
                <w:webHidden/>
              </w:rPr>
              <w:fldChar w:fldCharType="separate"/>
            </w:r>
            <w:r>
              <w:rPr>
                <w:noProof/>
                <w:webHidden/>
              </w:rPr>
              <w:t>1</w:t>
            </w:r>
            <w:r>
              <w:rPr>
                <w:noProof/>
                <w:webHidden/>
              </w:rPr>
              <w:t>7</w:t>
            </w:r>
            <w:r>
              <w:rPr>
                <w:noProof/>
                <w:webHidden/>
              </w:rPr>
              <w:fldChar w:fldCharType="end"/>
            </w:r>
          </w:hyperlink>
        </w:p>
        <w:p w14:paraId="55463906" w14:textId="403985A1"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25" w:history="1">
            <w:r w:rsidRPr="00A307A0">
              <w:rPr>
                <w:rStyle w:val="Hyperlink"/>
              </w:rPr>
              <w:t>Noncompliance Citations</w:t>
            </w:r>
            <w:r w:rsidRPr="00A307A0">
              <w:rPr>
                <w:webHidden/>
              </w:rPr>
              <w:tab/>
            </w:r>
            <w:r w:rsidRPr="00A307A0">
              <w:rPr>
                <w:webHidden/>
              </w:rPr>
              <w:fldChar w:fldCharType="begin"/>
            </w:r>
            <w:r w:rsidRPr="00A307A0">
              <w:rPr>
                <w:webHidden/>
              </w:rPr>
              <w:instrText xml:space="preserve"> PAGEREF _Toc214431125 \h </w:instrText>
            </w:r>
            <w:r w:rsidRPr="00A307A0">
              <w:rPr>
                <w:webHidden/>
              </w:rPr>
            </w:r>
            <w:r w:rsidRPr="00A307A0">
              <w:rPr>
                <w:webHidden/>
              </w:rPr>
              <w:fldChar w:fldCharType="separate"/>
            </w:r>
            <w:r w:rsidRPr="00A307A0">
              <w:rPr>
                <w:webHidden/>
              </w:rPr>
              <w:t>17</w:t>
            </w:r>
            <w:r w:rsidRPr="00A307A0">
              <w:rPr>
                <w:webHidden/>
              </w:rPr>
              <w:fldChar w:fldCharType="end"/>
            </w:r>
          </w:hyperlink>
        </w:p>
        <w:p w14:paraId="02068056" w14:textId="1246DAFA"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26" w:history="1">
            <w:r w:rsidRPr="00A307A0">
              <w:rPr>
                <w:rStyle w:val="Hyperlink"/>
              </w:rPr>
              <w:t>Auditee Responses to Findings</w:t>
            </w:r>
            <w:r w:rsidRPr="00A307A0">
              <w:rPr>
                <w:webHidden/>
              </w:rPr>
              <w:tab/>
            </w:r>
            <w:r w:rsidRPr="00A307A0">
              <w:rPr>
                <w:webHidden/>
              </w:rPr>
              <w:fldChar w:fldCharType="begin"/>
            </w:r>
            <w:r w:rsidRPr="00A307A0">
              <w:rPr>
                <w:webHidden/>
              </w:rPr>
              <w:instrText xml:space="preserve"> PAGEREF _Toc214431126 \h </w:instrText>
            </w:r>
            <w:r w:rsidRPr="00A307A0">
              <w:rPr>
                <w:webHidden/>
              </w:rPr>
            </w:r>
            <w:r w:rsidRPr="00A307A0">
              <w:rPr>
                <w:webHidden/>
              </w:rPr>
              <w:fldChar w:fldCharType="separate"/>
            </w:r>
            <w:r w:rsidRPr="00A307A0">
              <w:rPr>
                <w:webHidden/>
              </w:rPr>
              <w:t>18</w:t>
            </w:r>
            <w:r w:rsidRPr="00A307A0">
              <w:rPr>
                <w:webHidden/>
              </w:rPr>
              <w:fldChar w:fldCharType="end"/>
            </w:r>
          </w:hyperlink>
        </w:p>
        <w:p w14:paraId="4E761EF6" w14:textId="3F934517"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27" w:history="1">
            <w:r w:rsidRPr="00A307A0">
              <w:rPr>
                <w:rStyle w:val="Hyperlink"/>
              </w:rPr>
              <w:t>Findings for Adjustment</w:t>
            </w:r>
            <w:r w:rsidRPr="00A307A0">
              <w:rPr>
                <w:webHidden/>
              </w:rPr>
              <w:tab/>
            </w:r>
            <w:r w:rsidRPr="00A307A0">
              <w:rPr>
                <w:webHidden/>
              </w:rPr>
              <w:fldChar w:fldCharType="begin"/>
            </w:r>
            <w:r w:rsidRPr="00A307A0">
              <w:rPr>
                <w:webHidden/>
              </w:rPr>
              <w:instrText xml:space="preserve"> PAGEREF _Toc214431127 \h </w:instrText>
            </w:r>
            <w:r w:rsidRPr="00A307A0">
              <w:rPr>
                <w:webHidden/>
              </w:rPr>
            </w:r>
            <w:r w:rsidRPr="00A307A0">
              <w:rPr>
                <w:webHidden/>
              </w:rPr>
              <w:fldChar w:fldCharType="separate"/>
            </w:r>
            <w:r w:rsidRPr="00A307A0">
              <w:rPr>
                <w:webHidden/>
              </w:rPr>
              <w:t>19</w:t>
            </w:r>
            <w:r w:rsidRPr="00A307A0">
              <w:rPr>
                <w:webHidden/>
              </w:rPr>
              <w:fldChar w:fldCharType="end"/>
            </w:r>
          </w:hyperlink>
        </w:p>
        <w:p w14:paraId="248E944B" w14:textId="7861B549"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28" w:history="1">
            <w:r w:rsidRPr="00A307A0">
              <w:rPr>
                <w:rStyle w:val="Hyperlink"/>
              </w:rPr>
              <w:t>Findings for Recovery</w:t>
            </w:r>
            <w:r w:rsidRPr="00A307A0">
              <w:rPr>
                <w:rStyle w:val="Hyperlink"/>
                <w:vertAlign w:val="superscript"/>
              </w:rPr>
              <w:t>26</w:t>
            </w:r>
            <w:r w:rsidRPr="00A307A0">
              <w:rPr>
                <w:webHidden/>
              </w:rPr>
              <w:tab/>
            </w:r>
            <w:r w:rsidRPr="00A307A0">
              <w:rPr>
                <w:webHidden/>
              </w:rPr>
              <w:fldChar w:fldCharType="begin"/>
            </w:r>
            <w:r w:rsidRPr="00A307A0">
              <w:rPr>
                <w:webHidden/>
              </w:rPr>
              <w:instrText xml:space="preserve"> PAGEREF _Toc214431128 \h </w:instrText>
            </w:r>
            <w:r w:rsidRPr="00A307A0">
              <w:rPr>
                <w:webHidden/>
              </w:rPr>
            </w:r>
            <w:r w:rsidRPr="00A307A0">
              <w:rPr>
                <w:webHidden/>
              </w:rPr>
              <w:fldChar w:fldCharType="separate"/>
            </w:r>
            <w:r w:rsidRPr="00A307A0">
              <w:rPr>
                <w:webHidden/>
              </w:rPr>
              <w:t>24</w:t>
            </w:r>
            <w:r w:rsidRPr="00A307A0">
              <w:rPr>
                <w:webHidden/>
              </w:rPr>
              <w:fldChar w:fldCharType="end"/>
            </w:r>
          </w:hyperlink>
        </w:p>
        <w:p w14:paraId="0CDBD252" w14:textId="30A5310B"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29" w:history="1">
            <w:r w:rsidRPr="00A307A0">
              <w:rPr>
                <w:rStyle w:val="Hyperlink"/>
              </w:rPr>
              <w:t>Additional Policies for Findings for Recovery for Auditor of State Audits</w:t>
            </w:r>
            <w:r w:rsidRPr="00A307A0">
              <w:rPr>
                <w:webHidden/>
              </w:rPr>
              <w:tab/>
            </w:r>
            <w:r w:rsidRPr="00A307A0">
              <w:rPr>
                <w:webHidden/>
              </w:rPr>
              <w:fldChar w:fldCharType="begin"/>
            </w:r>
            <w:r w:rsidRPr="00A307A0">
              <w:rPr>
                <w:webHidden/>
              </w:rPr>
              <w:instrText xml:space="preserve"> PAGEREF _Toc214431129 \h </w:instrText>
            </w:r>
            <w:r w:rsidRPr="00A307A0">
              <w:rPr>
                <w:webHidden/>
              </w:rPr>
            </w:r>
            <w:r w:rsidRPr="00A307A0">
              <w:rPr>
                <w:webHidden/>
              </w:rPr>
              <w:fldChar w:fldCharType="separate"/>
            </w:r>
            <w:r w:rsidRPr="00A307A0">
              <w:rPr>
                <w:webHidden/>
              </w:rPr>
              <w:t>29</w:t>
            </w:r>
            <w:r w:rsidRPr="00A307A0">
              <w:rPr>
                <w:webHidden/>
              </w:rPr>
              <w:fldChar w:fldCharType="end"/>
            </w:r>
          </w:hyperlink>
        </w:p>
        <w:p w14:paraId="68205BCB" w14:textId="4C39DEC4"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30" w:history="1">
            <w:r w:rsidRPr="00A307A0">
              <w:rPr>
                <w:rStyle w:val="Hyperlink"/>
              </w:rPr>
              <w:t>Finding for Recovery Procedures for Independent Public Accountants (IPA)</w:t>
            </w:r>
            <w:r w:rsidRPr="00A307A0">
              <w:rPr>
                <w:webHidden/>
              </w:rPr>
              <w:tab/>
            </w:r>
            <w:r w:rsidRPr="00A307A0">
              <w:rPr>
                <w:webHidden/>
              </w:rPr>
              <w:fldChar w:fldCharType="begin"/>
            </w:r>
            <w:r w:rsidRPr="00A307A0">
              <w:rPr>
                <w:webHidden/>
              </w:rPr>
              <w:instrText xml:space="preserve"> PAGEREF _Toc214431130 \h </w:instrText>
            </w:r>
            <w:r w:rsidRPr="00A307A0">
              <w:rPr>
                <w:webHidden/>
              </w:rPr>
            </w:r>
            <w:r w:rsidRPr="00A307A0">
              <w:rPr>
                <w:webHidden/>
              </w:rPr>
              <w:fldChar w:fldCharType="separate"/>
            </w:r>
            <w:r w:rsidRPr="00A307A0">
              <w:rPr>
                <w:webHidden/>
              </w:rPr>
              <w:t>37</w:t>
            </w:r>
            <w:r w:rsidRPr="00A307A0">
              <w:rPr>
                <w:webHidden/>
              </w:rPr>
              <w:fldChar w:fldCharType="end"/>
            </w:r>
          </w:hyperlink>
        </w:p>
        <w:p w14:paraId="3C6E69F1" w14:textId="74C87CCA"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1" w:history="1">
            <w:r w:rsidRPr="00A02213">
              <w:rPr>
                <w:rStyle w:val="Hyperlink"/>
                <w:noProof/>
              </w:rPr>
              <w:t>Findings for Waste or Abuse</w:t>
            </w:r>
            <w:r>
              <w:rPr>
                <w:noProof/>
                <w:webHidden/>
              </w:rPr>
              <w:tab/>
            </w:r>
            <w:r>
              <w:rPr>
                <w:noProof/>
                <w:webHidden/>
              </w:rPr>
              <w:fldChar w:fldCharType="begin"/>
            </w:r>
            <w:r>
              <w:rPr>
                <w:noProof/>
                <w:webHidden/>
              </w:rPr>
              <w:instrText xml:space="preserve"> PAGEREF _Toc214431131 \h </w:instrText>
            </w:r>
            <w:r>
              <w:rPr>
                <w:noProof/>
                <w:webHidden/>
              </w:rPr>
            </w:r>
            <w:r>
              <w:rPr>
                <w:noProof/>
                <w:webHidden/>
              </w:rPr>
              <w:fldChar w:fldCharType="separate"/>
            </w:r>
            <w:r>
              <w:rPr>
                <w:noProof/>
                <w:webHidden/>
              </w:rPr>
              <w:t>41</w:t>
            </w:r>
            <w:r>
              <w:rPr>
                <w:noProof/>
                <w:webHidden/>
              </w:rPr>
              <w:fldChar w:fldCharType="end"/>
            </w:r>
          </w:hyperlink>
        </w:p>
        <w:p w14:paraId="72E30B4E" w14:textId="200E8DA8"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2" w:history="1">
            <w:r w:rsidRPr="00A02213">
              <w:rPr>
                <w:rStyle w:val="Hyperlink"/>
                <w:noProof/>
              </w:rPr>
              <w:t>Referring Audit Reports</w:t>
            </w:r>
            <w:r>
              <w:rPr>
                <w:noProof/>
                <w:webHidden/>
              </w:rPr>
              <w:tab/>
            </w:r>
            <w:r>
              <w:rPr>
                <w:noProof/>
                <w:webHidden/>
              </w:rPr>
              <w:fldChar w:fldCharType="begin"/>
            </w:r>
            <w:r>
              <w:rPr>
                <w:noProof/>
                <w:webHidden/>
              </w:rPr>
              <w:instrText xml:space="preserve"> PAGEREF _Toc214431132 \h </w:instrText>
            </w:r>
            <w:r>
              <w:rPr>
                <w:noProof/>
                <w:webHidden/>
              </w:rPr>
            </w:r>
            <w:r>
              <w:rPr>
                <w:noProof/>
                <w:webHidden/>
              </w:rPr>
              <w:fldChar w:fldCharType="separate"/>
            </w:r>
            <w:r>
              <w:rPr>
                <w:noProof/>
                <w:webHidden/>
              </w:rPr>
              <w:t>43</w:t>
            </w:r>
            <w:r>
              <w:rPr>
                <w:noProof/>
                <w:webHidden/>
              </w:rPr>
              <w:fldChar w:fldCharType="end"/>
            </w:r>
          </w:hyperlink>
        </w:p>
        <w:p w14:paraId="0B35977D" w14:textId="361DE594"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3" w:history="1">
            <w:r w:rsidRPr="00A02213">
              <w:rPr>
                <w:rStyle w:val="Hyperlink"/>
                <w:noProof/>
              </w:rPr>
              <w:t>Referrals to the Ethics Commission, Other State Agencies, and the IRS</w:t>
            </w:r>
            <w:r>
              <w:rPr>
                <w:noProof/>
                <w:webHidden/>
              </w:rPr>
              <w:tab/>
            </w:r>
            <w:r>
              <w:rPr>
                <w:noProof/>
                <w:webHidden/>
              </w:rPr>
              <w:fldChar w:fldCharType="begin"/>
            </w:r>
            <w:r>
              <w:rPr>
                <w:noProof/>
                <w:webHidden/>
              </w:rPr>
              <w:instrText xml:space="preserve"> PAGEREF _Toc214431133 \h </w:instrText>
            </w:r>
            <w:r>
              <w:rPr>
                <w:noProof/>
                <w:webHidden/>
              </w:rPr>
            </w:r>
            <w:r>
              <w:rPr>
                <w:noProof/>
                <w:webHidden/>
              </w:rPr>
              <w:fldChar w:fldCharType="separate"/>
            </w:r>
            <w:r>
              <w:rPr>
                <w:noProof/>
                <w:webHidden/>
              </w:rPr>
              <w:t>44</w:t>
            </w:r>
            <w:r>
              <w:rPr>
                <w:noProof/>
                <w:webHidden/>
              </w:rPr>
              <w:fldChar w:fldCharType="end"/>
            </w:r>
          </w:hyperlink>
        </w:p>
        <w:p w14:paraId="22015C78" w14:textId="115AE78C"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4" w:history="1">
            <w:r w:rsidRPr="00A02213">
              <w:rPr>
                <w:rStyle w:val="Hyperlink"/>
                <w:noProof/>
              </w:rPr>
              <w:t>Appendix A – Budgetary and Certain Related Requirements  (Applies to Chapter 1)</w:t>
            </w:r>
            <w:r>
              <w:rPr>
                <w:noProof/>
                <w:webHidden/>
              </w:rPr>
              <w:tab/>
            </w:r>
            <w:r>
              <w:rPr>
                <w:noProof/>
                <w:webHidden/>
              </w:rPr>
              <w:fldChar w:fldCharType="begin"/>
            </w:r>
            <w:r>
              <w:rPr>
                <w:noProof/>
                <w:webHidden/>
              </w:rPr>
              <w:instrText xml:space="preserve"> PAGEREF _Toc214431134 \h </w:instrText>
            </w:r>
            <w:r>
              <w:rPr>
                <w:noProof/>
                <w:webHidden/>
              </w:rPr>
            </w:r>
            <w:r>
              <w:rPr>
                <w:noProof/>
                <w:webHidden/>
              </w:rPr>
              <w:fldChar w:fldCharType="separate"/>
            </w:r>
            <w:r>
              <w:rPr>
                <w:noProof/>
                <w:webHidden/>
              </w:rPr>
              <w:t>47</w:t>
            </w:r>
            <w:r>
              <w:rPr>
                <w:noProof/>
                <w:webHidden/>
              </w:rPr>
              <w:fldChar w:fldCharType="end"/>
            </w:r>
          </w:hyperlink>
        </w:p>
        <w:p w14:paraId="29453B11" w14:textId="0F1F46DF"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35" w:history="1">
            <w:r w:rsidRPr="00A307A0">
              <w:rPr>
                <w:rStyle w:val="Hyperlink"/>
              </w:rPr>
              <w:t xml:space="preserve">APPENDIX A-1 Transfers and Advances </w:t>
            </w:r>
            <w:r w:rsidRPr="00A307A0">
              <w:rPr>
                <w:rStyle w:val="Hyperlink"/>
                <w:i/>
                <w:iCs/>
              </w:rPr>
              <w:t>(Applies to Sections 1-6 &amp; 1-7 &amp; 1-13)</w:t>
            </w:r>
            <w:r w:rsidRPr="00A307A0">
              <w:rPr>
                <w:webHidden/>
              </w:rPr>
              <w:tab/>
            </w:r>
            <w:r w:rsidRPr="00A307A0">
              <w:rPr>
                <w:webHidden/>
              </w:rPr>
              <w:fldChar w:fldCharType="begin"/>
            </w:r>
            <w:r w:rsidRPr="00A307A0">
              <w:rPr>
                <w:webHidden/>
              </w:rPr>
              <w:instrText xml:space="preserve"> PAGEREF _Toc214431135 \h </w:instrText>
            </w:r>
            <w:r w:rsidRPr="00A307A0">
              <w:rPr>
                <w:webHidden/>
              </w:rPr>
            </w:r>
            <w:r w:rsidRPr="00A307A0">
              <w:rPr>
                <w:webHidden/>
              </w:rPr>
              <w:fldChar w:fldCharType="separate"/>
            </w:r>
            <w:r w:rsidRPr="00A307A0">
              <w:rPr>
                <w:webHidden/>
              </w:rPr>
              <w:t>49</w:t>
            </w:r>
            <w:r w:rsidRPr="00A307A0">
              <w:rPr>
                <w:webHidden/>
              </w:rPr>
              <w:fldChar w:fldCharType="end"/>
            </w:r>
          </w:hyperlink>
        </w:p>
        <w:p w14:paraId="5FF7BBFD" w14:textId="02DB513C"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36" w:history="1">
            <w:r w:rsidRPr="00A307A0">
              <w:rPr>
                <w:rStyle w:val="Hyperlink"/>
              </w:rPr>
              <w:t xml:space="preserve">APPENDIX A-2 Direct Charges </w:t>
            </w:r>
            <w:r w:rsidRPr="00A307A0">
              <w:rPr>
                <w:rStyle w:val="Hyperlink"/>
                <w:i/>
                <w:iCs/>
              </w:rPr>
              <w:t>(Applies to Sections 1-2 &amp; 2A-2)</w:t>
            </w:r>
            <w:r w:rsidRPr="00A307A0">
              <w:rPr>
                <w:webHidden/>
              </w:rPr>
              <w:tab/>
            </w:r>
            <w:r w:rsidRPr="00A307A0">
              <w:rPr>
                <w:webHidden/>
              </w:rPr>
              <w:fldChar w:fldCharType="begin"/>
            </w:r>
            <w:r w:rsidRPr="00A307A0">
              <w:rPr>
                <w:webHidden/>
              </w:rPr>
              <w:instrText xml:space="preserve"> PAGEREF _Toc214431136 \h </w:instrText>
            </w:r>
            <w:r w:rsidRPr="00A307A0">
              <w:rPr>
                <w:webHidden/>
              </w:rPr>
            </w:r>
            <w:r w:rsidRPr="00A307A0">
              <w:rPr>
                <w:webHidden/>
              </w:rPr>
              <w:fldChar w:fldCharType="separate"/>
            </w:r>
            <w:r w:rsidRPr="00A307A0">
              <w:rPr>
                <w:webHidden/>
              </w:rPr>
              <w:t>53</w:t>
            </w:r>
            <w:r w:rsidRPr="00A307A0">
              <w:rPr>
                <w:webHidden/>
              </w:rPr>
              <w:fldChar w:fldCharType="end"/>
            </w:r>
          </w:hyperlink>
        </w:p>
        <w:p w14:paraId="3DF3B752" w14:textId="40D6E545"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7" w:history="1">
            <w:r w:rsidRPr="00A02213">
              <w:rPr>
                <w:rStyle w:val="Hyperlink"/>
                <w:noProof/>
              </w:rPr>
              <w:t>APPENDIX B – Contracts and Expenditures</w:t>
            </w:r>
            <w:r>
              <w:rPr>
                <w:noProof/>
                <w:webHidden/>
              </w:rPr>
              <w:tab/>
            </w:r>
            <w:r>
              <w:rPr>
                <w:noProof/>
                <w:webHidden/>
              </w:rPr>
              <w:fldChar w:fldCharType="begin"/>
            </w:r>
            <w:r>
              <w:rPr>
                <w:noProof/>
                <w:webHidden/>
              </w:rPr>
              <w:instrText xml:space="preserve"> PAGEREF _Toc214431137 \h </w:instrText>
            </w:r>
            <w:r>
              <w:rPr>
                <w:noProof/>
                <w:webHidden/>
              </w:rPr>
            </w:r>
            <w:r>
              <w:rPr>
                <w:noProof/>
                <w:webHidden/>
              </w:rPr>
              <w:fldChar w:fldCharType="separate"/>
            </w:r>
            <w:r>
              <w:rPr>
                <w:noProof/>
                <w:webHidden/>
              </w:rPr>
              <w:t>54</w:t>
            </w:r>
            <w:r>
              <w:rPr>
                <w:noProof/>
                <w:webHidden/>
              </w:rPr>
              <w:fldChar w:fldCharType="end"/>
            </w:r>
          </w:hyperlink>
        </w:p>
        <w:p w14:paraId="49CC9988" w14:textId="4E9DD1EB"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38" w:history="1">
            <w:r w:rsidRPr="00A02213">
              <w:rPr>
                <w:rStyle w:val="Hyperlink"/>
                <w:noProof/>
              </w:rPr>
              <w:t>APPENDIX C – Debt (Applies to Chapter 1)</w:t>
            </w:r>
            <w:r>
              <w:rPr>
                <w:noProof/>
                <w:webHidden/>
              </w:rPr>
              <w:tab/>
            </w:r>
            <w:r>
              <w:rPr>
                <w:noProof/>
                <w:webHidden/>
              </w:rPr>
              <w:fldChar w:fldCharType="begin"/>
            </w:r>
            <w:r>
              <w:rPr>
                <w:noProof/>
                <w:webHidden/>
              </w:rPr>
              <w:instrText xml:space="preserve"> PAGEREF _Toc214431138 \h </w:instrText>
            </w:r>
            <w:r>
              <w:rPr>
                <w:noProof/>
                <w:webHidden/>
              </w:rPr>
            </w:r>
            <w:r>
              <w:rPr>
                <w:noProof/>
                <w:webHidden/>
              </w:rPr>
              <w:fldChar w:fldCharType="separate"/>
            </w:r>
            <w:r>
              <w:rPr>
                <w:noProof/>
                <w:webHidden/>
              </w:rPr>
              <w:t>56</w:t>
            </w:r>
            <w:r>
              <w:rPr>
                <w:noProof/>
                <w:webHidden/>
              </w:rPr>
              <w:fldChar w:fldCharType="end"/>
            </w:r>
          </w:hyperlink>
        </w:p>
        <w:p w14:paraId="492AE0F4" w14:textId="4B04E6C1" w:rsidR="007538A7" w:rsidRPr="00A307A0"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39" w:history="1">
            <w:r w:rsidRPr="00A307A0">
              <w:rPr>
                <w:rStyle w:val="Hyperlink"/>
              </w:rPr>
              <w:t xml:space="preserve">APPENDIX C-1 Tax and Revenue Anticipation Notes </w:t>
            </w:r>
            <w:r w:rsidRPr="00A307A0">
              <w:rPr>
                <w:rStyle w:val="Hyperlink"/>
                <w:i/>
                <w:iCs/>
              </w:rPr>
              <w:t>(Applies to Section 1-11)</w:t>
            </w:r>
            <w:r w:rsidRPr="00A307A0">
              <w:rPr>
                <w:webHidden/>
              </w:rPr>
              <w:tab/>
            </w:r>
            <w:r w:rsidRPr="00A307A0">
              <w:rPr>
                <w:webHidden/>
              </w:rPr>
              <w:fldChar w:fldCharType="begin"/>
            </w:r>
            <w:r w:rsidRPr="00A307A0">
              <w:rPr>
                <w:webHidden/>
              </w:rPr>
              <w:instrText xml:space="preserve"> PAGEREF _Toc214431139 \h </w:instrText>
            </w:r>
            <w:r w:rsidRPr="00A307A0">
              <w:rPr>
                <w:webHidden/>
              </w:rPr>
            </w:r>
            <w:r w:rsidRPr="00A307A0">
              <w:rPr>
                <w:webHidden/>
              </w:rPr>
              <w:fldChar w:fldCharType="separate"/>
            </w:r>
            <w:r w:rsidRPr="00A307A0">
              <w:rPr>
                <w:webHidden/>
              </w:rPr>
              <w:t>57</w:t>
            </w:r>
            <w:r w:rsidRPr="00A307A0">
              <w:rPr>
                <w:webHidden/>
              </w:rPr>
              <w:fldChar w:fldCharType="end"/>
            </w:r>
          </w:hyperlink>
        </w:p>
        <w:p w14:paraId="0D04D5B9" w14:textId="4AAD1009"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0" w:history="1">
            <w:r w:rsidRPr="00A02213">
              <w:rPr>
                <w:rStyle w:val="Hyperlink"/>
                <w:noProof/>
              </w:rPr>
              <w:t>APPENDIX D – Not Used</w:t>
            </w:r>
            <w:r>
              <w:rPr>
                <w:noProof/>
                <w:webHidden/>
              </w:rPr>
              <w:tab/>
            </w:r>
            <w:r>
              <w:rPr>
                <w:noProof/>
                <w:webHidden/>
              </w:rPr>
              <w:fldChar w:fldCharType="begin"/>
            </w:r>
            <w:r>
              <w:rPr>
                <w:noProof/>
                <w:webHidden/>
              </w:rPr>
              <w:instrText xml:space="preserve"> PAGEREF _Toc214431140 \h </w:instrText>
            </w:r>
            <w:r>
              <w:rPr>
                <w:noProof/>
                <w:webHidden/>
              </w:rPr>
            </w:r>
            <w:r>
              <w:rPr>
                <w:noProof/>
                <w:webHidden/>
              </w:rPr>
              <w:fldChar w:fldCharType="separate"/>
            </w:r>
            <w:r>
              <w:rPr>
                <w:noProof/>
                <w:webHidden/>
              </w:rPr>
              <w:t>68</w:t>
            </w:r>
            <w:r>
              <w:rPr>
                <w:noProof/>
                <w:webHidden/>
              </w:rPr>
              <w:fldChar w:fldCharType="end"/>
            </w:r>
          </w:hyperlink>
        </w:p>
        <w:p w14:paraId="0D87CEF6" w14:textId="64CA34D2"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1" w:history="1">
            <w:r w:rsidRPr="00A02213">
              <w:rPr>
                <w:rStyle w:val="Hyperlink"/>
                <w:noProof/>
              </w:rPr>
              <w:t>APPENDIX E – Deposits and Investments (Applies to Chapter 2)</w:t>
            </w:r>
            <w:r>
              <w:rPr>
                <w:noProof/>
                <w:webHidden/>
              </w:rPr>
              <w:tab/>
            </w:r>
            <w:r>
              <w:rPr>
                <w:noProof/>
                <w:webHidden/>
              </w:rPr>
              <w:fldChar w:fldCharType="begin"/>
            </w:r>
            <w:r>
              <w:rPr>
                <w:noProof/>
                <w:webHidden/>
              </w:rPr>
              <w:instrText xml:space="preserve"> PAGEREF _Toc214431141 \h </w:instrText>
            </w:r>
            <w:r>
              <w:rPr>
                <w:noProof/>
                <w:webHidden/>
              </w:rPr>
            </w:r>
            <w:r>
              <w:rPr>
                <w:noProof/>
                <w:webHidden/>
              </w:rPr>
              <w:fldChar w:fldCharType="separate"/>
            </w:r>
            <w:r>
              <w:rPr>
                <w:noProof/>
                <w:webHidden/>
              </w:rPr>
              <w:t>69</w:t>
            </w:r>
            <w:r>
              <w:rPr>
                <w:noProof/>
                <w:webHidden/>
              </w:rPr>
              <w:fldChar w:fldCharType="end"/>
            </w:r>
          </w:hyperlink>
        </w:p>
        <w:p w14:paraId="2E1B620D" w14:textId="47D446C3" w:rsidR="007538A7"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42" w:history="1">
            <w:r w:rsidRPr="00A02213">
              <w:rPr>
                <w:rStyle w:val="Hyperlink"/>
              </w:rPr>
              <w:t xml:space="preserve">APPENDIX E-1 Federal Agencies </w:t>
            </w:r>
            <w:r w:rsidRPr="00A02213">
              <w:rPr>
                <w:rStyle w:val="Hyperlink"/>
                <w:i/>
                <w:iCs/>
              </w:rPr>
              <w:t>(Applies to Section 2A-14)</w:t>
            </w:r>
            <w:r>
              <w:rPr>
                <w:webHidden/>
              </w:rPr>
              <w:tab/>
            </w:r>
            <w:r>
              <w:rPr>
                <w:webHidden/>
              </w:rPr>
              <w:fldChar w:fldCharType="begin"/>
            </w:r>
            <w:r>
              <w:rPr>
                <w:webHidden/>
              </w:rPr>
              <w:instrText xml:space="preserve"> PAGEREF _Toc214431142 \h </w:instrText>
            </w:r>
            <w:r>
              <w:rPr>
                <w:webHidden/>
              </w:rPr>
            </w:r>
            <w:r>
              <w:rPr>
                <w:webHidden/>
              </w:rPr>
              <w:fldChar w:fldCharType="separate"/>
            </w:r>
            <w:r>
              <w:rPr>
                <w:webHidden/>
              </w:rPr>
              <w:t>70</w:t>
            </w:r>
            <w:r>
              <w:rPr>
                <w:webHidden/>
              </w:rPr>
              <w:fldChar w:fldCharType="end"/>
            </w:r>
          </w:hyperlink>
        </w:p>
        <w:p w14:paraId="6B8D466A" w14:textId="0D693C6C" w:rsidR="007538A7" w:rsidRDefault="007538A7" w:rsidP="00A307A0">
          <w:pPr>
            <w:pStyle w:val="TOC3"/>
            <w:rPr>
              <w:rFonts w:asciiTheme="minorHAnsi" w:eastAsiaTheme="minorEastAsia" w:hAnsiTheme="minorHAnsi" w:cstheme="minorBidi"/>
              <w:kern w:val="2"/>
              <w:sz w:val="24"/>
              <w:szCs w:val="24"/>
              <w:lang w:eastAsia="en-US"/>
              <w14:ligatures w14:val="standardContextual"/>
            </w:rPr>
          </w:pPr>
          <w:hyperlink w:anchor="_Toc214431143" w:history="1">
            <w:r w:rsidRPr="00A02213">
              <w:rPr>
                <w:rStyle w:val="Hyperlink"/>
              </w:rPr>
              <w:t xml:space="preserve">APPENDIX E-2 GASB No. 40 </w:t>
            </w:r>
            <w:r w:rsidRPr="00A02213">
              <w:rPr>
                <w:rStyle w:val="Hyperlink"/>
                <w:i/>
                <w:iCs/>
              </w:rPr>
              <w:t>(Applies to Sections 2A-14, 2A-16 &amp; 2A-18)</w:t>
            </w:r>
            <w:r>
              <w:rPr>
                <w:webHidden/>
              </w:rPr>
              <w:tab/>
            </w:r>
            <w:r>
              <w:rPr>
                <w:webHidden/>
              </w:rPr>
              <w:fldChar w:fldCharType="begin"/>
            </w:r>
            <w:r>
              <w:rPr>
                <w:webHidden/>
              </w:rPr>
              <w:instrText xml:space="preserve"> PAGEREF _Toc214431143 \h </w:instrText>
            </w:r>
            <w:r>
              <w:rPr>
                <w:webHidden/>
              </w:rPr>
            </w:r>
            <w:r>
              <w:rPr>
                <w:webHidden/>
              </w:rPr>
              <w:fldChar w:fldCharType="separate"/>
            </w:r>
            <w:r>
              <w:rPr>
                <w:webHidden/>
              </w:rPr>
              <w:t>71</w:t>
            </w:r>
            <w:r>
              <w:rPr>
                <w:webHidden/>
              </w:rPr>
              <w:fldChar w:fldCharType="end"/>
            </w:r>
          </w:hyperlink>
        </w:p>
        <w:p w14:paraId="25D34B78" w14:textId="3E37AA18"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4" w:history="1">
            <w:r w:rsidRPr="00A02213">
              <w:rPr>
                <w:rStyle w:val="Hyperlink"/>
                <w:noProof/>
              </w:rPr>
              <w:t>Exhibit 1 – Citation Format</w:t>
            </w:r>
            <w:r>
              <w:rPr>
                <w:noProof/>
                <w:webHidden/>
              </w:rPr>
              <w:tab/>
            </w:r>
            <w:r>
              <w:rPr>
                <w:noProof/>
                <w:webHidden/>
              </w:rPr>
              <w:fldChar w:fldCharType="begin"/>
            </w:r>
            <w:r>
              <w:rPr>
                <w:noProof/>
                <w:webHidden/>
              </w:rPr>
              <w:instrText xml:space="preserve"> PAGEREF _Toc214431144 \h </w:instrText>
            </w:r>
            <w:r>
              <w:rPr>
                <w:noProof/>
                <w:webHidden/>
              </w:rPr>
            </w:r>
            <w:r>
              <w:rPr>
                <w:noProof/>
                <w:webHidden/>
              </w:rPr>
              <w:fldChar w:fldCharType="separate"/>
            </w:r>
            <w:r>
              <w:rPr>
                <w:noProof/>
                <w:webHidden/>
              </w:rPr>
              <w:t>74</w:t>
            </w:r>
            <w:r>
              <w:rPr>
                <w:noProof/>
                <w:webHidden/>
              </w:rPr>
              <w:fldChar w:fldCharType="end"/>
            </w:r>
          </w:hyperlink>
        </w:p>
        <w:p w14:paraId="3602F0EB" w14:textId="2B324D1F"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5" w:history="1">
            <w:r w:rsidRPr="00A02213">
              <w:rPr>
                <w:rStyle w:val="Hyperlink"/>
                <w:noProof/>
              </w:rPr>
              <w:t xml:space="preserve">Exhibit 2 – Public Officers’ Bond </w:t>
            </w:r>
            <w:r w:rsidRPr="00A02213">
              <w:rPr>
                <w:rStyle w:val="Hyperlink"/>
                <w:i/>
                <w:iCs/>
                <w:noProof/>
              </w:rPr>
              <w:t>(Applies to Section 3-5)</w:t>
            </w:r>
            <w:r>
              <w:rPr>
                <w:noProof/>
                <w:webHidden/>
              </w:rPr>
              <w:tab/>
            </w:r>
            <w:r>
              <w:rPr>
                <w:noProof/>
                <w:webHidden/>
              </w:rPr>
              <w:fldChar w:fldCharType="begin"/>
            </w:r>
            <w:r>
              <w:rPr>
                <w:noProof/>
                <w:webHidden/>
              </w:rPr>
              <w:instrText xml:space="preserve"> PAGEREF _Toc214431145 \h </w:instrText>
            </w:r>
            <w:r>
              <w:rPr>
                <w:noProof/>
                <w:webHidden/>
              </w:rPr>
            </w:r>
            <w:r>
              <w:rPr>
                <w:noProof/>
                <w:webHidden/>
              </w:rPr>
              <w:fldChar w:fldCharType="separate"/>
            </w:r>
            <w:r>
              <w:rPr>
                <w:noProof/>
                <w:webHidden/>
              </w:rPr>
              <w:t>77</w:t>
            </w:r>
            <w:r>
              <w:rPr>
                <w:noProof/>
                <w:webHidden/>
              </w:rPr>
              <w:fldChar w:fldCharType="end"/>
            </w:r>
          </w:hyperlink>
        </w:p>
        <w:p w14:paraId="29E1354C" w14:textId="05927DAE"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6" w:history="1">
            <w:r w:rsidRPr="00A02213">
              <w:rPr>
                <w:rStyle w:val="Hyperlink"/>
                <w:noProof/>
              </w:rPr>
              <w:t>Exhibit 3 – Compliance ACE Form</w:t>
            </w:r>
            <w:r>
              <w:rPr>
                <w:noProof/>
                <w:webHidden/>
              </w:rPr>
              <w:tab/>
            </w:r>
            <w:r>
              <w:rPr>
                <w:noProof/>
                <w:webHidden/>
              </w:rPr>
              <w:fldChar w:fldCharType="begin"/>
            </w:r>
            <w:r>
              <w:rPr>
                <w:noProof/>
                <w:webHidden/>
              </w:rPr>
              <w:instrText xml:space="preserve"> PAGEREF _Toc214431146 \h </w:instrText>
            </w:r>
            <w:r>
              <w:rPr>
                <w:noProof/>
                <w:webHidden/>
              </w:rPr>
            </w:r>
            <w:r>
              <w:rPr>
                <w:noProof/>
                <w:webHidden/>
              </w:rPr>
              <w:fldChar w:fldCharType="separate"/>
            </w:r>
            <w:r>
              <w:rPr>
                <w:noProof/>
                <w:webHidden/>
              </w:rPr>
              <w:t>83</w:t>
            </w:r>
            <w:r>
              <w:rPr>
                <w:noProof/>
                <w:webHidden/>
              </w:rPr>
              <w:fldChar w:fldCharType="end"/>
            </w:r>
          </w:hyperlink>
        </w:p>
        <w:p w14:paraId="3FC67ADA" w14:textId="00FA1B1E"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7" w:history="1">
            <w:r w:rsidRPr="00A02213">
              <w:rPr>
                <w:rStyle w:val="Hyperlink"/>
                <w:noProof/>
              </w:rPr>
              <w:t xml:space="preserve">Exhibit 4 – Changes in Compensation </w:t>
            </w:r>
            <w:r w:rsidRPr="00A02213">
              <w:rPr>
                <w:rStyle w:val="Hyperlink"/>
                <w:i/>
                <w:iCs/>
                <w:noProof/>
              </w:rPr>
              <w:t>(Applies to Section 1-23 &amp; 3-3)</w:t>
            </w:r>
            <w:r>
              <w:rPr>
                <w:noProof/>
                <w:webHidden/>
              </w:rPr>
              <w:tab/>
            </w:r>
            <w:r>
              <w:rPr>
                <w:noProof/>
                <w:webHidden/>
              </w:rPr>
              <w:fldChar w:fldCharType="begin"/>
            </w:r>
            <w:r>
              <w:rPr>
                <w:noProof/>
                <w:webHidden/>
              </w:rPr>
              <w:instrText xml:space="preserve"> PAGEREF _Toc214431147 \h </w:instrText>
            </w:r>
            <w:r>
              <w:rPr>
                <w:noProof/>
                <w:webHidden/>
              </w:rPr>
            </w:r>
            <w:r>
              <w:rPr>
                <w:noProof/>
                <w:webHidden/>
              </w:rPr>
              <w:fldChar w:fldCharType="separate"/>
            </w:r>
            <w:r>
              <w:rPr>
                <w:noProof/>
                <w:webHidden/>
              </w:rPr>
              <w:t>87</w:t>
            </w:r>
            <w:r>
              <w:rPr>
                <w:noProof/>
                <w:webHidden/>
              </w:rPr>
              <w:fldChar w:fldCharType="end"/>
            </w:r>
          </w:hyperlink>
        </w:p>
        <w:p w14:paraId="3C63D9A8" w14:textId="0B3D26C3"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8" w:history="1">
            <w:r w:rsidRPr="00A02213">
              <w:rPr>
                <w:rStyle w:val="Hyperlink"/>
                <w:noProof/>
              </w:rPr>
              <w:t>Exhibit 5 – Legal Matrix</w:t>
            </w:r>
            <w:r>
              <w:rPr>
                <w:noProof/>
                <w:webHidden/>
              </w:rPr>
              <w:tab/>
            </w:r>
            <w:r>
              <w:rPr>
                <w:noProof/>
                <w:webHidden/>
              </w:rPr>
              <w:fldChar w:fldCharType="begin"/>
            </w:r>
            <w:r>
              <w:rPr>
                <w:noProof/>
                <w:webHidden/>
              </w:rPr>
              <w:instrText xml:space="preserve"> PAGEREF _Toc214431148 \h </w:instrText>
            </w:r>
            <w:r>
              <w:rPr>
                <w:noProof/>
                <w:webHidden/>
              </w:rPr>
            </w:r>
            <w:r>
              <w:rPr>
                <w:noProof/>
                <w:webHidden/>
              </w:rPr>
              <w:fldChar w:fldCharType="separate"/>
            </w:r>
            <w:r>
              <w:rPr>
                <w:noProof/>
                <w:webHidden/>
              </w:rPr>
              <w:t>91</w:t>
            </w:r>
            <w:r>
              <w:rPr>
                <w:noProof/>
                <w:webHidden/>
              </w:rPr>
              <w:fldChar w:fldCharType="end"/>
            </w:r>
          </w:hyperlink>
        </w:p>
        <w:p w14:paraId="5DA1E16A" w14:textId="03E11D60"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49" w:history="1">
            <w:r w:rsidRPr="00A02213">
              <w:rPr>
                <w:rStyle w:val="Hyperlink"/>
                <w:noProof/>
              </w:rPr>
              <w:t>Exhibit 6 – Entities Not Included</w:t>
            </w:r>
            <w:r>
              <w:rPr>
                <w:noProof/>
                <w:webHidden/>
              </w:rPr>
              <w:tab/>
            </w:r>
            <w:r>
              <w:rPr>
                <w:noProof/>
                <w:webHidden/>
              </w:rPr>
              <w:fldChar w:fldCharType="begin"/>
            </w:r>
            <w:r>
              <w:rPr>
                <w:noProof/>
                <w:webHidden/>
              </w:rPr>
              <w:instrText xml:space="preserve"> PAGEREF _Toc214431149 \h </w:instrText>
            </w:r>
            <w:r>
              <w:rPr>
                <w:noProof/>
                <w:webHidden/>
              </w:rPr>
            </w:r>
            <w:r>
              <w:rPr>
                <w:noProof/>
                <w:webHidden/>
              </w:rPr>
              <w:fldChar w:fldCharType="separate"/>
            </w:r>
            <w:r>
              <w:rPr>
                <w:noProof/>
                <w:webHidden/>
              </w:rPr>
              <w:t>92</w:t>
            </w:r>
            <w:r>
              <w:rPr>
                <w:noProof/>
                <w:webHidden/>
              </w:rPr>
              <w:fldChar w:fldCharType="end"/>
            </w:r>
          </w:hyperlink>
        </w:p>
        <w:p w14:paraId="2651821E" w14:textId="58A08569" w:rsidR="007538A7" w:rsidRDefault="007538A7">
          <w:pPr>
            <w:pStyle w:val="TOC2"/>
            <w:tabs>
              <w:tab w:val="right" w:leader="dot" w:pos="9638"/>
            </w:tabs>
            <w:rPr>
              <w:rFonts w:asciiTheme="minorHAnsi" w:eastAsiaTheme="minorEastAsia" w:hAnsiTheme="minorHAnsi" w:cstheme="minorBidi"/>
              <w:noProof/>
              <w:kern w:val="2"/>
              <w:sz w:val="24"/>
              <w:szCs w:val="24"/>
              <w14:ligatures w14:val="standardContextual"/>
            </w:rPr>
          </w:pPr>
          <w:hyperlink w:anchor="_Toc214431150" w:history="1">
            <w:r w:rsidRPr="00A02213">
              <w:rPr>
                <w:rStyle w:val="Hyperlink"/>
                <w:noProof/>
              </w:rPr>
              <w:t>Questions and Comments</w:t>
            </w:r>
            <w:r>
              <w:rPr>
                <w:noProof/>
                <w:webHidden/>
              </w:rPr>
              <w:tab/>
            </w:r>
            <w:r>
              <w:rPr>
                <w:noProof/>
                <w:webHidden/>
              </w:rPr>
              <w:fldChar w:fldCharType="begin"/>
            </w:r>
            <w:r>
              <w:rPr>
                <w:noProof/>
                <w:webHidden/>
              </w:rPr>
              <w:instrText xml:space="preserve"> PAGEREF _Toc214431150 \h </w:instrText>
            </w:r>
            <w:r>
              <w:rPr>
                <w:noProof/>
                <w:webHidden/>
              </w:rPr>
            </w:r>
            <w:r>
              <w:rPr>
                <w:noProof/>
                <w:webHidden/>
              </w:rPr>
              <w:fldChar w:fldCharType="separate"/>
            </w:r>
            <w:r>
              <w:rPr>
                <w:noProof/>
                <w:webHidden/>
              </w:rPr>
              <w:t>93</w:t>
            </w:r>
            <w:r>
              <w:rPr>
                <w:noProof/>
                <w:webHidden/>
              </w:rPr>
              <w:fldChar w:fldCharType="end"/>
            </w:r>
          </w:hyperlink>
        </w:p>
        <w:p w14:paraId="3E7298CC" w14:textId="1FF96DE0" w:rsidR="0049323D" w:rsidRDefault="00FB7D48" w:rsidP="0049323D">
          <w:pPr>
            <w:rPr>
              <w:noProof/>
            </w:rPr>
          </w:pPr>
          <w:r>
            <w:rPr>
              <w:b/>
              <w:bCs/>
              <w:noProof/>
              <w:color w:val="2B579A"/>
              <w:shd w:val="clear" w:color="auto" w:fill="E6E6E6"/>
            </w:rPr>
            <w:fldChar w:fldCharType="end"/>
          </w:r>
        </w:p>
      </w:sdtContent>
    </w:sdt>
    <w:p w14:paraId="639B0D34" w14:textId="77777777" w:rsidR="00155345" w:rsidRPr="0049323D" w:rsidRDefault="00155345" w:rsidP="0049323D"/>
    <w:p w14:paraId="4D5CA778" w14:textId="7849CA44" w:rsidR="00083D71" w:rsidRDefault="00083D71">
      <w:pPr>
        <w:rPr>
          <w:sz w:val="30"/>
          <w:lang w:eastAsia="ja-JP"/>
        </w:rPr>
      </w:pPr>
      <w:r>
        <w:rPr>
          <w:sz w:val="30"/>
          <w:lang w:eastAsia="ja-JP"/>
        </w:rPr>
        <w:br w:type="page"/>
      </w:r>
    </w:p>
    <w:p w14:paraId="41E18651" w14:textId="77777777" w:rsidR="00271B7B" w:rsidRDefault="00271B7B">
      <w:pPr>
        <w:rPr>
          <w:sz w:val="30"/>
          <w:lang w:eastAsia="ja-JP"/>
        </w:rPr>
        <w:sectPr w:rsidR="00271B7B" w:rsidSect="002A3762">
          <w:headerReference w:type="default" r:id="rId11"/>
          <w:footerReference w:type="default" r:id="rId12"/>
          <w:type w:val="continuous"/>
          <w:pgSz w:w="12240" w:h="15840"/>
          <w:pgMar w:top="1152" w:right="1440" w:bottom="720" w:left="1152" w:header="720" w:footer="720" w:gutter="0"/>
          <w:pgNumType w:start="1"/>
          <w:cols w:space="720"/>
          <w:noEndnote/>
        </w:sectPr>
      </w:pPr>
    </w:p>
    <w:p w14:paraId="76918CDE" w14:textId="77777777" w:rsidR="008F6A36" w:rsidRPr="000D28D3" w:rsidRDefault="008F6A36" w:rsidP="00621F8F">
      <w:pPr>
        <w:pStyle w:val="Subtitle"/>
        <w:shd w:val="clear" w:color="auto" w:fill="A6A6A6" w:themeFill="background1" w:themeFillShade="A6"/>
      </w:pPr>
      <w:bookmarkStart w:id="11" w:name="_Toc214431119"/>
      <w:r w:rsidRPr="000D28D3">
        <w:t>Introduction</w:t>
      </w:r>
      <w:bookmarkEnd w:id="11"/>
    </w:p>
    <w:p w14:paraId="48D61E87" w14:textId="77777777" w:rsidR="008F6A36" w:rsidRDefault="008F6A36">
      <w:pPr>
        <w:jc w:val="both"/>
        <w:rPr>
          <w:sz w:val="30"/>
          <w:lang w:eastAsia="ja-JP"/>
        </w:rPr>
      </w:pPr>
    </w:p>
    <w:p w14:paraId="595E00E0" w14:textId="77777777" w:rsidR="00585C32" w:rsidRPr="001C1028" w:rsidRDefault="00585C32" w:rsidP="00361150">
      <w:pPr>
        <w:jc w:val="both"/>
        <w:rPr>
          <w:sz w:val="22"/>
          <w:szCs w:val="22"/>
          <w:lang w:eastAsia="ja-JP"/>
        </w:rPr>
      </w:pPr>
      <w:r w:rsidRPr="001C1028">
        <w:rPr>
          <w:sz w:val="22"/>
          <w:szCs w:val="22"/>
          <w:lang w:eastAsia="ja-JP"/>
        </w:rPr>
        <w:t xml:space="preserve">The Auditor of State has audited public offices’ compliance with legal requirements since 1902.  Audits of Ohio public offices have been subject to Ohio Rev. Code Chapter 117, or its predecessor, since that time.  </w:t>
      </w:r>
      <w:r w:rsidR="000D7195" w:rsidRPr="001C1028">
        <w:rPr>
          <w:sz w:val="22"/>
          <w:szCs w:val="22"/>
          <w:lang w:eastAsia="ja-JP"/>
        </w:rPr>
        <w:t xml:space="preserve">Ohio Rev. Code </w:t>
      </w:r>
      <w:r w:rsidR="009B4BF1" w:rsidRPr="001C1028">
        <w:rPr>
          <w:sz w:val="22"/>
          <w:szCs w:val="22"/>
          <w:lang w:eastAsia="ja-JP"/>
        </w:rPr>
        <w:t>§ 1</w:t>
      </w:r>
      <w:r w:rsidRPr="001C1028">
        <w:rPr>
          <w:sz w:val="22"/>
          <w:szCs w:val="22"/>
          <w:lang w:eastAsia="ja-JP"/>
        </w:rPr>
        <w:t>17.11 (A) states in part that when auditing Ohio public offices:</w:t>
      </w:r>
    </w:p>
    <w:p w14:paraId="0654776E" w14:textId="77777777" w:rsidR="00585C32" w:rsidRPr="001C1028" w:rsidRDefault="00585C32" w:rsidP="00361150">
      <w:pPr>
        <w:jc w:val="both"/>
        <w:rPr>
          <w:sz w:val="22"/>
          <w:szCs w:val="18"/>
          <w:lang w:eastAsia="ja-JP"/>
        </w:rPr>
      </w:pPr>
    </w:p>
    <w:p w14:paraId="71767992" w14:textId="77777777" w:rsidR="00585C32" w:rsidRPr="001C1028" w:rsidRDefault="00585C32" w:rsidP="00361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jc w:val="both"/>
        <w:rPr>
          <w:sz w:val="22"/>
          <w:szCs w:val="18"/>
          <w:lang w:eastAsia="ja-JP"/>
        </w:rPr>
      </w:pPr>
      <w:r w:rsidRPr="001C1028">
        <w:rPr>
          <w:sz w:val="22"/>
          <w:szCs w:val="18"/>
          <w:lang w:eastAsia="ja-JP"/>
        </w:rPr>
        <w:t>. . . [i]nquiry shall be made into . . . whether the laws, rules, ordinances, and orders pertaining to the office have been observed, and whether the requirements and rules of the auditor of state have been complied with.</w:t>
      </w:r>
    </w:p>
    <w:p w14:paraId="6922C23C" w14:textId="77777777" w:rsidR="00585C32" w:rsidRPr="001C1028" w:rsidRDefault="00585C32" w:rsidP="00361150">
      <w:pPr>
        <w:jc w:val="both"/>
        <w:rPr>
          <w:sz w:val="22"/>
          <w:szCs w:val="18"/>
          <w:lang w:eastAsia="ja-JP"/>
        </w:rPr>
      </w:pPr>
    </w:p>
    <w:p w14:paraId="75825CB9" w14:textId="0317D53D" w:rsidR="00585C32" w:rsidRPr="001C1028" w:rsidRDefault="00585C32" w:rsidP="00361150">
      <w:pPr>
        <w:jc w:val="both"/>
        <w:rPr>
          <w:sz w:val="28"/>
          <w:szCs w:val="18"/>
          <w:lang w:eastAsia="ja-JP"/>
        </w:rPr>
      </w:pPr>
      <w:r w:rsidRPr="001C1028">
        <w:rPr>
          <w:sz w:val="22"/>
          <w:szCs w:val="18"/>
          <w:lang w:eastAsia="ja-JP"/>
        </w:rPr>
        <w:t xml:space="preserve">Although a literal interpretation of Ohio Rev. Code </w:t>
      </w:r>
      <w:r w:rsidR="009B4BF1" w:rsidRPr="001C1028">
        <w:rPr>
          <w:sz w:val="22"/>
          <w:szCs w:val="18"/>
          <w:lang w:eastAsia="ja-JP"/>
        </w:rPr>
        <w:t>§ 1</w:t>
      </w:r>
      <w:r w:rsidRPr="001C1028">
        <w:rPr>
          <w:sz w:val="22"/>
          <w:szCs w:val="18"/>
          <w:lang w:eastAsia="ja-JP"/>
        </w:rPr>
        <w:t xml:space="preserve">17.11 (A) would require testing </w:t>
      </w:r>
      <w:r w:rsidRPr="001C1028">
        <w:rPr>
          <w:i/>
          <w:sz w:val="22"/>
          <w:szCs w:val="18"/>
          <w:u w:val="single"/>
          <w:lang w:eastAsia="ja-JP"/>
        </w:rPr>
        <w:t>all</w:t>
      </w:r>
      <w:r w:rsidRPr="001C1028">
        <w:rPr>
          <w:sz w:val="22"/>
          <w:szCs w:val="18"/>
          <w:lang w:eastAsia="ja-JP"/>
        </w:rPr>
        <w:t xml:space="preserve"> </w:t>
      </w:r>
      <w:r w:rsidRPr="001C1028">
        <w:rPr>
          <w:sz w:val="22"/>
          <w:szCs w:val="22"/>
          <w:lang w:eastAsia="ja-JP"/>
        </w:rPr>
        <w:t>applicable legal requirements during an audit, the Auditor of State has determined that it is appropriate to limit the compliance requirements subject to audit to (1) the requirements included in the Ohio Compliance Supplement</w:t>
      </w:r>
      <w:r w:rsidR="00E71E84" w:rsidRPr="001C1028">
        <w:rPr>
          <w:sz w:val="22"/>
          <w:szCs w:val="22"/>
          <w:lang w:eastAsia="ja-JP"/>
        </w:rPr>
        <w:t xml:space="preserve"> (OCS)</w:t>
      </w:r>
      <w:r w:rsidRPr="001C1028">
        <w:rPr>
          <w:sz w:val="22"/>
          <w:szCs w:val="22"/>
          <w:lang w:eastAsia="ja-JP"/>
        </w:rPr>
        <w:t xml:space="preserve">, plus (2) other direct and indirect compliance requirements </w:t>
      </w:r>
      <w:r w:rsidRPr="001C1028">
        <w:rPr>
          <w:i/>
          <w:sz w:val="22"/>
          <w:szCs w:val="22"/>
          <w:lang w:eastAsia="ja-JP"/>
        </w:rPr>
        <w:t>not</w:t>
      </w:r>
      <w:r w:rsidRPr="001C1028">
        <w:rPr>
          <w:sz w:val="22"/>
          <w:szCs w:val="22"/>
          <w:lang w:eastAsia="ja-JP"/>
        </w:rPr>
        <w:t xml:space="preserve"> included in this Supplement, but required by AU-C 250</w:t>
      </w:r>
      <w:r w:rsidR="00F80952" w:rsidRPr="0079705B">
        <w:rPr>
          <w:sz w:val="22"/>
          <w:szCs w:val="22"/>
          <w:u w:val="wave"/>
          <w:lang w:eastAsia="ja-JP"/>
        </w:rPr>
        <w:t xml:space="preserve">, </w:t>
      </w:r>
      <w:r w:rsidR="00F80952" w:rsidRPr="0079705B">
        <w:rPr>
          <w:i/>
          <w:sz w:val="22"/>
          <w:szCs w:val="18"/>
          <w:u w:val="wave"/>
          <w:lang w:eastAsia="ja-JP"/>
        </w:rPr>
        <w:t>Consideration of Laws and Regulations in an Audit of Financial Statements</w:t>
      </w:r>
      <w:r w:rsidR="00D8249A" w:rsidRPr="0079705B">
        <w:rPr>
          <w:sz w:val="22"/>
          <w:szCs w:val="22"/>
          <w:u w:val="wave"/>
          <w:lang w:eastAsia="ja-JP"/>
        </w:rPr>
        <w:t xml:space="preserve">.  AU-C 250 requires auditors to under the legal regulatory framework applicable to the entity being audited and to obtain </w:t>
      </w:r>
      <w:r w:rsidR="00F80952" w:rsidRPr="0079705B">
        <w:rPr>
          <w:sz w:val="22"/>
          <w:szCs w:val="22"/>
          <w:u w:val="wave"/>
          <w:lang w:eastAsia="ja-JP"/>
        </w:rPr>
        <w:t>sufficient appropriate audit evidence about compliance with these laws and regulations.</w:t>
      </w:r>
      <w:r w:rsidR="0079705B">
        <w:rPr>
          <w:sz w:val="22"/>
          <w:szCs w:val="22"/>
          <w:u w:val="wave"/>
          <w:lang w:eastAsia="ja-JP"/>
        </w:rPr>
        <w:t xml:space="preserve"> </w:t>
      </w:r>
      <w:r w:rsidRPr="0079705B">
        <w:rPr>
          <w:strike/>
          <w:sz w:val="22"/>
          <w:szCs w:val="22"/>
          <w:lang w:eastAsia="ja-JP"/>
        </w:rPr>
        <w:t>(discussed below).</w:t>
      </w:r>
    </w:p>
    <w:p w14:paraId="252C18C0" w14:textId="77777777" w:rsidR="00585C32" w:rsidRPr="001C1028" w:rsidRDefault="00585C32" w:rsidP="00361150">
      <w:pPr>
        <w:jc w:val="both"/>
        <w:rPr>
          <w:sz w:val="22"/>
          <w:szCs w:val="18"/>
          <w:lang w:eastAsia="ja-JP"/>
        </w:rPr>
      </w:pPr>
    </w:p>
    <w:p w14:paraId="27BE34D3" w14:textId="5111406C"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 xml:space="preserve">AU-C 250 </w:t>
      </w:r>
      <w:r w:rsidRPr="0079705B">
        <w:rPr>
          <w:i/>
          <w:strike/>
          <w:sz w:val="22"/>
          <w:szCs w:val="18"/>
          <w:lang w:eastAsia="ja-JP"/>
        </w:rPr>
        <w:t>Consideration of Laws and Regulations in an Audit of Financial Statements</w:t>
      </w:r>
      <w:r w:rsidRPr="001C1028">
        <w:rPr>
          <w:sz w:val="22"/>
          <w:szCs w:val="18"/>
          <w:lang w:eastAsia="ja-JP"/>
        </w:rPr>
        <w:t xml:space="preserve"> </w:t>
      </w:r>
      <w:r w:rsidR="004A60E4" w:rsidRPr="00D25542">
        <w:rPr>
          <w:sz w:val="22"/>
          <w:szCs w:val="18"/>
          <w:u w:val="wave"/>
          <w:lang w:eastAsia="ja-JP"/>
        </w:rPr>
        <w:t xml:space="preserve">further </w:t>
      </w:r>
      <w:r w:rsidRPr="001C1028">
        <w:rPr>
          <w:sz w:val="22"/>
          <w:szCs w:val="18"/>
          <w:lang w:eastAsia="ja-JP"/>
        </w:rPr>
        <w:t xml:space="preserve">clarifies the auditor’s responsibility regarding </w:t>
      </w:r>
      <w:r w:rsidR="00E71E84" w:rsidRPr="001C1028">
        <w:rPr>
          <w:sz w:val="22"/>
          <w:szCs w:val="18"/>
          <w:lang w:eastAsia="ja-JP"/>
        </w:rPr>
        <w:t xml:space="preserve">OCS </w:t>
      </w:r>
      <w:r w:rsidRPr="001C1028">
        <w:rPr>
          <w:sz w:val="22"/>
          <w:szCs w:val="18"/>
          <w:lang w:eastAsia="ja-JP"/>
        </w:rPr>
        <w:t xml:space="preserve">tests: </w:t>
      </w:r>
    </w:p>
    <w:p w14:paraId="46FD4989" w14:textId="77777777"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7DFAE029" w14:textId="77777777" w:rsidR="00E0622E" w:rsidRPr="001C1028" w:rsidRDefault="0031764F"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r w:rsidRPr="001C1028">
        <w:rPr>
          <w:b/>
          <w:sz w:val="22"/>
          <w:szCs w:val="22"/>
        </w:rPr>
        <w:t>“</w:t>
      </w:r>
      <w:r w:rsidR="00E0622E" w:rsidRPr="001C1028">
        <w:rPr>
          <w:b/>
          <w:sz w:val="22"/>
          <w:szCs w:val="22"/>
        </w:rPr>
        <w:t>.02</w:t>
      </w:r>
      <w:r w:rsidR="00E0622E" w:rsidRPr="001C1028">
        <w:rPr>
          <w:sz w:val="22"/>
          <w:szCs w:val="22"/>
        </w:rPr>
        <w:t xml:space="preserve"> . . . The provisions of some laws or regulations have a </w:t>
      </w:r>
      <w:r w:rsidR="00E0622E" w:rsidRPr="001C1028">
        <w:rPr>
          <w:b/>
          <w:i/>
          <w:sz w:val="22"/>
          <w:szCs w:val="22"/>
        </w:rPr>
        <w:t>direct</w:t>
      </w:r>
      <w:r w:rsidR="00E0622E" w:rsidRPr="001C1028">
        <w:rPr>
          <w:sz w:val="22"/>
          <w:szCs w:val="22"/>
        </w:rPr>
        <w:t xml:space="preserve"> effect on the financial statements in that they </w:t>
      </w:r>
      <w:r w:rsidR="00E0622E" w:rsidRPr="001C1028">
        <w:rPr>
          <w:b/>
          <w:i/>
          <w:sz w:val="22"/>
          <w:szCs w:val="22"/>
        </w:rPr>
        <w:t>determine the reported amounts and [required] disclosures</w:t>
      </w:r>
      <w:r w:rsidR="00E0622E" w:rsidRPr="001C1028">
        <w:rPr>
          <w:sz w:val="22"/>
          <w:szCs w:val="22"/>
        </w:rPr>
        <w:t xml:space="preserve"> in an entity's financial statements. . .</w:t>
      </w:r>
      <w:r w:rsidRPr="001C1028">
        <w:rPr>
          <w:sz w:val="22"/>
          <w:szCs w:val="22"/>
        </w:rPr>
        <w:t>”</w:t>
      </w:r>
    </w:p>
    <w:p w14:paraId="1C768B78" w14:textId="77777777"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14:paraId="0AD136C4" w14:textId="77777777"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r w:rsidRPr="001C1028">
        <w:rPr>
          <w:sz w:val="22"/>
          <w:szCs w:val="22"/>
        </w:rPr>
        <w:t>Conversely:</w:t>
      </w:r>
    </w:p>
    <w:p w14:paraId="172EAB36" w14:textId="77777777"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14:paraId="746AFE52" w14:textId="59618AFC" w:rsidR="00E0622E" w:rsidRPr="001C1028" w:rsidRDefault="0F92FC4A"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eastAsia="ja-JP"/>
        </w:rPr>
      </w:pPr>
      <w:r w:rsidRPr="001C1028">
        <w:rPr>
          <w:b/>
          <w:bCs/>
          <w:sz w:val="22"/>
          <w:szCs w:val="22"/>
        </w:rPr>
        <w:t>“</w:t>
      </w:r>
      <w:r w:rsidR="083CE4C7" w:rsidRPr="001C1028">
        <w:rPr>
          <w:b/>
          <w:bCs/>
          <w:sz w:val="22"/>
          <w:szCs w:val="22"/>
        </w:rPr>
        <w:t>.A13</w:t>
      </w:r>
      <w:r w:rsidR="4FF2CAF1" w:rsidRPr="001C1028">
        <w:rPr>
          <w:sz w:val="22"/>
          <w:szCs w:val="22"/>
        </w:rPr>
        <w:t xml:space="preserve"> </w:t>
      </w:r>
      <w:r w:rsidR="0027479A" w:rsidRPr="001C1028">
        <w:rPr>
          <w:sz w:val="22"/>
          <w:szCs w:val="22"/>
        </w:rPr>
        <w:t xml:space="preserve"> </w:t>
      </w:r>
      <w:r w:rsidR="083CE4C7" w:rsidRPr="001C1028">
        <w:rPr>
          <w:sz w:val="22"/>
          <w:szCs w:val="22"/>
        </w:rPr>
        <w:t xml:space="preserve">Many laws and regulations relating principally to the operating aspects of the entity do not </w:t>
      </w:r>
      <w:r w:rsidR="083CE4C7" w:rsidRPr="001C1028">
        <w:rPr>
          <w:i/>
          <w:iCs/>
          <w:sz w:val="22"/>
          <w:szCs w:val="22"/>
        </w:rPr>
        <w:t>directly</w:t>
      </w:r>
      <w:r w:rsidR="083CE4C7" w:rsidRPr="001C1028">
        <w:rPr>
          <w:sz w:val="22"/>
          <w:szCs w:val="22"/>
        </w:rPr>
        <w:t xml:space="preserve"> affect the financial statements (their financial statement effect is </w:t>
      </w:r>
      <w:r w:rsidR="083CE4C7" w:rsidRPr="001C1028">
        <w:rPr>
          <w:b/>
          <w:bCs/>
          <w:sz w:val="22"/>
          <w:szCs w:val="22"/>
        </w:rPr>
        <w:t>indirect</w:t>
      </w:r>
      <w:r w:rsidR="083CE4C7" w:rsidRPr="001C1028">
        <w:rPr>
          <w:sz w:val="22"/>
          <w:szCs w:val="22"/>
        </w:rPr>
        <w:t xml:space="preserve">) and are </w:t>
      </w:r>
      <w:r w:rsidR="083CE4C7" w:rsidRPr="001C1028">
        <w:rPr>
          <w:i/>
          <w:iCs/>
          <w:sz w:val="22"/>
          <w:szCs w:val="22"/>
        </w:rPr>
        <w:t>not captured by the entity's information systems relevant to financial reporting</w:t>
      </w:r>
      <w:r w:rsidR="083CE4C7" w:rsidRPr="001C1028">
        <w:rPr>
          <w:sz w:val="22"/>
          <w:szCs w:val="22"/>
        </w:rPr>
        <w:t xml:space="preserve">. Their </w:t>
      </w:r>
      <w:r w:rsidR="083CE4C7" w:rsidRPr="001C1028">
        <w:rPr>
          <w:b/>
          <w:bCs/>
          <w:i/>
          <w:iCs/>
          <w:sz w:val="22"/>
          <w:szCs w:val="22"/>
        </w:rPr>
        <w:t>indirect effect</w:t>
      </w:r>
      <w:r w:rsidR="083CE4C7" w:rsidRPr="001C1028">
        <w:rPr>
          <w:sz w:val="22"/>
          <w:szCs w:val="22"/>
        </w:rPr>
        <w:t xml:space="preserve"> may result from the need to disclose a contingent liability because of the allegation or determination of identified or suspected </w:t>
      </w:r>
      <w:proofErr w:type="gramStart"/>
      <w:r w:rsidR="083CE4C7" w:rsidRPr="001C1028">
        <w:rPr>
          <w:sz w:val="22"/>
          <w:szCs w:val="22"/>
        </w:rPr>
        <w:t>noncompliance.</w:t>
      </w:r>
      <w:r w:rsidRPr="001C1028">
        <w:rPr>
          <w:sz w:val="22"/>
          <w:szCs w:val="22"/>
        </w:rPr>
        <w:t>”</w:t>
      </w:r>
      <w:proofErr w:type="gramEnd"/>
    </w:p>
    <w:p w14:paraId="47AB8979" w14:textId="77777777" w:rsidR="00E0622E" w:rsidRPr="001C1028" w:rsidRDefault="00E0622E"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1AC5C033" w14:textId="7247E822" w:rsidR="00E0622E" w:rsidRPr="001C1028" w:rsidRDefault="00E0622E" w:rsidP="00A66E45">
      <w:pPr>
        <w:pStyle w:val="ListParagraph"/>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Based on the above</w:t>
      </w:r>
      <w:r w:rsidR="00191190" w:rsidRPr="001C1028">
        <w:rPr>
          <w:sz w:val="22"/>
          <w:szCs w:val="18"/>
          <w:lang w:eastAsia="ja-JP"/>
        </w:rPr>
        <w:t xml:space="preserve"> (and AU-C 250.A9 – .A11)</w:t>
      </w:r>
      <w:r w:rsidRPr="001C1028">
        <w:rPr>
          <w:sz w:val="22"/>
          <w:szCs w:val="18"/>
          <w:lang w:eastAsia="ja-JP"/>
        </w:rPr>
        <w:t>, “</w:t>
      </w:r>
      <w:r w:rsidRPr="001C1028">
        <w:rPr>
          <w:b/>
          <w:sz w:val="22"/>
          <w:szCs w:val="18"/>
          <w:lang w:eastAsia="ja-JP"/>
        </w:rPr>
        <w:t>direct</w:t>
      </w:r>
      <w:r w:rsidRPr="001C1028">
        <w:rPr>
          <w:sz w:val="22"/>
          <w:szCs w:val="18"/>
          <w:lang w:eastAsia="ja-JP"/>
        </w:rPr>
        <w:t xml:space="preserve"> and material compliance” refers </w:t>
      </w:r>
      <w:r w:rsidRPr="001C1028">
        <w:rPr>
          <w:b/>
          <w:i/>
          <w:sz w:val="22"/>
          <w:szCs w:val="18"/>
          <w:lang w:eastAsia="ja-JP"/>
        </w:rPr>
        <w:t>only</w:t>
      </w:r>
      <w:r w:rsidRPr="001C1028">
        <w:rPr>
          <w:sz w:val="22"/>
          <w:szCs w:val="18"/>
          <w:lang w:eastAsia="ja-JP"/>
        </w:rPr>
        <w:t xml:space="preserve"> to laws a government’s information system (which includes its accounting system) must “capture” to </w:t>
      </w:r>
      <w:r w:rsidRPr="001C1028">
        <w:rPr>
          <w:b/>
          <w:i/>
          <w:sz w:val="22"/>
          <w:szCs w:val="22"/>
        </w:rPr>
        <w:t>determine financial statement amounts and required disclosures</w:t>
      </w:r>
      <w:r w:rsidRPr="001C1028">
        <w:rPr>
          <w:rStyle w:val="FootnoteReference"/>
          <w:sz w:val="22"/>
          <w:szCs w:val="22"/>
        </w:rPr>
        <w:footnoteReference w:id="2"/>
      </w:r>
      <w:r w:rsidRPr="001C1028">
        <w:rPr>
          <w:sz w:val="22"/>
          <w:szCs w:val="18"/>
          <w:lang w:eastAsia="ja-JP"/>
        </w:rPr>
        <w:t xml:space="preserve">. </w:t>
      </w:r>
      <w:r w:rsidR="0040211A" w:rsidRPr="001C1028">
        <w:rPr>
          <w:sz w:val="22"/>
          <w:szCs w:val="18"/>
          <w:lang w:eastAsia="ja-JP"/>
        </w:rPr>
        <w:t xml:space="preserve">  Therefore, </w:t>
      </w:r>
      <w:r w:rsidR="004F2D66" w:rsidRPr="001C1028">
        <w:rPr>
          <w:sz w:val="22"/>
          <w:szCs w:val="18"/>
          <w:lang w:eastAsia="ja-JP"/>
        </w:rPr>
        <w:t xml:space="preserve">we have </w:t>
      </w:r>
      <w:r w:rsidR="0040211A" w:rsidRPr="001C1028">
        <w:rPr>
          <w:sz w:val="22"/>
          <w:szCs w:val="18"/>
          <w:lang w:eastAsia="ja-JP"/>
        </w:rPr>
        <w:t>c</w:t>
      </w:r>
      <w:r w:rsidR="004F2D66" w:rsidRPr="001C1028">
        <w:rPr>
          <w:sz w:val="22"/>
          <w:szCs w:val="18"/>
          <w:lang w:eastAsia="ja-JP"/>
        </w:rPr>
        <w:t>lassified a law as</w:t>
      </w:r>
      <w:r w:rsidR="0040211A" w:rsidRPr="001C1028">
        <w:rPr>
          <w:sz w:val="22"/>
          <w:szCs w:val="18"/>
          <w:lang w:eastAsia="ja-JP"/>
        </w:rPr>
        <w:t xml:space="preserve"> </w:t>
      </w:r>
      <w:r w:rsidR="0040211A" w:rsidRPr="001C1028">
        <w:rPr>
          <w:b/>
          <w:i/>
          <w:sz w:val="22"/>
          <w:szCs w:val="18"/>
          <w:lang w:eastAsia="ja-JP"/>
        </w:rPr>
        <w:t>direct</w:t>
      </w:r>
      <w:r w:rsidR="0040211A" w:rsidRPr="001C1028">
        <w:rPr>
          <w:sz w:val="22"/>
          <w:szCs w:val="18"/>
          <w:lang w:eastAsia="ja-JP"/>
        </w:rPr>
        <w:t xml:space="preserve"> </w:t>
      </w:r>
      <w:r w:rsidR="004F2D66" w:rsidRPr="001C1028">
        <w:rPr>
          <w:sz w:val="22"/>
          <w:szCs w:val="18"/>
          <w:lang w:eastAsia="ja-JP"/>
        </w:rPr>
        <w:t xml:space="preserve">in this OCS </w:t>
      </w:r>
      <w:r w:rsidR="0040211A" w:rsidRPr="001C1028">
        <w:rPr>
          <w:sz w:val="22"/>
          <w:szCs w:val="18"/>
          <w:lang w:eastAsia="ja-JP"/>
        </w:rPr>
        <w:t xml:space="preserve">if noncompliance has the potential to materially misstate the financial statements. </w:t>
      </w:r>
      <w:r w:rsidR="00EC1820" w:rsidRPr="001C1028">
        <w:rPr>
          <w:sz w:val="22"/>
          <w:szCs w:val="18"/>
          <w:lang w:eastAsia="ja-JP"/>
        </w:rPr>
        <w:t>Chapter</w:t>
      </w:r>
      <w:r w:rsidR="00F417F4" w:rsidRPr="001C1028">
        <w:rPr>
          <w:sz w:val="22"/>
          <w:szCs w:val="18"/>
          <w:lang w:eastAsia="ja-JP"/>
        </w:rPr>
        <w:t>s</w:t>
      </w:r>
      <w:r w:rsidR="00EC1820" w:rsidRPr="001C1028">
        <w:rPr>
          <w:sz w:val="22"/>
          <w:szCs w:val="18"/>
          <w:lang w:eastAsia="ja-JP"/>
        </w:rPr>
        <w:t xml:space="preserve"> 1 </w:t>
      </w:r>
      <w:r w:rsidR="00F417F4" w:rsidRPr="001C1028">
        <w:rPr>
          <w:sz w:val="22"/>
          <w:szCs w:val="18"/>
          <w:lang w:eastAsia="ja-JP"/>
        </w:rPr>
        <w:t xml:space="preserve">&amp; 4A </w:t>
      </w:r>
      <w:r w:rsidR="00EC1820" w:rsidRPr="001C1028">
        <w:rPr>
          <w:sz w:val="22"/>
          <w:szCs w:val="18"/>
          <w:lang w:eastAsia="ja-JP"/>
        </w:rPr>
        <w:t xml:space="preserve">of this compliance supplement </w:t>
      </w:r>
      <w:r w:rsidR="005F4FE5" w:rsidRPr="001C1028">
        <w:rPr>
          <w:sz w:val="22"/>
          <w:szCs w:val="18"/>
          <w:lang w:eastAsia="ja-JP"/>
        </w:rPr>
        <w:t>include</w:t>
      </w:r>
      <w:r w:rsidR="00EC1820" w:rsidRPr="001C1028">
        <w:rPr>
          <w:sz w:val="22"/>
          <w:szCs w:val="18"/>
          <w:lang w:eastAsia="ja-JP"/>
        </w:rPr>
        <w:t>s</w:t>
      </w:r>
      <w:r w:rsidR="005F4FE5" w:rsidRPr="001C1028">
        <w:rPr>
          <w:sz w:val="22"/>
          <w:szCs w:val="18"/>
          <w:lang w:eastAsia="ja-JP"/>
        </w:rPr>
        <w:t xml:space="preserve"> </w:t>
      </w:r>
      <w:r w:rsidR="00EC1820" w:rsidRPr="001C1028">
        <w:rPr>
          <w:sz w:val="22"/>
          <w:szCs w:val="18"/>
          <w:lang w:eastAsia="ja-JP"/>
        </w:rPr>
        <w:t>“direct” laws</w:t>
      </w:r>
      <w:r w:rsidR="005F4FE5" w:rsidRPr="001C1028">
        <w:rPr>
          <w:sz w:val="22"/>
          <w:szCs w:val="18"/>
          <w:lang w:eastAsia="ja-JP"/>
        </w:rPr>
        <w:t>.</w:t>
      </w:r>
      <w:r w:rsidR="0040211A" w:rsidRPr="001C1028">
        <w:rPr>
          <w:sz w:val="22"/>
          <w:szCs w:val="18"/>
          <w:lang w:eastAsia="ja-JP"/>
        </w:rPr>
        <w:t xml:space="preserve">  </w:t>
      </w:r>
    </w:p>
    <w:p w14:paraId="2F6B24D1" w14:textId="77777777" w:rsidR="00796859" w:rsidRPr="00554E4C" w:rsidRDefault="00796859" w:rsidP="0036115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sz w:val="22"/>
          <w:szCs w:val="18"/>
          <w:lang w:eastAsia="ja-JP"/>
        </w:rPr>
      </w:pPr>
    </w:p>
    <w:p w14:paraId="45A6FA57" w14:textId="328937D9" w:rsidR="00C5573C" w:rsidRPr="006A2243" w:rsidRDefault="00452C3A" w:rsidP="00554E4C">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eastAsia="ja-JP"/>
        </w:rPr>
      </w:pPr>
      <w:r w:rsidRPr="00554E4C">
        <w:rPr>
          <w:sz w:val="22"/>
          <w:szCs w:val="18"/>
          <w:lang w:eastAsia="ja-JP"/>
        </w:rPr>
        <w:t xml:space="preserve">As one example, GAAP requires governments to present budgetary comparisons as basic statements or as </w:t>
      </w:r>
      <w:r w:rsidR="003E3D6D" w:rsidRPr="003E3D6D">
        <w:rPr>
          <w:sz w:val="22"/>
          <w:szCs w:val="22"/>
          <w:u w:val="wave"/>
          <w:lang w:eastAsia="ja-JP"/>
        </w:rPr>
        <w:t>Required Supplementary Information (</w:t>
      </w:r>
      <w:r w:rsidRPr="00554E4C">
        <w:rPr>
          <w:sz w:val="22"/>
          <w:szCs w:val="18"/>
          <w:lang w:eastAsia="ja-JP"/>
        </w:rPr>
        <w:t>RSI</w:t>
      </w:r>
      <w:r w:rsidR="003E3D6D" w:rsidRPr="003E3D6D">
        <w:rPr>
          <w:sz w:val="22"/>
          <w:szCs w:val="18"/>
          <w:u w:val="wave"/>
          <w:lang w:eastAsia="ja-JP"/>
        </w:rPr>
        <w:t>)</w:t>
      </w:r>
      <w:r w:rsidRPr="00554E4C">
        <w:rPr>
          <w:sz w:val="22"/>
          <w:szCs w:val="18"/>
          <w:lang w:eastAsia="ja-JP"/>
        </w:rPr>
        <w:t>.</w:t>
      </w:r>
      <w:r w:rsidR="00C5573C" w:rsidRPr="00554E4C">
        <w:rPr>
          <w:sz w:val="22"/>
          <w:szCs w:val="22"/>
          <w:lang w:eastAsia="ja-JP"/>
        </w:rPr>
        <w:t xml:space="preserve"> </w:t>
      </w:r>
    </w:p>
    <w:p w14:paraId="386ADDF7" w14:textId="31DEAEC7" w:rsidR="00452C3A" w:rsidRPr="00C5573C" w:rsidRDefault="00452C3A" w:rsidP="00270F0E">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C5573C">
        <w:rPr>
          <w:sz w:val="22"/>
          <w:szCs w:val="18"/>
          <w:lang w:eastAsia="ja-JP"/>
        </w:rPr>
        <w:t xml:space="preserve">GAAP also requires these presentations to follow the </w:t>
      </w:r>
      <w:r w:rsidR="00B974C8" w:rsidRPr="00C5573C">
        <w:rPr>
          <w:sz w:val="22"/>
          <w:szCs w:val="18"/>
          <w:lang w:eastAsia="ja-JP"/>
        </w:rPr>
        <w:t xml:space="preserve">government’s legal </w:t>
      </w:r>
      <w:r w:rsidRPr="00C5573C">
        <w:rPr>
          <w:sz w:val="22"/>
          <w:szCs w:val="18"/>
          <w:lang w:eastAsia="ja-JP"/>
        </w:rPr>
        <w:t>budget ba</w:t>
      </w:r>
      <w:r w:rsidR="00B974C8" w:rsidRPr="00C5573C">
        <w:rPr>
          <w:sz w:val="22"/>
          <w:szCs w:val="18"/>
          <w:lang w:eastAsia="ja-JP"/>
        </w:rPr>
        <w:t>sis</w:t>
      </w:r>
      <w:r w:rsidRPr="00C5573C">
        <w:rPr>
          <w:sz w:val="22"/>
          <w:szCs w:val="18"/>
          <w:lang w:eastAsia="ja-JP"/>
        </w:rPr>
        <w:t>.</w:t>
      </w:r>
    </w:p>
    <w:p w14:paraId="76D20E4A" w14:textId="77777777" w:rsidR="0078323C" w:rsidRPr="001C1028" w:rsidRDefault="00B974C8" w:rsidP="00A66E45">
      <w:pPr>
        <w:pStyle w:val="ListParagraph"/>
        <w:numPr>
          <w:ilvl w:val="2"/>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 xml:space="preserve">In Ohio, a </w:t>
      </w:r>
      <w:r w:rsidR="00623BD2" w:rsidRPr="001C1028">
        <w:rPr>
          <w:sz w:val="22"/>
          <w:szCs w:val="18"/>
          <w:lang w:eastAsia="ja-JP"/>
        </w:rPr>
        <w:t xml:space="preserve">“5705 government’s” </w:t>
      </w:r>
      <w:r w:rsidR="00452C3A" w:rsidRPr="001C1028">
        <w:rPr>
          <w:sz w:val="22"/>
          <w:szCs w:val="18"/>
          <w:lang w:eastAsia="ja-JP"/>
        </w:rPr>
        <w:t xml:space="preserve">information system must capture information </w:t>
      </w:r>
      <w:r w:rsidR="004F2D66" w:rsidRPr="001C1028">
        <w:rPr>
          <w:sz w:val="22"/>
          <w:szCs w:val="18"/>
          <w:lang w:eastAsia="ja-JP"/>
        </w:rPr>
        <w:t xml:space="preserve">using the accounting basis </w:t>
      </w:r>
      <w:r w:rsidR="009E75D3" w:rsidRPr="001C1028">
        <w:rPr>
          <w:sz w:val="22"/>
          <w:szCs w:val="18"/>
          <w:lang w:eastAsia="ja-JP"/>
        </w:rPr>
        <w:t>Ohio Rev.</w:t>
      </w:r>
      <w:r w:rsidR="006E159F" w:rsidRPr="001C1028">
        <w:rPr>
          <w:sz w:val="22"/>
          <w:szCs w:val="18"/>
          <w:lang w:eastAsia="ja-JP"/>
        </w:rPr>
        <w:t xml:space="preserve"> Code</w:t>
      </w:r>
      <w:r w:rsidR="00452C3A" w:rsidRPr="001C1028">
        <w:rPr>
          <w:sz w:val="22"/>
          <w:szCs w:val="18"/>
          <w:lang w:eastAsia="ja-JP"/>
        </w:rPr>
        <w:t xml:space="preserve"> Chapter 5705 (</w:t>
      </w:r>
      <w:r w:rsidRPr="001C1028">
        <w:rPr>
          <w:sz w:val="22"/>
          <w:szCs w:val="18"/>
          <w:lang w:eastAsia="ja-JP"/>
        </w:rPr>
        <w:t>via</w:t>
      </w:r>
      <w:r w:rsidR="00452C3A" w:rsidRPr="001C1028">
        <w:rPr>
          <w:sz w:val="22"/>
          <w:szCs w:val="18"/>
          <w:lang w:eastAsia="ja-JP"/>
        </w:rPr>
        <w:t xml:space="preserve"> GASB Cod. 2400) prescribes to compile budget and actual amounts and budget variances GAAP requires.   </w:t>
      </w:r>
    </w:p>
    <w:p w14:paraId="737B2A9C" w14:textId="77777777" w:rsidR="00452C3A" w:rsidRPr="001C1028" w:rsidRDefault="009E75D3" w:rsidP="00A66E45">
      <w:pPr>
        <w:pStyle w:val="ListParagraph"/>
        <w:numPr>
          <w:ilvl w:val="2"/>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 xml:space="preserve">Ohio Rev. Code </w:t>
      </w:r>
      <w:r w:rsidR="00BB5B1E" w:rsidRPr="001C1028">
        <w:rPr>
          <w:sz w:val="22"/>
          <w:szCs w:val="18"/>
          <w:lang w:eastAsia="ja-JP"/>
        </w:rPr>
        <w:t>Chapter</w:t>
      </w:r>
      <w:r w:rsidR="00796859" w:rsidRPr="001C1028">
        <w:rPr>
          <w:sz w:val="22"/>
          <w:szCs w:val="18"/>
          <w:lang w:eastAsia="ja-JP"/>
        </w:rPr>
        <w:t xml:space="preserve"> </w:t>
      </w:r>
      <w:r w:rsidR="00452C3A" w:rsidRPr="001C1028">
        <w:rPr>
          <w:sz w:val="22"/>
          <w:szCs w:val="18"/>
          <w:lang w:eastAsia="ja-JP"/>
        </w:rPr>
        <w:t xml:space="preserve">5705 </w:t>
      </w:r>
      <w:r w:rsidR="00DE4FDE" w:rsidRPr="001C1028">
        <w:rPr>
          <w:sz w:val="22"/>
          <w:szCs w:val="18"/>
          <w:lang w:eastAsia="ja-JP"/>
        </w:rPr>
        <w:t>generally prescribes a cash + encumbrance accounting basis, which a compiler must understand and follow to satisfy GAAP.</w:t>
      </w:r>
    </w:p>
    <w:p w14:paraId="571E9B15" w14:textId="77777777" w:rsidR="005F4FE5" w:rsidRDefault="005F4FE5"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szCs w:val="18"/>
          <w:lang w:eastAsia="ja-JP"/>
        </w:rPr>
      </w:pPr>
    </w:p>
    <w:p w14:paraId="54412EE6" w14:textId="24534EE2" w:rsidR="00554E4C" w:rsidRPr="006A2243" w:rsidRDefault="00554E4C" w:rsidP="00554E4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2"/>
          <w:szCs w:val="22"/>
          <w:lang w:eastAsia="ja-JP"/>
        </w:rPr>
      </w:pPr>
      <w:r w:rsidRPr="009A575C">
        <w:rPr>
          <w:b/>
          <w:bCs/>
          <w:sz w:val="22"/>
          <w:szCs w:val="22"/>
          <w:u w:val="double"/>
          <w:lang w:eastAsia="ja-JP"/>
        </w:rPr>
        <w:t xml:space="preserve">Important Note: </w:t>
      </w:r>
      <w:r w:rsidRPr="009A575C">
        <w:rPr>
          <w:sz w:val="22"/>
          <w:szCs w:val="22"/>
          <w:u w:val="double"/>
          <w:lang w:eastAsia="ja-JP"/>
        </w:rPr>
        <w:t xml:space="preserve">This example discusses the GAAP requirements prior to the implementation of GASB 103. </w:t>
      </w:r>
      <w:r>
        <w:rPr>
          <w:sz w:val="22"/>
          <w:szCs w:val="22"/>
          <w:u w:val="double"/>
          <w:lang w:eastAsia="ja-JP"/>
        </w:rPr>
        <w:t xml:space="preserve">Upon implementation, </w:t>
      </w:r>
      <w:r w:rsidRPr="009A575C">
        <w:rPr>
          <w:sz w:val="22"/>
          <w:szCs w:val="22"/>
          <w:u w:val="double"/>
          <w:lang w:eastAsia="ja-JP"/>
        </w:rPr>
        <w:t xml:space="preserve">GASB 103 </w:t>
      </w:r>
      <w:r>
        <w:rPr>
          <w:sz w:val="22"/>
          <w:szCs w:val="22"/>
          <w:u w:val="double"/>
          <w:lang w:eastAsia="ja-JP"/>
        </w:rPr>
        <w:t xml:space="preserve">requires governments to present budgetary comparison information as RSI which is a </w:t>
      </w:r>
      <w:r w:rsidRPr="009A575C">
        <w:rPr>
          <w:sz w:val="22"/>
          <w:szCs w:val="22"/>
          <w:u w:val="double"/>
          <w:lang w:eastAsia="ja-JP"/>
        </w:rPr>
        <w:t xml:space="preserve">change </w:t>
      </w:r>
      <w:r>
        <w:rPr>
          <w:sz w:val="22"/>
          <w:szCs w:val="22"/>
          <w:u w:val="double"/>
          <w:lang w:eastAsia="ja-JP"/>
        </w:rPr>
        <w:t xml:space="preserve">to how many Ohio governments have presented budgetary comparison information in the past.  GASB 103 is effective for fiscal years beginning </w:t>
      </w:r>
      <w:r w:rsidRPr="009A575C">
        <w:rPr>
          <w:b/>
          <w:bCs/>
          <w:sz w:val="22"/>
          <w:szCs w:val="22"/>
          <w:u w:val="double"/>
          <w:lang w:eastAsia="ja-JP"/>
        </w:rPr>
        <w:t>after</w:t>
      </w:r>
      <w:r>
        <w:rPr>
          <w:sz w:val="22"/>
          <w:szCs w:val="22"/>
          <w:u w:val="double"/>
          <w:lang w:eastAsia="ja-JP"/>
        </w:rPr>
        <w:t xml:space="preserve"> June 15, 2025.  Earlier </w:t>
      </w:r>
      <w:proofErr w:type="gramStart"/>
      <w:r>
        <w:rPr>
          <w:sz w:val="22"/>
          <w:szCs w:val="22"/>
          <w:u w:val="double"/>
          <w:lang w:eastAsia="ja-JP"/>
        </w:rPr>
        <w:t>application is</w:t>
      </w:r>
      <w:proofErr w:type="gramEnd"/>
      <w:r>
        <w:rPr>
          <w:sz w:val="22"/>
          <w:szCs w:val="22"/>
          <w:u w:val="double"/>
          <w:lang w:eastAsia="ja-JP"/>
        </w:rPr>
        <w:t xml:space="preserve"> encouraged.</w:t>
      </w:r>
    </w:p>
    <w:p w14:paraId="5FC78FAE" w14:textId="77777777" w:rsidR="00554E4C" w:rsidRPr="001C1028" w:rsidRDefault="00554E4C"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szCs w:val="18"/>
          <w:lang w:eastAsia="ja-JP"/>
        </w:rPr>
      </w:pPr>
    </w:p>
    <w:p w14:paraId="4C304A92" w14:textId="77777777" w:rsidR="005F4FE5" w:rsidRPr="001C1028" w:rsidRDefault="005F4FE5"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szCs w:val="18"/>
          <w:lang w:eastAsia="ja-JP"/>
        </w:rPr>
      </w:pPr>
      <w:r w:rsidRPr="001C1028">
        <w:rPr>
          <w:b/>
          <w:sz w:val="22"/>
          <w:szCs w:val="18"/>
          <w:lang w:eastAsia="ja-JP"/>
        </w:rPr>
        <w:t>AU-C 250</w:t>
      </w:r>
      <w:r w:rsidR="001C076F" w:rsidRPr="001C1028">
        <w:rPr>
          <w:b/>
          <w:sz w:val="22"/>
          <w:szCs w:val="18"/>
          <w:lang w:eastAsia="ja-JP"/>
        </w:rPr>
        <w:t>.06 b</w:t>
      </w:r>
      <w:r w:rsidRPr="001C1028">
        <w:rPr>
          <w:b/>
          <w:sz w:val="22"/>
          <w:szCs w:val="18"/>
          <w:lang w:eastAsia="ja-JP"/>
        </w:rPr>
        <w:t xml:space="preserve"> </w:t>
      </w:r>
      <w:r w:rsidRPr="001C1028">
        <w:rPr>
          <w:sz w:val="22"/>
          <w:szCs w:val="18"/>
          <w:lang w:eastAsia="ja-JP"/>
        </w:rPr>
        <w:t xml:space="preserve">requires </w:t>
      </w:r>
      <w:r w:rsidR="00051E4C" w:rsidRPr="001C1028">
        <w:rPr>
          <w:sz w:val="22"/>
          <w:szCs w:val="18"/>
          <w:lang w:eastAsia="ja-JP"/>
        </w:rPr>
        <w:t xml:space="preserve">more limited </w:t>
      </w:r>
      <w:r w:rsidR="00A4083F" w:rsidRPr="001C1028">
        <w:rPr>
          <w:sz w:val="22"/>
          <w:szCs w:val="18"/>
          <w:lang w:eastAsia="ja-JP"/>
        </w:rPr>
        <w:t xml:space="preserve">audit responsibilities for </w:t>
      </w:r>
      <w:r w:rsidR="00A4083F" w:rsidRPr="001C1028">
        <w:rPr>
          <w:i/>
          <w:sz w:val="22"/>
          <w:szCs w:val="18"/>
          <w:lang w:eastAsia="ja-JP"/>
        </w:rPr>
        <w:t>indirect</w:t>
      </w:r>
      <w:r w:rsidR="00A4083F" w:rsidRPr="001C1028">
        <w:rPr>
          <w:sz w:val="22"/>
          <w:szCs w:val="18"/>
          <w:lang w:eastAsia="ja-JP"/>
        </w:rPr>
        <w:t xml:space="preserve"> </w:t>
      </w:r>
      <w:r w:rsidR="00051E4C" w:rsidRPr="001C1028">
        <w:rPr>
          <w:sz w:val="22"/>
          <w:szCs w:val="18"/>
          <w:lang w:eastAsia="ja-JP"/>
        </w:rPr>
        <w:t>laws</w:t>
      </w:r>
      <w:r w:rsidR="00A4083F" w:rsidRPr="001C1028">
        <w:rPr>
          <w:sz w:val="22"/>
          <w:szCs w:val="18"/>
          <w:lang w:eastAsia="ja-JP"/>
        </w:rPr>
        <w:t>, such as those</w:t>
      </w:r>
      <w:r w:rsidR="001C076F" w:rsidRPr="001C1028">
        <w:rPr>
          <w:sz w:val="22"/>
          <w:szCs w:val="18"/>
          <w:lang w:eastAsia="ja-JP"/>
        </w:rPr>
        <w:t>:</w:t>
      </w:r>
    </w:p>
    <w:p w14:paraId="73A9A9FD" w14:textId="77777777" w:rsidR="005F4FE5" w:rsidRPr="00F45E67" w:rsidRDefault="005F4FE5"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4"/>
          <w:lang w:eastAsia="ja-JP"/>
        </w:rPr>
      </w:pPr>
      <w:r w:rsidRPr="00F45E67">
        <w:rPr>
          <w:sz w:val="24"/>
          <w:lang w:eastAsia="ja-JP"/>
        </w:rPr>
        <w:t xml:space="preserve"> </w:t>
      </w:r>
    </w:p>
    <w:p w14:paraId="31D4397A" w14:textId="6C569728" w:rsidR="005F4FE5" w:rsidRPr="00A4036C" w:rsidRDefault="005F4FE5" w:rsidP="00A4036C">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 xml:space="preserve">fundamental to the operating aspects of the </w:t>
      </w:r>
      <w:r w:rsidR="004F2D66" w:rsidRPr="001C1028">
        <w:rPr>
          <w:sz w:val="22"/>
          <w:szCs w:val="18"/>
          <w:lang w:eastAsia="ja-JP"/>
        </w:rPr>
        <w:t>“</w:t>
      </w:r>
      <w:r w:rsidRPr="001C1028">
        <w:rPr>
          <w:sz w:val="22"/>
          <w:szCs w:val="18"/>
          <w:lang w:eastAsia="ja-JP"/>
        </w:rPr>
        <w:t>business</w:t>
      </w:r>
      <w:r w:rsidR="004F2D66" w:rsidRPr="001C1028">
        <w:rPr>
          <w:sz w:val="22"/>
          <w:szCs w:val="18"/>
          <w:lang w:eastAsia="ja-JP"/>
        </w:rPr>
        <w:t>” (i.e. a government’s operations)</w:t>
      </w:r>
      <w:r w:rsidRPr="001C1028">
        <w:rPr>
          <w:sz w:val="22"/>
          <w:szCs w:val="18"/>
          <w:lang w:eastAsia="ja-JP"/>
        </w:rPr>
        <w:t xml:space="preserve">, </w:t>
      </w:r>
    </w:p>
    <w:p w14:paraId="66C58CDA" w14:textId="6063F86F" w:rsidR="005F4FE5" w:rsidRPr="00A4036C" w:rsidRDefault="005F4FE5" w:rsidP="00A4036C">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 xml:space="preserve">fundamental to an entity's ability to continue its business, or </w:t>
      </w:r>
    </w:p>
    <w:p w14:paraId="43B97A23" w14:textId="77777777" w:rsidR="005F4FE5" w:rsidRPr="001C1028" w:rsidRDefault="005F4FE5" w:rsidP="007955DE">
      <w:pPr>
        <w:pStyle w:val="ListParagraph"/>
        <w:numPr>
          <w:ilvl w:val="0"/>
          <w:numId w:val="4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necessary for the entity to avoid material penalties</w:t>
      </w:r>
    </w:p>
    <w:p w14:paraId="3D8F5C9E" w14:textId="77777777" w:rsidR="001C076F" w:rsidRPr="001C1028" w:rsidRDefault="001C076F"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3FE0F350" w14:textId="405FA033" w:rsidR="001C076F" w:rsidRPr="001C1028" w:rsidRDefault="004F2D66"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Chapter</w:t>
      </w:r>
      <w:r w:rsidR="009455B9" w:rsidRPr="001C1028">
        <w:rPr>
          <w:sz w:val="22"/>
          <w:szCs w:val="18"/>
          <w:lang w:eastAsia="ja-JP"/>
        </w:rPr>
        <w:t>s</w:t>
      </w:r>
      <w:r w:rsidRPr="001C1028">
        <w:rPr>
          <w:sz w:val="22"/>
          <w:szCs w:val="18"/>
          <w:lang w:eastAsia="ja-JP"/>
        </w:rPr>
        <w:t xml:space="preserve"> 2</w:t>
      </w:r>
      <w:r w:rsidR="00AE2F3F" w:rsidRPr="001C1028">
        <w:rPr>
          <w:sz w:val="22"/>
          <w:szCs w:val="18"/>
          <w:lang w:eastAsia="ja-JP"/>
        </w:rPr>
        <w:t>A</w:t>
      </w:r>
      <w:r w:rsidR="009455B9" w:rsidRPr="001C1028">
        <w:rPr>
          <w:sz w:val="22"/>
          <w:szCs w:val="18"/>
          <w:lang w:eastAsia="ja-JP"/>
        </w:rPr>
        <w:t xml:space="preserve"> &amp; 4B</w:t>
      </w:r>
      <w:r w:rsidRPr="001C1028">
        <w:rPr>
          <w:sz w:val="22"/>
          <w:szCs w:val="18"/>
          <w:lang w:eastAsia="ja-JP"/>
        </w:rPr>
        <w:t xml:space="preserve"> includes </w:t>
      </w:r>
      <w:r w:rsidR="001C076F" w:rsidRPr="001C1028">
        <w:rPr>
          <w:sz w:val="22"/>
          <w:szCs w:val="18"/>
          <w:lang w:eastAsia="ja-JP"/>
        </w:rPr>
        <w:t>“indirect” laws.</w:t>
      </w:r>
      <w:r w:rsidR="00E85E88" w:rsidRPr="001C1028">
        <w:rPr>
          <w:sz w:val="22"/>
          <w:szCs w:val="18"/>
          <w:lang w:eastAsia="ja-JP"/>
        </w:rPr>
        <w:t xml:space="preserve">  Chapter</w:t>
      </w:r>
      <w:r w:rsidR="00AE2F3F" w:rsidRPr="001C1028">
        <w:rPr>
          <w:sz w:val="22"/>
          <w:szCs w:val="18"/>
          <w:lang w:eastAsia="ja-JP"/>
        </w:rPr>
        <w:t>s</w:t>
      </w:r>
      <w:r w:rsidR="00E85E88" w:rsidRPr="001C1028">
        <w:rPr>
          <w:sz w:val="22"/>
          <w:szCs w:val="18"/>
          <w:lang w:eastAsia="ja-JP"/>
        </w:rPr>
        <w:t xml:space="preserve"> 2</w:t>
      </w:r>
      <w:r w:rsidR="00CA22B3" w:rsidRPr="001C1028">
        <w:rPr>
          <w:sz w:val="22"/>
          <w:szCs w:val="18"/>
          <w:lang w:eastAsia="ja-JP"/>
        </w:rPr>
        <w:t>B</w:t>
      </w:r>
      <w:r w:rsidR="00AE2F3F" w:rsidRPr="001C1028">
        <w:rPr>
          <w:sz w:val="22"/>
          <w:szCs w:val="18"/>
          <w:lang w:eastAsia="ja-JP"/>
        </w:rPr>
        <w:t xml:space="preserve"> &amp; 4</w:t>
      </w:r>
      <w:r w:rsidR="00CA22B3" w:rsidRPr="001C1028">
        <w:rPr>
          <w:sz w:val="22"/>
          <w:szCs w:val="18"/>
          <w:lang w:eastAsia="ja-JP"/>
        </w:rPr>
        <w:t>C</w:t>
      </w:r>
      <w:r w:rsidR="00E85E88" w:rsidRPr="001C1028">
        <w:rPr>
          <w:sz w:val="22"/>
          <w:szCs w:val="18"/>
          <w:lang w:eastAsia="ja-JP"/>
        </w:rPr>
        <w:t xml:space="preserve"> also includes laws that </w:t>
      </w:r>
      <w:r w:rsidR="00B63D91" w:rsidRPr="001C1028">
        <w:rPr>
          <w:sz w:val="22"/>
          <w:szCs w:val="18"/>
          <w:lang w:eastAsia="ja-JP"/>
        </w:rPr>
        <w:t xml:space="preserve">statutes mandate </w:t>
      </w:r>
      <w:r w:rsidR="00E85E88" w:rsidRPr="001C1028">
        <w:rPr>
          <w:sz w:val="22"/>
          <w:szCs w:val="18"/>
          <w:lang w:eastAsia="ja-JP"/>
        </w:rPr>
        <w:t xml:space="preserve">auditors to test </w:t>
      </w:r>
      <w:r w:rsidRPr="001C1028">
        <w:rPr>
          <w:sz w:val="22"/>
          <w:szCs w:val="18"/>
          <w:lang w:eastAsia="ja-JP"/>
        </w:rPr>
        <w:t>during an</w:t>
      </w:r>
      <w:r w:rsidR="00EC1820" w:rsidRPr="001C1028">
        <w:rPr>
          <w:sz w:val="22"/>
          <w:szCs w:val="18"/>
          <w:lang w:eastAsia="ja-JP"/>
        </w:rPr>
        <w:t xml:space="preserve"> </w:t>
      </w:r>
      <w:r w:rsidR="00E85E88" w:rsidRPr="001C1028">
        <w:rPr>
          <w:sz w:val="22"/>
          <w:szCs w:val="18"/>
          <w:lang w:eastAsia="ja-JP"/>
        </w:rPr>
        <w:t>audit.</w:t>
      </w:r>
      <w:r w:rsidR="00662214" w:rsidRPr="001C1028">
        <w:rPr>
          <w:sz w:val="22"/>
          <w:szCs w:val="18"/>
          <w:lang w:eastAsia="ja-JP"/>
        </w:rPr>
        <w:t xml:space="preserve">  </w:t>
      </w:r>
    </w:p>
    <w:p w14:paraId="33E31CB4" w14:textId="77777777" w:rsidR="00E0622E" w:rsidRPr="001C1028" w:rsidRDefault="00E0622E" w:rsidP="0036115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2AD0FAA9" w14:textId="57F3C93D" w:rsidR="001C076F" w:rsidRPr="001C1028" w:rsidRDefault="00E85E88"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1C1028">
        <w:rPr>
          <w:sz w:val="22"/>
          <w:szCs w:val="18"/>
          <w:lang w:eastAsia="ja-JP"/>
        </w:rPr>
        <w:t>In addition to the “direct”</w:t>
      </w:r>
      <w:r w:rsidR="00694C28" w:rsidRPr="001C1028">
        <w:rPr>
          <w:sz w:val="22"/>
          <w:szCs w:val="18"/>
          <w:lang w:eastAsia="ja-JP"/>
        </w:rPr>
        <w:t>,</w:t>
      </w:r>
      <w:r w:rsidRPr="001C1028">
        <w:rPr>
          <w:sz w:val="22"/>
          <w:szCs w:val="18"/>
          <w:lang w:eastAsia="ja-JP"/>
        </w:rPr>
        <w:t xml:space="preserve"> “indirect</w:t>
      </w:r>
      <w:r w:rsidR="009B4BF1" w:rsidRPr="001C1028">
        <w:rPr>
          <w:sz w:val="22"/>
          <w:szCs w:val="18"/>
          <w:lang w:eastAsia="ja-JP"/>
        </w:rPr>
        <w:t>”</w:t>
      </w:r>
      <w:r w:rsidR="00694C28" w:rsidRPr="001C1028">
        <w:rPr>
          <w:sz w:val="22"/>
          <w:szCs w:val="18"/>
          <w:lang w:eastAsia="ja-JP"/>
        </w:rPr>
        <w:t>,</w:t>
      </w:r>
      <w:r w:rsidRPr="001C1028">
        <w:rPr>
          <w:sz w:val="22"/>
          <w:szCs w:val="18"/>
          <w:lang w:eastAsia="ja-JP"/>
        </w:rPr>
        <w:t xml:space="preserve"> and “mandated</w:t>
      </w:r>
      <w:r w:rsidR="004F2D66" w:rsidRPr="001C1028">
        <w:rPr>
          <w:sz w:val="22"/>
          <w:szCs w:val="18"/>
          <w:lang w:eastAsia="ja-JP"/>
        </w:rPr>
        <w:t xml:space="preserve"> compliance tests</w:t>
      </w:r>
      <w:r w:rsidRPr="001C1028">
        <w:rPr>
          <w:sz w:val="22"/>
          <w:szCs w:val="18"/>
          <w:lang w:eastAsia="ja-JP"/>
        </w:rPr>
        <w:t>”</w:t>
      </w:r>
      <w:r w:rsidR="00452C3A" w:rsidRPr="001C1028">
        <w:rPr>
          <w:sz w:val="22"/>
          <w:szCs w:val="18"/>
          <w:lang w:eastAsia="ja-JP"/>
        </w:rPr>
        <w:t xml:space="preserve"> discussed above</w:t>
      </w:r>
      <w:r w:rsidR="00694C28" w:rsidRPr="001C1028">
        <w:rPr>
          <w:sz w:val="22"/>
          <w:szCs w:val="18"/>
          <w:lang w:eastAsia="ja-JP"/>
        </w:rPr>
        <w:t>,</w:t>
      </w:r>
      <w:r w:rsidR="00452C3A" w:rsidRPr="001C1028">
        <w:rPr>
          <w:sz w:val="22"/>
          <w:szCs w:val="18"/>
          <w:lang w:eastAsia="ja-JP"/>
        </w:rPr>
        <w:t xml:space="preserve"> the A</w:t>
      </w:r>
      <w:r w:rsidRPr="001C1028">
        <w:rPr>
          <w:sz w:val="22"/>
          <w:szCs w:val="18"/>
          <w:lang w:eastAsia="ja-JP"/>
        </w:rPr>
        <w:t xml:space="preserve">uditor of </w:t>
      </w:r>
      <w:r w:rsidR="00452C3A" w:rsidRPr="001C1028">
        <w:rPr>
          <w:sz w:val="22"/>
          <w:szCs w:val="18"/>
          <w:lang w:eastAsia="ja-JP"/>
        </w:rPr>
        <w:t>S</w:t>
      </w:r>
      <w:r w:rsidRPr="001C1028">
        <w:rPr>
          <w:sz w:val="22"/>
          <w:szCs w:val="18"/>
          <w:lang w:eastAsia="ja-JP"/>
        </w:rPr>
        <w:t xml:space="preserve">tate has identified laws </w:t>
      </w:r>
      <w:r w:rsidR="004F2D66" w:rsidRPr="001C1028">
        <w:rPr>
          <w:sz w:val="22"/>
          <w:szCs w:val="18"/>
          <w:lang w:eastAsia="ja-JP"/>
        </w:rPr>
        <w:t xml:space="preserve">of </w:t>
      </w:r>
      <w:r w:rsidRPr="001C1028">
        <w:rPr>
          <w:sz w:val="22"/>
          <w:szCs w:val="18"/>
          <w:lang w:eastAsia="ja-JP"/>
        </w:rPr>
        <w:t xml:space="preserve">significant public interest due to stewardship considerations.  </w:t>
      </w:r>
      <w:r w:rsidRPr="001C1028">
        <w:rPr>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w:t>
      </w:r>
      <w:r w:rsidR="004F2D66" w:rsidRPr="001C1028">
        <w:rPr>
          <w:sz w:val="22"/>
          <w:szCs w:val="22"/>
          <w:lang w:eastAsia="ja-JP"/>
        </w:rPr>
        <w:t>Chapter</w:t>
      </w:r>
      <w:r w:rsidR="00336BA3" w:rsidRPr="001C1028">
        <w:rPr>
          <w:sz w:val="22"/>
          <w:szCs w:val="22"/>
          <w:lang w:eastAsia="ja-JP"/>
        </w:rPr>
        <w:t>s</w:t>
      </w:r>
      <w:r w:rsidR="004F2D66" w:rsidRPr="001C1028">
        <w:rPr>
          <w:sz w:val="22"/>
          <w:szCs w:val="22"/>
          <w:lang w:eastAsia="ja-JP"/>
        </w:rPr>
        <w:t xml:space="preserve"> 3 </w:t>
      </w:r>
      <w:r w:rsidR="00336BA3" w:rsidRPr="001C1028">
        <w:rPr>
          <w:sz w:val="22"/>
          <w:szCs w:val="18"/>
          <w:lang w:eastAsia="ja-JP"/>
        </w:rPr>
        <w:t xml:space="preserve">&amp; 4D </w:t>
      </w:r>
      <w:r w:rsidR="00037185" w:rsidRPr="001C1028">
        <w:rPr>
          <w:sz w:val="22"/>
          <w:szCs w:val="22"/>
          <w:lang w:eastAsia="ja-JP"/>
        </w:rPr>
        <w:t>include tests for t</w:t>
      </w:r>
      <w:r w:rsidR="004F2D66" w:rsidRPr="001C1028">
        <w:rPr>
          <w:sz w:val="22"/>
          <w:szCs w:val="22"/>
          <w:lang w:eastAsia="ja-JP"/>
        </w:rPr>
        <w:t>hese</w:t>
      </w:r>
      <w:r w:rsidRPr="001C1028">
        <w:rPr>
          <w:sz w:val="22"/>
          <w:szCs w:val="22"/>
          <w:lang w:eastAsia="ja-JP"/>
        </w:rPr>
        <w:t xml:space="preserve"> “stewardship” laws.</w:t>
      </w:r>
      <w:r w:rsidRPr="001C1028">
        <w:rPr>
          <w:sz w:val="22"/>
          <w:szCs w:val="18"/>
          <w:lang w:eastAsia="ja-JP"/>
        </w:rPr>
        <w:t xml:space="preserve">  </w:t>
      </w:r>
    </w:p>
    <w:p w14:paraId="2E2CF3FF" w14:textId="77777777" w:rsidR="00B63D91" w:rsidRPr="008C13D9" w:rsidRDefault="00B63D91" w:rsidP="001C076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4"/>
          <w:lang w:eastAsia="ja-JP"/>
        </w:rPr>
      </w:pPr>
    </w:p>
    <w:tbl>
      <w:tblPr>
        <w:tblStyle w:val="TableGrid"/>
        <w:tblW w:w="0" w:type="auto"/>
        <w:tblInd w:w="0" w:type="dxa"/>
        <w:shd w:val="clear" w:color="auto" w:fill="C6D9F1" w:themeFill="text2" w:themeFillTint="33"/>
        <w:tblLook w:val="04A0" w:firstRow="1" w:lastRow="0" w:firstColumn="1" w:lastColumn="0" w:noHBand="0" w:noVBand="1"/>
      </w:tblPr>
      <w:tblGrid>
        <w:gridCol w:w="9360"/>
      </w:tblGrid>
      <w:tr w:rsidR="00B63D91" w14:paraId="099C1DF1" w14:textId="77777777" w:rsidTr="00DB24AE">
        <w:tc>
          <w:tcPr>
            <w:tcW w:w="10152" w:type="dxa"/>
            <w:shd w:val="clear" w:color="auto" w:fill="C6D9F1" w:themeFill="text2" w:themeFillTint="33"/>
          </w:tcPr>
          <w:p w14:paraId="4C1A3362" w14:textId="080ACF8D" w:rsidR="005A0FA4" w:rsidRPr="00365892" w:rsidRDefault="00B63D91"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i/>
                <w:sz w:val="22"/>
                <w:szCs w:val="18"/>
                <w:lang w:eastAsia="ja-JP"/>
              </w:rPr>
            </w:pPr>
            <w:r w:rsidRPr="00365892">
              <w:rPr>
                <w:b/>
                <w:i/>
                <w:sz w:val="22"/>
                <w:szCs w:val="18"/>
                <w:lang w:eastAsia="ja-JP"/>
              </w:rPr>
              <w:t xml:space="preserve">However, the categorization of a requirement in </w:t>
            </w:r>
            <w:r w:rsidR="005A0FA4" w:rsidRPr="00365892">
              <w:rPr>
                <w:b/>
                <w:i/>
                <w:sz w:val="22"/>
                <w:szCs w:val="18"/>
                <w:lang w:eastAsia="ja-JP"/>
              </w:rPr>
              <w:t>Chapter 2</w:t>
            </w:r>
            <w:r w:rsidR="00A13C73" w:rsidRPr="00365892">
              <w:rPr>
                <w:b/>
                <w:i/>
                <w:sz w:val="22"/>
                <w:szCs w:val="18"/>
                <w:lang w:eastAsia="ja-JP"/>
              </w:rPr>
              <w:t>, 3</w:t>
            </w:r>
            <w:r w:rsidR="005A0FA4" w:rsidRPr="00365892">
              <w:rPr>
                <w:b/>
                <w:i/>
                <w:sz w:val="22"/>
                <w:szCs w:val="18"/>
                <w:lang w:eastAsia="ja-JP"/>
              </w:rPr>
              <w:t xml:space="preserve"> or </w:t>
            </w:r>
            <w:r w:rsidR="00A13C73" w:rsidRPr="00365892">
              <w:rPr>
                <w:b/>
                <w:i/>
                <w:sz w:val="22"/>
                <w:szCs w:val="18"/>
                <w:lang w:eastAsia="ja-JP"/>
              </w:rPr>
              <w:t>4B-D</w:t>
            </w:r>
            <w:r w:rsidR="005A0FA4" w:rsidRPr="00365892">
              <w:rPr>
                <w:b/>
                <w:i/>
                <w:sz w:val="22"/>
                <w:szCs w:val="18"/>
                <w:lang w:eastAsia="ja-JP"/>
              </w:rPr>
              <w:t xml:space="preserve">, or even its omission from </w:t>
            </w:r>
            <w:r w:rsidRPr="00365892">
              <w:rPr>
                <w:b/>
                <w:i/>
                <w:sz w:val="22"/>
                <w:szCs w:val="18"/>
                <w:lang w:eastAsia="ja-JP"/>
              </w:rPr>
              <w:t>this Supplement does not lessen a government’s responsibility for compliance and for instituting controls it believes are necessary to assure compliance</w:t>
            </w:r>
            <w:r w:rsidR="00CF7994" w:rsidRPr="00365892">
              <w:rPr>
                <w:b/>
                <w:i/>
                <w:sz w:val="22"/>
                <w:szCs w:val="18"/>
                <w:lang w:eastAsia="ja-JP"/>
              </w:rPr>
              <w:t xml:space="preserve"> with any laws and regulations that apply to the government.</w:t>
            </w:r>
          </w:p>
          <w:p w14:paraId="2432195C" w14:textId="77777777" w:rsidR="00E213FC" w:rsidRPr="00365892" w:rsidRDefault="00E213FC"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i/>
                <w:sz w:val="22"/>
                <w:szCs w:val="18"/>
                <w:lang w:eastAsia="ja-JP"/>
              </w:rPr>
            </w:pPr>
          </w:p>
          <w:p w14:paraId="73511B95" w14:textId="74073B40" w:rsidR="00B63D91" w:rsidRPr="00D0354B" w:rsidRDefault="00E213FC" w:rsidP="00D0354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i/>
                <w:sz w:val="22"/>
                <w:szCs w:val="18"/>
                <w:lang w:eastAsia="ja-JP"/>
              </w:rPr>
            </w:pPr>
            <w:r w:rsidRPr="00365892">
              <w:rPr>
                <w:b/>
                <w:i/>
                <w:sz w:val="22"/>
                <w:szCs w:val="18"/>
                <w:lang w:eastAsia="ja-JP"/>
              </w:rPr>
              <w:t xml:space="preserve">Note: The Auditor of State intends to select a few audits randomly </w:t>
            </w:r>
            <w:r w:rsidR="003366D4" w:rsidRPr="00365892">
              <w:rPr>
                <w:b/>
                <w:i/>
                <w:sz w:val="22"/>
                <w:szCs w:val="18"/>
                <w:lang w:eastAsia="ja-JP"/>
              </w:rPr>
              <w:t xml:space="preserve">each year, </w:t>
            </w:r>
            <w:r w:rsidRPr="00365892">
              <w:rPr>
                <w:b/>
                <w:i/>
                <w:sz w:val="22"/>
                <w:szCs w:val="18"/>
                <w:lang w:eastAsia="ja-JP"/>
              </w:rPr>
              <w:t xml:space="preserve">to test requirements listed in the OCS </w:t>
            </w:r>
            <w:r w:rsidR="00E40428" w:rsidRPr="00365892">
              <w:rPr>
                <w:b/>
                <w:i/>
                <w:sz w:val="22"/>
                <w:szCs w:val="18"/>
                <w:lang w:eastAsia="ja-JP"/>
              </w:rPr>
              <w:t>Optional Procedures Manual</w:t>
            </w:r>
            <w:r w:rsidR="00C72EC9" w:rsidRPr="00365892">
              <w:rPr>
                <w:b/>
                <w:i/>
                <w:sz w:val="22"/>
                <w:szCs w:val="18"/>
                <w:lang w:eastAsia="ja-JP"/>
              </w:rPr>
              <w:t xml:space="preserve"> (OPM)</w:t>
            </w:r>
            <w:r w:rsidR="00E163EC" w:rsidRPr="00365892">
              <w:rPr>
                <w:b/>
                <w:i/>
                <w:sz w:val="22"/>
                <w:szCs w:val="18"/>
                <w:lang w:eastAsia="ja-JP"/>
              </w:rPr>
              <w:t xml:space="preserve"> &amp; 4E</w:t>
            </w:r>
            <w:r w:rsidR="00E40428" w:rsidRPr="00365892">
              <w:rPr>
                <w:b/>
                <w:i/>
                <w:sz w:val="22"/>
                <w:szCs w:val="18"/>
                <w:lang w:eastAsia="ja-JP"/>
              </w:rPr>
              <w:t>.</w:t>
            </w:r>
            <w:r w:rsidR="00C72EC9" w:rsidRPr="00365892">
              <w:rPr>
                <w:b/>
                <w:i/>
                <w:sz w:val="22"/>
                <w:szCs w:val="18"/>
                <w:lang w:eastAsia="ja-JP"/>
              </w:rPr>
              <w:t xml:space="preserve">  However, auditors should evaluate the requirements in the OPM</w:t>
            </w:r>
            <w:r w:rsidR="004C166F" w:rsidRPr="00365892">
              <w:rPr>
                <w:b/>
                <w:i/>
                <w:sz w:val="22"/>
                <w:szCs w:val="18"/>
                <w:lang w:eastAsia="ja-JP"/>
              </w:rPr>
              <w:t xml:space="preserve"> &amp; 4E</w:t>
            </w:r>
            <w:r w:rsidR="00C72EC9" w:rsidRPr="00365892">
              <w:rPr>
                <w:b/>
                <w:i/>
                <w:sz w:val="22"/>
                <w:szCs w:val="18"/>
                <w:lang w:eastAsia="ja-JP"/>
              </w:rPr>
              <w:t xml:space="preserve"> for possible testing in the current audit based upon both quantitative and qualitative materiality factors.</w:t>
            </w:r>
          </w:p>
        </w:tc>
      </w:tr>
    </w:tbl>
    <w:p w14:paraId="45354EF0" w14:textId="77777777" w:rsidR="00E10DEE" w:rsidRDefault="00E10DEE" w:rsidP="00102BA4">
      <w:pPr>
        <w:pStyle w:val="CM61"/>
        <w:spacing w:after="0" w:line="246" w:lineRule="atLeast"/>
        <w:rPr>
          <w:rFonts w:ascii="Times New Roman" w:hAnsi="Times New Roman"/>
          <w:lang w:eastAsia="ja-JP"/>
        </w:rPr>
      </w:pPr>
    </w:p>
    <w:p w14:paraId="2922235B" w14:textId="77777777" w:rsidR="008F6A36" w:rsidRPr="00365892" w:rsidRDefault="00EB5037" w:rsidP="00361150">
      <w:pPr>
        <w:pStyle w:val="CM61"/>
        <w:spacing w:after="0" w:line="246" w:lineRule="atLeast"/>
        <w:jc w:val="both"/>
        <w:rPr>
          <w:rFonts w:ascii="Times New Roman" w:hAnsi="Times New Roman"/>
          <w:sz w:val="22"/>
          <w:szCs w:val="22"/>
          <w:lang w:eastAsia="ja-JP"/>
        </w:rPr>
      </w:pPr>
      <w:r w:rsidRPr="00365892">
        <w:rPr>
          <w:rFonts w:ascii="Times New Roman" w:hAnsi="Times New Roman"/>
          <w:sz w:val="22"/>
          <w:szCs w:val="22"/>
          <w:lang w:eastAsia="ja-JP"/>
        </w:rPr>
        <w:t>T</w:t>
      </w:r>
      <w:r w:rsidR="00120FD1" w:rsidRPr="00365892">
        <w:rPr>
          <w:rFonts w:ascii="Times New Roman" w:hAnsi="Times New Roman"/>
          <w:sz w:val="22"/>
          <w:szCs w:val="22"/>
          <w:lang w:eastAsia="ja-JP"/>
        </w:rPr>
        <w:t xml:space="preserve">he </w:t>
      </w:r>
      <w:r w:rsidR="00120FD1" w:rsidRPr="00365892">
        <w:rPr>
          <w:rFonts w:ascii="Times New Roman" w:hAnsi="Times New Roman"/>
          <w:i/>
          <w:sz w:val="22"/>
          <w:szCs w:val="22"/>
          <w:lang w:eastAsia="ja-JP"/>
        </w:rPr>
        <w:t>OCS</w:t>
      </w:r>
      <w:r w:rsidR="008F6A36" w:rsidRPr="00365892">
        <w:rPr>
          <w:rFonts w:ascii="Times New Roman" w:hAnsi="Times New Roman"/>
          <w:sz w:val="22"/>
          <w:szCs w:val="22"/>
          <w:lang w:eastAsia="ja-JP"/>
        </w:rPr>
        <w:t xml:space="preserve"> </w:t>
      </w:r>
      <w:r w:rsidR="00102BA4" w:rsidRPr="00365892">
        <w:rPr>
          <w:rFonts w:ascii="Times New Roman" w:hAnsi="Times New Roman"/>
          <w:sz w:val="22"/>
          <w:szCs w:val="22"/>
          <w:lang w:eastAsia="ja-JP"/>
        </w:rPr>
        <w:t>provides</w:t>
      </w:r>
      <w:r w:rsidR="008F6A36" w:rsidRPr="00365892">
        <w:rPr>
          <w:rFonts w:ascii="Times New Roman" w:hAnsi="Times New Roman"/>
          <w:sz w:val="22"/>
          <w:szCs w:val="22"/>
          <w:lang w:eastAsia="ja-JP"/>
        </w:rPr>
        <w:t xml:space="preserve"> auditor</w:t>
      </w:r>
      <w:r w:rsidR="00C25517" w:rsidRPr="00365892">
        <w:rPr>
          <w:rFonts w:ascii="Times New Roman" w:hAnsi="Times New Roman"/>
          <w:sz w:val="22"/>
          <w:szCs w:val="22"/>
          <w:lang w:eastAsia="ja-JP"/>
        </w:rPr>
        <w:t>s</w:t>
      </w:r>
      <w:r w:rsidR="008F6A36" w:rsidRPr="00365892">
        <w:rPr>
          <w:rFonts w:ascii="Times New Roman" w:hAnsi="Times New Roman"/>
          <w:sz w:val="22"/>
          <w:szCs w:val="22"/>
          <w:lang w:eastAsia="ja-JP"/>
        </w:rPr>
        <w:t xml:space="preserve"> with </w:t>
      </w:r>
      <w:r w:rsidR="000259C5" w:rsidRPr="00365892">
        <w:rPr>
          <w:rFonts w:ascii="Times New Roman" w:hAnsi="Times New Roman"/>
          <w:sz w:val="22"/>
          <w:szCs w:val="22"/>
          <w:lang w:eastAsia="ja-JP"/>
        </w:rPr>
        <w:t>Ohio</w:t>
      </w:r>
      <w:r w:rsidR="008F6A36" w:rsidRPr="00365892">
        <w:rPr>
          <w:rFonts w:ascii="Times New Roman" w:hAnsi="Times New Roman"/>
          <w:sz w:val="22"/>
          <w:szCs w:val="22"/>
          <w:lang w:eastAsia="ja-JP"/>
        </w:rPr>
        <w:t xml:space="preserve"> laws and regulations</w:t>
      </w:r>
      <w:r w:rsidRPr="00365892">
        <w:rPr>
          <w:rFonts w:ascii="Times New Roman" w:hAnsi="Times New Roman"/>
          <w:sz w:val="22"/>
          <w:szCs w:val="22"/>
          <w:lang w:eastAsia="ja-JP"/>
        </w:rPr>
        <w:t xml:space="preserve"> (and some laws and regulations from other sources)</w:t>
      </w:r>
      <w:r w:rsidR="008F6A36" w:rsidRPr="00365892">
        <w:rPr>
          <w:rFonts w:ascii="Times New Roman" w:hAnsi="Times New Roman"/>
          <w:sz w:val="22"/>
          <w:szCs w:val="22"/>
          <w:lang w:eastAsia="ja-JP"/>
        </w:rPr>
        <w:t xml:space="preserve"> the Auditor of State has identified as potenti</w:t>
      </w:r>
      <w:r w:rsidR="00021396" w:rsidRPr="00365892">
        <w:rPr>
          <w:rFonts w:ascii="Times New Roman" w:hAnsi="Times New Roman"/>
          <w:sz w:val="22"/>
          <w:szCs w:val="22"/>
          <w:lang w:eastAsia="ja-JP"/>
        </w:rPr>
        <w:t xml:space="preserve">ally significant in an </w:t>
      </w:r>
      <w:r w:rsidR="008F6A36" w:rsidRPr="00365892">
        <w:rPr>
          <w:rFonts w:ascii="Times New Roman" w:hAnsi="Times New Roman"/>
          <w:sz w:val="22"/>
          <w:szCs w:val="22"/>
          <w:lang w:eastAsia="ja-JP"/>
        </w:rPr>
        <w:t xml:space="preserve">Ohio </w:t>
      </w:r>
      <w:r w:rsidR="001E684C" w:rsidRPr="00365892">
        <w:rPr>
          <w:rFonts w:ascii="Times New Roman" w:hAnsi="Times New Roman"/>
          <w:sz w:val="22"/>
          <w:szCs w:val="22"/>
          <w:lang w:eastAsia="ja-JP"/>
        </w:rPr>
        <w:t xml:space="preserve">local </w:t>
      </w:r>
      <w:r w:rsidR="008F6A36" w:rsidRPr="00365892">
        <w:rPr>
          <w:rFonts w:ascii="Times New Roman" w:hAnsi="Times New Roman"/>
          <w:sz w:val="22"/>
          <w:szCs w:val="22"/>
          <w:lang w:eastAsia="ja-JP"/>
        </w:rPr>
        <w:t>government</w:t>
      </w:r>
      <w:r w:rsidR="00021396" w:rsidRPr="00365892">
        <w:rPr>
          <w:rFonts w:ascii="Times New Roman" w:hAnsi="Times New Roman"/>
          <w:sz w:val="22"/>
          <w:szCs w:val="22"/>
          <w:lang w:eastAsia="ja-JP"/>
        </w:rPr>
        <w:t xml:space="preserve"> audit</w:t>
      </w:r>
      <w:r w:rsidR="008F6A36" w:rsidRPr="00365892">
        <w:rPr>
          <w:rFonts w:ascii="Times New Roman" w:hAnsi="Times New Roman"/>
          <w:sz w:val="22"/>
          <w:szCs w:val="22"/>
          <w:lang w:eastAsia="ja-JP"/>
        </w:rPr>
        <w:t xml:space="preserve">. </w:t>
      </w:r>
      <w:r w:rsidR="0001537A" w:rsidRPr="00365892">
        <w:rPr>
          <w:rFonts w:ascii="Times New Roman" w:hAnsi="Times New Roman"/>
          <w:sz w:val="22"/>
          <w:szCs w:val="22"/>
          <w:lang w:eastAsia="ja-JP"/>
        </w:rPr>
        <w:t xml:space="preserve"> </w:t>
      </w:r>
      <w:r w:rsidR="008F6A36" w:rsidRPr="00365892">
        <w:rPr>
          <w:rFonts w:ascii="Times New Roman" w:hAnsi="Times New Roman"/>
          <w:sz w:val="22"/>
          <w:szCs w:val="22"/>
          <w:lang w:eastAsia="ja-JP"/>
        </w:rPr>
        <w:t>As such, it is desig</w:t>
      </w:r>
      <w:r w:rsidRPr="00365892">
        <w:rPr>
          <w:rFonts w:ascii="Times New Roman" w:hAnsi="Times New Roman"/>
          <w:sz w:val="22"/>
          <w:szCs w:val="22"/>
          <w:lang w:eastAsia="ja-JP"/>
        </w:rPr>
        <w:t>ned to help auditors fulfill their</w:t>
      </w:r>
      <w:r w:rsidR="008F6A36" w:rsidRPr="00365892">
        <w:rPr>
          <w:rFonts w:ascii="Times New Roman" w:hAnsi="Times New Roman"/>
          <w:sz w:val="22"/>
          <w:szCs w:val="22"/>
          <w:lang w:eastAsia="ja-JP"/>
        </w:rPr>
        <w:t xml:space="preserve"> responsibility. </w:t>
      </w:r>
      <w:r w:rsidR="0001537A" w:rsidRPr="00365892">
        <w:rPr>
          <w:rFonts w:ascii="Times New Roman" w:hAnsi="Times New Roman"/>
          <w:sz w:val="22"/>
          <w:szCs w:val="22"/>
          <w:lang w:eastAsia="ja-JP"/>
        </w:rPr>
        <w:t xml:space="preserve"> </w:t>
      </w:r>
      <w:r w:rsidR="008F6A36" w:rsidRPr="00365892">
        <w:rPr>
          <w:rFonts w:ascii="Times New Roman" w:hAnsi="Times New Roman"/>
          <w:sz w:val="22"/>
          <w:szCs w:val="22"/>
          <w:lang w:eastAsia="ja-JP"/>
        </w:rPr>
        <w:t xml:space="preserve">However, </w:t>
      </w:r>
      <w:r w:rsidR="00120FD1" w:rsidRPr="00365892">
        <w:rPr>
          <w:rFonts w:ascii="Times New Roman" w:hAnsi="Times New Roman"/>
          <w:sz w:val="22"/>
          <w:szCs w:val="22"/>
          <w:lang w:eastAsia="ja-JP"/>
        </w:rPr>
        <w:t xml:space="preserve">the </w:t>
      </w:r>
      <w:r w:rsidR="00120FD1" w:rsidRPr="00365892">
        <w:rPr>
          <w:rFonts w:ascii="Times New Roman" w:hAnsi="Times New Roman"/>
          <w:i/>
          <w:sz w:val="22"/>
          <w:szCs w:val="22"/>
          <w:lang w:eastAsia="ja-JP"/>
        </w:rPr>
        <w:t>OCS</w:t>
      </w:r>
      <w:r w:rsidR="00F3741F" w:rsidRPr="00365892">
        <w:rPr>
          <w:rFonts w:ascii="Times New Roman" w:hAnsi="Times New Roman"/>
          <w:sz w:val="22"/>
          <w:szCs w:val="22"/>
          <w:lang w:eastAsia="ja-JP"/>
        </w:rPr>
        <w:t xml:space="preserve"> is </w:t>
      </w:r>
      <w:r w:rsidR="00F3741F" w:rsidRPr="00365892">
        <w:rPr>
          <w:rFonts w:ascii="Times New Roman" w:hAnsi="Times New Roman"/>
          <w:b/>
          <w:i/>
          <w:color w:val="0070C0"/>
          <w:sz w:val="22"/>
          <w:szCs w:val="22"/>
          <w:lang w:eastAsia="ja-JP"/>
        </w:rPr>
        <w:t>not</w:t>
      </w:r>
      <w:r w:rsidR="00F3741F" w:rsidRPr="00365892">
        <w:rPr>
          <w:rFonts w:ascii="Times New Roman" w:hAnsi="Times New Roman"/>
          <w:color w:val="0070C0"/>
          <w:sz w:val="22"/>
          <w:szCs w:val="22"/>
          <w:lang w:eastAsia="ja-JP"/>
        </w:rPr>
        <w:t xml:space="preserve"> </w:t>
      </w:r>
      <w:r w:rsidR="008F6A36" w:rsidRPr="00365892">
        <w:rPr>
          <w:rFonts w:ascii="Times New Roman" w:hAnsi="Times New Roman"/>
          <w:sz w:val="22"/>
          <w:szCs w:val="22"/>
          <w:lang w:eastAsia="ja-JP"/>
        </w:rPr>
        <w:t xml:space="preserve">a comprehensive list of </w:t>
      </w:r>
      <w:r w:rsidR="001E684C" w:rsidRPr="00365892">
        <w:rPr>
          <w:rFonts w:ascii="Times New Roman" w:hAnsi="Times New Roman"/>
          <w:sz w:val="22"/>
          <w:szCs w:val="22"/>
          <w:lang w:eastAsia="ja-JP"/>
        </w:rPr>
        <w:t xml:space="preserve">“direct” or “indirect” </w:t>
      </w:r>
      <w:r w:rsidR="008F6A36" w:rsidRPr="00365892">
        <w:rPr>
          <w:rFonts w:ascii="Times New Roman" w:hAnsi="Times New Roman"/>
          <w:sz w:val="22"/>
          <w:szCs w:val="22"/>
          <w:lang w:eastAsia="ja-JP"/>
        </w:rPr>
        <w:t>compliance requirements for all governments.</w:t>
      </w:r>
      <w:r w:rsidRPr="00365892">
        <w:rPr>
          <w:rFonts w:ascii="Times New Roman" w:hAnsi="Times New Roman"/>
          <w:sz w:val="22"/>
          <w:szCs w:val="22"/>
          <w:lang w:eastAsia="ja-JP"/>
        </w:rPr>
        <w:t xml:space="preserve">  </w:t>
      </w:r>
    </w:p>
    <w:p w14:paraId="1DB32F8E" w14:textId="77777777" w:rsidR="00D974AE" w:rsidRPr="00365892" w:rsidRDefault="00D974AE" w:rsidP="00361150">
      <w:pPr>
        <w:jc w:val="both"/>
        <w:rPr>
          <w:sz w:val="22"/>
          <w:szCs w:val="22"/>
          <w:lang w:eastAsia="ja-JP"/>
        </w:rPr>
      </w:pPr>
    </w:p>
    <w:p w14:paraId="7E3417B9" w14:textId="3A6F250F" w:rsidR="008F6A36" w:rsidRPr="00365892" w:rsidRDefault="00C75918" w:rsidP="00361150">
      <w:pPr>
        <w:jc w:val="both"/>
        <w:rPr>
          <w:sz w:val="22"/>
          <w:szCs w:val="22"/>
          <w:lang w:eastAsia="ja-JP"/>
        </w:rPr>
      </w:pPr>
      <w:r w:rsidRPr="00365892">
        <w:rPr>
          <w:sz w:val="22"/>
          <w:szCs w:val="22"/>
          <w:lang w:eastAsia="ja-JP"/>
        </w:rPr>
        <w:t>I</w:t>
      </w:r>
      <w:r w:rsidR="00966B0F" w:rsidRPr="00365892">
        <w:rPr>
          <w:sz w:val="22"/>
          <w:szCs w:val="22"/>
          <w:lang w:eastAsia="ja-JP"/>
        </w:rPr>
        <w:t xml:space="preserve">n addition to the laws and regulations the </w:t>
      </w:r>
      <w:r w:rsidR="00966B0F" w:rsidRPr="00365892">
        <w:rPr>
          <w:i/>
          <w:iCs/>
          <w:sz w:val="22"/>
          <w:szCs w:val="22"/>
          <w:lang w:eastAsia="ja-JP"/>
        </w:rPr>
        <w:t>OCS</w:t>
      </w:r>
      <w:r w:rsidR="00966B0F" w:rsidRPr="00365892">
        <w:rPr>
          <w:sz w:val="22"/>
          <w:szCs w:val="22"/>
          <w:lang w:eastAsia="ja-JP"/>
        </w:rPr>
        <w:t xml:space="preserve"> includes, auditors must also consider other </w:t>
      </w:r>
      <w:r w:rsidR="00D56ED3" w:rsidRPr="00365892">
        <w:rPr>
          <w:sz w:val="22"/>
          <w:szCs w:val="22"/>
          <w:lang w:eastAsia="ja-JP"/>
        </w:rPr>
        <w:t xml:space="preserve">compliance requirements applying </w:t>
      </w:r>
      <w:r w:rsidR="00D974AE" w:rsidRPr="00365892">
        <w:rPr>
          <w:sz w:val="22"/>
          <w:szCs w:val="22"/>
          <w:lang w:eastAsia="ja-JP"/>
        </w:rPr>
        <w:t>to the</w:t>
      </w:r>
      <w:r w:rsidR="008F6A36" w:rsidRPr="00365892">
        <w:rPr>
          <w:sz w:val="22"/>
          <w:szCs w:val="22"/>
          <w:lang w:eastAsia="ja-JP"/>
        </w:rPr>
        <w:t xml:space="preserve"> government, such as </w:t>
      </w:r>
      <w:r w:rsidR="00BC6339" w:rsidRPr="00365892">
        <w:rPr>
          <w:sz w:val="22"/>
          <w:szCs w:val="22"/>
          <w:lang w:eastAsia="ja-JP"/>
        </w:rPr>
        <w:t xml:space="preserve">charters, </w:t>
      </w:r>
      <w:r w:rsidR="008F6A36" w:rsidRPr="00365892">
        <w:rPr>
          <w:sz w:val="22"/>
          <w:szCs w:val="22"/>
          <w:lang w:eastAsia="ja-JP"/>
        </w:rPr>
        <w:t>ordinances</w:t>
      </w:r>
      <w:r w:rsidR="00BC6339" w:rsidRPr="00365892">
        <w:rPr>
          <w:sz w:val="22"/>
          <w:szCs w:val="22"/>
          <w:lang w:eastAsia="ja-JP"/>
        </w:rPr>
        <w:t>,</w:t>
      </w:r>
      <w:r w:rsidR="008F6A36" w:rsidRPr="00365892">
        <w:rPr>
          <w:sz w:val="22"/>
          <w:szCs w:val="22"/>
          <w:lang w:eastAsia="ja-JP"/>
        </w:rPr>
        <w:t xml:space="preserve"> </w:t>
      </w:r>
      <w:r w:rsidR="00BC6339" w:rsidRPr="00365892">
        <w:rPr>
          <w:sz w:val="22"/>
          <w:szCs w:val="22"/>
          <w:lang w:eastAsia="ja-JP"/>
        </w:rPr>
        <w:t>resolutions</w:t>
      </w:r>
      <w:r w:rsidR="008F6A36" w:rsidRPr="00365892">
        <w:rPr>
          <w:sz w:val="22"/>
          <w:szCs w:val="22"/>
          <w:lang w:eastAsia="ja-JP"/>
        </w:rPr>
        <w:t xml:space="preserve">, contracts, grant agreements, </w:t>
      </w:r>
      <w:r w:rsidR="001F3FE6" w:rsidRPr="00365892">
        <w:rPr>
          <w:sz w:val="22"/>
          <w:szCs w:val="22"/>
          <w:lang w:eastAsia="ja-JP"/>
        </w:rPr>
        <w:t xml:space="preserve">debt covenants </w:t>
      </w:r>
      <w:r w:rsidR="008F6A36" w:rsidRPr="00365892">
        <w:rPr>
          <w:sz w:val="22"/>
          <w:szCs w:val="22"/>
          <w:lang w:eastAsia="ja-JP"/>
        </w:rPr>
        <w:t xml:space="preserve">and leases. </w:t>
      </w:r>
      <w:r w:rsidR="0001537A" w:rsidRPr="00365892">
        <w:rPr>
          <w:sz w:val="22"/>
          <w:szCs w:val="22"/>
          <w:lang w:eastAsia="ja-JP"/>
        </w:rPr>
        <w:t xml:space="preserve"> </w:t>
      </w:r>
      <w:r w:rsidR="008F6A36" w:rsidRPr="00365892">
        <w:rPr>
          <w:sz w:val="22"/>
          <w:szCs w:val="22"/>
          <w:lang w:eastAsia="ja-JP"/>
        </w:rPr>
        <w:t>If any of these requirements could</w:t>
      </w:r>
      <w:r w:rsidR="00E10DEE" w:rsidRPr="00365892">
        <w:rPr>
          <w:sz w:val="22"/>
          <w:szCs w:val="22"/>
          <w:lang w:eastAsia="ja-JP"/>
        </w:rPr>
        <w:t xml:space="preserve"> directly and</w:t>
      </w:r>
      <w:r w:rsidR="008F6A36" w:rsidRPr="00365892">
        <w:rPr>
          <w:sz w:val="22"/>
          <w:szCs w:val="22"/>
          <w:lang w:eastAsia="ja-JP"/>
        </w:rPr>
        <w:t xml:space="preserve"> material</w:t>
      </w:r>
      <w:r w:rsidR="001F3FE6" w:rsidRPr="00365892">
        <w:rPr>
          <w:sz w:val="22"/>
          <w:szCs w:val="22"/>
          <w:lang w:eastAsia="ja-JP"/>
        </w:rPr>
        <w:t>ly</w:t>
      </w:r>
      <w:r w:rsidR="008F6A36" w:rsidRPr="00365892">
        <w:rPr>
          <w:sz w:val="22"/>
          <w:szCs w:val="22"/>
          <w:lang w:eastAsia="ja-JP"/>
        </w:rPr>
        <w:t xml:space="preserve"> </w:t>
      </w:r>
      <w:r w:rsidR="001F3FE6" w:rsidRPr="00365892">
        <w:rPr>
          <w:sz w:val="22"/>
          <w:szCs w:val="22"/>
          <w:lang w:eastAsia="ja-JP"/>
        </w:rPr>
        <w:t>a</w:t>
      </w:r>
      <w:r w:rsidR="008F6A36" w:rsidRPr="00365892">
        <w:rPr>
          <w:sz w:val="22"/>
          <w:szCs w:val="22"/>
          <w:lang w:eastAsia="ja-JP"/>
        </w:rPr>
        <w:t xml:space="preserve">ffect the </w:t>
      </w:r>
      <w:r w:rsidR="00D974AE" w:rsidRPr="00365892">
        <w:rPr>
          <w:sz w:val="22"/>
          <w:szCs w:val="22"/>
          <w:lang w:eastAsia="ja-JP"/>
        </w:rPr>
        <w:t xml:space="preserve">determination of financial statement amounts, </w:t>
      </w:r>
      <w:r w:rsidR="008F6A36" w:rsidRPr="00365892">
        <w:rPr>
          <w:sz w:val="22"/>
          <w:szCs w:val="22"/>
          <w:lang w:eastAsia="ja-JP"/>
        </w:rPr>
        <w:t>the</w:t>
      </w:r>
      <w:r w:rsidR="009B5412" w:rsidRPr="00365892">
        <w:rPr>
          <w:sz w:val="22"/>
          <w:szCs w:val="22"/>
          <w:lang w:eastAsia="ja-JP"/>
        </w:rPr>
        <w:t xml:space="preserve"> auditor</w:t>
      </w:r>
      <w:r w:rsidR="008F6A36" w:rsidRPr="00365892">
        <w:rPr>
          <w:sz w:val="22"/>
          <w:szCs w:val="22"/>
          <w:lang w:eastAsia="ja-JP"/>
        </w:rPr>
        <w:t xml:space="preserve"> should </w:t>
      </w:r>
      <w:r w:rsidR="00D974AE" w:rsidRPr="00365892">
        <w:rPr>
          <w:sz w:val="22"/>
          <w:szCs w:val="22"/>
          <w:lang w:eastAsia="ja-JP"/>
        </w:rPr>
        <w:t xml:space="preserve">design </w:t>
      </w:r>
      <w:r w:rsidR="008F6A36" w:rsidRPr="00365892">
        <w:rPr>
          <w:sz w:val="22"/>
          <w:szCs w:val="22"/>
          <w:lang w:eastAsia="ja-JP"/>
        </w:rPr>
        <w:t>test</w:t>
      </w:r>
      <w:r w:rsidR="00D974AE" w:rsidRPr="00365892">
        <w:rPr>
          <w:sz w:val="22"/>
          <w:szCs w:val="22"/>
          <w:lang w:eastAsia="ja-JP"/>
        </w:rPr>
        <w:t>s for</w:t>
      </w:r>
      <w:r w:rsidR="009B5412" w:rsidRPr="00365892">
        <w:rPr>
          <w:sz w:val="22"/>
          <w:szCs w:val="22"/>
          <w:lang w:eastAsia="ja-JP"/>
        </w:rPr>
        <w:t xml:space="preserve"> them</w:t>
      </w:r>
      <w:r w:rsidR="008F6A36" w:rsidRPr="00365892">
        <w:rPr>
          <w:sz w:val="22"/>
          <w:szCs w:val="22"/>
          <w:lang w:eastAsia="ja-JP"/>
        </w:rPr>
        <w:t>.</w:t>
      </w:r>
      <w:r w:rsidR="00B04032" w:rsidRPr="00365892">
        <w:rPr>
          <w:sz w:val="22"/>
          <w:szCs w:val="22"/>
          <w:lang w:eastAsia="ja-JP"/>
        </w:rPr>
        <w:t xml:space="preserve">  Regarding laws and regulations th</w:t>
      </w:r>
      <w:r w:rsidR="00120FD1" w:rsidRPr="00365892">
        <w:rPr>
          <w:sz w:val="22"/>
          <w:szCs w:val="22"/>
          <w:lang w:eastAsia="ja-JP"/>
        </w:rPr>
        <w:t xml:space="preserve">e </w:t>
      </w:r>
      <w:r w:rsidR="00120FD1" w:rsidRPr="00365892">
        <w:rPr>
          <w:i/>
          <w:iCs/>
          <w:sz w:val="22"/>
          <w:szCs w:val="22"/>
          <w:lang w:eastAsia="ja-JP"/>
        </w:rPr>
        <w:t>OCS</w:t>
      </w:r>
      <w:r w:rsidR="00120FD1" w:rsidRPr="00365892">
        <w:rPr>
          <w:sz w:val="22"/>
          <w:szCs w:val="22"/>
          <w:lang w:eastAsia="ja-JP"/>
        </w:rPr>
        <w:t xml:space="preserve"> </w:t>
      </w:r>
      <w:r w:rsidR="00B04032" w:rsidRPr="00365892">
        <w:rPr>
          <w:sz w:val="22"/>
          <w:szCs w:val="22"/>
          <w:lang w:eastAsia="ja-JP"/>
        </w:rPr>
        <w:t xml:space="preserve">does not </w:t>
      </w:r>
      <w:proofErr w:type="gramStart"/>
      <w:r w:rsidR="00B04032" w:rsidRPr="00365892">
        <w:rPr>
          <w:sz w:val="22"/>
          <w:szCs w:val="22"/>
          <w:lang w:eastAsia="ja-JP"/>
        </w:rPr>
        <w:t>include,</w:t>
      </w:r>
      <w:proofErr w:type="gramEnd"/>
      <w:r w:rsidR="00B04032" w:rsidRPr="00365892">
        <w:rPr>
          <w:sz w:val="22"/>
          <w:szCs w:val="22"/>
          <w:lang w:eastAsia="ja-JP"/>
        </w:rPr>
        <w:t xml:space="preserve"> auditing standards recognize management’s year-round involvement with operations should provide them with </w:t>
      </w:r>
      <w:r w:rsidR="00FA72DB" w:rsidRPr="00365892">
        <w:rPr>
          <w:sz w:val="22"/>
          <w:szCs w:val="22"/>
          <w:lang w:eastAsia="ja-JP"/>
        </w:rPr>
        <w:t>knowledge of these requirements</w:t>
      </w:r>
      <w:r w:rsidR="000E5D08" w:rsidRPr="00365892">
        <w:rPr>
          <w:sz w:val="22"/>
          <w:szCs w:val="22"/>
          <w:lang w:eastAsia="ja-JP"/>
        </w:rPr>
        <w:t>.</w:t>
      </w:r>
      <w:r w:rsidR="00FA72DB" w:rsidRPr="00365892">
        <w:rPr>
          <w:sz w:val="22"/>
          <w:szCs w:val="22"/>
          <w:lang w:eastAsia="ja-JP"/>
        </w:rPr>
        <w:t xml:space="preserve"> </w:t>
      </w:r>
      <w:r w:rsidR="000E5D08" w:rsidRPr="00365892">
        <w:rPr>
          <w:sz w:val="22"/>
          <w:szCs w:val="22"/>
          <w:lang w:eastAsia="ja-JP"/>
        </w:rPr>
        <w:t xml:space="preserve"> I</w:t>
      </w:r>
      <w:r w:rsidR="00FA72DB" w:rsidRPr="00365892">
        <w:rPr>
          <w:sz w:val="22"/>
          <w:szCs w:val="22"/>
          <w:lang w:eastAsia="ja-JP"/>
        </w:rPr>
        <w:t xml:space="preserve">t is </w:t>
      </w:r>
      <w:r w:rsidR="000E5D08" w:rsidRPr="00365892">
        <w:rPr>
          <w:sz w:val="22"/>
          <w:szCs w:val="22"/>
          <w:lang w:eastAsia="ja-JP"/>
        </w:rPr>
        <w:t xml:space="preserve">therefore </w:t>
      </w:r>
      <w:r w:rsidR="00FA72DB" w:rsidRPr="00365892">
        <w:rPr>
          <w:sz w:val="22"/>
          <w:szCs w:val="22"/>
          <w:lang w:eastAsia="ja-JP"/>
        </w:rPr>
        <w:t xml:space="preserve">reasonable to expect </w:t>
      </w:r>
      <w:r w:rsidR="00FA72DB" w:rsidRPr="00365892">
        <w:rPr>
          <w:i/>
          <w:iCs/>
          <w:sz w:val="22"/>
          <w:szCs w:val="22"/>
          <w:u w:val="single"/>
          <w:lang w:eastAsia="ja-JP"/>
        </w:rPr>
        <w:t>management</w:t>
      </w:r>
      <w:r w:rsidR="00FA72DB" w:rsidRPr="00365892">
        <w:rPr>
          <w:sz w:val="22"/>
          <w:szCs w:val="22"/>
          <w:lang w:eastAsia="ja-JP"/>
        </w:rPr>
        <w:t xml:space="preserve"> to identify and convey these requirements to their auditor</w:t>
      </w:r>
      <w:r w:rsidR="0061206C" w:rsidRPr="00365892">
        <w:rPr>
          <w:sz w:val="22"/>
          <w:szCs w:val="22"/>
          <w:lang w:eastAsia="ja-JP"/>
        </w:rPr>
        <w:t xml:space="preserve">.  </w:t>
      </w:r>
      <w:r w:rsidR="005A6F43" w:rsidRPr="00365892">
        <w:rPr>
          <w:sz w:val="22"/>
          <w:szCs w:val="22"/>
          <w:lang w:eastAsia="ja-JP"/>
        </w:rPr>
        <w:t xml:space="preserve">The AICPA’s </w:t>
      </w:r>
      <w:r w:rsidR="00692DAA" w:rsidRPr="00365892">
        <w:rPr>
          <w:sz w:val="22"/>
          <w:szCs w:val="22"/>
          <w:lang w:eastAsia="ja-JP"/>
        </w:rPr>
        <w:t xml:space="preserve">Audit and Accounting Guide, </w:t>
      </w:r>
      <w:r w:rsidR="005A6F43" w:rsidRPr="00365892">
        <w:rPr>
          <w:i/>
          <w:iCs/>
          <w:sz w:val="22"/>
          <w:szCs w:val="22"/>
          <w:lang w:eastAsia="ja-JP"/>
        </w:rPr>
        <w:t>State and Local Governments</w:t>
      </w:r>
      <w:r w:rsidR="004C075E" w:rsidRPr="00365892">
        <w:rPr>
          <w:i/>
          <w:iCs/>
          <w:sz w:val="22"/>
          <w:szCs w:val="22"/>
          <w:lang w:eastAsia="ja-JP"/>
        </w:rPr>
        <w:t xml:space="preserve"> </w:t>
      </w:r>
      <w:r w:rsidR="004C075E" w:rsidRPr="00365892">
        <w:rPr>
          <w:sz w:val="22"/>
          <w:szCs w:val="22"/>
          <w:lang w:eastAsia="ja-JP"/>
        </w:rPr>
        <w:t>(AAG SLG</w:t>
      </w:r>
      <w:r w:rsidR="00053C3B" w:rsidRPr="00C67098">
        <w:rPr>
          <w:rStyle w:val="FootnoteReference"/>
          <w:sz w:val="22"/>
          <w:szCs w:val="22"/>
          <w:u w:val="wave"/>
          <w:lang w:eastAsia="ja-JP"/>
        </w:rPr>
        <w:footnoteReference w:id="3"/>
      </w:r>
      <w:r w:rsidR="004C075E" w:rsidRPr="00365892">
        <w:rPr>
          <w:sz w:val="22"/>
          <w:szCs w:val="22"/>
          <w:lang w:eastAsia="ja-JP"/>
        </w:rPr>
        <w:t>)</w:t>
      </w:r>
      <w:r w:rsidR="00692DAA" w:rsidRPr="00365892">
        <w:rPr>
          <w:sz w:val="22"/>
          <w:szCs w:val="22"/>
          <w:lang w:eastAsia="ja-JP"/>
        </w:rPr>
        <w:t xml:space="preserve">, </w:t>
      </w:r>
      <w:r w:rsidR="00433C76" w:rsidRPr="00365892">
        <w:rPr>
          <w:sz w:val="22"/>
          <w:szCs w:val="22"/>
          <w:lang w:eastAsia="ja-JP"/>
        </w:rPr>
        <w:t>4</w:t>
      </w:r>
      <w:r w:rsidR="00C04FA0" w:rsidRPr="00365892">
        <w:rPr>
          <w:sz w:val="22"/>
          <w:szCs w:val="22"/>
          <w:lang w:eastAsia="ja-JP"/>
        </w:rPr>
        <w:t xml:space="preserve">.13 </w:t>
      </w:r>
      <w:r w:rsidR="00623DBD" w:rsidRPr="00365892">
        <w:rPr>
          <w:sz w:val="22"/>
          <w:szCs w:val="22"/>
          <w:lang w:eastAsia="ja-JP"/>
        </w:rPr>
        <w:t>states:</w:t>
      </w:r>
      <w:r w:rsidR="00692DAA" w:rsidRPr="00365892">
        <w:rPr>
          <w:sz w:val="22"/>
          <w:szCs w:val="22"/>
          <w:lang w:eastAsia="ja-JP"/>
        </w:rPr>
        <w:t xml:space="preserve"> </w:t>
      </w:r>
      <w:r w:rsidR="005A6F43" w:rsidRPr="00365892">
        <w:rPr>
          <w:i/>
          <w:iCs/>
          <w:sz w:val="22"/>
          <w:szCs w:val="22"/>
          <w:lang w:eastAsia="ja-JP"/>
        </w:rPr>
        <w:t xml:space="preserve"> </w:t>
      </w:r>
    </w:p>
    <w:p w14:paraId="3A80C368" w14:textId="77777777" w:rsidR="002B18D7" w:rsidRPr="00365892" w:rsidRDefault="002B18D7" w:rsidP="00467115">
      <w:pPr>
        <w:ind w:left="720"/>
        <w:rPr>
          <w:color w:val="000000"/>
          <w:sz w:val="22"/>
          <w:szCs w:val="22"/>
        </w:rPr>
      </w:pPr>
    </w:p>
    <w:p w14:paraId="29CF2A41" w14:textId="69E7196C" w:rsidR="002B18D7" w:rsidRDefault="002B18D7" w:rsidP="00874620">
      <w:pPr>
        <w:ind w:left="720"/>
        <w:jc w:val="both"/>
        <w:rPr>
          <w:color w:val="000000"/>
          <w:sz w:val="22"/>
          <w:szCs w:val="22"/>
        </w:rPr>
      </w:pPr>
      <w:r w:rsidRPr="00365892">
        <w:rPr>
          <w:color w:val="000000"/>
          <w:sz w:val="22"/>
          <w:szCs w:val="22"/>
        </w:rPr>
        <w:t>In accord</w:t>
      </w:r>
      <w:r w:rsidR="001E326C" w:rsidRPr="00365892">
        <w:rPr>
          <w:color w:val="000000"/>
          <w:sz w:val="22"/>
          <w:szCs w:val="22"/>
        </w:rPr>
        <w:t>ance with paragraph AU-C</w:t>
      </w:r>
      <w:r w:rsidRPr="00365892">
        <w:rPr>
          <w:color w:val="000000"/>
          <w:sz w:val="22"/>
          <w:szCs w:val="22"/>
        </w:rPr>
        <w:t xml:space="preserve"> 250</w:t>
      </w:r>
      <w:r w:rsidR="001E326C" w:rsidRPr="00365892">
        <w:rPr>
          <w:color w:val="000000"/>
          <w:sz w:val="22"/>
          <w:szCs w:val="22"/>
        </w:rPr>
        <w:t>.03</w:t>
      </w:r>
      <w:r w:rsidRPr="00365892">
        <w:rPr>
          <w:color w:val="000000"/>
          <w:sz w:val="22"/>
          <w:szCs w:val="22"/>
        </w:rPr>
        <w:t>, it is the responsibility of management, with the oversight of those charged with governance, to ensure that the entity's operations are conducted in accordance with the provisions of laws and regulations, including compliance with the provisions of laws and regulations that determine the reported amounts and disclosures in an entity's financial statements. That responsibility encompasses identifying applicable compliance requirements and</w:t>
      </w:r>
      <w:r w:rsidR="00D0354B">
        <w:rPr>
          <w:color w:val="000000"/>
          <w:sz w:val="22"/>
          <w:szCs w:val="22"/>
        </w:rPr>
        <w:t xml:space="preserve"> </w:t>
      </w:r>
      <w:r w:rsidRPr="00365892">
        <w:rPr>
          <w:color w:val="000000"/>
          <w:sz w:val="22"/>
          <w:szCs w:val="22"/>
        </w:rPr>
        <w:t>establishing</w:t>
      </w:r>
      <w:r w:rsidR="00815277" w:rsidRPr="00365892">
        <w:rPr>
          <w:color w:val="000000"/>
          <w:sz w:val="22"/>
          <w:szCs w:val="22"/>
        </w:rPr>
        <w:t xml:space="preserve"> a system of</w:t>
      </w:r>
      <w:r w:rsidRPr="00365892">
        <w:rPr>
          <w:color w:val="000000"/>
          <w:sz w:val="22"/>
          <w:szCs w:val="22"/>
        </w:rPr>
        <w:t xml:space="preserve"> internal controls designed to provide reasonable assurance that the entity complies with them.</w:t>
      </w:r>
      <w:r w:rsidRPr="00365892">
        <w:rPr>
          <w:rStyle w:val="FootnoteReference"/>
          <w:color w:val="000000"/>
          <w:sz w:val="22"/>
          <w:szCs w:val="22"/>
        </w:rPr>
        <w:t xml:space="preserve"> </w:t>
      </w:r>
      <w:r w:rsidRPr="00365892">
        <w:rPr>
          <w:rStyle w:val="FootnoteReference"/>
          <w:color w:val="000000"/>
          <w:sz w:val="22"/>
          <w:szCs w:val="22"/>
        </w:rPr>
        <w:footnoteReference w:id="4"/>
      </w:r>
    </w:p>
    <w:p w14:paraId="178AB30A" w14:textId="77777777" w:rsidR="00B454D1" w:rsidRPr="00365892" w:rsidRDefault="00B454D1" w:rsidP="00874620">
      <w:pPr>
        <w:ind w:left="720"/>
        <w:jc w:val="both"/>
        <w:rPr>
          <w:color w:val="000000"/>
          <w:sz w:val="22"/>
          <w:szCs w:val="22"/>
        </w:rPr>
      </w:pPr>
    </w:p>
    <w:p w14:paraId="0B94C107" w14:textId="2129A2C4" w:rsidR="00C176EB" w:rsidRPr="00365892" w:rsidRDefault="00136496" w:rsidP="4398808A">
      <w:pPr>
        <w:jc w:val="both"/>
        <w:rPr>
          <w:sz w:val="22"/>
          <w:szCs w:val="22"/>
          <w:lang w:eastAsia="ja-JP"/>
        </w:rPr>
      </w:pPr>
      <w:r w:rsidRPr="00365892">
        <w:rPr>
          <w:sz w:val="22"/>
          <w:szCs w:val="22"/>
          <w:lang w:eastAsia="ja-JP"/>
        </w:rPr>
        <w:t xml:space="preserve">To the extent a public office does not fall within the classes of public offices the </w:t>
      </w:r>
      <w:r w:rsidR="00E71E84" w:rsidRPr="00365892">
        <w:rPr>
          <w:i/>
          <w:iCs/>
          <w:sz w:val="22"/>
          <w:szCs w:val="22"/>
          <w:lang w:eastAsia="ja-JP"/>
        </w:rPr>
        <w:t xml:space="preserve">OCS </w:t>
      </w:r>
      <w:r w:rsidRPr="00365892">
        <w:rPr>
          <w:sz w:val="22"/>
          <w:szCs w:val="22"/>
          <w:lang w:eastAsia="ja-JP"/>
        </w:rPr>
        <w:t xml:space="preserve">includes, </w:t>
      </w:r>
      <w:proofErr w:type="gramStart"/>
      <w:r w:rsidRPr="00365892">
        <w:rPr>
          <w:sz w:val="22"/>
          <w:szCs w:val="22"/>
          <w:lang w:eastAsia="ja-JP"/>
        </w:rPr>
        <w:t>and also</w:t>
      </w:r>
      <w:proofErr w:type="gramEnd"/>
      <w:r w:rsidRPr="00365892">
        <w:rPr>
          <w:sz w:val="22"/>
          <w:szCs w:val="22"/>
          <w:lang w:eastAsia="ja-JP"/>
        </w:rPr>
        <w:t xml:space="preserve"> i</w:t>
      </w:r>
      <w:r w:rsidR="005A6F43" w:rsidRPr="00365892">
        <w:rPr>
          <w:sz w:val="22"/>
          <w:szCs w:val="22"/>
          <w:lang w:eastAsia="ja-JP"/>
        </w:rPr>
        <w:t>n part t</w:t>
      </w:r>
      <w:r w:rsidR="000E5D08" w:rsidRPr="00365892">
        <w:rPr>
          <w:sz w:val="22"/>
          <w:szCs w:val="22"/>
          <w:lang w:eastAsia="ja-JP"/>
        </w:rPr>
        <w:t xml:space="preserve">o </w:t>
      </w:r>
      <w:r w:rsidRPr="00365892">
        <w:rPr>
          <w:sz w:val="22"/>
          <w:szCs w:val="22"/>
          <w:lang w:eastAsia="ja-JP"/>
        </w:rPr>
        <w:t xml:space="preserve">(1) </w:t>
      </w:r>
      <w:r w:rsidR="000E5D08" w:rsidRPr="00365892">
        <w:rPr>
          <w:sz w:val="22"/>
          <w:szCs w:val="22"/>
          <w:lang w:eastAsia="ja-JP"/>
        </w:rPr>
        <w:t xml:space="preserve">corroborate </w:t>
      </w:r>
      <w:r w:rsidR="00BC6339" w:rsidRPr="00365892">
        <w:rPr>
          <w:sz w:val="22"/>
          <w:szCs w:val="22"/>
          <w:lang w:eastAsia="ja-JP"/>
        </w:rPr>
        <w:t xml:space="preserve">the completeness of the </w:t>
      </w:r>
      <w:r w:rsidR="00021396" w:rsidRPr="00365892">
        <w:rPr>
          <w:sz w:val="22"/>
          <w:szCs w:val="22"/>
          <w:lang w:eastAsia="ja-JP"/>
        </w:rPr>
        <w:t xml:space="preserve">compliance </w:t>
      </w:r>
      <w:r w:rsidR="000E5D08" w:rsidRPr="00365892">
        <w:rPr>
          <w:sz w:val="22"/>
          <w:szCs w:val="22"/>
          <w:lang w:eastAsia="ja-JP"/>
        </w:rPr>
        <w:t>requirements management identifies</w:t>
      </w:r>
      <w:r w:rsidR="000259C5" w:rsidRPr="00365892">
        <w:rPr>
          <w:sz w:val="22"/>
          <w:szCs w:val="22"/>
          <w:lang w:eastAsia="ja-JP"/>
        </w:rPr>
        <w:t>,</w:t>
      </w:r>
      <w:r w:rsidR="00E350E0" w:rsidRPr="00365892">
        <w:rPr>
          <w:sz w:val="22"/>
          <w:szCs w:val="22"/>
          <w:lang w:eastAsia="ja-JP"/>
        </w:rPr>
        <w:t xml:space="preserve"> </w:t>
      </w:r>
      <w:r w:rsidRPr="00365892">
        <w:rPr>
          <w:sz w:val="22"/>
          <w:szCs w:val="22"/>
          <w:lang w:eastAsia="ja-JP"/>
        </w:rPr>
        <w:t>and (2</w:t>
      </w:r>
      <w:r w:rsidR="00021396" w:rsidRPr="00365892">
        <w:rPr>
          <w:sz w:val="22"/>
          <w:szCs w:val="22"/>
          <w:lang w:eastAsia="ja-JP"/>
        </w:rPr>
        <w:t>) to</w:t>
      </w:r>
      <w:r w:rsidR="00E350E0" w:rsidRPr="00365892">
        <w:rPr>
          <w:sz w:val="22"/>
          <w:szCs w:val="22"/>
          <w:lang w:eastAsia="ja-JP"/>
        </w:rPr>
        <w:t xml:space="preserve"> identify their potential material effect</w:t>
      </w:r>
      <w:r w:rsidR="008F6A36" w:rsidRPr="00365892">
        <w:rPr>
          <w:sz w:val="22"/>
          <w:szCs w:val="22"/>
          <w:lang w:eastAsia="ja-JP"/>
        </w:rPr>
        <w:t>,</w:t>
      </w:r>
      <w:r w:rsidR="00F525D8" w:rsidRPr="00365892">
        <w:rPr>
          <w:sz w:val="22"/>
          <w:szCs w:val="22"/>
          <w:lang w:eastAsia="ja-JP"/>
        </w:rPr>
        <w:t xml:space="preserve"> </w:t>
      </w:r>
      <w:r w:rsidR="004C075E" w:rsidRPr="00365892">
        <w:rPr>
          <w:sz w:val="22"/>
          <w:szCs w:val="22"/>
          <w:lang w:eastAsia="ja-JP"/>
        </w:rPr>
        <w:t xml:space="preserve">AAG SLG </w:t>
      </w:r>
      <w:r w:rsidR="00815277" w:rsidRPr="00365892">
        <w:rPr>
          <w:sz w:val="22"/>
          <w:szCs w:val="22"/>
          <w:lang w:eastAsia="ja-JP"/>
        </w:rPr>
        <w:t>4</w:t>
      </w:r>
      <w:r w:rsidR="0086074A" w:rsidRPr="00365892">
        <w:rPr>
          <w:sz w:val="22"/>
          <w:szCs w:val="22"/>
          <w:lang w:eastAsia="ja-JP"/>
        </w:rPr>
        <w:t xml:space="preserve">.23 </w:t>
      </w:r>
      <w:r w:rsidR="00290464" w:rsidRPr="00365892">
        <w:rPr>
          <w:sz w:val="22"/>
          <w:szCs w:val="22"/>
          <w:lang w:eastAsia="ja-JP"/>
        </w:rPr>
        <w:t>suggests</w:t>
      </w:r>
      <w:r w:rsidR="00623DBD" w:rsidRPr="00365892">
        <w:rPr>
          <w:sz w:val="22"/>
          <w:szCs w:val="22"/>
          <w:lang w:eastAsia="ja-JP"/>
        </w:rPr>
        <w:t>:</w:t>
      </w:r>
      <w:r w:rsidR="008F6A36" w:rsidRPr="00365892">
        <w:rPr>
          <w:sz w:val="22"/>
          <w:szCs w:val="22"/>
          <w:lang w:eastAsia="ja-JP"/>
        </w:rPr>
        <w:t xml:space="preserve"> </w:t>
      </w:r>
      <w:r w:rsidR="00C176EB" w:rsidRPr="00365892">
        <w:rPr>
          <w:sz w:val="22"/>
          <w:szCs w:val="22"/>
          <w:lang w:eastAsia="ja-JP"/>
        </w:rPr>
        <w:t xml:space="preserve"> </w:t>
      </w:r>
    </w:p>
    <w:p w14:paraId="64BDF2F9" w14:textId="77777777" w:rsidR="00290464" w:rsidRPr="00365892" w:rsidRDefault="00290464" w:rsidP="00361150">
      <w:pPr>
        <w:pStyle w:val="NormalWeb"/>
        <w:ind w:left="0"/>
        <w:jc w:val="both"/>
        <w:rPr>
          <w:rFonts w:ascii="Verdana" w:hAnsi="Verdana"/>
          <w:b/>
          <w:bCs/>
          <w:color w:val="000000"/>
          <w:sz w:val="18"/>
          <w:szCs w:val="18"/>
        </w:rPr>
      </w:pPr>
    </w:p>
    <w:p w14:paraId="661F1498" w14:textId="77777777" w:rsidR="00290464" w:rsidRPr="00365892" w:rsidRDefault="00290464" w:rsidP="00361150">
      <w:pPr>
        <w:pStyle w:val="NormalWeb"/>
        <w:ind w:left="360"/>
        <w:jc w:val="both"/>
        <w:rPr>
          <w:color w:val="000000"/>
          <w:sz w:val="22"/>
          <w:szCs w:val="22"/>
        </w:rPr>
      </w:pPr>
      <w:r w:rsidRPr="00365892">
        <w:rPr>
          <w:color w:val="000000"/>
          <w:sz w:val="22"/>
          <w:szCs w:val="22"/>
        </w:rPr>
        <w:t>The auditor may consider performing the following procedures to assess management's identification of compliance requirements that could material</w:t>
      </w:r>
      <w:r w:rsidR="00432A7F" w:rsidRPr="00365892">
        <w:rPr>
          <w:color w:val="000000"/>
          <w:sz w:val="22"/>
          <w:szCs w:val="22"/>
        </w:rPr>
        <w:t>ly</w:t>
      </w:r>
      <w:r w:rsidRPr="00365892">
        <w:rPr>
          <w:color w:val="000000"/>
          <w:sz w:val="22"/>
          <w:szCs w:val="22"/>
        </w:rPr>
        <w:t xml:space="preserve"> </w:t>
      </w:r>
      <w:r w:rsidR="00432A7F" w:rsidRPr="00365892">
        <w:rPr>
          <w:color w:val="000000"/>
          <w:sz w:val="22"/>
          <w:szCs w:val="22"/>
        </w:rPr>
        <w:t>a</w:t>
      </w:r>
      <w:r w:rsidRPr="00365892">
        <w:rPr>
          <w:color w:val="000000"/>
          <w:sz w:val="22"/>
          <w:szCs w:val="22"/>
        </w:rPr>
        <w:t>ffect financial statement amounts</w:t>
      </w:r>
      <w:r w:rsidR="0072300A" w:rsidRPr="00365892">
        <w:rPr>
          <w:color w:val="000000"/>
          <w:sz w:val="22"/>
          <w:szCs w:val="22"/>
        </w:rPr>
        <w:t xml:space="preserve"> and disclosures</w:t>
      </w:r>
      <w:r w:rsidRPr="00365892">
        <w:rPr>
          <w:color w:val="000000"/>
          <w:sz w:val="22"/>
          <w:szCs w:val="22"/>
        </w:rPr>
        <w:t xml:space="preserve">: </w:t>
      </w:r>
    </w:p>
    <w:p w14:paraId="5165F8C3"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Consider knowledge about compliance requirements obtained during prior-period audits.</w:t>
      </w:r>
    </w:p>
    <w:p w14:paraId="5005401C"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 xml:space="preserve">Interview the entity's chief financial officer, legal counsel, </w:t>
      </w:r>
      <w:r w:rsidR="00834449" w:rsidRPr="00365892">
        <w:rPr>
          <w:color w:val="000000"/>
          <w:sz w:val="22"/>
          <w:szCs w:val="22"/>
        </w:rPr>
        <w:t xml:space="preserve">internal auditor, </w:t>
      </w:r>
      <w:r w:rsidRPr="00365892">
        <w:rPr>
          <w:color w:val="000000"/>
          <w:sz w:val="22"/>
          <w:szCs w:val="22"/>
        </w:rPr>
        <w:t>or grant administrators about compliance requirements.</w:t>
      </w:r>
    </w:p>
    <w:p w14:paraId="747941E5"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 xml:space="preserve">Identify sources of revenue, review any related agreements (for example, loan, grant, and contribution agreements), and ask about legal provisions </w:t>
      </w:r>
      <w:r w:rsidR="00F01A04" w:rsidRPr="00365892">
        <w:rPr>
          <w:color w:val="000000"/>
          <w:sz w:val="22"/>
          <w:szCs w:val="22"/>
        </w:rPr>
        <w:t xml:space="preserve">and enabling legislation </w:t>
      </w:r>
      <w:r w:rsidRPr="00365892">
        <w:rPr>
          <w:color w:val="000000"/>
          <w:sz w:val="22"/>
          <w:szCs w:val="22"/>
        </w:rPr>
        <w:t>that relate to using and accounting for the revenue.</w:t>
      </w:r>
    </w:p>
    <w:p w14:paraId="6AE1D238" w14:textId="1F10527C"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 xml:space="preserve">Obtain and review federal and state </w:t>
      </w:r>
      <w:r w:rsidR="009C3934" w:rsidRPr="00365892">
        <w:rPr>
          <w:color w:val="000000"/>
          <w:sz w:val="22"/>
          <w:szCs w:val="22"/>
        </w:rPr>
        <w:t>guidance</w:t>
      </w:r>
      <w:r w:rsidRPr="00365892">
        <w:rPr>
          <w:color w:val="000000"/>
          <w:sz w:val="22"/>
          <w:szCs w:val="22"/>
        </w:rPr>
        <w:t xml:space="preserve"> pertaining to compliance requirements, such as Department of the Treasury and Internal Revenue Service regulations (concerning the calculation and reporting of arbitrage rebates and re</w:t>
      </w:r>
      <w:r w:rsidR="00C419DB" w:rsidRPr="00365892">
        <w:rPr>
          <w:color w:val="000000"/>
          <w:sz w:val="22"/>
          <w:szCs w:val="22"/>
        </w:rPr>
        <w:t xml:space="preserve">funds and employment taxes), </w:t>
      </w:r>
      <w:r w:rsidR="00D9073A" w:rsidRPr="00365892">
        <w:rPr>
          <w:color w:val="000000"/>
          <w:sz w:val="22"/>
          <w:szCs w:val="22"/>
        </w:rPr>
        <w:t xml:space="preserve">the </w:t>
      </w:r>
      <w:r w:rsidR="00C419DB" w:rsidRPr="00365892">
        <w:rPr>
          <w:color w:val="000000"/>
          <w:sz w:val="22"/>
          <w:szCs w:val="22"/>
        </w:rPr>
        <w:t>Uniform Guidance</w:t>
      </w:r>
      <w:r w:rsidR="00D9073A" w:rsidRPr="00365892">
        <w:rPr>
          <w:color w:val="000000"/>
          <w:sz w:val="22"/>
          <w:szCs w:val="22"/>
        </w:rPr>
        <w:t xml:space="preserve"> cost principles and administrative requirements, as applicable to the award, </w:t>
      </w:r>
      <w:r w:rsidR="00C419DB" w:rsidRPr="00365892">
        <w:rPr>
          <w:color w:val="000000"/>
          <w:sz w:val="22"/>
          <w:szCs w:val="22"/>
        </w:rPr>
        <w:t>the</w:t>
      </w:r>
      <w:r w:rsidRPr="00365892">
        <w:rPr>
          <w:color w:val="000000"/>
          <w:sz w:val="22"/>
          <w:szCs w:val="22"/>
        </w:rPr>
        <w:t xml:space="preserve"> </w:t>
      </w:r>
      <w:r w:rsidRPr="00365892">
        <w:rPr>
          <w:i/>
          <w:iCs/>
          <w:color w:val="000000"/>
          <w:sz w:val="22"/>
          <w:szCs w:val="22"/>
        </w:rPr>
        <w:t>OMB Compliance Supplement</w:t>
      </w:r>
      <w:r w:rsidRPr="00365892">
        <w:rPr>
          <w:color w:val="000000"/>
          <w:sz w:val="22"/>
          <w:szCs w:val="22"/>
        </w:rPr>
        <w:t>,</w:t>
      </w:r>
      <w:r w:rsidRPr="00365892">
        <w:rPr>
          <w:i/>
          <w:iCs/>
          <w:color w:val="000000"/>
          <w:sz w:val="22"/>
          <w:szCs w:val="22"/>
        </w:rPr>
        <w:t xml:space="preserve"> </w:t>
      </w:r>
      <w:r w:rsidR="009C3934" w:rsidRPr="00365892">
        <w:rPr>
          <w:rStyle w:val="FootnoteReference"/>
          <w:sz w:val="22"/>
          <w:szCs w:val="22"/>
          <w:lang w:eastAsia="ja-JP"/>
        </w:rPr>
        <w:footnoteReference w:id="5"/>
      </w:r>
      <w:r w:rsidR="009C3934" w:rsidRPr="00365892">
        <w:rPr>
          <w:sz w:val="22"/>
          <w:szCs w:val="22"/>
          <w:lang w:eastAsia="ja-JP"/>
        </w:rPr>
        <w:t xml:space="preserve"> </w:t>
      </w:r>
      <w:r w:rsidRPr="00365892">
        <w:rPr>
          <w:color w:val="000000"/>
          <w:sz w:val="22"/>
          <w:szCs w:val="22"/>
        </w:rPr>
        <w:t>and similar state program publications (concerning grants and appropriations).</w:t>
      </w:r>
    </w:p>
    <w:p w14:paraId="744A9B10"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Obtain and review sections of the state constitution, statutes, and regulations that pertain to the entity, in particular the sections that concern financial reporting, investment, debt, taxation, budget, appropriation, and procurement matters.</w:t>
      </w:r>
    </w:p>
    <w:p w14:paraId="6D2BA43A"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Review the minutes of meetings of the entity's governing board for the enactment of relevant laws and regulations and information about relevant contracts and grant agreements.</w:t>
      </w:r>
    </w:p>
    <w:p w14:paraId="3E48492B"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Ask federal, state, or local auditors or other appropriate audit oversight organizations about applicable compliance requirements, including statutes and uniform reporting requirements.</w:t>
      </w:r>
    </w:p>
    <w:p w14:paraId="762BD973"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Ask the audit, finance, or program administrators of other entities from which the entity receives grants, contributions, and appropriations about the restrictions, limitations, terms, and conditions under which the amounts were provided.</w:t>
      </w:r>
    </w:p>
    <w:p w14:paraId="0B420106"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Review the discussions of compliance requirements applicable to specific industries, as found in this guide and other relevant AICPA Audit and Accounting Guides.</w:t>
      </w:r>
    </w:p>
    <w:p w14:paraId="7E2DFA8C" w14:textId="77777777" w:rsidR="00290464" w:rsidRPr="00365892" w:rsidRDefault="00290464" w:rsidP="00A66E45">
      <w:pPr>
        <w:pStyle w:val="NormalWeb"/>
        <w:numPr>
          <w:ilvl w:val="0"/>
          <w:numId w:val="11"/>
        </w:numPr>
        <w:spacing w:before="100" w:beforeAutospacing="1" w:after="100" w:afterAutospacing="1"/>
        <w:jc w:val="both"/>
        <w:rPr>
          <w:color w:val="000000"/>
          <w:sz w:val="22"/>
          <w:szCs w:val="22"/>
        </w:rPr>
      </w:pPr>
      <w:r w:rsidRPr="00365892">
        <w:rPr>
          <w:color w:val="000000"/>
          <w:sz w:val="22"/>
          <w:szCs w:val="22"/>
        </w:rPr>
        <w:t>Review accounting and auditing materials available from other professional organizations, such as state societies of certified public accountants and governmental associations.</w:t>
      </w:r>
    </w:p>
    <w:p w14:paraId="34AC027A" w14:textId="5A9DBAFA" w:rsidR="00F12E09" w:rsidRDefault="002B18D7" w:rsidP="00E6466A">
      <w:pPr>
        <w:pStyle w:val="NormalWeb"/>
        <w:spacing w:before="100" w:beforeAutospacing="1" w:after="100" w:afterAutospacing="1"/>
        <w:ind w:left="360"/>
        <w:jc w:val="both"/>
        <w:rPr>
          <w:b/>
          <w:sz w:val="22"/>
          <w:szCs w:val="22"/>
        </w:rPr>
      </w:pPr>
      <w:r w:rsidRPr="00365892">
        <w:rPr>
          <w:color w:val="000000"/>
          <w:sz w:val="22"/>
          <w:szCs w:val="22"/>
        </w:rPr>
        <w:t xml:space="preserve">To obtain information about possible violations of compliance requirements, the auditor should consider making inquiries of management, legal counsel, </w:t>
      </w:r>
      <w:r w:rsidR="00F01A04" w:rsidRPr="00365892">
        <w:rPr>
          <w:color w:val="000000"/>
          <w:sz w:val="22"/>
          <w:szCs w:val="22"/>
        </w:rPr>
        <w:t xml:space="preserve">internal auditors, </w:t>
      </w:r>
      <w:r w:rsidRPr="00365892">
        <w:rPr>
          <w:color w:val="000000"/>
          <w:sz w:val="22"/>
          <w:szCs w:val="22"/>
        </w:rPr>
        <w:t>grant administrators, and other appropriate sources; and testing transactions for adherenc</w:t>
      </w:r>
      <w:r w:rsidR="009B4BF1" w:rsidRPr="00365892">
        <w:rPr>
          <w:color w:val="000000"/>
          <w:sz w:val="22"/>
          <w:szCs w:val="22"/>
        </w:rPr>
        <w:t>e with compliance requirements.</w:t>
      </w:r>
    </w:p>
    <w:p w14:paraId="45E7C874" w14:textId="77777777" w:rsidR="00F12E09" w:rsidRDefault="00F12E09" w:rsidP="00361150">
      <w:pPr>
        <w:jc w:val="both"/>
        <w:rPr>
          <w:b/>
          <w:sz w:val="22"/>
          <w:szCs w:val="22"/>
        </w:rPr>
        <w:sectPr w:rsidR="00F12E09" w:rsidSect="00090962">
          <w:headerReference w:type="default" r:id="rId13"/>
          <w:type w:val="continuous"/>
          <w:pgSz w:w="12240" w:h="15840"/>
          <w:pgMar w:top="1440" w:right="1440" w:bottom="720" w:left="1440" w:header="720" w:footer="720" w:gutter="0"/>
          <w:cols w:space="720"/>
          <w:noEndnote/>
        </w:sectPr>
      </w:pPr>
    </w:p>
    <w:p w14:paraId="0CAAC13F" w14:textId="546EAB3C" w:rsidR="008F6A36" w:rsidRPr="00365892" w:rsidRDefault="008F6A36" w:rsidP="00361150">
      <w:pPr>
        <w:jc w:val="both"/>
        <w:rPr>
          <w:b/>
          <w:sz w:val="22"/>
          <w:szCs w:val="22"/>
        </w:rPr>
      </w:pPr>
      <w:r w:rsidRPr="00365892">
        <w:rPr>
          <w:b/>
          <w:sz w:val="22"/>
          <w:szCs w:val="22"/>
        </w:rPr>
        <w:t>Direct and Material Laws and Regulations</w:t>
      </w:r>
    </w:p>
    <w:p w14:paraId="0DC4572C" w14:textId="77777777" w:rsidR="008F6A36" w:rsidRPr="00365892" w:rsidRDefault="008F6A36" w:rsidP="00361150">
      <w:pPr>
        <w:jc w:val="both"/>
        <w:rPr>
          <w:b/>
          <w:sz w:val="22"/>
          <w:szCs w:val="18"/>
          <w:lang w:eastAsia="ja-JP"/>
        </w:rPr>
      </w:pPr>
    </w:p>
    <w:p w14:paraId="4050D8D3" w14:textId="290DAFD4" w:rsidR="00E0622E" w:rsidRPr="00365892" w:rsidRDefault="7A1BBF1B" w:rsidP="4398808A">
      <w:pPr>
        <w:jc w:val="both"/>
        <w:rPr>
          <w:sz w:val="22"/>
          <w:szCs w:val="22"/>
          <w:lang w:eastAsia="ja-JP"/>
        </w:rPr>
      </w:pPr>
      <w:r w:rsidRPr="00365892">
        <w:rPr>
          <w:sz w:val="22"/>
          <w:szCs w:val="22"/>
          <w:lang w:eastAsia="ja-JP"/>
        </w:rPr>
        <w:t>In addition to the discussion above from AU-C 250</w:t>
      </w:r>
      <w:r w:rsidR="003366D4" w:rsidRPr="00365892">
        <w:rPr>
          <w:sz w:val="22"/>
          <w:szCs w:val="22"/>
          <w:lang w:eastAsia="ja-JP"/>
        </w:rPr>
        <w:t>, the</w:t>
      </w:r>
      <w:r w:rsidR="5C492EF4" w:rsidRPr="00365892">
        <w:rPr>
          <w:sz w:val="22"/>
          <w:szCs w:val="22"/>
          <w:lang w:eastAsia="ja-JP"/>
        </w:rPr>
        <w:t xml:space="preserve"> </w:t>
      </w:r>
      <w:r w:rsidR="6436182D" w:rsidRPr="00365892">
        <w:rPr>
          <w:sz w:val="22"/>
          <w:szCs w:val="22"/>
          <w:lang w:eastAsia="ja-JP"/>
        </w:rPr>
        <w:t>AAG SLG</w:t>
      </w:r>
      <w:r w:rsidR="5C492EF4" w:rsidRPr="00365892">
        <w:rPr>
          <w:i/>
          <w:iCs/>
          <w:sz w:val="22"/>
          <w:szCs w:val="22"/>
          <w:lang w:eastAsia="ja-JP"/>
        </w:rPr>
        <w:t xml:space="preserve"> </w:t>
      </w:r>
      <w:r w:rsidR="5C492EF4" w:rsidRPr="00365892">
        <w:rPr>
          <w:sz w:val="22"/>
          <w:szCs w:val="22"/>
          <w:lang w:eastAsia="ja-JP"/>
        </w:rPr>
        <w:t>sections</w:t>
      </w:r>
      <w:r w:rsidR="61B1B4CB" w:rsidRPr="00365892">
        <w:rPr>
          <w:sz w:val="22"/>
          <w:szCs w:val="22"/>
          <w:lang w:eastAsia="ja-JP"/>
        </w:rPr>
        <w:t xml:space="preserve"> </w:t>
      </w:r>
      <w:r w:rsidR="4A4EE886" w:rsidRPr="00365892">
        <w:rPr>
          <w:sz w:val="22"/>
          <w:szCs w:val="22"/>
          <w:lang w:eastAsia="ja-JP"/>
        </w:rPr>
        <w:t>4.11</w:t>
      </w:r>
      <w:r w:rsidR="0B652084" w:rsidRPr="00365892">
        <w:rPr>
          <w:sz w:val="22"/>
          <w:szCs w:val="22"/>
          <w:lang w:eastAsia="ja-JP"/>
        </w:rPr>
        <w:t xml:space="preserve"> </w:t>
      </w:r>
      <w:r w:rsidR="5C492EF4" w:rsidRPr="00365892">
        <w:rPr>
          <w:sz w:val="22"/>
          <w:szCs w:val="22"/>
          <w:lang w:eastAsia="ja-JP"/>
        </w:rPr>
        <w:t>through</w:t>
      </w:r>
      <w:r w:rsidR="61B1B4CB" w:rsidRPr="00365892">
        <w:rPr>
          <w:sz w:val="22"/>
          <w:szCs w:val="22"/>
          <w:lang w:eastAsia="ja-JP"/>
        </w:rPr>
        <w:t xml:space="preserve"> </w:t>
      </w:r>
      <w:proofErr w:type="gramStart"/>
      <w:r w:rsidR="23897CB2" w:rsidRPr="00365892">
        <w:rPr>
          <w:sz w:val="22"/>
          <w:szCs w:val="22"/>
          <w:lang w:eastAsia="ja-JP"/>
        </w:rPr>
        <w:t>4</w:t>
      </w:r>
      <w:r w:rsidR="0CD79D69" w:rsidRPr="00365892">
        <w:rPr>
          <w:sz w:val="22"/>
          <w:szCs w:val="22"/>
          <w:lang w:eastAsia="ja-JP"/>
        </w:rPr>
        <w:t>.</w:t>
      </w:r>
      <w:r w:rsidR="23897CB2" w:rsidRPr="00365892">
        <w:rPr>
          <w:sz w:val="22"/>
          <w:szCs w:val="22"/>
          <w:lang w:eastAsia="ja-JP"/>
        </w:rPr>
        <w:t>24</w:t>
      </w:r>
      <w:r w:rsidR="4B4817EA" w:rsidRPr="00365892">
        <w:rPr>
          <w:sz w:val="22"/>
          <w:szCs w:val="22"/>
          <w:lang w:eastAsia="ja-JP"/>
        </w:rPr>
        <w:t>,</w:t>
      </w:r>
      <w:proofErr w:type="gramEnd"/>
      <w:r w:rsidR="4B4817EA" w:rsidRPr="00365892">
        <w:rPr>
          <w:sz w:val="22"/>
          <w:szCs w:val="22"/>
          <w:lang w:eastAsia="ja-JP"/>
        </w:rPr>
        <w:t xml:space="preserve"> discuss</w:t>
      </w:r>
      <w:r w:rsidR="5C492EF4" w:rsidRPr="00365892">
        <w:rPr>
          <w:sz w:val="22"/>
          <w:szCs w:val="22"/>
          <w:lang w:eastAsia="ja-JP"/>
        </w:rPr>
        <w:t xml:space="preserve"> legal requirements which might direct</w:t>
      </w:r>
      <w:r w:rsidR="09AF6D0A" w:rsidRPr="00365892">
        <w:rPr>
          <w:sz w:val="22"/>
          <w:szCs w:val="22"/>
          <w:lang w:eastAsia="ja-JP"/>
        </w:rPr>
        <w:t>ly</w:t>
      </w:r>
      <w:r w:rsidR="5C492EF4" w:rsidRPr="00365892">
        <w:rPr>
          <w:sz w:val="22"/>
          <w:szCs w:val="22"/>
          <w:lang w:eastAsia="ja-JP"/>
        </w:rPr>
        <w:t xml:space="preserve"> and material</w:t>
      </w:r>
      <w:r w:rsidR="09AF6D0A" w:rsidRPr="00365892">
        <w:rPr>
          <w:sz w:val="22"/>
          <w:szCs w:val="22"/>
          <w:lang w:eastAsia="ja-JP"/>
        </w:rPr>
        <w:t>ly</w:t>
      </w:r>
      <w:r w:rsidR="5C492EF4" w:rsidRPr="00365892">
        <w:rPr>
          <w:sz w:val="22"/>
          <w:szCs w:val="22"/>
          <w:lang w:eastAsia="ja-JP"/>
        </w:rPr>
        <w:t xml:space="preserve"> </w:t>
      </w:r>
      <w:r w:rsidR="09AF6D0A" w:rsidRPr="00365892">
        <w:rPr>
          <w:sz w:val="22"/>
          <w:szCs w:val="22"/>
          <w:lang w:eastAsia="ja-JP"/>
        </w:rPr>
        <w:t>a</w:t>
      </w:r>
      <w:r w:rsidR="5C492EF4" w:rsidRPr="00365892">
        <w:rPr>
          <w:sz w:val="22"/>
          <w:szCs w:val="22"/>
          <w:lang w:eastAsia="ja-JP"/>
        </w:rPr>
        <w:t xml:space="preserve">ffect </w:t>
      </w:r>
      <w:r w:rsidR="62C6C53A" w:rsidRPr="00365892">
        <w:rPr>
          <w:sz w:val="22"/>
          <w:szCs w:val="22"/>
          <w:lang w:eastAsia="ja-JP"/>
        </w:rPr>
        <w:t xml:space="preserve">determining </w:t>
      </w:r>
      <w:r w:rsidR="5C492EF4" w:rsidRPr="00365892">
        <w:rPr>
          <w:sz w:val="22"/>
          <w:szCs w:val="22"/>
          <w:lang w:eastAsia="ja-JP"/>
        </w:rPr>
        <w:t xml:space="preserve">financial statement amounts for a governmental entity. </w:t>
      </w:r>
      <w:r w:rsidR="4D7514E0" w:rsidRPr="00365892">
        <w:rPr>
          <w:sz w:val="22"/>
          <w:szCs w:val="22"/>
          <w:lang w:eastAsia="ja-JP"/>
        </w:rPr>
        <w:t xml:space="preserve">Material noncompliance </w:t>
      </w:r>
      <w:r w:rsidR="799EB224" w:rsidRPr="00365892">
        <w:rPr>
          <w:sz w:val="22"/>
          <w:szCs w:val="22"/>
          <w:lang w:eastAsia="ja-JP"/>
        </w:rPr>
        <w:t>(</w:t>
      </w:r>
      <w:r w:rsidR="083C10CC" w:rsidRPr="00365892">
        <w:rPr>
          <w:sz w:val="22"/>
          <w:szCs w:val="22"/>
          <w:lang w:eastAsia="ja-JP"/>
        </w:rPr>
        <w:t xml:space="preserve">having a </w:t>
      </w:r>
      <w:r w:rsidR="799EB224" w:rsidRPr="00365892">
        <w:rPr>
          <w:sz w:val="22"/>
          <w:szCs w:val="22"/>
          <w:lang w:eastAsia="ja-JP"/>
        </w:rPr>
        <w:t>direct or indirect</w:t>
      </w:r>
      <w:r w:rsidR="083C10CC" w:rsidRPr="00365892">
        <w:rPr>
          <w:sz w:val="22"/>
          <w:szCs w:val="22"/>
          <w:lang w:eastAsia="ja-JP"/>
        </w:rPr>
        <w:t xml:space="preserve"> effect</w:t>
      </w:r>
      <w:r w:rsidR="799EB224" w:rsidRPr="00365892">
        <w:rPr>
          <w:sz w:val="22"/>
          <w:szCs w:val="22"/>
          <w:lang w:eastAsia="ja-JP"/>
        </w:rPr>
        <w:t xml:space="preserve">) </w:t>
      </w:r>
      <w:r w:rsidR="4D7514E0" w:rsidRPr="00365892">
        <w:rPr>
          <w:sz w:val="22"/>
          <w:szCs w:val="22"/>
          <w:lang w:eastAsia="ja-JP"/>
        </w:rPr>
        <w:t xml:space="preserve">would </w:t>
      </w:r>
      <w:r w:rsidR="3278DFAC" w:rsidRPr="00365892">
        <w:rPr>
          <w:sz w:val="22"/>
          <w:szCs w:val="22"/>
          <w:lang w:eastAsia="ja-JP"/>
        </w:rPr>
        <w:t>often</w:t>
      </w:r>
      <w:r w:rsidR="4D7514E0" w:rsidRPr="00365892">
        <w:rPr>
          <w:sz w:val="22"/>
          <w:szCs w:val="22"/>
          <w:lang w:eastAsia="ja-JP"/>
        </w:rPr>
        <w:t>:</w:t>
      </w:r>
    </w:p>
    <w:p w14:paraId="789AE613" w14:textId="77777777" w:rsidR="00E0622E" w:rsidRPr="00365892" w:rsidRDefault="002E10FA" w:rsidP="00A66E45">
      <w:pPr>
        <w:pStyle w:val="ListParagraph"/>
        <w:numPr>
          <w:ilvl w:val="0"/>
          <w:numId w:val="13"/>
        </w:numPr>
        <w:jc w:val="both"/>
        <w:rPr>
          <w:sz w:val="22"/>
          <w:szCs w:val="18"/>
          <w:lang w:eastAsia="ja-JP"/>
        </w:rPr>
      </w:pPr>
      <w:r w:rsidRPr="00365892">
        <w:rPr>
          <w:sz w:val="22"/>
          <w:szCs w:val="18"/>
          <w:lang w:eastAsia="ja-JP"/>
        </w:rPr>
        <w:t>R</w:t>
      </w:r>
      <w:r w:rsidR="00E0622E" w:rsidRPr="00365892">
        <w:rPr>
          <w:sz w:val="22"/>
          <w:szCs w:val="18"/>
          <w:lang w:eastAsia="ja-JP"/>
        </w:rPr>
        <w:t>equire adjusting amounts or revising disclosures.</w:t>
      </w:r>
    </w:p>
    <w:p w14:paraId="6979556B" w14:textId="77777777" w:rsidR="00E0622E" w:rsidRPr="00365892" w:rsidRDefault="00E0622E" w:rsidP="00A66E45">
      <w:pPr>
        <w:pStyle w:val="ListParagraph"/>
        <w:numPr>
          <w:ilvl w:val="1"/>
          <w:numId w:val="13"/>
        </w:numPr>
        <w:jc w:val="both"/>
        <w:rPr>
          <w:sz w:val="22"/>
          <w:szCs w:val="18"/>
          <w:lang w:eastAsia="ja-JP"/>
        </w:rPr>
      </w:pPr>
      <w:r w:rsidRPr="00365892">
        <w:rPr>
          <w:sz w:val="22"/>
          <w:szCs w:val="18"/>
          <w:lang w:eastAsia="ja-JP"/>
        </w:rPr>
        <w:t xml:space="preserve">Auditors should do the same regarding noncompliance </w:t>
      </w:r>
      <w:r w:rsidRPr="00365892">
        <w:rPr>
          <w:b/>
          <w:i/>
          <w:sz w:val="22"/>
          <w:szCs w:val="18"/>
          <w:lang w:eastAsia="ja-JP"/>
        </w:rPr>
        <w:t>indirectly</w:t>
      </w:r>
      <w:r w:rsidRPr="00365892">
        <w:rPr>
          <w:sz w:val="22"/>
          <w:szCs w:val="18"/>
          <w:lang w:eastAsia="ja-JP"/>
        </w:rPr>
        <w:t xml:space="preserve"> affecting financial statement amounts or disclosures, if they become aware of it.</w:t>
      </w:r>
    </w:p>
    <w:p w14:paraId="6ECEE713" w14:textId="77777777" w:rsidR="008240EF" w:rsidRPr="00365892" w:rsidRDefault="008240EF" w:rsidP="00A66E45">
      <w:pPr>
        <w:pStyle w:val="ListParagraph"/>
        <w:numPr>
          <w:ilvl w:val="2"/>
          <w:numId w:val="13"/>
        </w:numPr>
        <w:jc w:val="both"/>
        <w:rPr>
          <w:sz w:val="22"/>
          <w:szCs w:val="18"/>
          <w:lang w:eastAsia="ja-JP"/>
        </w:rPr>
      </w:pPr>
      <w:r w:rsidRPr="00365892">
        <w:rPr>
          <w:sz w:val="22"/>
          <w:szCs w:val="18"/>
          <w:lang w:eastAsia="ja-JP"/>
        </w:rPr>
        <w:t xml:space="preserve">For example, </w:t>
      </w:r>
      <w:r w:rsidR="008F4021" w:rsidRPr="00365892">
        <w:rPr>
          <w:sz w:val="22"/>
          <w:szCs w:val="18"/>
          <w:lang w:eastAsia="ja-JP"/>
        </w:rPr>
        <w:t xml:space="preserve">AU-C 250.06 b.iii describes material penalties as an </w:t>
      </w:r>
      <w:r w:rsidR="008F4021" w:rsidRPr="00365892">
        <w:rPr>
          <w:b/>
          <w:i/>
          <w:sz w:val="22"/>
          <w:szCs w:val="18"/>
          <w:lang w:eastAsia="ja-JP"/>
        </w:rPr>
        <w:t>indirect effect</w:t>
      </w:r>
      <w:r w:rsidR="008F4021" w:rsidRPr="00365892">
        <w:rPr>
          <w:sz w:val="22"/>
          <w:szCs w:val="18"/>
          <w:lang w:eastAsia="ja-JP"/>
        </w:rPr>
        <w:t xml:space="preserve">, though they may require disclosure or even accrual as a contingent expense </w:t>
      </w:r>
    </w:p>
    <w:p w14:paraId="1283B1C0" w14:textId="77777777" w:rsidR="008240EF" w:rsidRPr="00365892" w:rsidRDefault="008240EF" w:rsidP="00A66E45">
      <w:pPr>
        <w:pStyle w:val="ListParagraph"/>
        <w:numPr>
          <w:ilvl w:val="0"/>
          <w:numId w:val="13"/>
        </w:numPr>
        <w:jc w:val="both"/>
        <w:rPr>
          <w:sz w:val="22"/>
          <w:szCs w:val="18"/>
          <w:lang w:eastAsia="ja-JP"/>
        </w:rPr>
      </w:pPr>
      <w:r w:rsidRPr="00365892">
        <w:rPr>
          <w:sz w:val="22"/>
          <w:szCs w:val="18"/>
          <w:lang w:eastAsia="ja-JP"/>
        </w:rPr>
        <w:t xml:space="preserve">Require reporting as a material GAGAS noncompliance finding. </w:t>
      </w:r>
    </w:p>
    <w:p w14:paraId="6146D150" w14:textId="77777777" w:rsidR="008240EF" w:rsidRPr="00365892" w:rsidRDefault="008240EF" w:rsidP="00A66E45">
      <w:pPr>
        <w:pStyle w:val="ListParagraph"/>
        <w:numPr>
          <w:ilvl w:val="0"/>
          <w:numId w:val="13"/>
        </w:numPr>
        <w:jc w:val="both"/>
        <w:rPr>
          <w:sz w:val="22"/>
          <w:szCs w:val="18"/>
          <w:lang w:eastAsia="ja-JP"/>
        </w:rPr>
      </w:pPr>
      <w:r w:rsidRPr="00365892">
        <w:rPr>
          <w:sz w:val="22"/>
          <w:szCs w:val="18"/>
          <w:lang w:eastAsia="ja-JP"/>
        </w:rPr>
        <w:t xml:space="preserve">May represent significant / material </w:t>
      </w:r>
      <w:r w:rsidRPr="00365892">
        <w:rPr>
          <w:sz w:val="22"/>
          <w:szCs w:val="22"/>
          <w:lang w:eastAsia="ja-JP"/>
        </w:rPr>
        <w:t xml:space="preserve">violations of “finance-related legal </w:t>
      </w:r>
      <w:r w:rsidR="00F01A04" w:rsidRPr="00365892">
        <w:rPr>
          <w:sz w:val="22"/>
          <w:szCs w:val="22"/>
          <w:lang w:eastAsia="ja-JP"/>
        </w:rPr>
        <w:t>and</w:t>
      </w:r>
      <w:r w:rsidRPr="00365892">
        <w:rPr>
          <w:sz w:val="22"/>
          <w:szCs w:val="22"/>
          <w:lang w:eastAsia="ja-JP"/>
        </w:rPr>
        <w:t xml:space="preserve"> contractual provisions” </w:t>
      </w:r>
    </w:p>
    <w:p w14:paraId="74D8DD99" w14:textId="06621838" w:rsidR="008240EF" w:rsidRPr="00365892" w:rsidRDefault="008240EF" w:rsidP="00A66E45">
      <w:pPr>
        <w:pStyle w:val="ListParagraph"/>
        <w:numPr>
          <w:ilvl w:val="1"/>
          <w:numId w:val="13"/>
        </w:numPr>
        <w:jc w:val="both"/>
        <w:rPr>
          <w:sz w:val="22"/>
          <w:szCs w:val="18"/>
          <w:lang w:eastAsia="ja-JP"/>
        </w:rPr>
      </w:pPr>
      <w:r w:rsidRPr="00365892">
        <w:rPr>
          <w:sz w:val="22"/>
          <w:szCs w:val="22"/>
          <w:lang w:eastAsia="ja-JP"/>
        </w:rPr>
        <w:t>G</w:t>
      </w:r>
      <w:r w:rsidR="00E71E84" w:rsidRPr="00365892">
        <w:rPr>
          <w:sz w:val="22"/>
          <w:szCs w:val="22"/>
          <w:lang w:eastAsia="ja-JP"/>
        </w:rPr>
        <w:t>ASB Cod. 2300.106(h) require</w:t>
      </w:r>
      <w:r w:rsidR="0010364C" w:rsidRPr="00365892">
        <w:rPr>
          <w:sz w:val="22"/>
          <w:szCs w:val="22"/>
          <w:lang w:eastAsia="ja-JP"/>
        </w:rPr>
        <w:t>s</w:t>
      </w:r>
      <w:r w:rsidRPr="00365892">
        <w:rPr>
          <w:sz w:val="22"/>
          <w:szCs w:val="22"/>
          <w:lang w:eastAsia="ja-JP"/>
        </w:rPr>
        <w:t xml:space="preserve"> “</w:t>
      </w:r>
      <w:r w:rsidR="00F01A04" w:rsidRPr="00365892">
        <w:rPr>
          <w:sz w:val="22"/>
          <w:szCs w:val="22"/>
          <w:lang w:eastAsia="ja-JP"/>
        </w:rPr>
        <w:t xml:space="preserve">notes to the financial statements </w:t>
      </w:r>
      <w:r w:rsidR="00612F8A" w:rsidRPr="00365892">
        <w:rPr>
          <w:sz w:val="22"/>
          <w:szCs w:val="22"/>
          <w:lang w:eastAsia="ja-JP"/>
        </w:rPr>
        <w:t xml:space="preserve">essential to fair presentation in the basic financial statements include </w:t>
      </w:r>
      <w:r w:rsidR="00A226FF" w:rsidRPr="00365892">
        <w:rPr>
          <w:sz w:val="22"/>
          <w:szCs w:val="22"/>
          <w:lang w:eastAsia="ja-JP"/>
        </w:rPr>
        <w:t xml:space="preserve">significant </w:t>
      </w:r>
      <w:r w:rsidR="00694BB3" w:rsidRPr="00365892">
        <w:rPr>
          <w:sz w:val="22"/>
          <w:szCs w:val="22"/>
          <w:lang w:eastAsia="ja-JP"/>
        </w:rPr>
        <w:t xml:space="preserve">violations of finance-related legal </w:t>
      </w:r>
      <w:r w:rsidR="00AA0D5C" w:rsidRPr="00365892">
        <w:rPr>
          <w:sz w:val="22"/>
          <w:szCs w:val="22"/>
          <w:lang w:eastAsia="ja-JP"/>
        </w:rPr>
        <w:t>or</w:t>
      </w:r>
      <w:r w:rsidR="00694BB3" w:rsidRPr="00365892">
        <w:rPr>
          <w:sz w:val="22"/>
          <w:szCs w:val="22"/>
          <w:lang w:eastAsia="ja-JP"/>
        </w:rPr>
        <w:t xml:space="preserve"> contractual provisions</w:t>
      </w:r>
      <w:r w:rsidRPr="00365892">
        <w:rPr>
          <w:sz w:val="22"/>
          <w:szCs w:val="22"/>
          <w:lang w:eastAsia="ja-JP"/>
        </w:rPr>
        <w:t xml:space="preserve"> and actions taken to address </w:t>
      </w:r>
      <w:r w:rsidR="00734FC0" w:rsidRPr="00365892">
        <w:rPr>
          <w:sz w:val="22"/>
          <w:szCs w:val="22"/>
          <w:lang w:eastAsia="ja-JP"/>
        </w:rPr>
        <w:t xml:space="preserve">such </w:t>
      </w:r>
      <w:r w:rsidRPr="00365892">
        <w:rPr>
          <w:sz w:val="22"/>
          <w:szCs w:val="22"/>
          <w:lang w:eastAsia="ja-JP"/>
        </w:rPr>
        <w:t>violations”</w:t>
      </w:r>
      <w:r w:rsidRPr="00365892">
        <w:rPr>
          <w:i/>
          <w:sz w:val="22"/>
          <w:szCs w:val="22"/>
          <w:lang w:eastAsia="ja-JP"/>
        </w:rPr>
        <w:t>.</w:t>
      </w:r>
      <w:r w:rsidRPr="00365892">
        <w:rPr>
          <w:sz w:val="22"/>
          <w:szCs w:val="22"/>
          <w:lang w:eastAsia="ja-JP"/>
        </w:rPr>
        <w:t xml:space="preserve"> </w:t>
      </w:r>
      <w:r w:rsidR="00A5029F" w:rsidRPr="00365892">
        <w:rPr>
          <w:sz w:val="22"/>
          <w:szCs w:val="22"/>
          <w:lang w:eastAsia="ja-JP"/>
        </w:rPr>
        <w:t xml:space="preserve">The GASB Codification does not define </w:t>
      </w:r>
      <w:r w:rsidR="00A5029F" w:rsidRPr="00365892">
        <w:rPr>
          <w:i/>
          <w:sz w:val="22"/>
          <w:szCs w:val="22"/>
          <w:lang w:eastAsia="ja-JP"/>
        </w:rPr>
        <w:t>finance-related legal or contractual provisions</w:t>
      </w:r>
      <w:r w:rsidR="00A5029F" w:rsidRPr="00365892">
        <w:rPr>
          <w:sz w:val="22"/>
          <w:szCs w:val="22"/>
          <w:lang w:eastAsia="ja-JP"/>
        </w:rPr>
        <w:t>.  However, the sources in the table below</w:t>
      </w:r>
      <w:r w:rsidR="00F00292" w:rsidRPr="00365892">
        <w:rPr>
          <w:sz w:val="22"/>
          <w:szCs w:val="22"/>
          <w:lang w:eastAsia="ja-JP"/>
        </w:rPr>
        <w:t xml:space="preserve"> are</w:t>
      </w:r>
      <w:r w:rsidR="00A5029F" w:rsidRPr="00365892">
        <w:rPr>
          <w:sz w:val="22"/>
          <w:szCs w:val="22"/>
          <w:lang w:eastAsia="ja-JP"/>
        </w:rPr>
        <w:t xml:space="preserve"> describe</w:t>
      </w:r>
      <w:r w:rsidR="00F00292" w:rsidRPr="00365892">
        <w:rPr>
          <w:sz w:val="22"/>
          <w:szCs w:val="22"/>
          <w:lang w:eastAsia="ja-JP"/>
        </w:rPr>
        <w:t>d</w:t>
      </w:r>
      <w:r w:rsidR="00A5029F" w:rsidRPr="00365892">
        <w:rPr>
          <w:sz w:val="22"/>
          <w:szCs w:val="22"/>
          <w:lang w:eastAsia="ja-JP"/>
        </w:rPr>
        <w:t xml:space="preserve"> as being </w:t>
      </w:r>
      <w:r w:rsidR="00A5029F" w:rsidRPr="00365892">
        <w:rPr>
          <w:i/>
          <w:sz w:val="22"/>
          <w:szCs w:val="22"/>
          <w:lang w:eastAsia="ja-JP"/>
        </w:rPr>
        <w:t>finance-related legal or contractual provisions.</w:t>
      </w:r>
    </w:p>
    <w:p w14:paraId="3EBA3A3B" w14:textId="7C47D177" w:rsidR="00713C23" w:rsidRPr="00365892" w:rsidRDefault="7C159539" w:rsidP="4398808A">
      <w:pPr>
        <w:pStyle w:val="ListParagraph"/>
        <w:numPr>
          <w:ilvl w:val="1"/>
          <w:numId w:val="13"/>
        </w:numPr>
        <w:jc w:val="both"/>
        <w:rPr>
          <w:sz w:val="22"/>
          <w:szCs w:val="22"/>
          <w:lang w:eastAsia="ja-JP"/>
        </w:rPr>
      </w:pPr>
      <w:r w:rsidRPr="00365892">
        <w:rPr>
          <w:sz w:val="22"/>
          <w:szCs w:val="22"/>
          <w:lang w:eastAsia="ja-JP"/>
        </w:rPr>
        <w:t xml:space="preserve">Refer also to </w:t>
      </w:r>
      <w:r w:rsidR="6436182D" w:rsidRPr="00365892">
        <w:rPr>
          <w:sz w:val="22"/>
          <w:szCs w:val="22"/>
          <w:lang w:eastAsia="ja-JP"/>
        </w:rPr>
        <w:t>AAG SLG</w:t>
      </w:r>
      <w:r w:rsidRPr="00365892">
        <w:rPr>
          <w:sz w:val="22"/>
          <w:szCs w:val="22"/>
          <w:lang w:eastAsia="ja-JP"/>
        </w:rPr>
        <w:t xml:space="preserve"> </w:t>
      </w:r>
      <w:r w:rsidR="67D498F1" w:rsidRPr="00365892">
        <w:rPr>
          <w:sz w:val="22"/>
          <w:szCs w:val="22"/>
          <w:lang w:eastAsia="ja-JP"/>
        </w:rPr>
        <w:t xml:space="preserve">4.15 </w:t>
      </w:r>
      <w:r w:rsidRPr="00365892">
        <w:rPr>
          <w:sz w:val="22"/>
          <w:szCs w:val="22"/>
          <w:lang w:eastAsia="ja-JP"/>
        </w:rPr>
        <w:t>for guidance.</w:t>
      </w:r>
    </w:p>
    <w:p w14:paraId="0958C8D2" w14:textId="77777777" w:rsidR="008240EF" w:rsidRPr="00365892" w:rsidRDefault="008240EF" w:rsidP="00A66E45">
      <w:pPr>
        <w:pStyle w:val="ListParagraph"/>
        <w:numPr>
          <w:ilvl w:val="1"/>
          <w:numId w:val="13"/>
        </w:numPr>
        <w:jc w:val="both"/>
        <w:rPr>
          <w:sz w:val="22"/>
          <w:szCs w:val="18"/>
          <w:lang w:eastAsia="ja-JP"/>
        </w:rPr>
      </w:pPr>
      <w:r w:rsidRPr="00365892">
        <w:rPr>
          <w:sz w:val="22"/>
          <w:szCs w:val="22"/>
          <w:lang w:eastAsia="ja-JP"/>
        </w:rPr>
        <w:t>See tabl</w:t>
      </w:r>
      <w:r w:rsidR="00EE6F77" w:rsidRPr="00365892">
        <w:rPr>
          <w:sz w:val="22"/>
          <w:szCs w:val="22"/>
          <w:lang w:eastAsia="ja-JP"/>
        </w:rPr>
        <w:t>e below in this Implementation G</w:t>
      </w:r>
      <w:r w:rsidRPr="00365892">
        <w:rPr>
          <w:sz w:val="22"/>
          <w:szCs w:val="22"/>
          <w:lang w:eastAsia="ja-JP"/>
        </w:rPr>
        <w:t xml:space="preserve">uide. </w:t>
      </w:r>
      <w:r w:rsidR="00ED0F22" w:rsidRPr="00365892">
        <w:rPr>
          <w:sz w:val="22"/>
          <w:szCs w:val="22"/>
          <w:lang w:eastAsia="ja-JP"/>
        </w:rPr>
        <w:t xml:space="preserve">  </w:t>
      </w:r>
    </w:p>
    <w:p w14:paraId="2E1CDC88" w14:textId="77777777" w:rsidR="00E0622E" w:rsidRPr="00365892" w:rsidRDefault="00E0622E" w:rsidP="00361150">
      <w:pPr>
        <w:jc w:val="both"/>
        <w:rPr>
          <w:i/>
          <w:iCs/>
          <w:sz w:val="22"/>
          <w:szCs w:val="22"/>
        </w:rPr>
      </w:pPr>
    </w:p>
    <w:p w14:paraId="244528BF" w14:textId="105FDC5B" w:rsidR="00E0622E" w:rsidRPr="00365892" w:rsidRDefault="004C075E" w:rsidP="4398808A">
      <w:pPr>
        <w:jc w:val="both"/>
        <w:rPr>
          <w:sz w:val="22"/>
          <w:szCs w:val="22"/>
          <w:lang w:eastAsia="ja-JP"/>
        </w:rPr>
      </w:pPr>
      <w:r w:rsidRPr="00365892">
        <w:rPr>
          <w:sz w:val="22"/>
          <w:szCs w:val="22"/>
          <w:lang w:eastAsia="ja-JP"/>
        </w:rPr>
        <w:t xml:space="preserve">AAG SLG </w:t>
      </w:r>
      <w:r w:rsidR="00C909E2" w:rsidRPr="00365892">
        <w:rPr>
          <w:sz w:val="22"/>
          <w:szCs w:val="22"/>
          <w:lang w:eastAsia="ja-JP"/>
        </w:rPr>
        <w:t>4</w:t>
      </w:r>
      <w:r w:rsidR="0021537B" w:rsidRPr="00365892">
        <w:rPr>
          <w:sz w:val="22"/>
          <w:szCs w:val="22"/>
          <w:lang w:eastAsia="ja-JP"/>
        </w:rPr>
        <w:t>.</w:t>
      </w:r>
      <w:r w:rsidR="00C909E2" w:rsidRPr="00365892">
        <w:rPr>
          <w:sz w:val="22"/>
          <w:szCs w:val="22"/>
          <w:lang w:eastAsia="ja-JP"/>
        </w:rPr>
        <w:t xml:space="preserve">14 </w:t>
      </w:r>
      <w:r w:rsidR="003D7F3A" w:rsidRPr="00365892">
        <w:rPr>
          <w:sz w:val="22"/>
          <w:szCs w:val="22"/>
          <w:lang w:eastAsia="ja-JP"/>
        </w:rPr>
        <w:t xml:space="preserve">lists </w:t>
      </w:r>
      <w:r w:rsidR="004705C2" w:rsidRPr="00365892">
        <w:rPr>
          <w:sz w:val="22"/>
          <w:szCs w:val="22"/>
          <w:lang w:eastAsia="ja-JP"/>
        </w:rPr>
        <w:t xml:space="preserve">examples of laws that may </w:t>
      </w:r>
      <w:r w:rsidR="00E0622E" w:rsidRPr="00365892">
        <w:rPr>
          <w:sz w:val="22"/>
          <w:szCs w:val="22"/>
          <w:lang w:eastAsia="ja-JP"/>
        </w:rPr>
        <w:t>directly and materially affect the determination</w:t>
      </w:r>
      <w:r w:rsidR="004705C2" w:rsidRPr="00365892">
        <w:rPr>
          <w:sz w:val="22"/>
          <w:szCs w:val="22"/>
          <w:lang w:eastAsia="ja-JP"/>
        </w:rPr>
        <w:t xml:space="preserve"> of financial statement amounts</w:t>
      </w:r>
      <w:r w:rsidR="00DB3A03" w:rsidRPr="00365892">
        <w:rPr>
          <w:sz w:val="22"/>
          <w:szCs w:val="22"/>
          <w:lang w:eastAsia="ja-JP"/>
        </w:rPr>
        <w:t xml:space="preserve"> and disclosures</w:t>
      </w:r>
      <w:r w:rsidR="004705C2" w:rsidRPr="00365892">
        <w:rPr>
          <w:sz w:val="22"/>
          <w:szCs w:val="22"/>
          <w:lang w:eastAsia="ja-JP"/>
        </w:rPr>
        <w:t>.</w:t>
      </w:r>
      <w:r w:rsidR="00B2629B" w:rsidRPr="00365892">
        <w:rPr>
          <w:sz w:val="22"/>
          <w:szCs w:val="22"/>
          <w:lang w:eastAsia="ja-JP"/>
        </w:rPr>
        <w:t xml:space="preserve">  When preparing this edition of the OCS we considered the examples in </w:t>
      </w:r>
      <w:r w:rsidR="00AE67B7" w:rsidRPr="00365892">
        <w:rPr>
          <w:sz w:val="22"/>
          <w:szCs w:val="22"/>
          <w:lang w:eastAsia="ja-JP"/>
        </w:rPr>
        <w:t xml:space="preserve">AAG SLG </w:t>
      </w:r>
      <w:r w:rsidR="00C909E2" w:rsidRPr="00365892">
        <w:rPr>
          <w:sz w:val="22"/>
          <w:szCs w:val="22"/>
          <w:lang w:eastAsia="ja-JP"/>
        </w:rPr>
        <w:t>4</w:t>
      </w:r>
      <w:r w:rsidR="0021537B" w:rsidRPr="00365892">
        <w:rPr>
          <w:sz w:val="22"/>
          <w:szCs w:val="22"/>
          <w:lang w:eastAsia="ja-JP"/>
        </w:rPr>
        <w:t>.</w:t>
      </w:r>
      <w:r w:rsidR="00C909E2" w:rsidRPr="00365892">
        <w:rPr>
          <w:sz w:val="22"/>
          <w:szCs w:val="22"/>
          <w:lang w:eastAsia="ja-JP"/>
        </w:rPr>
        <w:t>14</w:t>
      </w:r>
      <w:r w:rsidR="00B2629B" w:rsidRPr="00365892">
        <w:rPr>
          <w:sz w:val="22"/>
          <w:szCs w:val="22"/>
          <w:lang w:eastAsia="ja-JP"/>
        </w:rPr>
        <w:t>.  E</w:t>
      </w:r>
      <w:r w:rsidR="00235C55" w:rsidRPr="00365892">
        <w:rPr>
          <w:sz w:val="22"/>
          <w:szCs w:val="22"/>
          <w:lang w:eastAsia="ja-JP"/>
        </w:rPr>
        <w:t xml:space="preserve">ach law </w:t>
      </w:r>
      <w:r w:rsidR="00B2629B" w:rsidRPr="00365892">
        <w:rPr>
          <w:sz w:val="22"/>
          <w:szCs w:val="22"/>
          <w:lang w:eastAsia="ja-JP"/>
        </w:rPr>
        <w:t>in OCS Chapter</w:t>
      </w:r>
      <w:r w:rsidR="006A0FE5" w:rsidRPr="00365892">
        <w:rPr>
          <w:sz w:val="22"/>
          <w:szCs w:val="22"/>
          <w:lang w:eastAsia="ja-JP"/>
        </w:rPr>
        <w:t>s</w:t>
      </w:r>
      <w:r w:rsidR="00B2629B" w:rsidRPr="00365892">
        <w:rPr>
          <w:sz w:val="22"/>
          <w:szCs w:val="22"/>
          <w:lang w:eastAsia="ja-JP"/>
        </w:rPr>
        <w:t xml:space="preserve"> 1 </w:t>
      </w:r>
      <w:r w:rsidR="006A0FE5" w:rsidRPr="00365892">
        <w:rPr>
          <w:sz w:val="22"/>
          <w:szCs w:val="22"/>
          <w:lang w:eastAsia="ja-JP"/>
        </w:rPr>
        <w:t>&amp; 4A have</w:t>
      </w:r>
      <w:r w:rsidR="00BF0729" w:rsidRPr="00365892">
        <w:rPr>
          <w:sz w:val="22"/>
          <w:szCs w:val="22"/>
          <w:lang w:eastAsia="ja-JP"/>
        </w:rPr>
        <w:t xml:space="preserve"> potential for a</w:t>
      </w:r>
      <w:r w:rsidR="00B2629B" w:rsidRPr="00365892">
        <w:rPr>
          <w:sz w:val="22"/>
          <w:szCs w:val="22"/>
          <w:lang w:eastAsia="ja-JP"/>
        </w:rPr>
        <w:t xml:space="preserve"> direct effect.  </w:t>
      </w:r>
      <w:r w:rsidR="00BF0729" w:rsidRPr="00365892">
        <w:rPr>
          <w:sz w:val="22"/>
          <w:szCs w:val="22"/>
          <w:lang w:eastAsia="ja-JP"/>
        </w:rPr>
        <w:t>Laws with</w:t>
      </w:r>
      <w:r w:rsidR="00B2629B" w:rsidRPr="00365892">
        <w:rPr>
          <w:sz w:val="22"/>
          <w:szCs w:val="22"/>
          <w:lang w:eastAsia="ja-JP"/>
        </w:rPr>
        <w:t xml:space="preserve"> indirect classification per AU-C 250.06 b</w:t>
      </w:r>
      <w:r w:rsidR="00BF0729" w:rsidRPr="00365892">
        <w:rPr>
          <w:sz w:val="22"/>
          <w:szCs w:val="22"/>
          <w:lang w:eastAsia="ja-JP"/>
        </w:rPr>
        <w:t xml:space="preserve"> are included in Chapter</w:t>
      </w:r>
      <w:r w:rsidR="00CD0840" w:rsidRPr="00365892">
        <w:rPr>
          <w:sz w:val="22"/>
          <w:szCs w:val="22"/>
          <w:lang w:eastAsia="ja-JP"/>
        </w:rPr>
        <w:t>s</w:t>
      </w:r>
      <w:r w:rsidR="00BF0729" w:rsidRPr="00365892">
        <w:rPr>
          <w:sz w:val="22"/>
          <w:szCs w:val="22"/>
          <w:lang w:eastAsia="ja-JP"/>
        </w:rPr>
        <w:t xml:space="preserve"> 2</w:t>
      </w:r>
      <w:r w:rsidR="00CD0840" w:rsidRPr="00365892">
        <w:rPr>
          <w:sz w:val="22"/>
          <w:szCs w:val="22"/>
          <w:lang w:eastAsia="ja-JP"/>
        </w:rPr>
        <w:t>A &amp; 4B</w:t>
      </w:r>
      <w:r w:rsidR="00B2629B" w:rsidRPr="00365892">
        <w:rPr>
          <w:sz w:val="22"/>
          <w:szCs w:val="22"/>
          <w:lang w:eastAsia="ja-JP"/>
        </w:rPr>
        <w:t>.</w:t>
      </w:r>
      <w:r w:rsidR="00235C55" w:rsidRPr="00365892">
        <w:rPr>
          <w:sz w:val="22"/>
          <w:szCs w:val="22"/>
          <w:lang w:eastAsia="ja-JP"/>
        </w:rPr>
        <w:t xml:space="preserve">  </w:t>
      </w:r>
    </w:p>
    <w:p w14:paraId="03848584" w14:textId="77777777" w:rsidR="00E9035D" w:rsidRDefault="00E9035D" w:rsidP="00DB75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467"/>
        <w:gridCol w:w="2893"/>
      </w:tblGrid>
      <w:tr w:rsidR="00447628" w:rsidRPr="005244FE" w14:paraId="3E725909"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shd w:val="clear" w:color="auto" w:fill="4F81BD" w:themeFill="accent1"/>
          </w:tcPr>
          <w:p w14:paraId="0E02C876" w14:textId="77777777" w:rsidR="00447628" w:rsidRPr="006B3E0C" w:rsidRDefault="00447628" w:rsidP="00DB24AE">
            <w:pPr>
              <w:jc w:val="center"/>
              <w:rPr>
                <w:b/>
                <w:bCs/>
                <w:color w:val="FFFFFF"/>
                <w:sz w:val="22"/>
                <w:szCs w:val="22"/>
              </w:rPr>
            </w:pPr>
            <w:bookmarkStart w:id="12" w:name="Fin_Related_Legal_Contractual_Provisions"/>
            <w:bookmarkEnd w:id="12"/>
            <w:r w:rsidRPr="006B3E0C">
              <w:rPr>
                <w:b/>
                <w:bCs/>
                <w:color w:val="FFFFFF"/>
                <w:sz w:val="22"/>
                <w:szCs w:val="22"/>
              </w:rPr>
              <w:t>Finance-Related Legal or Contractual Provisions</w:t>
            </w:r>
          </w:p>
        </w:tc>
        <w:tc>
          <w:tcPr>
            <w:tcW w:w="2893" w:type="dxa"/>
            <w:tcBorders>
              <w:top w:val="single" w:sz="4" w:space="0" w:color="auto"/>
              <w:left w:val="single" w:sz="4" w:space="0" w:color="auto"/>
              <w:bottom w:val="single" w:sz="4" w:space="0" w:color="auto"/>
              <w:right w:val="single" w:sz="4" w:space="0" w:color="auto"/>
            </w:tcBorders>
            <w:shd w:val="clear" w:color="auto" w:fill="4F81BD" w:themeFill="accent1"/>
          </w:tcPr>
          <w:p w14:paraId="1BD1107D" w14:textId="77777777" w:rsidR="00447628" w:rsidRPr="006B3E0C" w:rsidRDefault="00447628" w:rsidP="00DB24AE">
            <w:pPr>
              <w:jc w:val="center"/>
              <w:rPr>
                <w:b/>
                <w:bCs/>
                <w:color w:val="FFFFFF"/>
                <w:sz w:val="22"/>
                <w:szCs w:val="22"/>
              </w:rPr>
            </w:pPr>
            <w:r w:rsidRPr="006B3E0C">
              <w:rPr>
                <w:b/>
                <w:bCs/>
                <w:color w:val="FFFFFF"/>
                <w:sz w:val="22"/>
                <w:szCs w:val="22"/>
              </w:rPr>
              <w:t>Source</w:t>
            </w:r>
          </w:p>
        </w:tc>
      </w:tr>
      <w:tr w:rsidR="001832CC" w:rsidRPr="005244FE" w14:paraId="320C96CD"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43CE8F01" w14:textId="77777777" w:rsidR="001832CC" w:rsidRPr="006B3E0C" w:rsidRDefault="001832CC" w:rsidP="001C04A2">
            <w:pPr>
              <w:pStyle w:val="NormalWeb"/>
              <w:ind w:left="360" w:hanging="360"/>
              <w:rPr>
                <w:sz w:val="22"/>
                <w:szCs w:val="22"/>
                <w:lang w:eastAsia="ja-JP"/>
              </w:rPr>
            </w:pPr>
            <w:r w:rsidRPr="006B3E0C">
              <w:rPr>
                <w:b/>
                <w:sz w:val="22"/>
                <w:szCs w:val="22"/>
                <w:lang w:eastAsia="ja-JP"/>
              </w:rPr>
              <w:t>a.</w:t>
            </w:r>
            <w:r w:rsidRPr="006B3E0C">
              <w:rPr>
                <w:b/>
                <w:sz w:val="22"/>
                <w:szCs w:val="22"/>
                <w:lang w:eastAsia="ja-JP"/>
              </w:rPr>
              <w:tab/>
            </w:r>
            <w:r w:rsidRPr="006B3E0C">
              <w:rPr>
                <w:sz w:val="22"/>
                <w:szCs w:val="22"/>
                <w:lang w:eastAsia="ja-JP"/>
              </w:rPr>
              <w:t xml:space="preserve">The accounting system must include all funds </w:t>
            </w:r>
            <w:r w:rsidR="007C629C" w:rsidRPr="006B3E0C">
              <w:rPr>
                <w:sz w:val="22"/>
                <w:szCs w:val="22"/>
                <w:lang w:eastAsia="ja-JP"/>
              </w:rPr>
              <w:t xml:space="preserve">and procedures </w:t>
            </w:r>
            <w:r w:rsidRPr="006B3E0C">
              <w:rPr>
                <w:sz w:val="22"/>
                <w:szCs w:val="22"/>
                <w:lang w:eastAsia="ja-JP"/>
              </w:rPr>
              <w:t xml:space="preserve">required by law or regulation to help </w:t>
            </w:r>
            <w:proofErr w:type="gramStart"/>
            <w:r w:rsidRPr="006B3E0C">
              <w:rPr>
                <w:sz w:val="22"/>
                <w:szCs w:val="22"/>
                <w:lang w:eastAsia="ja-JP"/>
              </w:rPr>
              <w:t>assure</w:t>
            </w:r>
            <w:proofErr w:type="gramEnd"/>
            <w:r w:rsidRPr="006B3E0C">
              <w:rPr>
                <w:sz w:val="22"/>
                <w:szCs w:val="22"/>
                <w:lang w:eastAsia="ja-JP"/>
              </w:rPr>
              <w:t xml:space="preserve"> restrictions on </w:t>
            </w:r>
            <w:proofErr w:type="gramStart"/>
            <w:r w:rsidRPr="006B3E0C">
              <w:rPr>
                <w:sz w:val="22"/>
                <w:szCs w:val="22"/>
                <w:lang w:eastAsia="ja-JP"/>
              </w:rPr>
              <w:t>expenditures</w:t>
            </w:r>
            <w:proofErr w:type="gramEnd"/>
            <w:r w:rsidRPr="006B3E0C">
              <w:rPr>
                <w:sz w:val="22"/>
                <w:szCs w:val="22"/>
                <w:lang w:eastAsia="ja-JP"/>
              </w:rPr>
              <w:t xml:space="preserve"> are met.</w:t>
            </w:r>
          </w:p>
        </w:tc>
        <w:tc>
          <w:tcPr>
            <w:tcW w:w="2893" w:type="dxa"/>
            <w:tcBorders>
              <w:top w:val="single" w:sz="4" w:space="0" w:color="auto"/>
              <w:left w:val="single" w:sz="4" w:space="0" w:color="auto"/>
              <w:bottom w:val="single" w:sz="4" w:space="0" w:color="auto"/>
              <w:right w:val="single" w:sz="4" w:space="0" w:color="auto"/>
            </w:tcBorders>
          </w:tcPr>
          <w:p w14:paraId="6650DFF2" w14:textId="77777777" w:rsidR="001832CC" w:rsidRPr="006B3E0C" w:rsidRDefault="001832CC" w:rsidP="00467115">
            <w:pPr>
              <w:rPr>
                <w:sz w:val="22"/>
                <w:szCs w:val="22"/>
                <w:lang w:eastAsia="ja-JP"/>
              </w:rPr>
            </w:pPr>
            <w:r w:rsidRPr="006B3E0C">
              <w:rPr>
                <w:sz w:val="22"/>
                <w:szCs w:val="22"/>
                <w:lang w:eastAsia="ja-JP"/>
              </w:rPr>
              <w:t>NCGA</w:t>
            </w:r>
            <w:r w:rsidR="00786D07" w:rsidRPr="006B3E0C">
              <w:rPr>
                <w:sz w:val="22"/>
                <w:szCs w:val="22"/>
                <w:lang w:eastAsia="ja-JP"/>
              </w:rPr>
              <w:t>S</w:t>
            </w:r>
            <w:r w:rsidRPr="006B3E0C">
              <w:rPr>
                <w:sz w:val="22"/>
                <w:szCs w:val="22"/>
                <w:lang w:eastAsia="ja-JP"/>
              </w:rPr>
              <w:t xml:space="preserve"> 1, par. 8</w:t>
            </w:r>
          </w:p>
          <w:p w14:paraId="47AC24CD" w14:textId="11332688" w:rsidR="001832CC" w:rsidRPr="006B3E0C" w:rsidRDefault="001E326C" w:rsidP="00467115">
            <w:pPr>
              <w:rPr>
                <w:sz w:val="22"/>
                <w:szCs w:val="22"/>
                <w:lang w:eastAsia="ja-JP"/>
              </w:rPr>
            </w:pPr>
            <w:r w:rsidRPr="006B3E0C">
              <w:rPr>
                <w:sz w:val="22"/>
                <w:szCs w:val="22"/>
                <w:lang w:eastAsia="ja-JP"/>
              </w:rPr>
              <w:t xml:space="preserve">GASB </w:t>
            </w:r>
            <w:r w:rsidR="001832CC" w:rsidRPr="006B3E0C">
              <w:rPr>
                <w:sz w:val="22"/>
                <w:szCs w:val="22"/>
                <w:lang w:eastAsia="ja-JP"/>
              </w:rPr>
              <w:t>Cod. 1200.106</w:t>
            </w:r>
          </w:p>
        </w:tc>
      </w:tr>
      <w:tr w:rsidR="001832CC" w:rsidRPr="005244FE" w14:paraId="69A5E3F4"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28021782" w14:textId="6B08B021" w:rsidR="001832CC" w:rsidRPr="006B3E0C" w:rsidRDefault="001832CC" w:rsidP="00467115">
            <w:pPr>
              <w:ind w:left="720" w:hanging="720"/>
              <w:rPr>
                <w:sz w:val="22"/>
                <w:szCs w:val="22"/>
                <w:lang w:eastAsia="ja-JP"/>
              </w:rPr>
            </w:pPr>
            <w:r w:rsidRPr="006B3E0C">
              <w:rPr>
                <w:b/>
                <w:sz w:val="22"/>
                <w:szCs w:val="22"/>
                <w:lang w:eastAsia="ja-JP"/>
              </w:rPr>
              <w:t xml:space="preserve">b.    </w:t>
            </w:r>
            <w:r w:rsidRPr="006B3E0C">
              <w:rPr>
                <w:sz w:val="22"/>
                <w:szCs w:val="22"/>
                <w:lang w:eastAsia="ja-JP"/>
              </w:rPr>
              <w:t>1.</w:t>
            </w:r>
            <w:r w:rsidRPr="006B3E0C">
              <w:rPr>
                <w:sz w:val="22"/>
                <w:szCs w:val="22"/>
                <w:lang w:eastAsia="ja-JP"/>
              </w:rPr>
              <w:tab/>
              <w:t xml:space="preserve">Any excesses of </w:t>
            </w:r>
            <w:proofErr w:type="gramStart"/>
            <w:r w:rsidRPr="006B3E0C">
              <w:rPr>
                <w:sz w:val="22"/>
                <w:szCs w:val="22"/>
                <w:lang w:eastAsia="ja-JP"/>
              </w:rPr>
              <w:t>expenditures</w:t>
            </w:r>
            <w:proofErr w:type="gramEnd"/>
            <w:r w:rsidRPr="006B3E0C">
              <w:rPr>
                <w:sz w:val="22"/>
                <w:szCs w:val="22"/>
                <w:lang w:eastAsia="ja-JP"/>
              </w:rPr>
              <w:t xml:space="preserve"> over appropriations in </w:t>
            </w:r>
            <w:proofErr w:type="gramStart"/>
            <w:r w:rsidRPr="006B3E0C">
              <w:rPr>
                <w:sz w:val="22"/>
                <w:szCs w:val="22"/>
                <w:lang w:eastAsia="ja-JP"/>
              </w:rPr>
              <w:t>the general</w:t>
            </w:r>
            <w:proofErr w:type="gramEnd"/>
            <w:r w:rsidRPr="006B3E0C">
              <w:rPr>
                <w:sz w:val="22"/>
                <w:szCs w:val="22"/>
                <w:lang w:eastAsia="ja-JP"/>
              </w:rPr>
              <w:t xml:space="preserve"> or major special revenue funds included in </w:t>
            </w:r>
            <w:r w:rsidR="009624A7" w:rsidRPr="006B3E0C">
              <w:rPr>
                <w:sz w:val="22"/>
                <w:szCs w:val="22"/>
                <w:lang w:eastAsia="ja-JP"/>
              </w:rPr>
              <w:t xml:space="preserve">RSI </w:t>
            </w:r>
            <w:r w:rsidRPr="006B3E0C">
              <w:rPr>
                <w:sz w:val="22"/>
                <w:szCs w:val="22"/>
                <w:lang w:eastAsia="ja-JP"/>
              </w:rPr>
              <w:t xml:space="preserve">budgetary </w:t>
            </w:r>
            <w:r w:rsidR="009624A7" w:rsidRPr="006B3E0C">
              <w:rPr>
                <w:sz w:val="22"/>
                <w:szCs w:val="22"/>
                <w:lang w:eastAsia="ja-JP"/>
              </w:rPr>
              <w:t>schedules</w:t>
            </w:r>
            <w:r w:rsidRPr="006B3E0C">
              <w:rPr>
                <w:sz w:val="22"/>
                <w:szCs w:val="22"/>
                <w:lang w:eastAsia="ja-JP"/>
              </w:rPr>
              <w:t>.  (Disclose in footnotes to RSI if presented as RSI.)</w:t>
            </w:r>
            <w:r w:rsidR="005C5582">
              <w:t xml:space="preserve"> </w:t>
            </w:r>
            <w:r w:rsidR="00194E61" w:rsidRPr="00194E61">
              <w:rPr>
                <w:b/>
                <w:bCs/>
                <w:u w:val="double"/>
              </w:rPr>
              <w:t>Note:</w:t>
            </w:r>
            <w:r w:rsidR="00194E61">
              <w:t xml:space="preserve"> </w:t>
            </w:r>
            <w:r w:rsidR="005C5582" w:rsidRPr="005C5582">
              <w:rPr>
                <w:sz w:val="22"/>
                <w:szCs w:val="22"/>
                <w:u w:val="double"/>
                <w:lang w:eastAsia="ja-JP"/>
              </w:rPr>
              <w:t>This is the pre-</w:t>
            </w:r>
            <w:r w:rsidR="00194E61">
              <w:rPr>
                <w:sz w:val="22"/>
                <w:szCs w:val="22"/>
                <w:u w:val="double"/>
                <w:lang w:eastAsia="ja-JP"/>
              </w:rPr>
              <w:t xml:space="preserve">GASB </w:t>
            </w:r>
            <w:r w:rsidR="005C5582" w:rsidRPr="005C5582">
              <w:rPr>
                <w:sz w:val="22"/>
                <w:szCs w:val="22"/>
                <w:u w:val="double"/>
                <w:lang w:eastAsia="ja-JP"/>
              </w:rPr>
              <w:t>103 guidance</w:t>
            </w:r>
            <w:r w:rsidR="00194E61">
              <w:rPr>
                <w:sz w:val="22"/>
                <w:szCs w:val="22"/>
                <w:u w:val="double"/>
                <w:lang w:eastAsia="ja-JP"/>
              </w:rPr>
              <w:t>.</w:t>
            </w:r>
            <w:r w:rsidR="005C5582" w:rsidRPr="005C5582">
              <w:rPr>
                <w:sz w:val="22"/>
                <w:szCs w:val="22"/>
                <w:u w:val="double"/>
                <w:lang w:eastAsia="ja-JP"/>
              </w:rPr>
              <w:t xml:space="preserve"> </w:t>
            </w:r>
            <w:r w:rsidR="00194E61">
              <w:rPr>
                <w:sz w:val="22"/>
                <w:szCs w:val="22"/>
                <w:u w:val="double"/>
                <w:lang w:eastAsia="ja-JP"/>
              </w:rPr>
              <w:t>U</w:t>
            </w:r>
            <w:r w:rsidR="005C5582" w:rsidRPr="005C5582">
              <w:rPr>
                <w:sz w:val="22"/>
                <w:szCs w:val="22"/>
                <w:u w:val="double"/>
                <w:lang w:eastAsia="ja-JP"/>
              </w:rPr>
              <w:t xml:space="preserve">pon implementation of GASB 103 governments following GAAP must report budgetary </w:t>
            </w:r>
            <w:r w:rsidR="00194E61">
              <w:rPr>
                <w:sz w:val="22"/>
                <w:szCs w:val="22"/>
                <w:u w:val="double"/>
                <w:lang w:eastAsia="ja-JP"/>
              </w:rPr>
              <w:t xml:space="preserve">comparisons </w:t>
            </w:r>
            <w:r w:rsidR="005C5582" w:rsidRPr="005C5582">
              <w:rPr>
                <w:sz w:val="22"/>
                <w:szCs w:val="22"/>
                <w:u w:val="double"/>
                <w:lang w:eastAsia="ja-JP"/>
              </w:rPr>
              <w:t>as RSI.  See GASB 103</w:t>
            </w:r>
            <w:r w:rsidR="00194E61">
              <w:rPr>
                <w:sz w:val="22"/>
                <w:szCs w:val="22"/>
                <w:u w:val="double"/>
                <w:lang w:eastAsia="ja-JP"/>
              </w:rPr>
              <w:t>.</w:t>
            </w:r>
          </w:p>
          <w:p w14:paraId="734C9251" w14:textId="37616FC9" w:rsidR="001832CC" w:rsidRPr="006B3E0C" w:rsidRDefault="001832CC" w:rsidP="00467115">
            <w:pPr>
              <w:ind w:left="360" w:hanging="360"/>
              <w:rPr>
                <w:sz w:val="22"/>
                <w:szCs w:val="22"/>
                <w:lang w:eastAsia="ja-JP"/>
              </w:rPr>
            </w:pPr>
          </w:p>
          <w:p w14:paraId="5B962130" w14:textId="77777777" w:rsidR="001832CC" w:rsidRPr="006B3E0C" w:rsidRDefault="001832CC" w:rsidP="00467115">
            <w:pPr>
              <w:ind w:left="720" w:hanging="360"/>
              <w:rPr>
                <w:sz w:val="22"/>
                <w:szCs w:val="22"/>
                <w:lang w:eastAsia="ja-JP"/>
              </w:rPr>
            </w:pPr>
            <w:r w:rsidRPr="006B3E0C">
              <w:rPr>
                <w:sz w:val="22"/>
                <w:szCs w:val="22"/>
                <w:lang w:eastAsia="ja-JP"/>
              </w:rPr>
              <w:t>2.</w:t>
            </w:r>
            <w:r w:rsidRPr="006B3E0C">
              <w:rPr>
                <w:sz w:val="22"/>
                <w:szCs w:val="22"/>
                <w:lang w:eastAsia="ja-JP"/>
              </w:rPr>
              <w:tab/>
              <w:t xml:space="preserve">Disclose significant excesses of expenditure over appropriations for other funds. </w:t>
            </w:r>
          </w:p>
        </w:tc>
        <w:tc>
          <w:tcPr>
            <w:tcW w:w="2893" w:type="dxa"/>
            <w:tcBorders>
              <w:top w:val="single" w:sz="4" w:space="0" w:color="auto"/>
              <w:left w:val="single" w:sz="4" w:space="0" w:color="auto"/>
              <w:bottom w:val="single" w:sz="4" w:space="0" w:color="auto"/>
              <w:right w:val="single" w:sz="4" w:space="0" w:color="auto"/>
            </w:tcBorders>
          </w:tcPr>
          <w:p w14:paraId="298420B4" w14:textId="1627F1D5" w:rsidR="001832CC" w:rsidRPr="006B3E0C" w:rsidRDefault="001832CC" w:rsidP="00467115">
            <w:pPr>
              <w:rPr>
                <w:sz w:val="22"/>
                <w:szCs w:val="22"/>
                <w:lang w:eastAsia="ja-JP"/>
              </w:rPr>
            </w:pPr>
            <w:r w:rsidRPr="006B3E0C">
              <w:rPr>
                <w:sz w:val="22"/>
                <w:szCs w:val="22"/>
                <w:lang w:eastAsia="ja-JP"/>
              </w:rPr>
              <w:t xml:space="preserve">GASB </w:t>
            </w:r>
            <w:r w:rsidR="00564E18" w:rsidRPr="006B3E0C">
              <w:rPr>
                <w:sz w:val="22"/>
                <w:szCs w:val="22"/>
              </w:rPr>
              <w:t xml:space="preserve">Statement No. </w:t>
            </w:r>
            <w:r w:rsidRPr="006B3E0C">
              <w:rPr>
                <w:sz w:val="22"/>
                <w:szCs w:val="22"/>
                <w:lang w:eastAsia="ja-JP"/>
              </w:rPr>
              <w:t>37, par. 19</w:t>
            </w:r>
            <w:r w:rsidR="00337CFC" w:rsidRPr="006B3E0C">
              <w:rPr>
                <w:sz w:val="22"/>
                <w:szCs w:val="22"/>
                <w:lang w:eastAsia="ja-JP"/>
              </w:rPr>
              <w:t>, Cod</w:t>
            </w:r>
            <w:r w:rsidR="00564E18" w:rsidRPr="006B3E0C">
              <w:rPr>
                <w:sz w:val="22"/>
                <w:szCs w:val="22"/>
                <w:lang w:eastAsia="ja-JP"/>
              </w:rPr>
              <w:t>.</w:t>
            </w:r>
            <w:r w:rsidR="00337CFC" w:rsidRPr="006B3E0C">
              <w:rPr>
                <w:sz w:val="22"/>
                <w:szCs w:val="22"/>
                <w:lang w:eastAsia="ja-JP"/>
              </w:rPr>
              <w:t xml:space="preserve"> 2200.</w:t>
            </w:r>
            <w:r w:rsidR="00107599" w:rsidRPr="006B3E0C">
              <w:rPr>
                <w:sz w:val="22"/>
                <w:szCs w:val="22"/>
                <w:lang w:eastAsia="ja-JP"/>
              </w:rPr>
              <w:t xml:space="preserve">207, </w:t>
            </w:r>
            <w:r w:rsidR="001E326C" w:rsidRPr="006B3E0C">
              <w:rPr>
                <w:sz w:val="22"/>
                <w:szCs w:val="22"/>
                <w:lang w:eastAsia="ja-JP"/>
              </w:rPr>
              <w:t xml:space="preserve">Cod. </w:t>
            </w:r>
            <w:r w:rsidR="00107599" w:rsidRPr="006B3E0C">
              <w:rPr>
                <w:sz w:val="22"/>
                <w:szCs w:val="22"/>
                <w:lang w:eastAsia="ja-JP"/>
              </w:rPr>
              <w:t xml:space="preserve">2400. </w:t>
            </w:r>
            <w:r w:rsidR="00827C91" w:rsidRPr="006B3E0C">
              <w:rPr>
                <w:sz w:val="22"/>
                <w:szCs w:val="22"/>
                <w:lang w:eastAsia="ja-JP"/>
              </w:rPr>
              <w:t>103</w:t>
            </w:r>
          </w:p>
          <w:p w14:paraId="4CE7734E" w14:textId="77777777" w:rsidR="00107599" w:rsidRPr="006B3E0C" w:rsidRDefault="00107599" w:rsidP="00467115">
            <w:pPr>
              <w:rPr>
                <w:sz w:val="22"/>
                <w:szCs w:val="22"/>
                <w:lang w:eastAsia="ja-JP"/>
              </w:rPr>
            </w:pPr>
          </w:p>
          <w:p w14:paraId="663F4FF9" w14:textId="77777777" w:rsidR="001C04A2" w:rsidRDefault="001C04A2" w:rsidP="00467115">
            <w:pPr>
              <w:rPr>
                <w:sz w:val="22"/>
                <w:szCs w:val="22"/>
                <w:lang w:eastAsia="ja-JP"/>
              </w:rPr>
            </w:pPr>
          </w:p>
          <w:p w14:paraId="075ADC6C" w14:textId="77777777" w:rsidR="00194E61" w:rsidRDefault="00194E61" w:rsidP="00467115">
            <w:pPr>
              <w:rPr>
                <w:sz w:val="22"/>
                <w:szCs w:val="22"/>
                <w:lang w:eastAsia="ja-JP"/>
              </w:rPr>
            </w:pPr>
          </w:p>
          <w:p w14:paraId="3AE6E575" w14:textId="77777777" w:rsidR="00194E61" w:rsidRDefault="00194E61" w:rsidP="00467115">
            <w:pPr>
              <w:rPr>
                <w:sz w:val="22"/>
                <w:szCs w:val="22"/>
                <w:lang w:eastAsia="ja-JP"/>
              </w:rPr>
            </w:pPr>
          </w:p>
          <w:p w14:paraId="0702200D" w14:textId="77777777" w:rsidR="00194E61" w:rsidRPr="006B3E0C" w:rsidRDefault="00194E61" w:rsidP="00467115">
            <w:pPr>
              <w:rPr>
                <w:sz w:val="22"/>
                <w:szCs w:val="22"/>
                <w:lang w:eastAsia="ja-JP"/>
              </w:rPr>
            </w:pPr>
          </w:p>
          <w:p w14:paraId="25EBFF17" w14:textId="77777777" w:rsidR="001832CC" w:rsidRPr="006B3E0C" w:rsidRDefault="00F41164" w:rsidP="00467115">
            <w:pPr>
              <w:rPr>
                <w:sz w:val="22"/>
                <w:szCs w:val="22"/>
                <w:lang w:eastAsia="ja-JP"/>
              </w:rPr>
            </w:pPr>
            <w:r w:rsidRPr="006B3E0C">
              <w:rPr>
                <w:sz w:val="22"/>
                <w:szCs w:val="22"/>
                <w:lang w:eastAsia="ja-JP"/>
              </w:rPr>
              <w:t>GASB Cod. 2400.702-18</w:t>
            </w:r>
          </w:p>
        </w:tc>
      </w:tr>
      <w:tr w:rsidR="001832CC" w:rsidRPr="005244FE" w14:paraId="18C8F92A"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1C26F63D" w14:textId="77777777" w:rsidR="00450905" w:rsidRPr="006B3E0C" w:rsidRDefault="001832CC" w:rsidP="001C04A2">
            <w:pPr>
              <w:pStyle w:val="NormalWeb"/>
              <w:numPr>
                <w:ilvl w:val="0"/>
                <w:numId w:val="2"/>
              </w:numPr>
              <w:rPr>
                <w:sz w:val="22"/>
                <w:szCs w:val="22"/>
                <w:lang w:eastAsia="ja-JP"/>
              </w:rPr>
            </w:pPr>
            <w:r w:rsidRPr="006B3E0C">
              <w:rPr>
                <w:sz w:val="22"/>
                <w:szCs w:val="22"/>
                <w:lang w:eastAsia="ja-JP"/>
              </w:rPr>
              <w:t>Violations of debt covenants or contracts.</w:t>
            </w:r>
          </w:p>
        </w:tc>
        <w:tc>
          <w:tcPr>
            <w:tcW w:w="2893" w:type="dxa"/>
            <w:tcBorders>
              <w:top w:val="single" w:sz="4" w:space="0" w:color="auto"/>
              <w:left w:val="single" w:sz="4" w:space="0" w:color="auto"/>
              <w:bottom w:val="single" w:sz="4" w:space="0" w:color="auto"/>
              <w:right w:val="single" w:sz="4" w:space="0" w:color="auto"/>
            </w:tcBorders>
          </w:tcPr>
          <w:p w14:paraId="1DC13989" w14:textId="2AE3959F" w:rsidR="001832CC" w:rsidRPr="006B3E0C" w:rsidRDefault="004C0898" w:rsidP="008C06CA">
            <w:pPr>
              <w:rPr>
                <w:sz w:val="22"/>
                <w:szCs w:val="22"/>
                <w:lang w:eastAsia="ja-JP"/>
              </w:rPr>
            </w:pPr>
            <w:r w:rsidRPr="006B3E0C">
              <w:rPr>
                <w:sz w:val="22"/>
                <w:szCs w:val="22"/>
                <w:lang w:eastAsia="ja-JP"/>
              </w:rPr>
              <w:t xml:space="preserve">GASB </w:t>
            </w:r>
            <w:r w:rsidR="001832CC" w:rsidRPr="006B3E0C">
              <w:rPr>
                <w:sz w:val="22"/>
                <w:szCs w:val="22"/>
                <w:lang w:eastAsia="ja-JP"/>
              </w:rPr>
              <w:t>Cod</w:t>
            </w:r>
            <w:r w:rsidR="00564E18" w:rsidRPr="006B3E0C">
              <w:rPr>
                <w:sz w:val="22"/>
                <w:szCs w:val="22"/>
                <w:lang w:eastAsia="ja-JP"/>
              </w:rPr>
              <w:t>.</w:t>
            </w:r>
            <w:r w:rsidR="001832CC" w:rsidRPr="006B3E0C">
              <w:rPr>
                <w:sz w:val="22"/>
                <w:szCs w:val="22"/>
                <w:lang w:eastAsia="ja-JP"/>
              </w:rPr>
              <w:t xml:space="preserve"> 2300.903, Illustrations 4</w:t>
            </w:r>
            <w:r w:rsidR="0044425C" w:rsidRPr="006B3E0C">
              <w:rPr>
                <w:sz w:val="22"/>
                <w:szCs w:val="22"/>
                <w:lang w:eastAsia="ja-JP"/>
              </w:rPr>
              <w:t xml:space="preserve"> and</w:t>
            </w:r>
            <w:r w:rsidR="00450905" w:rsidRPr="006B3E0C">
              <w:rPr>
                <w:sz w:val="22"/>
                <w:szCs w:val="22"/>
                <w:lang w:eastAsia="ja-JP"/>
              </w:rPr>
              <w:t xml:space="preserve"> </w:t>
            </w:r>
            <w:r w:rsidR="001832CC" w:rsidRPr="006B3E0C">
              <w:rPr>
                <w:sz w:val="22"/>
                <w:szCs w:val="22"/>
                <w:lang w:eastAsia="ja-JP"/>
              </w:rPr>
              <w:t>6</w:t>
            </w:r>
          </w:p>
        </w:tc>
      </w:tr>
      <w:tr w:rsidR="00D65D4E" w:rsidRPr="005244FE" w14:paraId="4E316CF6"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710B832B" w14:textId="77777777" w:rsidR="00D65D4E" w:rsidRPr="006B3E0C" w:rsidRDefault="00D65D4E" w:rsidP="002F586A">
            <w:pPr>
              <w:pStyle w:val="NormalWeb"/>
              <w:numPr>
                <w:ilvl w:val="0"/>
                <w:numId w:val="2"/>
              </w:numPr>
              <w:rPr>
                <w:sz w:val="22"/>
                <w:szCs w:val="22"/>
                <w:lang w:eastAsia="ja-JP"/>
              </w:rPr>
            </w:pPr>
            <w:bookmarkStart w:id="13" w:name="GASB:772.1561"/>
            <w:bookmarkEnd w:id="13"/>
            <w:r w:rsidRPr="006B3E0C">
              <w:rPr>
                <w:color w:val="000000"/>
                <w:sz w:val="22"/>
                <w:szCs w:val="22"/>
              </w:rPr>
              <w:t>Significant violations during the period of legal or contractual provisions for deposits and investments</w:t>
            </w:r>
          </w:p>
        </w:tc>
        <w:tc>
          <w:tcPr>
            <w:tcW w:w="2893" w:type="dxa"/>
            <w:tcBorders>
              <w:top w:val="single" w:sz="4" w:space="0" w:color="auto"/>
              <w:left w:val="single" w:sz="4" w:space="0" w:color="auto"/>
              <w:bottom w:val="single" w:sz="4" w:space="0" w:color="auto"/>
              <w:right w:val="single" w:sz="4" w:space="0" w:color="auto"/>
            </w:tcBorders>
          </w:tcPr>
          <w:p w14:paraId="61B3EA53" w14:textId="228C6B61" w:rsidR="00D65D4E" w:rsidRPr="006B3E0C" w:rsidRDefault="00D65D4E" w:rsidP="00C50B64">
            <w:pPr>
              <w:rPr>
                <w:sz w:val="22"/>
                <w:szCs w:val="22"/>
                <w:lang w:eastAsia="ja-JP"/>
              </w:rPr>
            </w:pPr>
            <w:r w:rsidRPr="006B3E0C">
              <w:rPr>
                <w:sz w:val="22"/>
                <w:szCs w:val="22"/>
                <w:lang w:eastAsia="ja-JP"/>
              </w:rPr>
              <w:t>G</w:t>
            </w:r>
            <w:r w:rsidR="00BA5E7D" w:rsidRPr="006B3E0C">
              <w:rPr>
                <w:sz w:val="22"/>
                <w:szCs w:val="22"/>
                <w:lang w:eastAsia="ja-JP"/>
              </w:rPr>
              <w:t>ASB Cod. I</w:t>
            </w:r>
            <w:r w:rsidRPr="006B3E0C">
              <w:rPr>
                <w:sz w:val="22"/>
                <w:szCs w:val="22"/>
                <w:lang w:eastAsia="ja-JP"/>
              </w:rPr>
              <w:t>50.15</w:t>
            </w:r>
            <w:r w:rsidR="001E326C" w:rsidRPr="006B3E0C">
              <w:rPr>
                <w:sz w:val="22"/>
                <w:szCs w:val="22"/>
                <w:lang w:eastAsia="ja-JP"/>
              </w:rPr>
              <w:t>0</w:t>
            </w:r>
          </w:p>
        </w:tc>
      </w:tr>
      <w:tr w:rsidR="001832CC" w:rsidRPr="00F45E67" w14:paraId="2A65C126"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592DE80A" w14:textId="77777777" w:rsidR="001832CC" w:rsidRPr="006B3E0C" w:rsidRDefault="001832CC" w:rsidP="002F586A">
            <w:pPr>
              <w:pStyle w:val="NormalWeb"/>
              <w:numPr>
                <w:ilvl w:val="0"/>
                <w:numId w:val="2"/>
              </w:numPr>
              <w:rPr>
                <w:sz w:val="22"/>
                <w:szCs w:val="22"/>
                <w:lang w:eastAsia="ja-JP"/>
              </w:rPr>
            </w:pPr>
            <w:r w:rsidRPr="006B3E0C">
              <w:rPr>
                <w:i/>
                <w:sz w:val="22"/>
                <w:szCs w:val="22"/>
                <w:lang w:eastAsia="ja-JP"/>
              </w:rPr>
              <w:t>G</w:t>
            </w:r>
            <w:r w:rsidR="00D9777A" w:rsidRPr="006B3E0C">
              <w:rPr>
                <w:i/>
                <w:sz w:val="22"/>
                <w:szCs w:val="22"/>
                <w:lang w:eastAsia="ja-JP"/>
              </w:rPr>
              <w:t>overnment</w:t>
            </w:r>
            <w:r w:rsidR="00DC4061" w:rsidRPr="006B3E0C">
              <w:rPr>
                <w:i/>
                <w:sz w:val="22"/>
                <w:szCs w:val="22"/>
                <w:lang w:eastAsia="ja-JP"/>
              </w:rPr>
              <w:t>al</w:t>
            </w:r>
            <w:r w:rsidR="00D9777A" w:rsidRPr="006B3E0C">
              <w:rPr>
                <w:i/>
                <w:sz w:val="22"/>
                <w:szCs w:val="22"/>
                <w:lang w:eastAsia="ja-JP"/>
              </w:rPr>
              <w:t xml:space="preserve"> </w:t>
            </w:r>
            <w:r w:rsidRPr="006B3E0C">
              <w:rPr>
                <w:i/>
                <w:sz w:val="22"/>
                <w:szCs w:val="22"/>
                <w:lang w:eastAsia="ja-JP"/>
              </w:rPr>
              <w:t>A</w:t>
            </w:r>
            <w:r w:rsidR="00D9777A" w:rsidRPr="006B3E0C">
              <w:rPr>
                <w:i/>
                <w:sz w:val="22"/>
                <w:szCs w:val="22"/>
                <w:lang w:eastAsia="ja-JP"/>
              </w:rPr>
              <w:t xml:space="preserve">ccounting, </w:t>
            </w:r>
            <w:r w:rsidRPr="006B3E0C">
              <w:rPr>
                <w:i/>
                <w:sz w:val="22"/>
                <w:szCs w:val="22"/>
                <w:lang w:eastAsia="ja-JP"/>
              </w:rPr>
              <w:t>A</w:t>
            </w:r>
            <w:r w:rsidR="00D9777A" w:rsidRPr="006B3E0C">
              <w:rPr>
                <w:i/>
                <w:sz w:val="22"/>
                <w:szCs w:val="22"/>
                <w:lang w:eastAsia="ja-JP"/>
              </w:rPr>
              <w:t xml:space="preserve">uditing and </w:t>
            </w:r>
            <w:r w:rsidRPr="006B3E0C">
              <w:rPr>
                <w:i/>
                <w:sz w:val="22"/>
                <w:szCs w:val="22"/>
                <w:lang w:eastAsia="ja-JP"/>
              </w:rPr>
              <w:t>F</w:t>
            </w:r>
            <w:r w:rsidR="00D9777A" w:rsidRPr="006B3E0C">
              <w:rPr>
                <w:i/>
                <w:sz w:val="22"/>
                <w:szCs w:val="22"/>
                <w:lang w:eastAsia="ja-JP"/>
              </w:rPr>
              <w:t xml:space="preserve">inancial </w:t>
            </w:r>
            <w:r w:rsidRPr="006B3E0C">
              <w:rPr>
                <w:i/>
                <w:sz w:val="22"/>
                <w:szCs w:val="22"/>
                <w:lang w:eastAsia="ja-JP"/>
              </w:rPr>
              <w:t>R</w:t>
            </w:r>
            <w:r w:rsidR="00D9777A" w:rsidRPr="006B3E0C">
              <w:rPr>
                <w:i/>
                <w:sz w:val="22"/>
                <w:szCs w:val="22"/>
                <w:lang w:eastAsia="ja-JP"/>
              </w:rPr>
              <w:t>eporting</w:t>
            </w:r>
            <w:r w:rsidR="00D9777A" w:rsidRPr="006B3E0C">
              <w:rPr>
                <w:sz w:val="22"/>
                <w:szCs w:val="22"/>
                <w:lang w:eastAsia="ja-JP"/>
              </w:rPr>
              <w:t xml:space="preserve"> (GAAFR)</w:t>
            </w:r>
            <w:r w:rsidRPr="006B3E0C">
              <w:rPr>
                <w:sz w:val="22"/>
                <w:szCs w:val="22"/>
                <w:lang w:eastAsia="ja-JP"/>
              </w:rPr>
              <w:t xml:space="preserve"> suggests the following constitute “finance-related legal and contractual requirements:”</w:t>
            </w:r>
          </w:p>
          <w:p w14:paraId="512BBD32" w14:textId="77777777" w:rsidR="001832CC" w:rsidRPr="006B3E0C" w:rsidRDefault="001832CC" w:rsidP="002F586A">
            <w:pPr>
              <w:pStyle w:val="NormalWeb"/>
              <w:numPr>
                <w:ilvl w:val="1"/>
                <w:numId w:val="2"/>
              </w:numPr>
              <w:rPr>
                <w:sz w:val="22"/>
                <w:szCs w:val="22"/>
                <w:lang w:eastAsia="ja-JP"/>
              </w:rPr>
            </w:pPr>
            <w:r w:rsidRPr="006B3E0C">
              <w:rPr>
                <w:sz w:val="22"/>
                <w:szCs w:val="22"/>
                <w:lang w:eastAsia="ja-JP"/>
              </w:rPr>
              <w:t xml:space="preserve">Budgetary </w:t>
            </w:r>
          </w:p>
          <w:p w14:paraId="160600C8" w14:textId="77777777" w:rsidR="001832CC" w:rsidRPr="006B3E0C" w:rsidRDefault="001832CC" w:rsidP="002F586A">
            <w:pPr>
              <w:pStyle w:val="NormalWeb"/>
              <w:numPr>
                <w:ilvl w:val="1"/>
                <w:numId w:val="2"/>
              </w:numPr>
              <w:rPr>
                <w:sz w:val="22"/>
                <w:szCs w:val="22"/>
                <w:lang w:eastAsia="ja-JP"/>
              </w:rPr>
            </w:pPr>
            <w:r w:rsidRPr="006B3E0C">
              <w:rPr>
                <w:sz w:val="22"/>
                <w:szCs w:val="22"/>
                <w:lang w:eastAsia="ja-JP"/>
              </w:rPr>
              <w:t>Grant requirements</w:t>
            </w:r>
          </w:p>
          <w:p w14:paraId="7F58B56B" w14:textId="77777777" w:rsidR="001832CC" w:rsidRPr="006B3E0C" w:rsidRDefault="001832CC" w:rsidP="002F586A">
            <w:pPr>
              <w:pStyle w:val="NormalWeb"/>
              <w:numPr>
                <w:ilvl w:val="1"/>
                <w:numId w:val="2"/>
              </w:numPr>
              <w:rPr>
                <w:sz w:val="22"/>
                <w:szCs w:val="22"/>
                <w:lang w:eastAsia="ja-JP"/>
              </w:rPr>
            </w:pPr>
            <w:r w:rsidRPr="006B3E0C">
              <w:rPr>
                <w:sz w:val="22"/>
                <w:szCs w:val="22"/>
                <w:lang w:eastAsia="ja-JP"/>
              </w:rPr>
              <w:t>Bond co</w:t>
            </w:r>
            <w:r w:rsidR="00C053AF" w:rsidRPr="006B3E0C">
              <w:rPr>
                <w:sz w:val="22"/>
                <w:szCs w:val="22"/>
                <w:lang w:eastAsia="ja-JP"/>
              </w:rPr>
              <w:t>ntracts (e.g. co</w:t>
            </w:r>
            <w:r w:rsidRPr="006B3E0C">
              <w:rPr>
                <w:sz w:val="22"/>
                <w:szCs w:val="22"/>
                <w:lang w:eastAsia="ja-JP"/>
              </w:rPr>
              <w:t>venants</w:t>
            </w:r>
            <w:r w:rsidR="00C053AF" w:rsidRPr="006B3E0C">
              <w:rPr>
                <w:sz w:val="22"/>
                <w:szCs w:val="22"/>
                <w:lang w:eastAsia="ja-JP"/>
              </w:rPr>
              <w:t>)</w:t>
            </w:r>
          </w:p>
          <w:p w14:paraId="0934D5FE" w14:textId="77777777" w:rsidR="001832CC" w:rsidRPr="006B3E0C" w:rsidRDefault="00C053AF" w:rsidP="00E40428">
            <w:pPr>
              <w:pStyle w:val="NormalWeb"/>
              <w:numPr>
                <w:ilvl w:val="1"/>
                <w:numId w:val="2"/>
              </w:numPr>
              <w:rPr>
                <w:strike/>
                <w:sz w:val="22"/>
                <w:szCs w:val="22"/>
                <w:lang w:eastAsia="ja-JP"/>
              </w:rPr>
            </w:pPr>
            <w:r w:rsidRPr="006B3E0C">
              <w:rPr>
                <w:sz w:val="22"/>
                <w:szCs w:val="22"/>
                <w:lang w:eastAsia="ja-JP"/>
              </w:rPr>
              <w:t xml:space="preserve">Laws and regulations of a higher government </w:t>
            </w:r>
          </w:p>
        </w:tc>
        <w:tc>
          <w:tcPr>
            <w:tcW w:w="2893" w:type="dxa"/>
            <w:tcBorders>
              <w:top w:val="single" w:sz="4" w:space="0" w:color="auto"/>
              <w:left w:val="single" w:sz="4" w:space="0" w:color="auto"/>
              <w:bottom w:val="single" w:sz="4" w:space="0" w:color="auto"/>
              <w:right w:val="single" w:sz="4" w:space="0" w:color="auto"/>
            </w:tcBorders>
          </w:tcPr>
          <w:p w14:paraId="2527977E" w14:textId="77777777" w:rsidR="00006BC8" w:rsidRPr="006B3E0C" w:rsidRDefault="5D53006E" w:rsidP="00EB2081">
            <w:pPr>
              <w:rPr>
                <w:b/>
                <w:bCs/>
                <w:sz w:val="22"/>
                <w:szCs w:val="22"/>
                <w:lang w:eastAsia="ja-JP"/>
              </w:rPr>
            </w:pPr>
            <w:r w:rsidRPr="006B3E0C">
              <w:rPr>
                <w:sz w:val="22"/>
                <w:szCs w:val="22"/>
                <w:lang w:eastAsia="ja-JP"/>
              </w:rPr>
              <w:t>20</w:t>
            </w:r>
            <w:r w:rsidR="00EB2081" w:rsidRPr="006B3E0C">
              <w:rPr>
                <w:sz w:val="22"/>
                <w:szCs w:val="22"/>
                <w:lang w:eastAsia="ja-JP"/>
              </w:rPr>
              <w:t>20</w:t>
            </w:r>
            <w:r w:rsidRPr="006B3E0C">
              <w:rPr>
                <w:sz w:val="22"/>
                <w:szCs w:val="22"/>
                <w:lang w:eastAsia="ja-JP"/>
              </w:rPr>
              <w:t xml:space="preserve"> </w:t>
            </w:r>
            <w:r w:rsidR="5B75536F" w:rsidRPr="006B3E0C">
              <w:rPr>
                <w:sz w:val="22"/>
                <w:szCs w:val="22"/>
                <w:lang w:eastAsia="ja-JP"/>
              </w:rPr>
              <w:t>GAAFR</w:t>
            </w:r>
            <w:r w:rsidRPr="006B3E0C">
              <w:rPr>
                <w:sz w:val="22"/>
                <w:szCs w:val="22"/>
                <w:lang w:eastAsia="ja-JP"/>
              </w:rPr>
              <w:t xml:space="preserve">, pg. </w:t>
            </w:r>
            <w:r w:rsidR="00EB2081" w:rsidRPr="006B3E0C">
              <w:rPr>
                <w:sz w:val="22"/>
                <w:szCs w:val="22"/>
                <w:lang w:eastAsia="ja-JP"/>
              </w:rPr>
              <w:t>473</w:t>
            </w:r>
            <w:r w:rsidR="27B97569" w:rsidRPr="006B3E0C">
              <w:rPr>
                <w:b/>
                <w:bCs/>
                <w:sz w:val="22"/>
                <w:szCs w:val="22"/>
                <w:lang w:eastAsia="ja-JP"/>
              </w:rPr>
              <w:t xml:space="preserve">  </w:t>
            </w:r>
          </w:p>
          <w:p w14:paraId="4B021829" w14:textId="412ACB7D" w:rsidR="00F403D2" w:rsidRPr="006B3E0C" w:rsidRDefault="00F403D2" w:rsidP="00EB2081">
            <w:pPr>
              <w:rPr>
                <w:strike/>
                <w:sz w:val="22"/>
                <w:szCs w:val="22"/>
                <w:lang w:eastAsia="ja-JP"/>
              </w:rPr>
            </w:pPr>
          </w:p>
        </w:tc>
      </w:tr>
      <w:tr w:rsidR="0044425C" w:rsidRPr="00F45E67" w14:paraId="58503975" w14:textId="77777777" w:rsidTr="006B3E0C">
        <w:trPr>
          <w:jc w:val="center"/>
        </w:trPr>
        <w:tc>
          <w:tcPr>
            <w:tcW w:w="6467" w:type="dxa"/>
            <w:tcBorders>
              <w:top w:val="single" w:sz="4" w:space="0" w:color="auto"/>
              <w:left w:val="single" w:sz="4" w:space="0" w:color="auto"/>
              <w:bottom w:val="single" w:sz="4" w:space="0" w:color="auto"/>
              <w:right w:val="single" w:sz="4" w:space="0" w:color="auto"/>
            </w:tcBorders>
          </w:tcPr>
          <w:p w14:paraId="1CAFA9FF" w14:textId="77777777" w:rsidR="0044425C" w:rsidRPr="006B3E0C" w:rsidRDefault="0044425C" w:rsidP="002F586A">
            <w:pPr>
              <w:pStyle w:val="NormalWeb"/>
              <w:numPr>
                <w:ilvl w:val="0"/>
                <w:numId w:val="2"/>
              </w:numPr>
              <w:rPr>
                <w:sz w:val="22"/>
                <w:szCs w:val="22"/>
                <w:lang w:eastAsia="ja-JP"/>
              </w:rPr>
            </w:pPr>
            <w:r w:rsidRPr="006B3E0C">
              <w:rPr>
                <w:sz w:val="22"/>
                <w:szCs w:val="22"/>
                <w:lang w:eastAsia="ja-JP"/>
              </w:rPr>
              <w:t>Deficit fund balances</w:t>
            </w:r>
          </w:p>
        </w:tc>
        <w:tc>
          <w:tcPr>
            <w:tcW w:w="2893" w:type="dxa"/>
            <w:tcBorders>
              <w:top w:val="single" w:sz="4" w:space="0" w:color="auto"/>
              <w:left w:val="single" w:sz="4" w:space="0" w:color="auto"/>
              <w:bottom w:val="single" w:sz="4" w:space="0" w:color="auto"/>
              <w:right w:val="single" w:sz="4" w:space="0" w:color="auto"/>
            </w:tcBorders>
          </w:tcPr>
          <w:p w14:paraId="1A19514A" w14:textId="720915C7" w:rsidR="0044425C" w:rsidRPr="006B3E0C" w:rsidRDefault="007B486E" w:rsidP="00F403D2">
            <w:pPr>
              <w:rPr>
                <w:sz w:val="22"/>
                <w:szCs w:val="22"/>
                <w:lang w:eastAsia="ja-JP"/>
              </w:rPr>
            </w:pPr>
            <w:r w:rsidRPr="006B3E0C">
              <w:rPr>
                <w:sz w:val="22"/>
                <w:szCs w:val="22"/>
                <w:lang w:eastAsia="ja-JP"/>
              </w:rPr>
              <w:t xml:space="preserve">GASB </w:t>
            </w:r>
            <w:r w:rsidR="0044425C" w:rsidRPr="006B3E0C">
              <w:rPr>
                <w:sz w:val="22"/>
                <w:szCs w:val="22"/>
                <w:lang w:eastAsia="ja-JP"/>
              </w:rPr>
              <w:t>Cod. 2300.903  Illustration 5</w:t>
            </w:r>
          </w:p>
        </w:tc>
      </w:tr>
      <w:tr w:rsidR="003E1359" w:rsidRPr="00F45E67" w14:paraId="1AE3C63C" w14:textId="77777777" w:rsidTr="006B3E0C">
        <w:trPr>
          <w:jc w:val="center"/>
        </w:trPr>
        <w:tc>
          <w:tcPr>
            <w:tcW w:w="9360" w:type="dxa"/>
            <w:gridSpan w:val="2"/>
            <w:tcBorders>
              <w:top w:val="single" w:sz="4" w:space="0" w:color="auto"/>
              <w:left w:val="single" w:sz="4" w:space="0" w:color="auto"/>
              <w:bottom w:val="single" w:sz="4" w:space="0" w:color="auto"/>
              <w:right w:val="single" w:sz="4" w:space="0" w:color="auto"/>
            </w:tcBorders>
          </w:tcPr>
          <w:p w14:paraId="54A36197" w14:textId="0F74FF47" w:rsidR="003E1359" w:rsidRPr="006B3E0C" w:rsidRDefault="003E1359" w:rsidP="008C7998">
            <w:pPr>
              <w:jc w:val="both"/>
              <w:rPr>
                <w:sz w:val="22"/>
                <w:szCs w:val="22"/>
                <w:lang w:eastAsia="ja-JP"/>
              </w:rPr>
            </w:pPr>
            <w:r w:rsidRPr="006B3E0C">
              <w:rPr>
                <w:sz w:val="22"/>
                <w:szCs w:val="22"/>
                <w:lang w:eastAsia="ja-JP"/>
              </w:rPr>
              <w:t xml:space="preserve">Note: Disclosure should only be as detailed as needed to inform users of ‘significant’ violations. The GASB Comprehensive Implementation Guide, Question 1.8.1, explains that the determination of “significant” violation is a matter of judgment. </w:t>
            </w:r>
            <w:r w:rsidR="008C7998" w:rsidRPr="006B3E0C">
              <w:rPr>
                <w:sz w:val="22"/>
                <w:szCs w:val="22"/>
                <w:lang w:eastAsia="ja-JP"/>
              </w:rPr>
              <w:t xml:space="preserve"> </w:t>
            </w:r>
            <w:r w:rsidRPr="006B3E0C">
              <w:rPr>
                <w:sz w:val="22"/>
                <w:szCs w:val="22"/>
                <w:lang w:eastAsia="ja-JP"/>
              </w:rPr>
              <w:t xml:space="preserve">Therefore, </w:t>
            </w:r>
            <w:r w:rsidR="00E21A8E" w:rsidRPr="006B3E0C">
              <w:rPr>
                <w:sz w:val="22"/>
                <w:szCs w:val="22"/>
                <w:lang w:eastAsia="ja-JP"/>
              </w:rPr>
              <w:t>disclosures may not be necessary for every instance of</w:t>
            </w:r>
            <w:r w:rsidRPr="006B3E0C">
              <w:rPr>
                <w:sz w:val="22"/>
                <w:szCs w:val="22"/>
                <w:lang w:eastAsia="ja-JP"/>
              </w:rPr>
              <w:t xml:space="preserve"> noncompliance.</w:t>
            </w:r>
          </w:p>
        </w:tc>
      </w:tr>
    </w:tbl>
    <w:p w14:paraId="26AA93EC" w14:textId="77777777" w:rsidR="00BE2E7B" w:rsidRDefault="00BE2E7B" w:rsidP="00377B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eastAsia="ja-JP"/>
        </w:rPr>
      </w:pPr>
    </w:p>
    <w:p w14:paraId="0BE52F66" w14:textId="164D1851" w:rsidR="000D28D3" w:rsidRDefault="00FD502F" w:rsidP="00377B2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lang w:eastAsia="ja-JP"/>
        </w:rPr>
        <w:sectPr w:rsidR="000D28D3" w:rsidSect="00F12E09">
          <w:pgSz w:w="12240" w:h="15840"/>
          <w:pgMar w:top="1440" w:right="1440" w:bottom="720" w:left="1440" w:header="720" w:footer="720" w:gutter="0"/>
          <w:cols w:space="720"/>
          <w:noEndnote/>
        </w:sectPr>
      </w:pPr>
      <w:r w:rsidRPr="003E6966">
        <w:rPr>
          <w:sz w:val="22"/>
          <w:szCs w:val="22"/>
          <w:lang w:eastAsia="ja-JP"/>
        </w:rPr>
        <w:t xml:space="preserve">As described later in this </w:t>
      </w:r>
      <w:r w:rsidR="00235C55" w:rsidRPr="003E6966">
        <w:rPr>
          <w:b/>
          <w:i/>
          <w:sz w:val="22"/>
          <w:szCs w:val="22"/>
          <w:lang w:eastAsia="ja-JP"/>
        </w:rPr>
        <w:t>Implementation Guide</w:t>
      </w:r>
      <w:r w:rsidRPr="003E6966">
        <w:rPr>
          <w:sz w:val="22"/>
          <w:szCs w:val="22"/>
          <w:lang w:eastAsia="ja-JP"/>
        </w:rPr>
        <w:t>, the auditor’s responsibility for “direct compliance requirements” exceeds her or his responsibility for “indir</w:t>
      </w:r>
      <w:r w:rsidR="009B4BF1" w:rsidRPr="003E6966">
        <w:rPr>
          <w:sz w:val="22"/>
          <w:szCs w:val="22"/>
          <w:lang w:eastAsia="ja-JP"/>
        </w:rPr>
        <w:t>ect compliance requirements.”</w:t>
      </w:r>
      <w:r w:rsidR="0075405E" w:rsidRPr="003E6966">
        <w:rPr>
          <w:sz w:val="22"/>
          <w:szCs w:val="22"/>
          <w:lang w:eastAsia="ja-JP"/>
        </w:rPr>
        <w:t xml:space="preserve">  </w:t>
      </w:r>
      <w:r w:rsidRPr="003E6966">
        <w:rPr>
          <w:sz w:val="22"/>
          <w:szCs w:val="22"/>
          <w:lang w:eastAsia="ja-JP"/>
        </w:rPr>
        <w:t xml:space="preserve">Some of the disclosures listed </w:t>
      </w:r>
      <w:r w:rsidR="003D7F3A" w:rsidRPr="003E6966">
        <w:rPr>
          <w:sz w:val="22"/>
          <w:szCs w:val="22"/>
          <w:lang w:eastAsia="ja-JP"/>
        </w:rPr>
        <w:t xml:space="preserve">in the table </w:t>
      </w:r>
      <w:r w:rsidRPr="003E6966">
        <w:rPr>
          <w:sz w:val="22"/>
          <w:szCs w:val="22"/>
          <w:lang w:eastAsia="ja-JP"/>
        </w:rPr>
        <w:t xml:space="preserve">above relate to indirect compliance requirements.  Auditors should certainly request auditees to include these disclosures if </w:t>
      </w:r>
      <w:r w:rsidR="00AC59AE" w:rsidRPr="003E6966">
        <w:rPr>
          <w:sz w:val="22"/>
          <w:szCs w:val="22"/>
          <w:lang w:eastAsia="ja-JP"/>
        </w:rPr>
        <w:t xml:space="preserve">evidence suggests </w:t>
      </w:r>
      <w:r w:rsidR="003D7F3A" w:rsidRPr="003E6966">
        <w:rPr>
          <w:sz w:val="22"/>
          <w:szCs w:val="22"/>
          <w:lang w:eastAsia="ja-JP"/>
        </w:rPr>
        <w:t>they apply</w:t>
      </w:r>
      <w:r w:rsidRPr="003E6966">
        <w:rPr>
          <w:sz w:val="22"/>
          <w:szCs w:val="22"/>
          <w:lang w:eastAsia="ja-JP"/>
        </w:rPr>
        <w:t xml:space="preserve">.  However, </w:t>
      </w:r>
      <w:r w:rsidRPr="003E6966">
        <w:rPr>
          <w:i/>
          <w:sz w:val="22"/>
          <w:szCs w:val="22"/>
          <w:lang w:eastAsia="ja-JP"/>
        </w:rPr>
        <w:t>in our judgment</w:t>
      </w:r>
      <w:r w:rsidRPr="003E6966">
        <w:rPr>
          <w:sz w:val="22"/>
          <w:szCs w:val="22"/>
          <w:lang w:eastAsia="ja-JP"/>
        </w:rPr>
        <w:t xml:space="preserve">, these disclosure requirements </w:t>
      </w:r>
      <w:r w:rsidR="00E029F4" w:rsidRPr="003E6966">
        <w:rPr>
          <w:sz w:val="22"/>
          <w:szCs w:val="22"/>
          <w:lang w:eastAsia="ja-JP"/>
        </w:rPr>
        <w:t>d</w:t>
      </w:r>
      <w:r w:rsidRPr="003E6966">
        <w:rPr>
          <w:sz w:val="22"/>
          <w:szCs w:val="22"/>
          <w:lang w:eastAsia="ja-JP"/>
        </w:rPr>
        <w:t xml:space="preserve">o not require an auditor to </w:t>
      </w:r>
      <w:r w:rsidRPr="003E6966">
        <w:rPr>
          <w:b/>
          <w:i/>
          <w:sz w:val="22"/>
          <w:szCs w:val="22"/>
          <w:lang w:eastAsia="ja-JP"/>
        </w:rPr>
        <w:t>t</w:t>
      </w:r>
      <w:r w:rsidR="00B93662" w:rsidRPr="003E6966">
        <w:rPr>
          <w:b/>
          <w:i/>
          <w:sz w:val="22"/>
          <w:szCs w:val="22"/>
          <w:lang w:eastAsia="ja-JP"/>
        </w:rPr>
        <w:t>est</w:t>
      </w:r>
      <w:r w:rsidRPr="003E6966">
        <w:rPr>
          <w:sz w:val="22"/>
          <w:szCs w:val="22"/>
          <w:lang w:eastAsia="ja-JP"/>
        </w:rPr>
        <w:t xml:space="preserve"> compliance requirement</w:t>
      </w:r>
      <w:r w:rsidR="00554A80" w:rsidRPr="003E6966">
        <w:rPr>
          <w:sz w:val="22"/>
          <w:szCs w:val="22"/>
          <w:lang w:eastAsia="ja-JP"/>
        </w:rPr>
        <w:t>s</w:t>
      </w:r>
      <w:r w:rsidRPr="003E6966">
        <w:rPr>
          <w:sz w:val="22"/>
          <w:szCs w:val="22"/>
          <w:lang w:eastAsia="ja-JP"/>
        </w:rPr>
        <w:t xml:space="preserve"> with </w:t>
      </w:r>
      <w:r w:rsidRPr="003E6966">
        <w:rPr>
          <w:b/>
          <w:i/>
          <w:sz w:val="22"/>
          <w:szCs w:val="22"/>
          <w:lang w:eastAsia="ja-JP"/>
        </w:rPr>
        <w:t>indirect</w:t>
      </w:r>
      <w:r w:rsidRPr="003E6966">
        <w:rPr>
          <w:sz w:val="22"/>
          <w:szCs w:val="22"/>
          <w:lang w:eastAsia="ja-JP"/>
        </w:rPr>
        <w:t xml:space="preserve"> </w:t>
      </w:r>
      <w:r w:rsidR="00E029F4" w:rsidRPr="003E6966">
        <w:rPr>
          <w:sz w:val="22"/>
          <w:szCs w:val="22"/>
          <w:lang w:eastAsia="ja-JP"/>
        </w:rPr>
        <w:t xml:space="preserve">financial statement effects </w:t>
      </w:r>
      <w:r w:rsidR="00AC59AE" w:rsidRPr="003E6966">
        <w:rPr>
          <w:sz w:val="22"/>
          <w:szCs w:val="22"/>
          <w:lang w:eastAsia="ja-JP"/>
        </w:rPr>
        <w:t xml:space="preserve">using </w:t>
      </w:r>
      <w:proofErr w:type="gramStart"/>
      <w:r w:rsidR="00AC59AE" w:rsidRPr="003E6966">
        <w:rPr>
          <w:sz w:val="22"/>
          <w:szCs w:val="22"/>
          <w:lang w:eastAsia="ja-JP"/>
        </w:rPr>
        <w:t>the nature</w:t>
      </w:r>
      <w:proofErr w:type="gramEnd"/>
      <w:r w:rsidR="00AC59AE" w:rsidRPr="003E6966">
        <w:rPr>
          <w:sz w:val="22"/>
          <w:szCs w:val="22"/>
          <w:lang w:eastAsia="ja-JP"/>
        </w:rPr>
        <w:t xml:space="preserve"> or extent required of </w:t>
      </w:r>
      <w:r w:rsidRPr="003E6966">
        <w:rPr>
          <w:b/>
          <w:i/>
          <w:sz w:val="22"/>
          <w:szCs w:val="22"/>
          <w:lang w:eastAsia="ja-JP"/>
        </w:rPr>
        <w:t>direct</w:t>
      </w:r>
      <w:r w:rsidRPr="003E6966">
        <w:rPr>
          <w:sz w:val="22"/>
          <w:szCs w:val="22"/>
          <w:lang w:eastAsia="ja-JP"/>
        </w:rPr>
        <w:t xml:space="preserve"> </w:t>
      </w:r>
      <w:r w:rsidR="00AC59AE" w:rsidRPr="003E6966">
        <w:rPr>
          <w:sz w:val="22"/>
          <w:szCs w:val="22"/>
          <w:lang w:eastAsia="ja-JP"/>
        </w:rPr>
        <w:t>compliance requirements</w:t>
      </w:r>
      <w:r w:rsidR="000D28D3">
        <w:rPr>
          <w:sz w:val="22"/>
          <w:szCs w:val="22"/>
          <w:lang w:eastAsia="ja-JP"/>
        </w:rPr>
        <w:t>.</w:t>
      </w:r>
    </w:p>
    <w:p w14:paraId="6FFE168E" w14:textId="77777777" w:rsidR="009C31EF" w:rsidRPr="005E72F9" w:rsidRDefault="009C31EF" w:rsidP="00621F8F">
      <w:pPr>
        <w:pStyle w:val="Subtitle"/>
        <w:shd w:val="clear" w:color="auto" w:fill="A6A6A6" w:themeFill="background1" w:themeFillShade="A6"/>
      </w:pPr>
      <w:bookmarkStart w:id="14" w:name="_Toc214431120"/>
      <w:r w:rsidRPr="005E72F9">
        <w:t>Compliance Risk and Controls</w:t>
      </w:r>
      <w:bookmarkEnd w:id="14"/>
    </w:p>
    <w:p w14:paraId="01B434B5" w14:textId="77777777" w:rsidR="00FD502F" w:rsidRPr="008C13D9"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i/>
          <w:sz w:val="24"/>
          <w:lang w:eastAsia="ja-JP"/>
        </w:rPr>
      </w:pPr>
    </w:p>
    <w:p w14:paraId="7956C59D" w14:textId="73A03232" w:rsidR="00E154C2" w:rsidRPr="00613906" w:rsidRDefault="00FD502F"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b/>
          <w:i/>
          <w:sz w:val="22"/>
          <w:szCs w:val="18"/>
          <w:lang w:eastAsia="ja-JP"/>
        </w:rPr>
        <w:t>Important:</w:t>
      </w:r>
      <w:r w:rsidRPr="00613906">
        <w:rPr>
          <w:sz w:val="22"/>
          <w:szCs w:val="18"/>
          <w:lang w:eastAsia="ja-JP"/>
        </w:rPr>
        <w:t xml:space="preserve">  AU-C </w:t>
      </w:r>
      <w:r w:rsidR="007A7788" w:rsidRPr="00613906">
        <w:rPr>
          <w:sz w:val="22"/>
          <w:szCs w:val="18"/>
          <w:lang w:eastAsia="ja-JP"/>
        </w:rPr>
        <w:t xml:space="preserve">315.42 </w:t>
      </w:r>
      <w:r w:rsidRPr="00613906">
        <w:rPr>
          <w:sz w:val="22"/>
          <w:szCs w:val="18"/>
          <w:lang w:eastAsia="ja-JP"/>
        </w:rPr>
        <w:t>requires documenting the five components</w:t>
      </w:r>
      <w:r w:rsidR="0021312B" w:rsidRPr="00613906">
        <w:rPr>
          <w:sz w:val="22"/>
          <w:szCs w:val="18"/>
          <w:lang w:eastAsia="ja-JP"/>
        </w:rPr>
        <w:t xml:space="preserve"> of the system of internal control</w:t>
      </w:r>
      <w:r w:rsidRPr="00613906">
        <w:rPr>
          <w:sz w:val="22"/>
          <w:szCs w:val="18"/>
          <w:lang w:eastAsia="ja-JP"/>
        </w:rPr>
        <w:t xml:space="preserve"> </w:t>
      </w:r>
      <w:r w:rsidR="007A7788" w:rsidRPr="00613906">
        <w:rPr>
          <w:sz w:val="22"/>
          <w:szCs w:val="18"/>
          <w:lang w:eastAsia="ja-JP"/>
        </w:rPr>
        <w:t xml:space="preserve">(control environment, the entity’s risk assessment process, the entity’s process to monitor the system of internal control, the information and communication system, and control activities) </w:t>
      </w:r>
      <w:r w:rsidRPr="00613906">
        <w:rPr>
          <w:sz w:val="22"/>
          <w:szCs w:val="18"/>
          <w:lang w:eastAsia="ja-JP"/>
        </w:rPr>
        <w:t xml:space="preserve">related to external financial reporting.  As described previously, </w:t>
      </w:r>
      <w:r w:rsidR="00E71E84" w:rsidRPr="00613906">
        <w:rPr>
          <w:sz w:val="22"/>
          <w:szCs w:val="18"/>
          <w:lang w:eastAsia="ja-JP"/>
        </w:rPr>
        <w:t xml:space="preserve">OCS </w:t>
      </w:r>
      <w:r w:rsidR="001F7215" w:rsidRPr="00613906">
        <w:rPr>
          <w:sz w:val="22"/>
          <w:szCs w:val="18"/>
          <w:lang w:eastAsia="ja-JP"/>
        </w:rPr>
        <w:t>C</w:t>
      </w:r>
      <w:r w:rsidR="0095160A" w:rsidRPr="00613906">
        <w:rPr>
          <w:sz w:val="22"/>
          <w:szCs w:val="18"/>
          <w:lang w:eastAsia="ja-JP"/>
        </w:rPr>
        <w:t>hapter</w:t>
      </w:r>
      <w:r w:rsidR="007206C6" w:rsidRPr="00613906">
        <w:rPr>
          <w:sz w:val="22"/>
          <w:szCs w:val="18"/>
          <w:lang w:eastAsia="ja-JP"/>
        </w:rPr>
        <w:t>s</w:t>
      </w:r>
      <w:r w:rsidR="0095160A" w:rsidRPr="00613906">
        <w:rPr>
          <w:sz w:val="22"/>
          <w:szCs w:val="18"/>
          <w:lang w:eastAsia="ja-JP"/>
        </w:rPr>
        <w:t xml:space="preserve"> 1</w:t>
      </w:r>
      <w:r w:rsidR="007206C6" w:rsidRPr="00613906">
        <w:rPr>
          <w:sz w:val="22"/>
          <w:szCs w:val="18"/>
          <w:lang w:eastAsia="ja-JP"/>
        </w:rPr>
        <w:t xml:space="preserve"> &amp; 4A </w:t>
      </w:r>
      <w:r w:rsidRPr="00613906">
        <w:rPr>
          <w:sz w:val="22"/>
          <w:szCs w:val="18"/>
          <w:lang w:eastAsia="ja-JP"/>
        </w:rPr>
        <w:t>requirements</w:t>
      </w:r>
      <w:r w:rsidR="00AA6061" w:rsidRPr="00613906">
        <w:rPr>
          <w:sz w:val="22"/>
          <w:szCs w:val="18"/>
          <w:lang w:eastAsia="ja-JP"/>
        </w:rPr>
        <w:t xml:space="preserve"> may</w:t>
      </w:r>
      <w:r w:rsidRPr="00613906">
        <w:rPr>
          <w:sz w:val="22"/>
          <w:szCs w:val="18"/>
          <w:lang w:eastAsia="ja-JP"/>
        </w:rPr>
        <w:t xml:space="preserve"> </w:t>
      </w:r>
      <w:r w:rsidRPr="00613906">
        <w:rPr>
          <w:b/>
          <w:i/>
          <w:sz w:val="22"/>
          <w:szCs w:val="18"/>
          <w:lang w:eastAsia="ja-JP"/>
        </w:rPr>
        <w:t>directly</w:t>
      </w:r>
      <w:r w:rsidRPr="00613906">
        <w:rPr>
          <w:sz w:val="22"/>
          <w:szCs w:val="18"/>
          <w:lang w:eastAsia="ja-JP"/>
        </w:rPr>
        <w:t xml:space="preserve"> affect the determination of financial statement amounts.  </w:t>
      </w:r>
    </w:p>
    <w:p w14:paraId="10E80B48" w14:textId="77777777" w:rsidR="00E154C2" w:rsidRPr="00613906" w:rsidRDefault="00E154C2"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31057B49" w14:textId="061C9E0D" w:rsidR="00FD502F" w:rsidRPr="00613906" w:rsidRDefault="00FD502F" w:rsidP="00A66E45">
      <w:pPr>
        <w:pStyle w:val="ListParagraph"/>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For example, some controls a government establishes over budgetary reporting can help assure compliance with </w:t>
      </w:r>
      <w:r w:rsidR="00E71E84" w:rsidRPr="00613906">
        <w:rPr>
          <w:sz w:val="22"/>
          <w:szCs w:val="18"/>
          <w:lang w:eastAsia="ja-JP"/>
        </w:rPr>
        <w:t xml:space="preserve">Ohio Rev. Code Chapter </w:t>
      </w:r>
      <w:r w:rsidRPr="00613906">
        <w:rPr>
          <w:sz w:val="22"/>
          <w:szCs w:val="18"/>
          <w:lang w:eastAsia="ja-JP"/>
        </w:rPr>
        <w:t xml:space="preserve">5705 (compliance controls) </w:t>
      </w:r>
      <w:r w:rsidRPr="00613906">
        <w:rPr>
          <w:b/>
          <w:i/>
          <w:sz w:val="22"/>
          <w:szCs w:val="18"/>
          <w:lang w:eastAsia="ja-JP"/>
        </w:rPr>
        <w:t>and</w:t>
      </w:r>
      <w:r w:rsidRPr="00613906">
        <w:rPr>
          <w:sz w:val="22"/>
          <w:szCs w:val="18"/>
          <w:lang w:eastAsia="ja-JP"/>
        </w:rPr>
        <w:t xml:space="preserve"> with GAAP or other applicable financial reporting frameworks (financial reporting controls).   </w:t>
      </w:r>
      <w:r w:rsidR="00E71E84" w:rsidRPr="00613906">
        <w:rPr>
          <w:sz w:val="22"/>
          <w:szCs w:val="18"/>
          <w:lang w:eastAsia="ja-JP"/>
        </w:rPr>
        <w:t>“</w:t>
      </w:r>
      <w:r w:rsidR="00E154C2" w:rsidRPr="00613906">
        <w:rPr>
          <w:sz w:val="22"/>
          <w:szCs w:val="18"/>
          <w:lang w:eastAsia="ja-JP"/>
        </w:rPr>
        <w:t>5705 c</w:t>
      </w:r>
      <w:r w:rsidRPr="00613906">
        <w:rPr>
          <w:sz w:val="22"/>
          <w:szCs w:val="18"/>
          <w:lang w:eastAsia="ja-JP"/>
        </w:rPr>
        <w:t>ompliance controls</w:t>
      </w:r>
      <w:r w:rsidR="00E154C2" w:rsidRPr="00613906">
        <w:rPr>
          <w:sz w:val="22"/>
          <w:szCs w:val="18"/>
          <w:lang w:eastAsia="ja-JP"/>
        </w:rPr>
        <w:t>”</w:t>
      </w:r>
      <w:r w:rsidRPr="00613906">
        <w:rPr>
          <w:sz w:val="22"/>
          <w:szCs w:val="18"/>
          <w:lang w:eastAsia="ja-JP"/>
        </w:rPr>
        <w:t xml:space="preserve"> that also help detect or prevent misstatements in budgetary financial presentations therefore fall under AU-C </w:t>
      </w:r>
      <w:r w:rsidR="00922455" w:rsidRPr="00613906">
        <w:rPr>
          <w:sz w:val="22"/>
          <w:szCs w:val="18"/>
          <w:lang w:eastAsia="ja-JP"/>
        </w:rPr>
        <w:t xml:space="preserve">315.42(b) &amp; (c) </w:t>
      </w:r>
      <w:r w:rsidRPr="00613906">
        <w:rPr>
          <w:sz w:val="22"/>
          <w:szCs w:val="18"/>
          <w:lang w:eastAsia="ja-JP"/>
        </w:rPr>
        <w:t>documentation and evaluation requirements.</w:t>
      </w:r>
    </w:p>
    <w:p w14:paraId="3A5766DA" w14:textId="12E812F2" w:rsidR="00E154C2" w:rsidRPr="00613906" w:rsidRDefault="00FD502F" w:rsidP="00A66E45">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AU-C </w:t>
      </w:r>
      <w:r w:rsidR="00922455" w:rsidRPr="00613906">
        <w:rPr>
          <w:sz w:val="22"/>
          <w:szCs w:val="18"/>
          <w:lang w:eastAsia="ja-JP"/>
        </w:rPr>
        <w:t xml:space="preserve">315.42 </w:t>
      </w:r>
      <w:r w:rsidR="00AA6061" w:rsidRPr="00613906">
        <w:rPr>
          <w:sz w:val="22"/>
          <w:szCs w:val="18"/>
          <w:lang w:eastAsia="ja-JP"/>
        </w:rPr>
        <w:t xml:space="preserve">financial control </w:t>
      </w:r>
      <w:r w:rsidRPr="00613906">
        <w:rPr>
          <w:sz w:val="22"/>
          <w:szCs w:val="18"/>
          <w:lang w:eastAsia="ja-JP"/>
        </w:rPr>
        <w:t xml:space="preserve">documentation and evaluation requirements do not apply to controls related solely to helping detect or prevent noncompliance. </w:t>
      </w:r>
    </w:p>
    <w:p w14:paraId="4611900A" w14:textId="6C2B868F" w:rsidR="00FD502F" w:rsidRPr="00613906" w:rsidRDefault="00E154C2" w:rsidP="00A66E45">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Conversely, AU-C </w:t>
      </w:r>
      <w:r w:rsidR="00922455" w:rsidRPr="00613906">
        <w:rPr>
          <w:sz w:val="22"/>
          <w:szCs w:val="18"/>
          <w:lang w:eastAsia="ja-JP"/>
        </w:rPr>
        <w:t xml:space="preserve">315.42 </w:t>
      </w:r>
      <w:r w:rsidRPr="00613906">
        <w:rPr>
          <w:sz w:val="22"/>
          <w:szCs w:val="18"/>
          <w:lang w:eastAsia="ja-JP"/>
        </w:rPr>
        <w:t xml:space="preserve">documentation and evaluation requirements do apply to direct compliance requirements.  For example, preparing budgetary presentations complying with </w:t>
      </w:r>
      <w:r w:rsidR="009E75D3" w:rsidRPr="00613906">
        <w:rPr>
          <w:sz w:val="22"/>
          <w:szCs w:val="18"/>
          <w:lang w:eastAsia="ja-JP"/>
        </w:rPr>
        <w:t xml:space="preserve">Ohio Rev. Code </w:t>
      </w:r>
      <w:r w:rsidR="00BB5B1E" w:rsidRPr="00613906">
        <w:rPr>
          <w:sz w:val="22"/>
          <w:szCs w:val="18"/>
          <w:lang w:eastAsia="ja-JP"/>
        </w:rPr>
        <w:t>Chapter</w:t>
      </w:r>
      <w:r w:rsidRPr="00613906">
        <w:rPr>
          <w:sz w:val="22"/>
          <w:szCs w:val="18"/>
          <w:lang w:eastAsia="ja-JP"/>
        </w:rPr>
        <w:t xml:space="preserve"> 5705 requires </w:t>
      </w:r>
      <w:r w:rsidRPr="00613906">
        <w:rPr>
          <w:b/>
          <w:i/>
          <w:sz w:val="22"/>
          <w:szCs w:val="18"/>
          <w:lang w:eastAsia="ja-JP"/>
        </w:rPr>
        <w:t>completeness</w:t>
      </w:r>
      <w:r w:rsidRPr="00613906">
        <w:rPr>
          <w:sz w:val="22"/>
          <w:szCs w:val="18"/>
          <w:lang w:eastAsia="ja-JP"/>
        </w:rPr>
        <w:t xml:space="preserve"> controls over appropriation amendments, </w:t>
      </w:r>
      <w:proofErr w:type="gramStart"/>
      <w:r w:rsidRPr="00613906">
        <w:rPr>
          <w:sz w:val="22"/>
          <w:szCs w:val="18"/>
          <w:lang w:eastAsia="ja-JP"/>
        </w:rPr>
        <w:t>and also</w:t>
      </w:r>
      <w:proofErr w:type="gramEnd"/>
      <w:r w:rsidRPr="00613906">
        <w:rPr>
          <w:sz w:val="22"/>
          <w:szCs w:val="18"/>
          <w:lang w:eastAsia="ja-JP"/>
        </w:rPr>
        <w:t xml:space="preserve"> requires controls to prevent recording appropriation amendments adopted after the fiscal year end.</w:t>
      </w:r>
    </w:p>
    <w:p w14:paraId="2ACF971E" w14:textId="77777777" w:rsidR="00BF3C1B" w:rsidRPr="00613906" w:rsidRDefault="00E154C2" w:rsidP="00A66E45">
      <w:pPr>
        <w:pStyle w:val="ListParagraph"/>
        <w:numPr>
          <w:ilvl w:val="2"/>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Because AOS’</w:t>
      </w:r>
      <w:r w:rsidR="007C629C" w:rsidRPr="00613906">
        <w:rPr>
          <w:sz w:val="22"/>
          <w:szCs w:val="18"/>
          <w:lang w:eastAsia="ja-JP"/>
        </w:rPr>
        <w:t>s</w:t>
      </w:r>
      <w:r w:rsidRPr="00613906">
        <w:rPr>
          <w:sz w:val="22"/>
          <w:szCs w:val="18"/>
          <w:lang w:eastAsia="ja-JP"/>
        </w:rPr>
        <w:t xml:space="preserve"> position is that appropriation amendments adopted after the fiscal year end fail the </w:t>
      </w:r>
      <w:r w:rsidRPr="00613906">
        <w:rPr>
          <w:b/>
          <w:i/>
          <w:sz w:val="22"/>
          <w:szCs w:val="18"/>
          <w:lang w:eastAsia="ja-JP"/>
        </w:rPr>
        <w:t>existence</w:t>
      </w:r>
      <w:r w:rsidRPr="00613906">
        <w:rPr>
          <w:sz w:val="22"/>
          <w:szCs w:val="18"/>
          <w:lang w:eastAsia="ja-JP"/>
        </w:rPr>
        <w:t xml:space="preserve"> assertion.</w:t>
      </w:r>
    </w:p>
    <w:p w14:paraId="78E51850" w14:textId="77777777" w:rsidR="008C13D9" w:rsidRPr="00613906" w:rsidRDefault="008C13D9" w:rsidP="0036115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sz w:val="22"/>
          <w:szCs w:val="18"/>
          <w:lang w:eastAsia="ja-JP"/>
        </w:rPr>
      </w:pPr>
    </w:p>
    <w:p w14:paraId="07E29AAB" w14:textId="5CD60213" w:rsidR="0090534F" w:rsidRPr="00613906" w:rsidRDefault="00BF3C1B"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Compliance requirements in </w:t>
      </w:r>
      <w:r w:rsidR="00E71E84" w:rsidRPr="00613906">
        <w:rPr>
          <w:sz w:val="22"/>
          <w:szCs w:val="18"/>
          <w:lang w:eastAsia="ja-JP"/>
        </w:rPr>
        <w:t xml:space="preserve">OCS </w:t>
      </w:r>
      <w:r w:rsidRPr="00613906">
        <w:rPr>
          <w:sz w:val="22"/>
          <w:szCs w:val="18"/>
          <w:lang w:eastAsia="ja-JP"/>
        </w:rPr>
        <w:t>Chapter</w:t>
      </w:r>
      <w:r w:rsidR="0036216A" w:rsidRPr="00613906">
        <w:rPr>
          <w:sz w:val="22"/>
          <w:szCs w:val="18"/>
          <w:lang w:eastAsia="ja-JP"/>
        </w:rPr>
        <w:t>s</w:t>
      </w:r>
      <w:r w:rsidRPr="00613906">
        <w:rPr>
          <w:sz w:val="22"/>
          <w:szCs w:val="18"/>
          <w:lang w:eastAsia="ja-JP"/>
        </w:rPr>
        <w:t xml:space="preserve"> 2</w:t>
      </w:r>
      <w:r w:rsidR="0036216A" w:rsidRPr="00613906">
        <w:rPr>
          <w:sz w:val="22"/>
          <w:szCs w:val="18"/>
          <w:lang w:eastAsia="ja-JP"/>
        </w:rPr>
        <w:t>,</w:t>
      </w:r>
      <w:r w:rsidRPr="00613906">
        <w:rPr>
          <w:sz w:val="22"/>
          <w:szCs w:val="18"/>
          <w:lang w:eastAsia="ja-JP"/>
        </w:rPr>
        <w:t xml:space="preserve"> 3</w:t>
      </w:r>
      <w:r w:rsidR="0036216A" w:rsidRPr="00613906">
        <w:rPr>
          <w:sz w:val="22"/>
          <w:szCs w:val="18"/>
          <w:lang w:eastAsia="ja-JP"/>
        </w:rPr>
        <w:t>, and 4B-D</w:t>
      </w:r>
      <w:r w:rsidRPr="00613906">
        <w:rPr>
          <w:sz w:val="22"/>
          <w:szCs w:val="18"/>
          <w:lang w:eastAsia="ja-JP"/>
        </w:rPr>
        <w:t xml:space="preserve"> do not fal</w:t>
      </w:r>
      <w:r w:rsidR="007C498A" w:rsidRPr="00613906">
        <w:rPr>
          <w:sz w:val="22"/>
          <w:szCs w:val="18"/>
          <w:lang w:eastAsia="ja-JP"/>
        </w:rPr>
        <w:t xml:space="preserve">l within the scope of AU-C </w:t>
      </w:r>
      <w:r w:rsidR="00922455" w:rsidRPr="00613906">
        <w:rPr>
          <w:sz w:val="22"/>
          <w:szCs w:val="18"/>
          <w:lang w:eastAsia="ja-JP"/>
        </w:rPr>
        <w:t xml:space="preserve">315.42 </w:t>
      </w:r>
      <w:r w:rsidRPr="00613906">
        <w:rPr>
          <w:sz w:val="22"/>
          <w:szCs w:val="18"/>
          <w:lang w:eastAsia="ja-JP"/>
        </w:rPr>
        <w:t xml:space="preserve">control documentation and evaluation requirements.  There is no requirement to document </w:t>
      </w:r>
      <w:r w:rsidR="00C17178" w:rsidRPr="00613906">
        <w:rPr>
          <w:sz w:val="22"/>
          <w:szCs w:val="18"/>
          <w:lang w:eastAsia="ja-JP"/>
        </w:rPr>
        <w:t xml:space="preserve">compliance </w:t>
      </w:r>
      <w:r w:rsidRPr="00613906">
        <w:rPr>
          <w:sz w:val="22"/>
          <w:szCs w:val="18"/>
          <w:lang w:eastAsia="ja-JP"/>
        </w:rPr>
        <w:t>controls fo</w:t>
      </w:r>
      <w:r w:rsidR="0090534F" w:rsidRPr="00613906">
        <w:rPr>
          <w:sz w:val="22"/>
          <w:szCs w:val="18"/>
          <w:lang w:eastAsia="ja-JP"/>
        </w:rPr>
        <w:t>r these compliance requirements</w:t>
      </w:r>
      <w:r w:rsidRPr="00613906">
        <w:rPr>
          <w:sz w:val="22"/>
          <w:szCs w:val="18"/>
          <w:lang w:eastAsia="ja-JP"/>
        </w:rPr>
        <w:t>.</w:t>
      </w:r>
    </w:p>
    <w:p w14:paraId="1B54514A" w14:textId="77777777" w:rsidR="00FD502F" w:rsidRPr="00613906" w:rsidRDefault="00FD502F"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p>
    <w:p w14:paraId="0CBF3C15" w14:textId="77777777" w:rsidR="00FD502F" w:rsidRPr="00613906" w:rsidRDefault="00FD502F" w:rsidP="00A66E45">
      <w:pPr>
        <w:pStyle w:val="ListParagraph"/>
        <w:numPr>
          <w:ilvl w:val="0"/>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Auditors may elect to document and test the operating effectiveness of </w:t>
      </w:r>
      <w:r w:rsidRPr="00613906">
        <w:rPr>
          <w:b/>
          <w:i/>
          <w:sz w:val="22"/>
          <w:szCs w:val="18"/>
          <w:lang w:eastAsia="ja-JP"/>
        </w:rPr>
        <w:t>compliance</w:t>
      </w:r>
      <w:r w:rsidRPr="00613906">
        <w:rPr>
          <w:sz w:val="22"/>
          <w:szCs w:val="18"/>
          <w:lang w:eastAsia="ja-JP"/>
        </w:rPr>
        <w:t xml:space="preserve"> controls related to </w:t>
      </w:r>
      <w:r w:rsidRPr="00613906">
        <w:rPr>
          <w:b/>
          <w:i/>
          <w:sz w:val="22"/>
          <w:szCs w:val="18"/>
          <w:lang w:eastAsia="ja-JP"/>
        </w:rPr>
        <w:t>any</w:t>
      </w:r>
      <w:r w:rsidRPr="00613906">
        <w:rPr>
          <w:sz w:val="22"/>
          <w:szCs w:val="18"/>
          <w:lang w:eastAsia="ja-JP"/>
        </w:rPr>
        <w:t xml:space="preserve"> step in the OCS, if they believe it reduces the </w:t>
      </w:r>
      <w:r w:rsidR="00665150" w:rsidRPr="00613906">
        <w:rPr>
          <w:sz w:val="22"/>
          <w:szCs w:val="18"/>
          <w:lang w:eastAsia="ja-JP"/>
        </w:rPr>
        <w:t xml:space="preserve">necessary </w:t>
      </w:r>
      <w:r w:rsidRPr="00613906">
        <w:rPr>
          <w:sz w:val="22"/>
          <w:szCs w:val="18"/>
          <w:lang w:eastAsia="ja-JP"/>
        </w:rPr>
        <w:t>extent of substantive testing.</w:t>
      </w:r>
    </w:p>
    <w:p w14:paraId="1F70ADF3" w14:textId="77777777" w:rsidR="00526278" w:rsidRPr="00613906" w:rsidRDefault="00FD502F" w:rsidP="00A66E45">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Assuming audit tests support these controls’ operating effectiveness.</w:t>
      </w:r>
    </w:p>
    <w:p w14:paraId="40CDFF38" w14:textId="77777777" w:rsidR="00D72152" w:rsidRPr="00613906" w:rsidRDefault="00526278" w:rsidP="00A66E45">
      <w:pPr>
        <w:pStyle w:val="ListParagraph"/>
        <w:numPr>
          <w:ilvl w:val="1"/>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18"/>
          <w:lang w:eastAsia="ja-JP"/>
        </w:rPr>
      </w:pPr>
      <w:r w:rsidRPr="00613906">
        <w:rPr>
          <w:sz w:val="22"/>
          <w:szCs w:val="18"/>
          <w:lang w:eastAsia="ja-JP"/>
        </w:rPr>
        <w:t xml:space="preserve">We neither encourage nor discourage a controls’ reliance approach.  Auditors should use professional judgment to determine an effective </w:t>
      </w:r>
      <w:r w:rsidR="004725A4" w:rsidRPr="00613906">
        <w:rPr>
          <w:sz w:val="22"/>
          <w:szCs w:val="18"/>
          <w:lang w:eastAsia="ja-JP"/>
        </w:rPr>
        <w:t xml:space="preserve">and efficient </w:t>
      </w:r>
      <w:r w:rsidRPr="00613906">
        <w:rPr>
          <w:sz w:val="22"/>
          <w:szCs w:val="18"/>
          <w:lang w:eastAsia="ja-JP"/>
        </w:rPr>
        <w:t>approach.</w:t>
      </w:r>
    </w:p>
    <w:p w14:paraId="39C4ED2C" w14:textId="77777777" w:rsidR="003B59DF" w:rsidRPr="00613906" w:rsidRDefault="003B59DF" w:rsidP="003B59D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jc w:val="both"/>
        <w:rPr>
          <w:sz w:val="22"/>
          <w:szCs w:val="18"/>
          <w:lang w:eastAsia="ja-JP"/>
        </w:rPr>
      </w:pPr>
    </w:p>
    <w:tbl>
      <w:tblPr>
        <w:tblStyle w:val="TableGrid"/>
        <w:tblW w:w="0" w:type="auto"/>
        <w:tblInd w:w="0" w:type="dxa"/>
        <w:tblLook w:val="04A0" w:firstRow="1" w:lastRow="0" w:firstColumn="1" w:lastColumn="0" w:noHBand="0" w:noVBand="1"/>
      </w:tblPr>
      <w:tblGrid>
        <w:gridCol w:w="9360"/>
      </w:tblGrid>
      <w:tr w:rsidR="009C31EF" w:rsidRPr="00613906" w14:paraId="6BFE8551" w14:textId="77777777" w:rsidTr="000D17C6">
        <w:tc>
          <w:tcPr>
            <w:tcW w:w="10098" w:type="dxa"/>
          </w:tcPr>
          <w:p w14:paraId="52CB850E"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Factors to consider in relying on compliance controls are </w:t>
            </w:r>
            <w:proofErr w:type="gramStart"/>
            <w:r w:rsidRPr="00613906">
              <w:rPr>
                <w:sz w:val="22"/>
                <w:szCs w:val="22"/>
                <w:lang w:eastAsia="ja-JP"/>
              </w:rPr>
              <w:t>similar to</w:t>
            </w:r>
            <w:proofErr w:type="gramEnd"/>
            <w:r w:rsidRPr="00613906">
              <w:rPr>
                <w:sz w:val="22"/>
                <w:szCs w:val="22"/>
                <w:lang w:eastAsia="ja-JP"/>
              </w:rPr>
              <w:t xml:space="preserve"> the judgments we use for </w:t>
            </w:r>
            <w:r w:rsidR="0009621C" w:rsidRPr="00613906">
              <w:rPr>
                <w:sz w:val="22"/>
                <w:szCs w:val="22"/>
                <w:lang w:eastAsia="ja-JP"/>
              </w:rPr>
              <w:t xml:space="preserve">any </w:t>
            </w:r>
            <w:r w:rsidRPr="00613906">
              <w:rPr>
                <w:sz w:val="22"/>
                <w:szCs w:val="22"/>
                <w:lang w:eastAsia="ja-JP"/>
              </w:rPr>
              <w:t xml:space="preserve">financial statement account.  </w:t>
            </w:r>
            <w:r w:rsidRPr="00613906">
              <w:rPr>
                <w:b/>
                <w:i/>
                <w:sz w:val="22"/>
                <w:szCs w:val="22"/>
                <w:lang w:eastAsia="ja-JP"/>
              </w:rPr>
              <w:t>For example</w:t>
            </w:r>
            <w:r w:rsidRPr="00613906">
              <w:rPr>
                <w:sz w:val="22"/>
                <w:szCs w:val="22"/>
                <w:lang w:eastAsia="ja-JP"/>
              </w:rPr>
              <w:t>, a compliance controls approach is often more efficient and effective if the volume of transactions subject to the compliance requirement is large.  Conversely:</w:t>
            </w:r>
          </w:p>
          <w:p w14:paraId="64BC3C48" w14:textId="77777777" w:rsidR="009C31EF" w:rsidRPr="00613906" w:rsidRDefault="009C31EF" w:rsidP="00A66E45">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Relying on investment purchasing controls is normally inefficient for small entities with few investment purchases / sales during the year</w:t>
            </w:r>
            <w:r w:rsidR="00837B73" w:rsidRPr="00613906">
              <w:rPr>
                <w:sz w:val="22"/>
                <w:szCs w:val="22"/>
                <w:lang w:eastAsia="ja-JP"/>
              </w:rPr>
              <w:t>.</w:t>
            </w:r>
          </w:p>
          <w:p w14:paraId="246179F6" w14:textId="6924E13C" w:rsidR="009C31EF" w:rsidRPr="00613906" w:rsidRDefault="009C31EF" w:rsidP="00A66E4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They might not need / have formal controls anyway – the CFO’s use of an up-to-date </w:t>
            </w:r>
            <w:r w:rsidR="009E75D3" w:rsidRPr="00613906">
              <w:rPr>
                <w:sz w:val="22"/>
                <w:szCs w:val="22"/>
                <w:lang w:eastAsia="ja-JP"/>
              </w:rPr>
              <w:t>O</w:t>
            </w:r>
            <w:r w:rsidR="002F68D9" w:rsidRPr="00613906">
              <w:rPr>
                <w:sz w:val="22"/>
                <w:szCs w:val="22"/>
                <w:lang w:eastAsia="ja-JP"/>
              </w:rPr>
              <w:t>hio Rev</w:t>
            </w:r>
            <w:r w:rsidR="009E75D3" w:rsidRPr="00613906">
              <w:rPr>
                <w:sz w:val="22"/>
                <w:szCs w:val="22"/>
                <w:lang w:eastAsia="ja-JP"/>
              </w:rPr>
              <w:t>. C</w:t>
            </w:r>
            <w:r w:rsidR="002F68D9" w:rsidRPr="00613906">
              <w:rPr>
                <w:sz w:val="22"/>
                <w:szCs w:val="22"/>
                <w:lang w:eastAsia="ja-JP"/>
              </w:rPr>
              <w:t>ode</w:t>
            </w:r>
            <w:r w:rsidR="00B61887" w:rsidRPr="00613906">
              <w:rPr>
                <w:sz w:val="22"/>
                <w:szCs w:val="22"/>
                <w:lang w:eastAsia="ja-JP"/>
              </w:rPr>
              <w:t xml:space="preserve"> </w:t>
            </w:r>
            <w:r w:rsidR="00B61887" w:rsidRPr="00613906">
              <w:rPr>
                <w:sz w:val="22"/>
                <w:szCs w:val="18"/>
                <w:lang w:eastAsia="ja-JP"/>
              </w:rPr>
              <w:t>§</w:t>
            </w:r>
            <w:r w:rsidRPr="00613906">
              <w:rPr>
                <w:sz w:val="22"/>
                <w:szCs w:val="22"/>
                <w:lang w:eastAsia="ja-JP"/>
              </w:rPr>
              <w:t xml:space="preserve"> 135.13-.14 listing of allowable investments may be</w:t>
            </w:r>
            <w:r w:rsidR="00EE6F77" w:rsidRPr="00613906">
              <w:rPr>
                <w:sz w:val="22"/>
                <w:szCs w:val="22"/>
                <w:lang w:eastAsia="ja-JP"/>
              </w:rPr>
              <w:t xml:space="preserve"> a</w:t>
            </w:r>
            <w:r w:rsidRPr="00613906">
              <w:rPr>
                <w:sz w:val="22"/>
                <w:szCs w:val="22"/>
                <w:lang w:eastAsia="ja-JP"/>
              </w:rPr>
              <w:t xml:space="preserve"> sufficient</w:t>
            </w:r>
            <w:r w:rsidR="00E4509B" w:rsidRPr="00613906">
              <w:rPr>
                <w:sz w:val="22"/>
                <w:szCs w:val="22"/>
                <w:lang w:eastAsia="ja-JP"/>
              </w:rPr>
              <w:t xml:space="preserve"> </w:t>
            </w:r>
            <w:r w:rsidR="00337CFC" w:rsidRPr="00613906">
              <w:rPr>
                <w:sz w:val="22"/>
                <w:szCs w:val="22"/>
                <w:lang w:eastAsia="ja-JP"/>
              </w:rPr>
              <w:t>basis for a</w:t>
            </w:r>
            <w:r w:rsidRPr="00613906">
              <w:rPr>
                <w:sz w:val="22"/>
                <w:szCs w:val="22"/>
                <w:lang w:eastAsia="ja-JP"/>
              </w:rPr>
              <w:t xml:space="preserve"> “control”</w:t>
            </w:r>
            <w:r w:rsidR="0009621C" w:rsidRPr="00613906">
              <w:rPr>
                <w:sz w:val="22"/>
                <w:szCs w:val="22"/>
                <w:lang w:eastAsia="ja-JP"/>
              </w:rPr>
              <w:t>.</w:t>
            </w:r>
            <w:r w:rsidRPr="00613906">
              <w:rPr>
                <w:sz w:val="22"/>
                <w:szCs w:val="22"/>
                <w:lang w:eastAsia="ja-JP"/>
              </w:rPr>
              <w:t xml:space="preserve">  </w:t>
            </w:r>
          </w:p>
          <w:p w14:paraId="4A90AA1C" w14:textId="77777777" w:rsidR="009C31EF" w:rsidRPr="00613906" w:rsidRDefault="009C31EF" w:rsidP="00A66E45">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Relying on controls over</w:t>
            </w:r>
            <w:r w:rsidR="00E4509B" w:rsidRPr="00613906">
              <w:rPr>
                <w:sz w:val="22"/>
                <w:szCs w:val="22"/>
                <w:lang w:eastAsia="ja-JP"/>
              </w:rPr>
              <w:t xml:space="preserve"> </w:t>
            </w:r>
            <w:r w:rsidR="00337CFC" w:rsidRPr="00613906">
              <w:rPr>
                <w:sz w:val="22"/>
                <w:szCs w:val="22"/>
                <w:lang w:eastAsia="ja-JP"/>
              </w:rPr>
              <w:t>the legality of</w:t>
            </w:r>
            <w:r w:rsidRPr="00613906">
              <w:rPr>
                <w:sz w:val="22"/>
                <w:szCs w:val="22"/>
                <w:lang w:eastAsia="ja-JP"/>
              </w:rPr>
              <w:t xml:space="preserve"> interfund transfers may be inappropriate because the complexity of the transfer requirements is not easily subject to a “routine” set of controls.</w:t>
            </w:r>
          </w:p>
          <w:p w14:paraId="2ADAC28C" w14:textId="77777777" w:rsidR="009C31EF" w:rsidRPr="00613906" w:rsidRDefault="009C31EF" w:rsidP="00A66E45">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That is, even if the entity has controls to help assure interfund transfers are legal, the complexity of the statutes </w:t>
            </w:r>
            <w:r w:rsidR="007B0519" w:rsidRPr="00613906">
              <w:rPr>
                <w:sz w:val="22"/>
                <w:szCs w:val="22"/>
                <w:lang w:eastAsia="ja-JP"/>
              </w:rPr>
              <w:t xml:space="preserve">usually </w:t>
            </w:r>
            <w:r w:rsidRPr="00613906">
              <w:rPr>
                <w:sz w:val="22"/>
                <w:szCs w:val="22"/>
                <w:lang w:eastAsia="ja-JP"/>
              </w:rPr>
              <w:t xml:space="preserve">still requires auditors to “re-perform” the control, which is </w:t>
            </w:r>
            <w:r w:rsidR="007B0519" w:rsidRPr="00613906">
              <w:rPr>
                <w:sz w:val="22"/>
                <w:szCs w:val="22"/>
                <w:lang w:eastAsia="ja-JP"/>
              </w:rPr>
              <w:t xml:space="preserve">also </w:t>
            </w:r>
            <w:r w:rsidRPr="00613906">
              <w:rPr>
                <w:sz w:val="22"/>
                <w:szCs w:val="22"/>
                <w:lang w:eastAsia="ja-JP"/>
              </w:rPr>
              <w:t>a substantive test / evaluation of the transfer’s legality.</w:t>
            </w:r>
          </w:p>
          <w:p w14:paraId="25664E8D" w14:textId="77777777" w:rsidR="008E49DA" w:rsidRPr="00613906" w:rsidRDefault="008E49DA" w:rsidP="00A66E45">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We believe relatively complex controls </w:t>
            </w:r>
            <w:r w:rsidR="003118C6" w:rsidRPr="00613906">
              <w:rPr>
                <w:sz w:val="22"/>
                <w:szCs w:val="22"/>
                <w:lang w:eastAsia="ja-JP"/>
              </w:rPr>
              <w:t>(such as non</w:t>
            </w:r>
            <w:r w:rsidR="0069552D" w:rsidRPr="00613906">
              <w:rPr>
                <w:sz w:val="22"/>
                <w:szCs w:val="22"/>
                <w:lang w:eastAsia="ja-JP"/>
              </w:rPr>
              <w:t>-</w:t>
            </w:r>
            <w:r w:rsidR="003118C6" w:rsidRPr="00613906">
              <w:rPr>
                <w:sz w:val="22"/>
                <w:szCs w:val="22"/>
                <w:lang w:eastAsia="ja-JP"/>
              </w:rPr>
              <w:t xml:space="preserve">routine transfer authorizations) </w:t>
            </w:r>
            <w:r w:rsidRPr="00613906">
              <w:rPr>
                <w:sz w:val="22"/>
                <w:szCs w:val="22"/>
                <w:lang w:eastAsia="ja-JP"/>
              </w:rPr>
              <w:t>require reperformance, as AU-C 330.A28 infers.</w:t>
            </w:r>
          </w:p>
          <w:p w14:paraId="60E03AF5" w14:textId="77777777" w:rsidR="008E49DA" w:rsidRPr="00613906" w:rsidRDefault="008E49DA" w:rsidP="00A66E45">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However, we </w:t>
            </w:r>
            <w:r w:rsidR="003118C6" w:rsidRPr="00613906">
              <w:rPr>
                <w:sz w:val="22"/>
                <w:szCs w:val="22"/>
                <w:lang w:eastAsia="ja-JP"/>
              </w:rPr>
              <w:t xml:space="preserve">only require our </w:t>
            </w:r>
            <w:r w:rsidRPr="00613906">
              <w:rPr>
                <w:sz w:val="22"/>
                <w:szCs w:val="22"/>
                <w:lang w:eastAsia="ja-JP"/>
              </w:rPr>
              <w:t>staff to reperform a</w:t>
            </w:r>
            <w:r w:rsidR="003118C6" w:rsidRPr="00613906">
              <w:rPr>
                <w:sz w:val="22"/>
                <w:szCs w:val="22"/>
                <w:lang w:eastAsia="ja-JP"/>
              </w:rPr>
              <w:t xml:space="preserve"> small number of </w:t>
            </w:r>
            <w:r w:rsidRPr="00613906">
              <w:rPr>
                <w:sz w:val="22"/>
                <w:szCs w:val="22"/>
                <w:lang w:eastAsia="ja-JP"/>
              </w:rPr>
              <w:t>control operations</w:t>
            </w:r>
            <w:r w:rsidR="003118C6" w:rsidRPr="00613906">
              <w:rPr>
                <w:sz w:val="22"/>
                <w:szCs w:val="22"/>
                <w:lang w:eastAsia="ja-JP"/>
              </w:rPr>
              <w:t xml:space="preserve"> when sampling.</w:t>
            </w:r>
          </w:p>
          <w:p w14:paraId="1542AAA3" w14:textId="77777777" w:rsidR="003118C6" w:rsidRPr="00613906" w:rsidRDefault="003118C6" w:rsidP="00A66E45">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For example, if a sampling table required testing 25 control operations, we would test all 25 for evidence the control was applied, but might only reperform 2 or 3 of the </w:t>
            </w:r>
            <w:r w:rsidR="007B0519" w:rsidRPr="00613906">
              <w:rPr>
                <w:sz w:val="22"/>
                <w:szCs w:val="22"/>
                <w:lang w:eastAsia="ja-JP"/>
              </w:rPr>
              <w:t xml:space="preserve">complex </w:t>
            </w:r>
            <w:r w:rsidRPr="00613906">
              <w:rPr>
                <w:sz w:val="22"/>
                <w:szCs w:val="22"/>
                <w:lang w:eastAsia="ja-JP"/>
              </w:rPr>
              <w:t xml:space="preserve">control operations. </w:t>
            </w:r>
          </w:p>
          <w:p w14:paraId="3998FCB1" w14:textId="77777777" w:rsidR="00EE6F77" w:rsidRPr="00613906" w:rsidRDefault="00EE6F77" w:rsidP="00A66E45">
            <w:pPr>
              <w:pStyle w:val="ListParagraph"/>
              <w:numPr>
                <w:ilvl w:val="3"/>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Auditor of State staff should follow the control reperformance guidance in our Audit Manual.</w:t>
            </w:r>
          </w:p>
          <w:p w14:paraId="3D22E519" w14:textId="77777777" w:rsidR="00E557E5" w:rsidRPr="00613906" w:rsidRDefault="00E557E5" w:rsidP="00A66E45">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In conclusion regarding this example, and assuming transfers were material to opinion unit(s):</w:t>
            </w:r>
          </w:p>
          <w:p w14:paraId="7EBBBEE7" w14:textId="77777777" w:rsidR="00E557E5" w:rsidRPr="00613906" w:rsidRDefault="00E557E5" w:rsidP="00A66E45">
            <w:pPr>
              <w:pStyle w:val="ListParagraph"/>
              <w:numPr>
                <w:ilvl w:val="3"/>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If there were </w:t>
            </w:r>
            <w:proofErr w:type="gramStart"/>
            <w:r w:rsidRPr="00613906">
              <w:rPr>
                <w:sz w:val="22"/>
                <w:szCs w:val="22"/>
                <w:lang w:eastAsia="ja-JP"/>
              </w:rPr>
              <w:t>a large number of</w:t>
            </w:r>
            <w:proofErr w:type="gramEnd"/>
            <w:r w:rsidRPr="00613906">
              <w:rPr>
                <w:sz w:val="22"/>
                <w:szCs w:val="22"/>
                <w:lang w:eastAsia="ja-JP"/>
              </w:rPr>
              <w:t xml:space="preserve"> transfers for similar purposes, controls reliance with limited reperformance of judging their legality might be efficient.</w:t>
            </w:r>
          </w:p>
          <w:p w14:paraId="0397A76C" w14:textId="77777777" w:rsidR="00E557E5" w:rsidRPr="00613906" w:rsidRDefault="00E557E5" w:rsidP="00A66E45">
            <w:pPr>
              <w:pStyle w:val="ListParagraph"/>
              <w:numPr>
                <w:ilvl w:val="3"/>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However, </w:t>
            </w:r>
            <w:proofErr w:type="gramStart"/>
            <w:r w:rsidRPr="00613906">
              <w:rPr>
                <w:sz w:val="22"/>
                <w:szCs w:val="22"/>
                <w:lang w:eastAsia="ja-JP"/>
              </w:rPr>
              <w:t>a large number of</w:t>
            </w:r>
            <w:proofErr w:type="gramEnd"/>
            <w:r w:rsidRPr="00613906">
              <w:rPr>
                <w:sz w:val="22"/>
                <w:szCs w:val="22"/>
                <w:lang w:eastAsia="ja-JP"/>
              </w:rPr>
              <w:t xml:space="preserve"> transfers for various purposes would suggest more tests of determining their legality (a substantive reperformance).  This would tend to render controls reliance as inefficient. </w:t>
            </w:r>
          </w:p>
        </w:tc>
      </w:tr>
    </w:tbl>
    <w:p w14:paraId="1E4D5F47" w14:textId="77777777" w:rsidR="009C31EF" w:rsidRPr="00C23CFC" w:rsidRDefault="009C31EF" w:rsidP="009C31E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szCs w:val="24"/>
          <w:lang w:eastAsia="ja-JP"/>
        </w:rPr>
      </w:pPr>
    </w:p>
    <w:p w14:paraId="194CDB2C"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In assessing the compliance control </w:t>
      </w:r>
      <w:r w:rsidRPr="00613906">
        <w:rPr>
          <w:sz w:val="22"/>
          <w:szCs w:val="22"/>
          <w:u w:val="single"/>
          <w:lang w:eastAsia="ja-JP"/>
        </w:rPr>
        <w:t>environment</w:t>
      </w:r>
      <w:r w:rsidRPr="00613906">
        <w:rPr>
          <w:sz w:val="22"/>
          <w:szCs w:val="22"/>
          <w:lang w:eastAsia="ja-JP"/>
        </w:rPr>
        <w:t>, the auditor might consider:</w:t>
      </w:r>
    </w:p>
    <w:p w14:paraId="3480D930"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4E18D4BD" w14:textId="77777777" w:rsidR="009C31EF" w:rsidRPr="00613906" w:rsidRDefault="009C31EF"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Management's attitudes toward compliance with laws and </w:t>
      </w:r>
      <w:proofErr w:type="gramStart"/>
      <w:r w:rsidRPr="00613906">
        <w:rPr>
          <w:sz w:val="22"/>
          <w:szCs w:val="22"/>
          <w:lang w:eastAsia="ja-JP"/>
        </w:rPr>
        <w:t>regulations;</w:t>
      </w:r>
      <w:proofErr w:type="gramEnd"/>
    </w:p>
    <w:p w14:paraId="29A62962"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68E5C75" w14:textId="77777777" w:rsidR="009C31EF" w:rsidRPr="00613906" w:rsidRDefault="009C31EF"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Legal actions </w:t>
      </w:r>
      <w:proofErr w:type="gramStart"/>
      <w:r w:rsidRPr="00613906">
        <w:rPr>
          <w:sz w:val="22"/>
          <w:szCs w:val="22"/>
          <w:lang w:eastAsia="ja-JP"/>
        </w:rPr>
        <w:t>brought</w:t>
      </w:r>
      <w:proofErr w:type="gramEnd"/>
      <w:r w:rsidRPr="00613906">
        <w:rPr>
          <w:sz w:val="22"/>
          <w:szCs w:val="22"/>
          <w:lang w:eastAsia="ja-JP"/>
        </w:rPr>
        <w:t xml:space="preserve"> against the government, and/or its elected and appointed officials</w:t>
      </w:r>
      <w:r w:rsidR="00586079" w:rsidRPr="00613906">
        <w:rPr>
          <w:sz w:val="22"/>
          <w:szCs w:val="22"/>
          <w:lang w:eastAsia="ja-JP"/>
        </w:rPr>
        <w:t>, especially regarding the compliance areas subject to potential controls reliance</w:t>
      </w:r>
      <w:r w:rsidRPr="00613906">
        <w:rPr>
          <w:sz w:val="22"/>
          <w:szCs w:val="22"/>
          <w:lang w:eastAsia="ja-JP"/>
        </w:rPr>
        <w:t>;</w:t>
      </w:r>
      <w:r w:rsidR="00611DEC" w:rsidRPr="00613906">
        <w:rPr>
          <w:sz w:val="22"/>
          <w:szCs w:val="22"/>
          <w:lang w:eastAsia="ja-JP"/>
        </w:rPr>
        <w:t xml:space="preserve"> and</w:t>
      </w:r>
    </w:p>
    <w:p w14:paraId="7E7DD5C2"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C7E6AD6" w14:textId="77777777" w:rsidR="009C31EF" w:rsidRPr="00613906" w:rsidRDefault="009C31EF"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Involvement of the governing authority and management in the control structure to assure compliance.</w:t>
      </w:r>
    </w:p>
    <w:p w14:paraId="58D57B38"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0E4E744" w14:textId="713B6B14" w:rsidR="00FD502F" w:rsidRPr="00613906" w:rsidRDefault="00230502"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Exhibit </w:t>
      </w:r>
      <w:r w:rsidR="002F6486" w:rsidRPr="00613906">
        <w:rPr>
          <w:sz w:val="22"/>
          <w:szCs w:val="22"/>
          <w:lang w:eastAsia="ja-JP"/>
        </w:rPr>
        <w:t>3</w:t>
      </w:r>
      <w:r w:rsidR="009C31EF" w:rsidRPr="00613906">
        <w:rPr>
          <w:sz w:val="22"/>
          <w:szCs w:val="22"/>
          <w:lang w:eastAsia="ja-JP"/>
        </w:rPr>
        <w:t xml:space="preserve"> </w:t>
      </w:r>
      <w:r w:rsidR="00E572B4" w:rsidRPr="00613906">
        <w:rPr>
          <w:sz w:val="22"/>
          <w:szCs w:val="22"/>
          <w:lang w:eastAsia="ja-JP"/>
        </w:rPr>
        <w:t>of this Implementation Guide</w:t>
      </w:r>
      <w:r w:rsidR="00E71E84" w:rsidRPr="00613906">
        <w:rPr>
          <w:sz w:val="22"/>
          <w:szCs w:val="22"/>
          <w:lang w:eastAsia="ja-JP"/>
        </w:rPr>
        <w:t xml:space="preserve"> </w:t>
      </w:r>
      <w:r w:rsidR="009C31EF" w:rsidRPr="00613906">
        <w:rPr>
          <w:sz w:val="22"/>
          <w:szCs w:val="22"/>
          <w:lang w:eastAsia="ja-JP"/>
        </w:rPr>
        <w:t>lists control environment areas for assessment and related points of focus.  Auditors should complete the Supp</w:t>
      </w:r>
      <w:r w:rsidR="00611DEC" w:rsidRPr="00613906">
        <w:rPr>
          <w:sz w:val="22"/>
          <w:szCs w:val="22"/>
          <w:lang w:eastAsia="ja-JP"/>
        </w:rPr>
        <w:t xml:space="preserve">lement as part of each audit.  </w:t>
      </w:r>
      <w:r w:rsidR="009C31EF" w:rsidRPr="00613906">
        <w:rPr>
          <w:sz w:val="22"/>
          <w:szCs w:val="22"/>
          <w:lang w:eastAsia="ja-JP"/>
        </w:rPr>
        <w:t xml:space="preserve">AOS staff should document these </w:t>
      </w:r>
      <w:proofErr w:type="gramStart"/>
      <w:r w:rsidR="009C31EF" w:rsidRPr="00613906">
        <w:rPr>
          <w:sz w:val="22"/>
          <w:szCs w:val="22"/>
          <w:lang w:eastAsia="ja-JP"/>
        </w:rPr>
        <w:t>control environment</w:t>
      </w:r>
      <w:proofErr w:type="gramEnd"/>
      <w:r w:rsidR="009C31EF" w:rsidRPr="00613906">
        <w:rPr>
          <w:sz w:val="22"/>
          <w:szCs w:val="22"/>
          <w:lang w:eastAsia="ja-JP"/>
        </w:rPr>
        <w:t xml:space="preserve"> factors in </w:t>
      </w:r>
      <w:proofErr w:type="gramStart"/>
      <w:r w:rsidR="009C31EF" w:rsidRPr="00613906">
        <w:rPr>
          <w:sz w:val="22"/>
          <w:szCs w:val="22"/>
          <w:lang w:eastAsia="ja-JP"/>
        </w:rPr>
        <w:t>the AOS’</w:t>
      </w:r>
      <w:r w:rsidR="009B4BF1" w:rsidRPr="00613906">
        <w:rPr>
          <w:sz w:val="22"/>
          <w:szCs w:val="22"/>
          <w:lang w:eastAsia="ja-JP"/>
        </w:rPr>
        <w:t>s</w:t>
      </w:r>
      <w:proofErr w:type="gramEnd"/>
      <w:r w:rsidR="009C31EF" w:rsidRPr="00613906">
        <w:rPr>
          <w:sz w:val="22"/>
          <w:szCs w:val="22"/>
          <w:lang w:eastAsia="ja-JP"/>
        </w:rPr>
        <w:t xml:space="preserve"> A</w:t>
      </w:r>
      <w:r w:rsidR="00611DEC" w:rsidRPr="00613906">
        <w:rPr>
          <w:sz w:val="22"/>
          <w:szCs w:val="22"/>
          <w:lang w:eastAsia="ja-JP"/>
        </w:rPr>
        <w:t xml:space="preserve">ssessment of </w:t>
      </w:r>
      <w:r w:rsidR="009C31EF" w:rsidRPr="00613906">
        <w:rPr>
          <w:sz w:val="22"/>
          <w:szCs w:val="22"/>
          <w:lang w:eastAsia="ja-JP"/>
        </w:rPr>
        <w:t>C</w:t>
      </w:r>
      <w:r w:rsidR="00611DEC" w:rsidRPr="00613906">
        <w:rPr>
          <w:sz w:val="22"/>
          <w:szCs w:val="22"/>
          <w:lang w:eastAsia="ja-JP"/>
        </w:rPr>
        <w:t>ontrol Environment (ACE).</w:t>
      </w:r>
      <w:r w:rsidR="009C31EF" w:rsidRPr="00613906">
        <w:rPr>
          <w:sz w:val="22"/>
          <w:szCs w:val="22"/>
          <w:lang w:eastAsia="ja-JP"/>
        </w:rPr>
        <w:t xml:space="preserve"> </w:t>
      </w:r>
      <w:r w:rsidR="00667DBB" w:rsidRPr="00613906">
        <w:rPr>
          <w:sz w:val="22"/>
          <w:szCs w:val="22"/>
          <w:lang w:eastAsia="ja-JP"/>
        </w:rPr>
        <w:t xml:space="preserve"> </w:t>
      </w:r>
      <w:r w:rsidR="00FD502F" w:rsidRPr="00613906">
        <w:rPr>
          <w:sz w:val="22"/>
          <w:szCs w:val="22"/>
          <w:lang w:eastAsia="ja-JP"/>
        </w:rPr>
        <w:t xml:space="preserve">As described above, auditors need only complete sections of this ACE related to laws and regulations directly and materially affecting the determination of financial statement amounts.  We have labeled the points of focus in the ACE with direct financial statement effects.  Auditors must complete other points of focus only if they intend to rely on compliance controls with indirect financial statement effects.  </w:t>
      </w:r>
    </w:p>
    <w:p w14:paraId="3888DFF7"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604CC69" w14:textId="63B2ACC9" w:rsidR="00FD502F" w:rsidRPr="00613906" w:rsidRDefault="00FD502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If control procedures exist to reduce </w:t>
      </w:r>
      <w:r w:rsidR="00586079" w:rsidRPr="00613906">
        <w:rPr>
          <w:sz w:val="22"/>
          <w:szCs w:val="22"/>
          <w:lang w:eastAsia="ja-JP"/>
        </w:rPr>
        <w:t xml:space="preserve">sufficiently </w:t>
      </w:r>
      <w:r w:rsidRPr="00613906">
        <w:rPr>
          <w:sz w:val="22"/>
          <w:szCs w:val="22"/>
          <w:lang w:eastAsia="ja-JP"/>
        </w:rPr>
        <w:t xml:space="preserve">the risk that direct and material noncompliance could occur and not be detected on a timely basis, the auditor may test the operating effectiveness of those controls and </w:t>
      </w:r>
      <w:r w:rsidRPr="00613906">
        <w:rPr>
          <w:i/>
          <w:sz w:val="22"/>
          <w:szCs w:val="22"/>
          <w:lang w:eastAsia="ja-JP"/>
        </w:rPr>
        <w:t>significantly</w:t>
      </w:r>
      <w:r w:rsidRPr="00613906">
        <w:rPr>
          <w:sz w:val="22"/>
          <w:szCs w:val="22"/>
          <w:lang w:eastAsia="ja-JP"/>
        </w:rPr>
        <w:t xml:space="preserve"> </w:t>
      </w:r>
      <w:r w:rsidRPr="00613906">
        <w:rPr>
          <w:i/>
          <w:sz w:val="22"/>
          <w:szCs w:val="22"/>
          <w:lang w:eastAsia="ja-JP"/>
        </w:rPr>
        <w:t>reduce substantive testing</w:t>
      </w:r>
      <w:r w:rsidRPr="00613906">
        <w:rPr>
          <w:sz w:val="22"/>
          <w:szCs w:val="22"/>
          <w:lang w:eastAsia="ja-JP"/>
        </w:rPr>
        <w:t xml:space="preserve"> of those compliance items.  However, auditing standards </w:t>
      </w:r>
      <w:r w:rsidR="00586079" w:rsidRPr="00613906">
        <w:rPr>
          <w:sz w:val="22"/>
          <w:szCs w:val="22"/>
          <w:lang w:eastAsia="ja-JP"/>
        </w:rPr>
        <w:t xml:space="preserve">always </w:t>
      </w:r>
      <w:r w:rsidRPr="00613906">
        <w:rPr>
          <w:sz w:val="22"/>
          <w:szCs w:val="22"/>
          <w:lang w:eastAsia="ja-JP"/>
        </w:rPr>
        <w:t xml:space="preserve">require some level of substantive evidence for </w:t>
      </w:r>
      <w:r w:rsidR="007B0519" w:rsidRPr="00613906">
        <w:rPr>
          <w:sz w:val="22"/>
          <w:szCs w:val="22"/>
          <w:lang w:eastAsia="ja-JP"/>
        </w:rPr>
        <w:t xml:space="preserve">direct and indirect </w:t>
      </w:r>
      <w:r w:rsidRPr="00613906">
        <w:rPr>
          <w:sz w:val="22"/>
          <w:szCs w:val="22"/>
          <w:lang w:eastAsia="ja-JP"/>
        </w:rPr>
        <w:t>compliance requirements. To use a controls reliance approach (an assessment that control risk is less than</w:t>
      </w:r>
      <w:r w:rsidR="009E2BDB" w:rsidRPr="00613906">
        <w:rPr>
          <w:sz w:val="22"/>
          <w:szCs w:val="22"/>
          <w:lang w:eastAsia="ja-JP"/>
        </w:rPr>
        <w:t xml:space="preserve"> High</w:t>
      </w:r>
      <w:r w:rsidRPr="00613906">
        <w:rPr>
          <w:sz w:val="22"/>
          <w:szCs w:val="22"/>
          <w:lang w:eastAsia="ja-JP"/>
        </w:rPr>
        <w:t>), the auditor must:</w:t>
      </w:r>
    </w:p>
    <w:p w14:paraId="3122D580" w14:textId="77777777" w:rsidR="009C31EF" w:rsidRPr="00613906"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06564FF" w14:textId="77777777" w:rsidR="009C31EF" w:rsidRPr="00613906" w:rsidRDefault="009C31EF" w:rsidP="00A66E45">
      <w:pPr>
        <w:pStyle w:val="ListParagraph"/>
        <w:numPr>
          <w:ilvl w:val="0"/>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Identify controls relevant to preventing or detecting material or significant non-compliance with the identified laws and </w:t>
      </w:r>
      <w:proofErr w:type="gramStart"/>
      <w:r w:rsidRPr="00613906">
        <w:rPr>
          <w:sz w:val="22"/>
          <w:szCs w:val="22"/>
          <w:lang w:eastAsia="ja-JP"/>
        </w:rPr>
        <w:t>regulations;</w:t>
      </w:r>
      <w:proofErr w:type="gramEnd"/>
    </w:p>
    <w:p w14:paraId="6CE047C7" w14:textId="77777777" w:rsidR="00E557E5" w:rsidRPr="00613906" w:rsidRDefault="00E557E5" w:rsidP="00A66E45">
      <w:pPr>
        <w:pStyle w:val="ListParagraph"/>
        <w:numPr>
          <w:ilvl w:val="1"/>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 xml:space="preserve">Also </w:t>
      </w:r>
      <w:r w:rsidR="00BC1261" w:rsidRPr="00613906">
        <w:rPr>
          <w:sz w:val="22"/>
          <w:szCs w:val="22"/>
          <w:lang w:eastAsia="ja-JP"/>
        </w:rPr>
        <w:t xml:space="preserve">document </w:t>
      </w:r>
      <w:r w:rsidRPr="00613906">
        <w:rPr>
          <w:sz w:val="22"/>
          <w:szCs w:val="22"/>
          <w:lang w:eastAsia="ja-JP"/>
        </w:rPr>
        <w:t xml:space="preserve">the </w:t>
      </w:r>
      <w:r w:rsidRPr="00613906">
        <w:rPr>
          <w:i/>
          <w:sz w:val="22"/>
          <w:szCs w:val="22"/>
          <w:lang w:eastAsia="ja-JP"/>
        </w:rPr>
        <w:t>basis</w:t>
      </w:r>
      <w:r w:rsidRPr="00613906">
        <w:rPr>
          <w:sz w:val="22"/>
          <w:szCs w:val="22"/>
          <w:lang w:eastAsia="ja-JP"/>
        </w:rPr>
        <w:t xml:space="preserve"> for these controls.  (The </w:t>
      </w:r>
      <w:r w:rsidRPr="00613906">
        <w:rPr>
          <w:i/>
          <w:sz w:val="22"/>
          <w:szCs w:val="22"/>
          <w:lang w:eastAsia="ja-JP"/>
        </w:rPr>
        <w:t>basis</w:t>
      </w:r>
      <w:r w:rsidRPr="00613906">
        <w:rPr>
          <w:sz w:val="22"/>
          <w:szCs w:val="22"/>
          <w:lang w:eastAsia="ja-JP"/>
        </w:rPr>
        <w:t xml:space="preserve"> is documentation supporting the proper operation of the control</w:t>
      </w:r>
      <w:r w:rsidR="00CA2A76" w:rsidRPr="00613906">
        <w:rPr>
          <w:sz w:val="22"/>
          <w:szCs w:val="22"/>
          <w:lang w:eastAsia="ja-JP"/>
        </w:rPr>
        <w:t>, such as a signed authorization form</w:t>
      </w:r>
      <w:r w:rsidRPr="00613906">
        <w:rPr>
          <w:sz w:val="22"/>
          <w:szCs w:val="22"/>
          <w:lang w:eastAsia="ja-JP"/>
        </w:rPr>
        <w:t>.)</w:t>
      </w:r>
    </w:p>
    <w:p w14:paraId="732E7F85" w14:textId="77777777" w:rsidR="003B59DF" w:rsidRPr="00613906" w:rsidRDefault="003B59DF" w:rsidP="003B59DF">
      <w:pPr>
        <w:pStyle w:val="ListParagraph"/>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440"/>
        <w:jc w:val="both"/>
        <w:rPr>
          <w:sz w:val="22"/>
          <w:szCs w:val="22"/>
          <w:lang w:eastAsia="ja-JP"/>
        </w:rPr>
      </w:pPr>
    </w:p>
    <w:p w14:paraId="0BDA7FBD" w14:textId="0159E346" w:rsidR="007B0519" w:rsidRPr="00613906" w:rsidRDefault="009C31EF" w:rsidP="00776C23">
      <w:pPr>
        <w:pStyle w:val="ListParagraph"/>
        <w:numPr>
          <w:ilvl w:val="0"/>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Test controls to obtain sufficient evidence of the controls’ operating effectiveness throughout the audit </w:t>
      </w:r>
      <w:proofErr w:type="gramStart"/>
      <w:r w:rsidRPr="00613906">
        <w:rPr>
          <w:sz w:val="22"/>
          <w:szCs w:val="22"/>
          <w:lang w:eastAsia="ja-JP"/>
        </w:rPr>
        <w:t>period;</w:t>
      </w:r>
      <w:proofErr w:type="gramEnd"/>
      <w:r w:rsidRPr="00613906">
        <w:rPr>
          <w:sz w:val="22"/>
          <w:szCs w:val="22"/>
          <w:lang w:eastAsia="ja-JP"/>
        </w:rPr>
        <w:t xml:space="preserve"> </w:t>
      </w:r>
    </w:p>
    <w:p w14:paraId="586332E0" w14:textId="77777777" w:rsidR="007B0519" w:rsidRPr="00613906" w:rsidRDefault="007B0519" w:rsidP="00A66E45">
      <w:pPr>
        <w:pStyle w:val="ListParagraph"/>
        <w:numPr>
          <w:ilvl w:val="1"/>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Including limited reperformance of complex controls</w:t>
      </w:r>
      <w:r w:rsidR="00611DEC" w:rsidRPr="00613906">
        <w:rPr>
          <w:sz w:val="22"/>
          <w:szCs w:val="22"/>
          <w:lang w:eastAsia="ja-JP"/>
        </w:rPr>
        <w:t>.</w:t>
      </w:r>
    </w:p>
    <w:p w14:paraId="70A3A492" w14:textId="77777777" w:rsidR="009C31EF" w:rsidRPr="00613906" w:rsidRDefault="009C31EF" w:rsidP="00361150">
      <w:pPr>
        <w:pStyle w:val="ListParagraph"/>
        <w:jc w:val="both"/>
        <w:rPr>
          <w:sz w:val="22"/>
          <w:szCs w:val="22"/>
          <w:lang w:eastAsia="ja-JP"/>
        </w:rPr>
      </w:pPr>
    </w:p>
    <w:p w14:paraId="50ED7624" w14:textId="77777777" w:rsidR="009C31EF" w:rsidRPr="00613906" w:rsidRDefault="009C31EF" w:rsidP="00A66E45">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Document the </w:t>
      </w:r>
      <w:r w:rsidR="00CA2A76" w:rsidRPr="00613906">
        <w:rPr>
          <w:sz w:val="22"/>
          <w:szCs w:val="22"/>
          <w:lang w:eastAsia="ja-JP"/>
        </w:rPr>
        <w:t xml:space="preserve">control tests and </w:t>
      </w:r>
      <w:proofErr w:type="gramStart"/>
      <w:r w:rsidR="00CA2A76" w:rsidRPr="00613906">
        <w:rPr>
          <w:sz w:val="22"/>
          <w:szCs w:val="22"/>
          <w:lang w:eastAsia="ja-JP"/>
        </w:rPr>
        <w:t>results</w:t>
      </w:r>
      <w:r w:rsidR="00611DEC" w:rsidRPr="00613906">
        <w:rPr>
          <w:sz w:val="22"/>
          <w:szCs w:val="22"/>
          <w:lang w:eastAsia="ja-JP"/>
        </w:rPr>
        <w:t>;</w:t>
      </w:r>
      <w:proofErr w:type="gramEnd"/>
    </w:p>
    <w:p w14:paraId="40DA1BB8" w14:textId="77777777" w:rsidR="009C31EF" w:rsidRDefault="009C31EF"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85BFD6F" w14:textId="77777777" w:rsidR="006B3E0C" w:rsidRPr="00613906" w:rsidRDefault="006B3E0C"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A66371E" w14:textId="08A57AA7" w:rsidR="00485A4C" w:rsidRPr="00613906" w:rsidRDefault="00F00E69" w:rsidP="00A66E45">
      <w:pPr>
        <w:pStyle w:val="ListParagraph"/>
        <w:numPr>
          <w:ilvl w:val="0"/>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Unlike </w:t>
      </w:r>
      <w:r w:rsidR="00F631E1" w:rsidRPr="00613906">
        <w:rPr>
          <w:sz w:val="22"/>
          <w:szCs w:val="22"/>
          <w:lang w:eastAsia="ja-JP"/>
        </w:rPr>
        <w:t>Single A</w:t>
      </w:r>
      <w:r w:rsidR="00423F1F" w:rsidRPr="00613906">
        <w:rPr>
          <w:sz w:val="22"/>
          <w:szCs w:val="22"/>
          <w:lang w:eastAsia="ja-JP"/>
        </w:rPr>
        <w:t>udit</w:t>
      </w:r>
      <w:r w:rsidRPr="00613906">
        <w:rPr>
          <w:sz w:val="22"/>
          <w:szCs w:val="22"/>
          <w:lang w:eastAsia="ja-JP"/>
        </w:rPr>
        <w:t xml:space="preserve"> compliance tests, t</w:t>
      </w:r>
      <w:r w:rsidR="009C31EF" w:rsidRPr="00613906">
        <w:rPr>
          <w:sz w:val="22"/>
          <w:szCs w:val="22"/>
          <w:lang w:eastAsia="ja-JP"/>
        </w:rPr>
        <w:t xml:space="preserve">he Auditor of State permits relying on evidence from prior audits’ tests of compliance controls’ operating effectiveness (i.e. “rotating controls”) </w:t>
      </w:r>
      <w:proofErr w:type="gramStart"/>
      <w:r w:rsidR="009C31EF" w:rsidRPr="00613906">
        <w:rPr>
          <w:sz w:val="22"/>
          <w:szCs w:val="22"/>
          <w:lang w:eastAsia="ja-JP"/>
        </w:rPr>
        <w:t>similar to</w:t>
      </w:r>
      <w:proofErr w:type="gramEnd"/>
      <w:r w:rsidR="009C31EF" w:rsidRPr="00613906">
        <w:rPr>
          <w:sz w:val="22"/>
          <w:szCs w:val="22"/>
          <w:lang w:eastAsia="ja-JP"/>
        </w:rPr>
        <w:t xml:space="preserve"> the guidance in </w:t>
      </w:r>
      <w:r w:rsidR="00293ECB" w:rsidRPr="00613906">
        <w:rPr>
          <w:sz w:val="22"/>
          <w:szCs w:val="22"/>
          <w:lang w:eastAsia="ja-JP"/>
        </w:rPr>
        <w:t xml:space="preserve">AU-C 330.14(b) and </w:t>
      </w:r>
      <w:r w:rsidR="00A25D85" w:rsidRPr="00613906">
        <w:rPr>
          <w:sz w:val="22"/>
          <w:szCs w:val="22"/>
          <w:lang w:eastAsia="ja-JP"/>
        </w:rPr>
        <w:t xml:space="preserve">AU-C </w:t>
      </w:r>
      <w:r w:rsidR="00293ECB" w:rsidRPr="00613906">
        <w:rPr>
          <w:sz w:val="22"/>
          <w:szCs w:val="22"/>
          <w:lang w:eastAsia="ja-JP"/>
        </w:rPr>
        <w:t>330.A40 -- .</w:t>
      </w:r>
      <w:r w:rsidR="001B42DB" w:rsidRPr="00613906">
        <w:rPr>
          <w:sz w:val="22"/>
          <w:szCs w:val="22"/>
          <w:lang w:eastAsia="ja-JP"/>
        </w:rPr>
        <w:t>A</w:t>
      </w:r>
      <w:r w:rsidR="00293ECB" w:rsidRPr="00613906">
        <w:rPr>
          <w:sz w:val="22"/>
          <w:szCs w:val="22"/>
          <w:lang w:eastAsia="ja-JP"/>
        </w:rPr>
        <w:t>42</w:t>
      </w:r>
      <w:r w:rsidR="009C31EF" w:rsidRPr="00613906">
        <w:rPr>
          <w:sz w:val="22"/>
          <w:szCs w:val="22"/>
          <w:lang w:eastAsia="ja-JP"/>
        </w:rPr>
        <w:t>.  When controls are effective, rotatin</w:t>
      </w:r>
      <w:r w:rsidR="0090712C" w:rsidRPr="00613906">
        <w:rPr>
          <w:sz w:val="22"/>
          <w:szCs w:val="22"/>
          <w:lang w:eastAsia="ja-JP"/>
        </w:rPr>
        <w:t>g</w:t>
      </w:r>
      <w:r w:rsidR="009C31EF" w:rsidRPr="00613906">
        <w:rPr>
          <w:sz w:val="22"/>
          <w:szCs w:val="22"/>
          <w:lang w:eastAsia="ja-JP"/>
        </w:rPr>
        <w:t xml:space="preserve"> ca</w:t>
      </w:r>
      <w:r w:rsidR="00611DEC" w:rsidRPr="00613906">
        <w:rPr>
          <w:sz w:val="22"/>
          <w:szCs w:val="22"/>
          <w:lang w:eastAsia="ja-JP"/>
        </w:rPr>
        <w:t xml:space="preserve">n enhance </w:t>
      </w:r>
      <w:proofErr w:type="gramStart"/>
      <w:r w:rsidR="00611DEC" w:rsidRPr="00613906">
        <w:rPr>
          <w:sz w:val="22"/>
          <w:szCs w:val="22"/>
          <w:lang w:eastAsia="ja-JP"/>
        </w:rPr>
        <w:t>efficiency;</w:t>
      </w:r>
      <w:proofErr w:type="gramEnd"/>
      <w:r w:rsidR="009C31EF" w:rsidRPr="00613906">
        <w:rPr>
          <w:sz w:val="22"/>
          <w:szCs w:val="22"/>
          <w:lang w:eastAsia="ja-JP"/>
        </w:rPr>
        <w:t xml:space="preserve">  </w:t>
      </w:r>
    </w:p>
    <w:p w14:paraId="0E5D2223" w14:textId="77777777" w:rsidR="00485A4C" w:rsidRPr="00613906" w:rsidRDefault="00485A4C" w:rsidP="00361150">
      <w:pPr>
        <w:pStyle w:val="ListParagraph"/>
        <w:jc w:val="both"/>
        <w:rPr>
          <w:sz w:val="22"/>
          <w:szCs w:val="22"/>
          <w:lang w:eastAsia="ja-JP"/>
        </w:rPr>
      </w:pPr>
    </w:p>
    <w:p w14:paraId="25F360F3" w14:textId="4F5F1057" w:rsidR="00136C80" w:rsidRPr="00613906" w:rsidRDefault="009C31EF" w:rsidP="00A66E45">
      <w:pPr>
        <w:pStyle w:val="ListParagraph"/>
        <w:numPr>
          <w:ilvl w:val="0"/>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However, when </w:t>
      </w:r>
      <w:r w:rsidR="0090712C" w:rsidRPr="00613906">
        <w:rPr>
          <w:sz w:val="22"/>
          <w:szCs w:val="22"/>
          <w:lang w:eastAsia="ja-JP"/>
        </w:rPr>
        <w:t xml:space="preserve">rotating controls, </w:t>
      </w:r>
      <w:r w:rsidRPr="00613906">
        <w:rPr>
          <w:sz w:val="22"/>
          <w:szCs w:val="22"/>
          <w:lang w:eastAsia="ja-JP"/>
        </w:rPr>
        <w:t xml:space="preserve">auditors must carefully consider the guidance in </w:t>
      </w:r>
      <w:r w:rsidR="00293ECB" w:rsidRPr="00613906">
        <w:rPr>
          <w:sz w:val="22"/>
          <w:szCs w:val="22"/>
          <w:lang w:eastAsia="ja-JP"/>
        </w:rPr>
        <w:t>AU-C 330.14(b) and 330.A40 -- .</w:t>
      </w:r>
      <w:r w:rsidR="001B42DB" w:rsidRPr="00613906">
        <w:rPr>
          <w:sz w:val="22"/>
          <w:szCs w:val="22"/>
          <w:lang w:eastAsia="ja-JP"/>
        </w:rPr>
        <w:t>A</w:t>
      </w:r>
      <w:r w:rsidR="00293ECB" w:rsidRPr="00613906">
        <w:rPr>
          <w:sz w:val="22"/>
          <w:szCs w:val="22"/>
          <w:lang w:eastAsia="ja-JP"/>
        </w:rPr>
        <w:t>42</w:t>
      </w:r>
      <w:r w:rsidR="00485A4C" w:rsidRPr="00613906">
        <w:rPr>
          <w:sz w:val="22"/>
          <w:szCs w:val="22"/>
          <w:lang w:eastAsia="ja-JP"/>
        </w:rPr>
        <w:t xml:space="preserve"> (such as a. --- c. below)</w:t>
      </w:r>
      <w:r w:rsidRPr="00613906">
        <w:rPr>
          <w:sz w:val="22"/>
          <w:szCs w:val="22"/>
          <w:lang w:eastAsia="ja-JP"/>
        </w:rPr>
        <w:t>.  Since some level of substantive evidence is required, rotating control tests without any su</w:t>
      </w:r>
      <w:r w:rsidR="00611DEC" w:rsidRPr="00613906">
        <w:rPr>
          <w:sz w:val="22"/>
          <w:szCs w:val="22"/>
          <w:lang w:eastAsia="ja-JP"/>
        </w:rPr>
        <w:t xml:space="preserve">bstantive tests is </w:t>
      </w:r>
      <w:proofErr w:type="gramStart"/>
      <w:r w:rsidR="00611DEC" w:rsidRPr="00613906">
        <w:rPr>
          <w:sz w:val="22"/>
          <w:szCs w:val="22"/>
          <w:lang w:eastAsia="ja-JP"/>
        </w:rPr>
        <w:t>insufficient;</w:t>
      </w:r>
      <w:proofErr w:type="gramEnd"/>
      <w:r w:rsidRPr="00613906">
        <w:rPr>
          <w:sz w:val="22"/>
          <w:szCs w:val="22"/>
          <w:lang w:eastAsia="ja-JP"/>
        </w:rPr>
        <w:t xml:space="preserve">  </w:t>
      </w:r>
    </w:p>
    <w:p w14:paraId="04DB01A7" w14:textId="77777777" w:rsidR="00136C80" w:rsidRPr="00613906" w:rsidRDefault="00136C80" w:rsidP="00361150">
      <w:pPr>
        <w:pStyle w:val="ListParagraph"/>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jc w:val="both"/>
        <w:rPr>
          <w:sz w:val="22"/>
          <w:szCs w:val="22"/>
          <w:lang w:eastAsia="ja-JP"/>
        </w:rPr>
      </w:pPr>
    </w:p>
    <w:p w14:paraId="60DB200F" w14:textId="77777777" w:rsidR="009C31EF" w:rsidRPr="00613906" w:rsidRDefault="00136C80" w:rsidP="00361150">
      <w:pPr>
        <w:pStyle w:val="ListParagraph"/>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jc w:val="both"/>
        <w:rPr>
          <w:sz w:val="22"/>
          <w:szCs w:val="22"/>
          <w:lang w:eastAsia="ja-JP"/>
        </w:rPr>
      </w:pPr>
      <w:r w:rsidRPr="00613906">
        <w:rPr>
          <w:sz w:val="22"/>
          <w:szCs w:val="22"/>
          <w:lang w:eastAsia="ja-JP"/>
        </w:rPr>
        <w:t xml:space="preserve">When relying on prior audit control tests, </w:t>
      </w:r>
      <w:r w:rsidR="009C31EF" w:rsidRPr="00613906">
        <w:rPr>
          <w:sz w:val="22"/>
          <w:szCs w:val="22"/>
          <w:lang w:eastAsia="ja-JP"/>
        </w:rPr>
        <w:t>auditors should:</w:t>
      </w:r>
    </w:p>
    <w:p w14:paraId="624642E9" w14:textId="77777777" w:rsidR="009C31EF" w:rsidRPr="00613906" w:rsidRDefault="009C31EF" w:rsidP="00A66E45">
      <w:pPr>
        <w:pStyle w:val="ListParagraph"/>
        <w:numPr>
          <w:ilvl w:val="1"/>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Obtain evidence about changes to controls since the prior tests.</w:t>
      </w:r>
    </w:p>
    <w:p w14:paraId="3C81DF74" w14:textId="77777777" w:rsidR="009C31EF" w:rsidRPr="00613906" w:rsidRDefault="009C31EF" w:rsidP="00A66E45">
      <w:pPr>
        <w:pStyle w:val="ListParagraph"/>
        <w:numPr>
          <w:ilvl w:val="1"/>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Obtain evidence that controls were still implemented during the current audit period.</w:t>
      </w:r>
    </w:p>
    <w:p w14:paraId="5D6633D0" w14:textId="77777777" w:rsidR="009C31EF" w:rsidRPr="00613906" w:rsidRDefault="009C31EF" w:rsidP="00A66E45">
      <w:pPr>
        <w:pStyle w:val="ListParagraph"/>
        <w:numPr>
          <w:ilvl w:val="1"/>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613906">
        <w:rPr>
          <w:sz w:val="22"/>
          <w:szCs w:val="22"/>
          <w:lang w:eastAsia="ja-JP"/>
        </w:rPr>
        <w:t>Test operating effectiveness at least every third year (not every third two-year audit).</w:t>
      </w:r>
    </w:p>
    <w:p w14:paraId="34DEA820" w14:textId="77777777" w:rsidR="009C31EF" w:rsidRPr="00613906" w:rsidRDefault="009C31EF" w:rsidP="00361150">
      <w:pPr>
        <w:pStyle w:val="ListParagraph"/>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440"/>
        <w:jc w:val="both"/>
        <w:rPr>
          <w:sz w:val="22"/>
          <w:szCs w:val="22"/>
          <w:lang w:eastAsia="ja-JP"/>
        </w:rPr>
      </w:pPr>
    </w:p>
    <w:p w14:paraId="5CE4AD3D" w14:textId="589B8857" w:rsidR="00136C80" w:rsidRPr="00613906" w:rsidRDefault="009C31EF" w:rsidP="00A66E45">
      <w:pPr>
        <w:pStyle w:val="ListParagraph"/>
        <w:numPr>
          <w:ilvl w:val="0"/>
          <w:numId w:val="8"/>
        </w:numPr>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720"/>
        <w:jc w:val="both"/>
        <w:rPr>
          <w:sz w:val="22"/>
          <w:szCs w:val="22"/>
          <w:lang w:eastAsia="ja-JP"/>
        </w:rPr>
      </w:pPr>
      <w:r w:rsidRPr="00613906">
        <w:rPr>
          <w:sz w:val="22"/>
          <w:szCs w:val="22"/>
          <w:lang w:eastAsia="ja-JP"/>
        </w:rPr>
        <w:t xml:space="preserve">While the auditor’s assessment of inherent and control risk </w:t>
      </w:r>
      <w:r w:rsidRPr="00613906">
        <w:rPr>
          <w:i/>
          <w:sz w:val="22"/>
          <w:szCs w:val="22"/>
          <w:lang w:eastAsia="ja-JP"/>
        </w:rPr>
        <w:t>may</w:t>
      </w:r>
      <w:r w:rsidR="009B4BF1" w:rsidRPr="00613906">
        <w:rPr>
          <w:sz w:val="22"/>
          <w:szCs w:val="22"/>
          <w:lang w:eastAsia="ja-JP"/>
        </w:rPr>
        <w:t xml:space="preserve"> reduce the required nature and</w:t>
      </w:r>
      <w:r w:rsidRPr="00613906">
        <w:rPr>
          <w:sz w:val="22"/>
          <w:szCs w:val="22"/>
          <w:lang w:eastAsia="ja-JP"/>
        </w:rPr>
        <w:t xml:space="preserve">/or extent of substantive compliance testing, </w:t>
      </w:r>
      <w:r w:rsidRPr="00613906">
        <w:rPr>
          <w:b/>
          <w:i/>
          <w:sz w:val="22"/>
          <w:szCs w:val="22"/>
          <w:lang w:eastAsia="ja-JP"/>
        </w:rPr>
        <w:t>some</w:t>
      </w:r>
      <w:r w:rsidRPr="00613906">
        <w:rPr>
          <w:sz w:val="22"/>
          <w:szCs w:val="22"/>
          <w:lang w:eastAsia="ja-JP"/>
        </w:rPr>
        <w:t xml:space="preserve"> substantive evidence </w:t>
      </w:r>
      <w:r w:rsidR="009B4BF1" w:rsidRPr="00613906">
        <w:rPr>
          <w:sz w:val="22"/>
          <w:szCs w:val="22"/>
          <w:lang w:eastAsia="ja-JP"/>
        </w:rPr>
        <w:t>or</w:t>
      </w:r>
      <w:r w:rsidRPr="00613906">
        <w:rPr>
          <w:sz w:val="22"/>
          <w:szCs w:val="22"/>
          <w:lang w:eastAsia="ja-JP"/>
        </w:rPr>
        <w:t xml:space="preserve"> testing is necessary for compliance requirements directly and materially affecting the determination of financial s</w:t>
      </w:r>
      <w:r w:rsidR="00EE448D" w:rsidRPr="00613906">
        <w:rPr>
          <w:sz w:val="22"/>
          <w:szCs w:val="22"/>
          <w:lang w:eastAsia="ja-JP"/>
        </w:rPr>
        <w:t>tatement amounts (</w:t>
      </w:r>
      <w:proofErr w:type="gramStart"/>
      <w:r w:rsidR="00EE448D" w:rsidRPr="00613906">
        <w:rPr>
          <w:sz w:val="22"/>
          <w:szCs w:val="22"/>
          <w:lang w:eastAsia="ja-JP"/>
        </w:rPr>
        <w:t>similar to</w:t>
      </w:r>
      <w:proofErr w:type="gramEnd"/>
      <w:r w:rsidR="00EE448D" w:rsidRPr="00613906">
        <w:rPr>
          <w:sz w:val="22"/>
          <w:szCs w:val="22"/>
          <w:lang w:eastAsia="ja-JP"/>
        </w:rPr>
        <w:t xml:space="preserve"> </w:t>
      </w:r>
      <w:r w:rsidR="00847848" w:rsidRPr="00613906">
        <w:rPr>
          <w:sz w:val="22"/>
          <w:szCs w:val="22"/>
          <w:lang w:eastAsia="ja-JP"/>
        </w:rPr>
        <w:t>AU</w:t>
      </w:r>
      <w:r w:rsidR="00EE448D" w:rsidRPr="00613906">
        <w:rPr>
          <w:sz w:val="22"/>
          <w:szCs w:val="22"/>
          <w:lang w:eastAsia="ja-JP"/>
        </w:rPr>
        <w:t>-C 330.18 and 330.</w:t>
      </w:r>
      <w:r w:rsidR="00847848" w:rsidRPr="00613906">
        <w:rPr>
          <w:sz w:val="22"/>
          <w:szCs w:val="22"/>
          <w:lang w:eastAsia="ja-JP"/>
        </w:rPr>
        <w:t>A</w:t>
      </w:r>
      <w:r w:rsidR="000226FB" w:rsidRPr="00613906">
        <w:rPr>
          <w:sz w:val="22"/>
          <w:szCs w:val="22"/>
          <w:lang w:eastAsia="ja-JP"/>
        </w:rPr>
        <w:t>47 - .</w:t>
      </w:r>
      <w:r w:rsidR="00A745E2" w:rsidRPr="00613906">
        <w:rPr>
          <w:sz w:val="22"/>
          <w:szCs w:val="22"/>
          <w:lang w:eastAsia="ja-JP"/>
        </w:rPr>
        <w:t>A</w:t>
      </w:r>
      <w:r w:rsidR="000226FB" w:rsidRPr="00613906">
        <w:rPr>
          <w:sz w:val="22"/>
          <w:szCs w:val="22"/>
          <w:lang w:eastAsia="ja-JP"/>
        </w:rPr>
        <w:t>52</w:t>
      </w:r>
      <w:r w:rsidR="00847848" w:rsidRPr="00613906">
        <w:rPr>
          <w:sz w:val="22"/>
          <w:szCs w:val="22"/>
          <w:lang w:eastAsia="ja-JP"/>
        </w:rPr>
        <w:t>)</w:t>
      </w:r>
      <w:r w:rsidR="00136C80" w:rsidRPr="00613906">
        <w:rPr>
          <w:sz w:val="22"/>
          <w:szCs w:val="22"/>
          <w:lang w:eastAsia="ja-JP"/>
        </w:rPr>
        <w:t>.</w:t>
      </w:r>
    </w:p>
    <w:p w14:paraId="4BD6E04A" w14:textId="77777777" w:rsidR="00271B7B" w:rsidRPr="00613906" w:rsidRDefault="009C31EF" w:rsidP="00136C80">
      <w:pPr>
        <w:pStyle w:val="ListParagraph"/>
        <w:tabs>
          <w:tab w:val="left" w:pos="360"/>
          <w:tab w:val="left" w:pos="1080"/>
          <w:tab w:val="left" w:pos="1440"/>
          <w:tab w:val="left" w:pos="153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rPr>
          <w:sz w:val="22"/>
          <w:szCs w:val="22"/>
          <w:lang w:eastAsia="ja-JP"/>
        </w:rPr>
      </w:pPr>
      <w:r w:rsidRPr="00613906">
        <w:rPr>
          <w:sz w:val="22"/>
          <w:szCs w:val="22"/>
          <w:lang w:eastAsia="ja-JP"/>
        </w:rPr>
        <w:t xml:space="preserve"> </w:t>
      </w:r>
    </w:p>
    <w:p w14:paraId="0D675CA4" w14:textId="77777777" w:rsidR="00271B7B" w:rsidRDefault="00271B7B" w:rsidP="00271B7B">
      <w:pPr>
        <w:rPr>
          <w:lang w:eastAsia="ja-JP"/>
        </w:rPr>
        <w:sectPr w:rsidR="00271B7B" w:rsidSect="000D28D3">
          <w:headerReference w:type="default" r:id="rId14"/>
          <w:pgSz w:w="12240" w:h="15840"/>
          <w:pgMar w:top="1440" w:right="1440" w:bottom="720" w:left="1440" w:header="720" w:footer="720" w:gutter="0"/>
          <w:cols w:space="720"/>
          <w:noEndnote/>
        </w:sectPr>
      </w:pPr>
      <w:r>
        <w:rPr>
          <w:lang w:eastAsia="ja-JP"/>
        </w:rPr>
        <w:br w:type="page"/>
      </w:r>
    </w:p>
    <w:p w14:paraId="5159A651" w14:textId="77777777" w:rsidR="008F6A36" w:rsidRPr="008C13D9" w:rsidRDefault="008E6665" w:rsidP="00621F8F">
      <w:pPr>
        <w:pStyle w:val="Subtitle"/>
        <w:shd w:val="clear" w:color="auto" w:fill="A6A6A6" w:themeFill="background1" w:themeFillShade="A6"/>
        <w:rPr>
          <w:szCs w:val="28"/>
        </w:rPr>
      </w:pPr>
      <w:bookmarkStart w:id="15" w:name="_Toc214431121"/>
      <w:r w:rsidRPr="00DE359D">
        <w:t>O</w:t>
      </w:r>
      <w:r w:rsidR="00837B73">
        <w:t>rganization of t</w:t>
      </w:r>
      <w:r w:rsidR="008F6A36" w:rsidRPr="00DE359D">
        <w:t xml:space="preserve">he </w:t>
      </w:r>
      <w:r w:rsidR="00E71E84">
        <w:t>OCS</w:t>
      </w:r>
      <w:bookmarkEnd w:id="15"/>
    </w:p>
    <w:p w14:paraId="774E47BD" w14:textId="77777777" w:rsidR="00FD502F"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4"/>
          <w:szCs w:val="24"/>
          <w:lang w:eastAsia="ja-JP"/>
        </w:rPr>
      </w:pPr>
    </w:p>
    <w:tbl>
      <w:tblPr>
        <w:tblStyle w:val="TableGrid"/>
        <w:tblW w:w="0" w:type="auto"/>
        <w:tblInd w:w="-5" w:type="dxa"/>
        <w:tblLook w:val="04A0" w:firstRow="1" w:lastRow="0" w:firstColumn="1" w:lastColumn="0" w:noHBand="0" w:noVBand="1"/>
      </w:tblPr>
      <w:tblGrid>
        <w:gridCol w:w="3382"/>
        <w:gridCol w:w="6518"/>
      </w:tblGrid>
      <w:tr w:rsidR="00FD502F" w:rsidRPr="006B3E0C" w14:paraId="28C6FCC3" w14:textId="77777777" w:rsidTr="00776C23">
        <w:tc>
          <w:tcPr>
            <w:tcW w:w="3382" w:type="dxa"/>
            <w:shd w:val="clear" w:color="auto" w:fill="4F81BD" w:themeFill="accent1"/>
          </w:tcPr>
          <w:p w14:paraId="11232775"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FFFFFF" w:themeColor="background1"/>
                <w:sz w:val="22"/>
                <w:szCs w:val="22"/>
                <w:lang w:eastAsia="ja-JP"/>
              </w:rPr>
            </w:pPr>
            <w:r w:rsidRPr="006B3E0C">
              <w:rPr>
                <w:b/>
                <w:color w:val="FFFFFF" w:themeColor="background1"/>
                <w:sz w:val="22"/>
                <w:szCs w:val="22"/>
                <w:lang w:eastAsia="ja-JP"/>
              </w:rPr>
              <w:t>Nature of Compliance Requirement</w:t>
            </w:r>
          </w:p>
        </w:tc>
        <w:tc>
          <w:tcPr>
            <w:tcW w:w="6518" w:type="dxa"/>
            <w:shd w:val="clear" w:color="auto" w:fill="4F81BD" w:themeFill="accent1"/>
          </w:tcPr>
          <w:p w14:paraId="0CAD687B"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FFFFFF" w:themeColor="background1"/>
                <w:sz w:val="22"/>
                <w:szCs w:val="22"/>
                <w:lang w:eastAsia="ja-JP"/>
              </w:rPr>
            </w:pPr>
          </w:p>
          <w:p w14:paraId="738DFA44"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FFFFFF" w:themeColor="background1"/>
                <w:sz w:val="22"/>
                <w:szCs w:val="22"/>
                <w:lang w:eastAsia="ja-JP"/>
              </w:rPr>
            </w:pPr>
            <w:r w:rsidRPr="006B3E0C">
              <w:rPr>
                <w:b/>
                <w:color w:val="FFFFFF" w:themeColor="background1"/>
                <w:sz w:val="22"/>
                <w:szCs w:val="22"/>
                <w:lang w:eastAsia="ja-JP"/>
              </w:rPr>
              <w:t>Responsibility / Extent of Testing</w:t>
            </w:r>
          </w:p>
        </w:tc>
      </w:tr>
      <w:tr w:rsidR="00A12C9B" w:rsidRPr="006B3E0C" w14:paraId="41624365" w14:textId="77777777" w:rsidTr="00776C23">
        <w:trPr>
          <w:trHeight w:val="288"/>
        </w:trPr>
        <w:tc>
          <w:tcPr>
            <w:tcW w:w="9900" w:type="dxa"/>
            <w:gridSpan w:val="2"/>
            <w:shd w:val="clear" w:color="auto" w:fill="C6D9F1" w:themeFill="text2" w:themeFillTint="33"/>
          </w:tcPr>
          <w:p w14:paraId="27C811DE" w14:textId="5C074250" w:rsidR="00A12C9B" w:rsidRPr="006B3E0C" w:rsidRDefault="00A12C9B"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i/>
                <w:color w:val="252525"/>
                <w:sz w:val="22"/>
                <w:szCs w:val="22"/>
              </w:rPr>
            </w:pPr>
            <w:r w:rsidRPr="006B3E0C">
              <w:rPr>
                <w:b/>
                <w:i/>
                <w:color w:val="252525"/>
                <w:sz w:val="22"/>
                <w:szCs w:val="22"/>
              </w:rPr>
              <w:t>Chapter</w:t>
            </w:r>
            <w:r w:rsidR="00194719" w:rsidRPr="006B3E0C">
              <w:rPr>
                <w:b/>
                <w:i/>
                <w:color w:val="252525"/>
                <w:sz w:val="22"/>
                <w:szCs w:val="22"/>
              </w:rPr>
              <w:t>s</w:t>
            </w:r>
            <w:r w:rsidRPr="006B3E0C">
              <w:rPr>
                <w:b/>
                <w:i/>
                <w:color w:val="252525"/>
                <w:sz w:val="22"/>
                <w:szCs w:val="22"/>
              </w:rPr>
              <w:t xml:space="preserve"> 1</w:t>
            </w:r>
            <w:r w:rsidR="00D05C53" w:rsidRPr="006B3E0C">
              <w:rPr>
                <w:b/>
                <w:i/>
                <w:sz w:val="22"/>
                <w:szCs w:val="22"/>
                <w:lang w:eastAsia="ja-JP"/>
              </w:rPr>
              <w:t xml:space="preserve"> &amp; 4A</w:t>
            </w:r>
          </w:p>
        </w:tc>
      </w:tr>
      <w:tr w:rsidR="00FD502F" w:rsidRPr="006B3E0C" w14:paraId="4BCF286D" w14:textId="77777777" w:rsidTr="00776C23">
        <w:trPr>
          <w:trHeight w:val="1196"/>
        </w:trPr>
        <w:tc>
          <w:tcPr>
            <w:tcW w:w="3382" w:type="dxa"/>
          </w:tcPr>
          <w:p w14:paraId="71C05A0C" w14:textId="77777777" w:rsidR="00FD502F" w:rsidRPr="006B3E0C" w:rsidRDefault="00A12C9B" w:rsidP="002D08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Compliance</w:t>
            </w:r>
            <w:r w:rsidR="00EC0472" w:rsidRPr="006B3E0C">
              <w:rPr>
                <w:sz w:val="22"/>
                <w:szCs w:val="22"/>
                <w:lang w:eastAsia="ja-JP"/>
              </w:rPr>
              <w:t xml:space="preserve"> </w:t>
            </w:r>
            <w:r w:rsidR="00FD502F" w:rsidRPr="006B3E0C">
              <w:rPr>
                <w:sz w:val="22"/>
                <w:szCs w:val="22"/>
                <w:lang w:eastAsia="ja-JP"/>
              </w:rPr>
              <w:t xml:space="preserve">requirements </w:t>
            </w:r>
            <w:r w:rsidR="00FD502F" w:rsidRPr="006B3E0C">
              <w:rPr>
                <w:b/>
                <w:i/>
                <w:sz w:val="22"/>
                <w:szCs w:val="22"/>
                <w:lang w:eastAsia="ja-JP"/>
              </w:rPr>
              <w:t>directly</w:t>
            </w:r>
            <w:r w:rsidR="00FD502F" w:rsidRPr="006B3E0C">
              <w:rPr>
                <w:sz w:val="22"/>
                <w:szCs w:val="22"/>
                <w:lang w:eastAsia="ja-JP"/>
              </w:rPr>
              <w:t xml:space="preserve"> and </w:t>
            </w:r>
            <w:r w:rsidR="002D08F4" w:rsidRPr="006B3E0C">
              <w:rPr>
                <w:sz w:val="22"/>
                <w:szCs w:val="22"/>
                <w:lang w:eastAsia="ja-JP"/>
              </w:rPr>
              <w:t xml:space="preserve">often </w:t>
            </w:r>
            <w:r w:rsidR="00FD502F" w:rsidRPr="006B3E0C">
              <w:rPr>
                <w:b/>
                <w:i/>
                <w:sz w:val="22"/>
                <w:szCs w:val="22"/>
                <w:lang w:eastAsia="ja-JP"/>
              </w:rPr>
              <w:t>materially</w:t>
            </w:r>
            <w:r w:rsidR="00FD502F" w:rsidRPr="006B3E0C">
              <w:rPr>
                <w:sz w:val="22"/>
                <w:szCs w:val="22"/>
                <w:lang w:eastAsia="ja-JP"/>
              </w:rPr>
              <w:t xml:space="preserve"> </w:t>
            </w:r>
            <w:proofErr w:type="gramStart"/>
            <w:r w:rsidR="00FD502F" w:rsidRPr="006B3E0C">
              <w:rPr>
                <w:sz w:val="22"/>
                <w:szCs w:val="22"/>
                <w:lang w:eastAsia="ja-JP"/>
              </w:rPr>
              <w:t>affecting</w:t>
            </w:r>
            <w:proofErr w:type="gramEnd"/>
            <w:r w:rsidR="00FD502F" w:rsidRPr="006B3E0C">
              <w:rPr>
                <w:sz w:val="22"/>
                <w:szCs w:val="22"/>
                <w:lang w:eastAsia="ja-JP"/>
              </w:rPr>
              <w:t xml:space="preserve"> the </w:t>
            </w:r>
            <w:r w:rsidRPr="006B3E0C">
              <w:rPr>
                <w:sz w:val="22"/>
                <w:szCs w:val="22"/>
                <w:lang w:eastAsia="ja-JP"/>
              </w:rPr>
              <w:t xml:space="preserve">determination of </w:t>
            </w:r>
            <w:r w:rsidR="00FD502F" w:rsidRPr="006B3E0C">
              <w:rPr>
                <w:sz w:val="22"/>
                <w:szCs w:val="22"/>
                <w:lang w:eastAsia="ja-JP"/>
              </w:rPr>
              <w:t>financial statement amounts.</w:t>
            </w:r>
          </w:p>
        </w:tc>
        <w:tc>
          <w:tcPr>
            <w:tcW w:w="6518" w:type="dxa"/>
          </w:tcPr>
          <w:p w14:paraId="7B4B6ED3"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252525"/>
                <w:sz w:val="22"/>
                <w:szCs w:val="22"/>
              </w:rPr>
            </w:pPr>
            <w:r w:rsidRPr="006B3E0C">
              <w:rPr>
                <w:color w:val="252525"/>
                <w:sz w:val="22"/>
                <w:szCs w:val="22"/>
              </w:rPr>
              <w:t>A</w:t>
            </w:r>
            <w:r w:rsidR="002D08F4" w:rsidRPr="006B3E0C">
              <w:rPr>
                <w:color w:val="252525"/>
                <w:sz w:val="22"/>
                <w:szCs w:val="22"/>
              </w:rPr>
              <w:t>U</w:t>
            </w:r>
            <w:r w:rsidRPr="006B3E0C">
              <w:rPr>
                <w:color w:val="252525"/>
                <w:sz w:val="22"/>
                <w:szCs w:val="22"/>
              </w:rPr>
              <w:t>-C 250.13: “</w:t>
            </w:r>
            <w:r w:rsidR="003A36D1" w:rsidRPr="006B3E0C">
              <w:rPr>
                <w:color w:val="252525"/>
                <w:sz w:val="22"/>
                <w:szCs w:val="22"/>
              </w:rPr>
              <w:t>T</w:t>
            </w:r>
            <w:r w:rsidRPr="006B3E0C">
              <w:rPr>
                <w:color w:val="252525"/>
                <w:sz w:val="22"/>
                <w:szCs w:val="22"/>
              </w:rPr>
              <w:t xml:space="preserve">he auditor </w:t>
            </w:r>
            <w:r w:rsidR="003A36D1" w:rsidRPr="006B3E0C">
              <w:rPr>
                <w:color w:val="252525"/>
                <w:sz w:val="22"/>
                <w:szCs w:val="22"/>
              </w:rPr>
              <w:t xml:space="preserve">should </w:t>
            </w:r>
            <w:r w:rsidRPr="006B3E0C">
              <w:rPr>
                <w:color w:val="252525"/>
                <w:sz w:val="22"/>
                <w:szCs w:val="22"/>
              </w:rPr>
              <w:t>obtain sufficient appropriate audit evidence regarding material amounts and disclosures in the financial statements that are determined by the provisions of those laws and regulations. . . ”</w:t>
            </w:r>
          </w:p>
          <w:p w14:paraId="17E78738"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252525"/>
                <w:sz w:val="22"/>
                <w:szCs w:val="22"/>
              </w:rPr>
            </w:pPr>
            <w:r w:rsidRPr="006B3E0C">
              <w:rPr>
                <w:b/>
                <w:i/>
                <w:color w:val="252525"/>
                <w:sz w:val="22"/>
                <w:szCs w:val="22"/>
              </w:rPr>
              <w:t>AOS</w:t>
            </w:r>
            <w:r w:rsidRPr="006B3E0C">
              <w:rPr>
                <w:color w:val="252525"/>
                <w:sz w:val="22"/>
                <w:szCs w:val="22"/>
              </w:rPr>
              <w:t xml:space="preserve"> </w:t>
            </w:r>
            <w:r w:rsidRPr="006B3E0C">
              <w:rPr>
                <w:b/>
                <w:i/>
                <w:color w:val="252525"/>
                <w:sz w:val="22"/>
                <w:szCs w:val="22"/>
              </w:rPr>
              <w:t>Comments</w:t>
            </w:r>
            <w:r w:rsidRPr="006B3E0C">
              <w:rPr>
                <w:color w:val="252525"/>
                <w:sz w:val="22"/>
                <w:szCs w:val="22"/>
              </w:rPr>
              <w:t>:</w:t>
            </w:r>
          </w:p>
          <w:p w14:paraId="283B3ED8" w14:textId="77777777" w:rsidR="00FD502F" w:rsidRPr="006B3E0C" w:rsidRDefault="00FD502F" w:rsidP="00A66E45">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252525"/>
                <w:sz w:val="22"/>
                <w:szCs w:val="22"/>
              </w:rPr>
            </w:pPr>
            <w:r w:rsidRPr="006B3E0C">
              <w:rPr>
                <w:color w:val="252525"/>
                <w:sz w:val="22"/>
                <w:szCs w:val="22"/>
              </w:rPr>
              <w:t xml:space="preserve">While these requirements impose the highest responsibility on the auditor, we are not </w:t>
            </w:r>
            <w:proofErr w:type="gramStart"/>
            <w:r w:rsidRPr="006B3E0C">
              <w:rPr>
                <w:color w:val="252525"/>
                <w:sz w:val="22"/>
                <w:szCs w:val="22"/>
              </w:rPr>
              <w:t>opining on</w:t>
            </w:r>
            <w:proofErr w:type="gramEnd"/>
            <w:r w:rsidRPr="006B3E0C">
              <w:rPr>
                <w:color w:val="252525"/>
                <w:sz w:val="22"/>
                <w:szCs w:val="22"/>
              </w:rPr>
              <w:t xml:space="preserve"> them (unlike major Federal program compliance, upon which we </w:t>
            </w:r>
            <w:r w:rsidRPr="006B3E0C">
              <w:rPr>
                <w:i/>
                <w:color w:val="252525"/>
                <w:sz w:val="22"/>
                <w:szCs w:val="22"/>
              </w:rPr>
              <w:t>do</w:t>
            </w:r>
            <w:r w:rsidRPr="006B3E0C">
              <w:rPr>
                <w:color w:val="252525"/>
                <w:sz w:val="22"/>
                <w:szCs w:val="22"/>
              </w:rPr>
              <w:t xml:space="preserve"> opine).</w:t>
            </w:r>
          </w:p>
          <w:p w14:paraId="03E6B399" w14:textId="61EA97F8" w:rsidR="00FD502F" w:rsidRPr="006B3E0C" w:rsidRDefault="00FD502F" w:rsidP="00A66E45">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color w:val="252525"/>
                <w:sz w:val="22"/>
                <w:szCs w:val="22"/>
              </w:rPr>
            </w:pPr>
            <w:r w:rsidRPr="006B3E0C">
              <w:rPr>
                <w:color w:val="252525"/>
                <w:sz w:val="22"/>
                <w:szCs w:val="22"/>
              </w:rPr>
              <w:t xml:space="preserve">For example, while the extent of testing requires judgment, it would </w:t>
            </w:r>
            <w:r w:rsidR="00A12C9B" w:rsidRPr="006B3E0C">
              <w:rPr>
                <w:color w:val="252525"/>
                <w:sz w:val="22"/>
                <w:szCs w:val="22"/>
              </w:rPr>
              <w:t xml:space="preserve">typically </w:t>
            </w:r>
            <w:r w:rsidRPr="006B3E0C">
              <w:rPr>
                <w:color w:val="252525"/>
                <w:sz w:val="22"/>
                <w:szCs w:val="22"/>
              </w:rPr>
              <w:t>be less than the AICPA’</w:t>
            </w:r>
            <w:r w:rsidR="00611DEC" w:rsidRPr="006B3E0C">
              <w:rPr>
                <w:color w:val="252525"/>
                <w:sz w:val="22"/>
                <w:szCs w:val="22"/>
              </w:rPr>
              <w:t xml:space="preserve">s </w:t>
            </w:r>
            <w:r w:rsidR="009B04FE" w:rsidRPr="006B3E0C">
              <w:rPr>
                <w:i/>
                <w:color w:val="252525"/>
                <w:sz w:val="22"/>
                <w:szCs w:val="22"/>
              </w:rPr>
              <w:t xml:space="preserve">Government Auditing Standards and </w:t>
            </w:r>
            <w:r w:rsidR="00BA366C" w:rsidRPr="006B3E0C">
              <w:rPr>
                <w:i/>
                <w:color w:val="252525"/>
                <w:sz w:val="22"/>
                <w:szCs w:val="22"/>
              </w:rPr>
              <w:t>Single Audit</w:t>
            </w:r>
            <w:r w:rsidR="00611DEC" w:rsidRPr="006B3E0C">
              <w:rPr>
                <w:color w:val="252525"/>
                <w:sz w:val="22"/>
                <w:szCs w:val="22"/>
              </w:rPr>
              <w:t xml:space="preserve"> </w:t>
            </w:r>
            <w:r w:rsidR="009B04FE" w:rsidRPr="006B3E0C">
              <w:rPr>
                <w:color w:val="252525"/>
                <w:sz w:val="22"/>
                <w:szCs w:val="22"/>
              </w:rPr>
              <w:t>g</w:t>
            </w:r>
            <w:r w:rsidR="00611DEC" w:rsidRPr="006B3E0C">
              <w:rPr>
                <w:color w:val="252525"/>
                <w:sz w:val="22"/>
                <w:szCs w:val="22"/>
              </w:rPr>
              <w:t>uide</w:t>
            </w:r>
            <w:r w:rsidR="00BA366C" w:rsidRPr="006B3E0C">
              <w:rPr>
                <w:color w:val="252525"/>
                <w:sz w:val="22"/>
                <w:szCs w:val="22"/>
              </w:rPr>
              <w:t xml:space="preserve"> require</w:t>
            </w:r>
            <w:r w:rsidRPr="006B3E0C">
              <w:rPr>
                <w:color w:val="252525"/>
                <w:sz w:val="22"/>
                <w:szCs w:val="22"/>
              </w:rPr>
              <w:t xml:space="preserve"> </w:t>
            </w:r>
            <w:r w:rsidR="009650DB" w:rsidRPr="006B3E0C">
              <w:rPr>
                <w:color w:val="252525"/>
                <w:sz w:val="22"/>
                <w:szCs w:val="22"/>
              </w:rPr>
              <w:t>opining</w:t>
            </w:r>
            <w:r w:rsidRPr="006B3E0C">
              <w:rPr>
                <w:color w:val="252525"/>
                <w:sz w:val="22"/>
                <w:szCs w:val="22"/>
              </w:rPr>
              <w:t xml:space="preserve"> on major Federal program compliance.</w:t>
            </w:r>
          </w:p>
          <w:p w14:paraId="4484A0DD" w14:textId="77777777" w:rsidR="00221D1E" w:rsidRPr="006B3E0C" w:rsidRDefault="00FD502F" w:rsidP="00776C23">
            <w:pPr>
              <w:pStyle w:val="ListParagraph"/>
              <w:numPr>
                <w:ilvl w:val="1"/>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sz w:val="22"/>
                <w:szCs w:val="22"/>
                <w:lang w:eastAsia="ja-JP"/>
              </w:rPr>
            </w:pPr>
            <w:r w:rsidRPr="006B3E0C">
              <w:rPr>
                <w:color w:val="252525"/>
                <w:sz w:val="22"/>
                <w:szCs w:val="22"/>
              </w:rPr>
              <w:t>In other words</w:t>
            </w:r>
            <w:r w:rsidR="00221D1E" w:rsidRPr="006B3E0C">
              <w:rPr>
                <w:color w:val="252525"/>
                <w:sz w:val="22"/>
                <w:szCs w:val="22"/>
              </w:rPr>
              <w:t xml:space="preserve">, </w:t>
            </w:r>
            <w:proofErr w:type="gramStart"/>
            <w:r w:rsidR="00221D1E" w:rsidRPr="006B3E0C">
              <w:rPr>
                <w:color w:val="252525"/>
                <w:sz w:val="22"/>
                <w:szCs w:val="22"/>
              </w:rPr>
              <w:t>similar to</w:t>
            </w:r>
            <w:proofErr w:type="gramEnd"/>
            <w:r w:rsidR="00221D1E" w:rsidRPr="006B3E0C">
              <w:rPr>
                <w:color w:val="252525"/>
                <w:sz w:val="22"/>
                <w:szCs w:val="22"/>
              </w:rPr>
              <w:t xml:space="preserve"> any other misstatement, the auditor </w:t>
            </w:r>
            <w:r w:rsidR="00A12C9B" w:rsidRPr="006B3E0C">
              <w:rPr>
                <w:color w:val="252525"/>
                <w:sz w:val="22"/>
                <w:szCs w:val="22"/>
              </w:rPr>
              <w:t>base</w:t>
            </w:r>
            <w:r w:rsidR="004842F3" w:rsidRPr="006B3E0C">
              <w:rPr>
                <w:color w:val="252525"/>
                <w:sz w:val="22"/>
                <w:szCs w:val="22"/>
              </w:rPr>
              <w:t>s the extent (and nature) of tests</w:t>
            </w:r>
            <w:r w:rsidR="00A12C9B" w:rsidRPr="006B3E0C">
              <w:rPr>
                <w:color w:val="252525"/>
                <w:sz w:val="22"/>
                <w:szCs w:val="22"/>
              </w:rPr>
              <w:t xml:space="preserve"> on the </w:t>
            </w:r>
            <w:r w:rsidR="004842F3" w:rsidRPr="006B3E0C">
              <w:rPr>
                <w:color w:val="252525"/>
                <w:sz w:val="22"/>
                <w:szCs w:val="22"/>
              </w:rPr>
              <w:t xml:space="preserve">assessed risk </w:t>
            </w:r>
            <w:r w:rsidRPr="006B3E0C">
              <w:rPr>
                <w:color w:val="252525"/>
                <w:sz w:val="22"/>
                <w:szCs w:val="22"/>
              </w:rPr>
              <w:t xml:space="preserve">of </w:t>
            </w:r>
            <w:r w:rsidR="00A12C9B" w:rsidRPr="006B3E0C">
              <w:rPr>
                <w:color w:val="252525"/>
                <w:sz w:val="22"/>
                <w:szCs w:val="22"/>
              </w:rPr>
              <w:t>“</w:t>
            </w:r>
            <w:r w:rsidR="004842F3" w:rsidRPr="006B3E0C">
              <w:rPr>
                <w:color w:val="252525"/>
                <w:sz w:val="22"/>
                <w:szCs w:val="22"/>
              </w:rPr>
              <w:t xml:space="preserve">a </w:t>
            </w:r>
            <w:r w:rsidRPr="006B3E0C">
              <w:rPr>
                <w:color w:val="252525"/>
                <w:sz w:val="22"/>
                <w:szCs w:val="22"/>
              </w:rPr>
              <w:t xml:space="preserve">noncompliance </w:t>
            </w:r>
            <w:r w:rsidR="00221D1E" w:rsidRPr="006B3E0C">
              <w:rPr>
                <w:color w:val="252525"/>
                <w:sz w:val="22"/>
                <w:szCs w:val="22"/>
              </w:rPr>
              <w:t>misstatement</w:t>
            </w:r>
            <w:r w:rsidR="00A12C9B" w:rsidRPr="006B3E0C">
              <w:rPr>
                <w:color w:val="252525"/>
                <w:sz w:val="22"/>
                <w:szCs w:val="22"/>
              </w:rPr>
              <w:t>”</w:t>
            </w:r>
            <w:r w:rsidR="00221D1E" w:rsidRPr="006B3E0C">
              <w:rPr>
                <w:color w:val="252525"/>
                <w:sz w:val="22"/>
                <w:szCs w:val="22"/>
              </w:rPr>
              <w:t xml:space="preserve"> in relation to</w:t>
            </w:r>
            <w:r w:rsidRPr="006B3E0C">
              <w:rPr>
                <w:color w:val="252525"/>
                <w:sz w:val="22"/>
                <w:szCs w:val="22"/>
              </w:rPr>
              <w:t xml:space="preserve"> the opinion unit(s) </w:t>
            </w:r>
            <w:r w:rsidR="00221D1E" w:rsidRPr="006B3E0C">
              <w:rPr>
                <w:color w:val="252525"/>
                <w:sz w:val="22"/>
                <w:szCs w:val="22"/>
              </w:rPr>
              <w:t>taken as a whole.</w:t>
            </w:r>
          </w:p>
          <w:p w14:paraId="2F1C258A" w14:textId="77777777" w:rsidR="004842F3" w:rsidRPr="006B3E0C" w:rsidRDefault="00FD502F" w:rsidP="00776C23">
            <w:pPr>
              <w:pStyle w:val="ListParagraph"/>
              <w:numPr>
                <w:ilvl w:val="1"/>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sz w:val="22"/>
                <w:szCs w:val="22"/>
                <w:lang w:eastAsia="ja-JP"/>
              </w:rPr>
            </w:pPr>
            <w:r w:rsidRPr="006B3E0C">
              <w:rPr>
                <w:color w:val="252525"/>
                <w:sz w:val="22"/>
                <w:szCs w:val="22"/>
              </w:rPr>
              <w:t xml:space="preserve">For example, if </w:t>
            </w:r>
            <w:r w:rsidR="004842F3" w:rsidRPr="006B3E0C">
              <w:rPr>
                <w:color w:val="252525"/>
                <w:sz w:val="22"/>
                <w:szCs w:val="22"/>
              </w:rPr>
              <w:t>two</w:t>
            </w:r>
            <w:r w:rsidRPr="006B3E0C">
              <w:rPr>
                <w:color w:val="252525"/>
                <w:sz w:val="22"/>
                <w:szCs w:val="22"/>
              </w:rPr>
              <w:t xml:space="preserve"> law</w:t>
            </w:r>
            <w:r w:rsidR="004842F3" w:rsidRPr="006B3E0C">
              <w:rPr>
                <w:color w:val="252525"/>
                <w:sz w:val="22"/>
                <w:szCs w:val="22"/>
              </w:rPr>
              <w:t>s</w:t>
            </w:r>
            <w:r w:rsidRPr="006B3E0C">
              <w:rPr>
                <w:color w:val="252525"/>
                <w:sz w:val="22"/>
                <w:szCs w:val="22"/>
              </w:rPr>
              <w:t xml:space="preserve"> directly affect the </w:t>
            </w:r>
            <w:r w:rsidR="00221D1E" w:rsidRPr="006B3E0C">
              <w:rPr>
                <w:color w:val="252525"/>
                <w:sz w:val="22"/>
                <w:szCs w:val="22"/>
              </w:rPr>
              <w:t xml:space="preserve">valuation </w:t>
            </w:r>
            <w:r w:rsidRPr="006B3E0C">
              <w:rPr>
                <w:color w:val="252525"/>
                <w:sz w:val="22"/>
                <w:szCs w:val="22"/>
              </w:rPr>
              <w:t xml:space="preserve">of </w:t>
            </w:r>
            <w:r w:rsidR="004842F3" w:rsidRPr="006B3E0C">
              <w:rPr>
                <w:color w:val="252525"/>
                <w:sz w:val="22"/>
                <w:szCs w:val="22"/>
              </w:rPr>
              <w:t xml:space="preserve">two asset accounts </w:t>
            </w:r>
            <w:r w:rsidRPr="006B3E0C">
              <w:rPr>
                <w:color w:val="252525"/>
                <w:sz w:val="22"/>
                <w:szCs w:val="22"/>
              </w:rPr>
              <w:t xml:space="preserve">equaling </w:t>
            </w:r>
            <w:r w:rsidR="004842F3" w:rsidRPr="006B3E0C">
              <w:rPr>
                <w:color w:val="252525"/>
                <w:sz w:val="22"/>
                <w:szCs w:val="22"/>
              </w:rPr>
              <w:t>5</w:t>
            </w:r>
            <w:r w:rsidRPr="006B3E0C">
              <w:rPr>
                <w:color w:val="252525"/>
                <w:sz w:val="22"/>
                <w:szCs w:val="22"/>
              </w:rPr>
              <w:t xml:space="preserve">0% </w:t>
            </w:r>
            <w:r w:rsidR="004842F3" w:rsidRPr="006B3E0C">
              <w:rPr>
                <w:color w:val="252525"/>
                <w:sz w:val="22"/>
                <w:szCs w:val="22"/>
              </w:rPr>
              <w:t xml:space="preserve">and 10% </w:t>
            </w:r>
            <w:r w:rsidRPr="006B3E0C">
              <w:rPr>
                <w:color w:val="252525"/>
                <w:sz w:val="22"/>
                <w:szCs w:val="22"/>
              </w:rPr>
              <w:t xml:space="preserve">of an opinion unit’s total assets, the </w:t>
            </w:r>
            <w:r w:rsidR="004842F3" w:rsidRPr="006B3E0C">
              <w:rPr>
                <w:color w:val="252525"/>
                <w:sz w:val="22"/>
                <w:szCs w:val="22"/>
              </w:rPr>
              <w:t>auditor requires more evidence to support the asset constituting 50% of total assets.</w:t>
            </w:r>
          </w:p>
          <w:p w14:paraId="65D8DE25" w14:textId="77777777" w:rsidR="00A12C9B" w:rsidRPr="006B3E0C" w:rsidRDefault="004842F3" w:rsidP="00776C23">
            <w:pPr>
              <w:pStyle w:val="ListParagraph"/>
              <w:numPr>
                <w:ilvl w:val="1"/>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sz w:val="22"/>
                <w:szCs w:val="22"/>
                <w:lang w:eastAsia="ja-JP"/>
              </w:rPr>
            </w:pPr>
            <w:r w:rsidRPr="006B3E0C">
              <w:rPr>
                <w:color w:val="252525"/>
                <w:sz w:val="22"/>
                <w:szCs w:val="22"/>
              </w:rPr>
              <w:t xml:space="preserve">Of course, this example assumes risks are </w:t>
            </w:r>
            <w:r w:rsidR="00EE6F77" w:rsidRPr="006B3E0C">
              <w:rPr>
                <w:color w:val="252525"/>
                <w:sz w:val="22"/>
                <w:szCs w:val="22"/>
              </w:rPr>
              <w:t xml:space="preserve">otherwise </w:t>
            </w:r>
            <w:r w:rsidRPr="006B3E0C">
              <w:rPr>
                <w:color w:val="252525"/>
                <w:sz w:val="22"/>
                <w:szCs w:val="22"/>
              </w:rPr>
              <w:t>equal, which often is not the case.</w:t>
            </w:r>
            <w:r w:rsidR="00D26651" w:rsidRPr="006B3E0C">
              <w:rPr>
                <w:color w:val="252525"/>
                <w:sz w:val="22"/>
                <w:szCs w:val="22"/>
              </w:rPr>
              <w:t xml:space="preserve"> </w:t>
            </w:r>
            <w:r w:rsidRPr="006B3E0C">
              <w:rPr>
                <w:color w:val="252525"/>
                <w:sz w:val="22"/>
                <w:szCs w:val="22"/>
              </w:rPr>
              <w:t xml:space="preserve"> </w:t>
            </w:r>
          </w:p>
        </w:tc>
      </w:tr>
      <w:tr w:rsidR="00A12C9B" w:rsidRPr="006B3E0C" w14:paraId="1A6F77E0" w14:textId="77777777" w:rsidTr="00776C23">
        <w:tc>
          <w:tcPr>
            <w:tcW w:w="9900" w:type="dxa"/>
            <w:gridSpan w:val="2"/>
            <w:shd w:val="clear" w:color="auto" w:fill="C6D9F1" w:themeFill="text2" w:themeFillTint="33"/>
          </w:tcPr>
          <w:p w14:paraId="654EC885" w14:textId="7A7BE2AA" w:rsidR="00A12C9B" w:rsidRPr="006B3E0C" w:rsidRDefault="00A12C9B"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i/>
                <w:sz w:val="22"/>
                <w:szCs w:val="22"/>
                <w:lang w:eastAsia="ja-JP"/>
              </w:rPr>
            </w:pPr>
            <w:r w:rsidRPr="006B3E0C">
              <w:rPr>
                <w:b/>
                <w:i/>
                <w:sz w:val="22"/>
                <w:szCs w:val="22"/>
                <w:lang w:eastAsia="ja-JP"/>
              </w:rPr>
              <w:t>Chapter</w:t>
            </w:r>
            <w:r w:rsidR="00DD1616" w:rsidRPr="006B3E0C">
              <w:rPr>
                <w:b/>
                <w:i/>
                <w:sz w:val="22"/>
                <w:szCs w:val="22"/>
                <w:lang w:eastAsia="ja-JP"/>
              </w:rPr>
              <w:t>s</w:t>
            </w:r>
            <w:r w:rsidRPr="006B3E0C">
              <w:rPr>
                <w:b/>
                <w:i/>
                <w:sz w:val="22"/>
                <w:szCs w:val="22"/>
                <w:lang w:eastAsia="ja-JP"/>
              </w:rPr>
              <w:t xml:space="preserve"> 2</w:t>
            </w:r>
            <w:r w:rsidR="00696ACA" w:rsidRPr="006B3E0C">
              <w:rPr>
                <w:sz w:val="22"/>
                <w:szCs w:val="22"/>
                <w:lang w:eastAsia="ja-JP"/>
              </w:rPr>
              <w:t xml:space="preserve"> </w:t>
            </w:r>
            <w:r w:rsidR="00696ACA" w:rsidRPr="006B3E0C">
              <w:rPr>
                <w:b/>
                <w:i/>
                <w:sz w:val="22"/>
                <w:szCs w:val="22"/>
                <w:lang w:eastAsia="ja-JP"/>
              </w:rPr>
              <w:t>&amp; 4B-C</w:t>
            </w:r>
          </w:p>
        </w:tc>
      </w:tr>
      <w:tr w:rsidR="00FD502F" w:rsidRPr="006B3E0C" w14:paraId="380A82D5" w14:textId="77777777" w:rsidTr="00776C23">
        <w:tc>
          <w:tcPr>
            <w:tcW w:w="3382" w:type="dxa"/>
          </w:tcPr>
          <w:p w14:paraId="415692E2" w14:textId="77777777" w:rsidR="00FD502F" w:rsidRPr="006B3E0C" w:rsidRDefault="00A12C9B" w:rsidP="00A12C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Compliance requirements with indirect but potentially material financial statement effects</w:t>
            </w:r>
            <w:r w:rsidR="006454B0" w:rsidRPr="006B3E0C">
              <w:rPr>
                <w:sz w:val="22"/>
                <w:szCs w:val="22"/>
                <w:lang w:eastAsia="ja-JP"/>
              </w:rPr>
              <w:t xml:space="preserve"> </w:t>
            </w:r>
          </w:p>
        </w:tc>
        <w:tc>
          <w:tcPr>
            <w:tcW w:w="6518" w:type="dxa"/>
          </w:tcPr>
          <w:p w14:paraId="314DBF05" w14:textId="77777777" w:rsidR="00FD502F" w:rsidRPr="006B3E0C" w:rsidRDefault="00FD502F"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i/>
                <w:sz w:val="22"/>
                <w:szCs w:val="22"/>
                <w:lang w:eastAsia="ja-JP"/>
              </w:rPr>
            </w:pPr>
            <w:r w:rsidRPr="006B3E0C">
              <w:rPr>
                <w:b/>
                <w:i/>
                <w:sz w:val="22"/>
                <w:szCs w:val="22"/>
                <w:lang w:eastAsia="ja-JP"/>
              </w:rPr>
              <w:t>AOS Comments:</w:t>
            </w:r>
          </w:p>
          <w:p w14:paraId="0EA5F145" w14:textId="2CEF5A22" w:rsidR="0054665A" w:rsidRPr="006B3E0C" w:rsidRDefault="00075EC1" w:rsidP="00A66E45">
            <w:pPr>
              <w:pStyle w:val="ListParagraph"/>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AU</w:t>
            </w:r>
            <w:r w:rsidR="00FD502F" w:rsidRPr="006B3E0C">
              <w:rPr>
                <w:sz w:val="22"/>
                <w:szCs w:val="22"/>
                <w:lang w:eastAsia="ja-JP"/>
              </w:rPr>
              <w:t xml:space="preserve">-C 250.14 requires only </w:t>
            </w:r>
            <w:r w:rsidRPr="006B3E0C">
              <w:rPr>
                <w:sz w:val="22"/>
                <w:szCs w:val="22"/>
                <w:lang w:eastAsia="ja-JP"/>
              </w:rPr>
              <w:t xml:space="preserve">(1) </w:t>
            </w:r>
            <w:r w:rsidR="00FD502F" w:rsidRPr="006B3E0C">
              <w:rPr>
                <w:sz w:val="22"/>
                <w:szCs w:val="22"/>
                <w:lang w:eastAsia="ja-JP"/>
              </w:rPr>
              <w:t xml:space="preserve">inquiry </w:t>
            </w:r>
            <w:r w:rsidR="00A91F01" w:rsidRPr="006B3E0C">
              <w:rPr>
                <w:sz w:val="22"/>
                <w:szCs w:val="22"/>
                <w:lang w:eastAsia="ja-JP"/>
              </w:rPr>
              <w:t xml:space="preserve">of management </w:t>
            </w:r>
            <w:r w:rsidR="00FD502F" w:rsidRPr="006B3E0C">
              <w:rPr>
                <w:sz w:val="22"/>
                <w:szCs w:val="22"/>
                <w:lang w:eastAsia="ja-JP"/>
              </w:rPr>
              <w:t xml:space="preserve">and </w:t>
            </w:r>
            <w:r w:rsidRPr="006B3E0C">
              <w:rPr>
                <w:sz w:val="22"/>
                <w:szCs w:val="22"/>
                <w:lang w:eastAsia="ja-JP"/>
              </w:rPr>
              <w:t xml:space="preserve">(2) </w:t>
            </w:r>
            <w:r w:rsidR="009F0E12" w:rsidRPr="006B3E0C">
              <w:rPr>
                <w:sz w:val="22"/>
                <w:szCs w:val="22"/>
                <w:lang w:eastAsia="ja-JP"/>
              </w:rPr>
              <w:t xml:space="preserve">inspecting </w:t>
            </w:r>
            <w:r w:rsidR="00FD502F" w:rsidRPr="006B3E0C">
              <w:rPr>
                <w:sz w:val="22"/>
                <w:szCs w:val="22"/>
                <w:lang w:eastAsia="ja-JP"/>
              </w:rPr>
              <w:t>correspondence</w:t>
            </w:r>
            <w:r w:rsidR="00161C6F" w:rsidRPr="006B3E0C">
              <w:rPr>
                <w:sz w:val="22"/>
                <w:szCs w:val="22"/>
                <w:lang w:eastAsia="ja-JP"/>
              </w:rPr>
              <w:t xml:space="preserve"> with </w:t>
            </w:r>
            <w:r w:rsidRPr="006B3E0C">
              <w:rPr>
                <w:sz w:val="22"/>
                <w:szCs w:val="22"/>
                <w:lang w:eastAsia="ja-JP"/>
              </w:rPr>
              <w:t>“</w:t>
            </w:r>
            <w:r w:rsidR="00161C6F" w:rsidRPr="006B3E0C">
              <w:rPr>
                <w:sz w:val="22"/>
                <w:szCs w:val="22"/>
                <w:lang w:eastAsia="ja-JP"/>
              </w:rPr>
              <w:t>regulator</w:t>
            </w:r>
            <w:r w:rsidR="004322EA" w:rsidRPr="006B3E0C">
              <w:rPr>
                <w:sz w:val="22"/>
                <w:szCs w:val="22"/>
                <w:lang w:eastAsia="ja-JP"/>
              </w:rPr>
              <w:t>y authorities</w:t>
            </w:r>
            <w:r w:rsidR="00C17571" w:rsidRPr="006B3E0C">
              <w:rPr>
                <w:sz w:val="22"/>
                <w:szCs w:val="22"/>
                <w:lang w:eastAsia="ja-JP"/>
              </w:rPr>
              <w:t>.</w:t>
            </w:r>
            <w:r w:rsidRPr="006B3E0C">
              <w:rPr>
                <w:sz w:val="22"/>
                <w:szCs w:val="22"/>
                <w:lang w:eastAsia="ja-JP"/>
              </w:rPr>
              <w:t>”</w:t>
            </w:r>
            <w:r w:rsidR="00FD502F" w:rsidRPr="006B3E0C">
              <w:rPr>
                <w:sz w:val="22"/>
                <w:szCs w:val="22"/>
                <w:lang w:eastAsia="ja-JP"/>
              </w:rPr>
              <w:t xml:space="preserve"> </w:t>
            </w:r>
          </w:p>
          <w:p w14:paraId="0F259E5D" w14:textId="77777777" w:rsidR="00EE6F77" w:rsidRPr="006B3E0C" w:rsidRDefault="00454643" w:rsidP="00776C23">
            <w:pPr>
              <w:pStyle w:val="ListParagraph"/>
              <w:widowControl w:val="0"/>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rPr>
                <w:sz w:val="22"/>
                <w:szCs w:val="22"/>
                <w:lang w:eastAsia="ja-JP"/>
              </w:rPr>
            </w:pPr>
            <w:r w:rsidRPr="006B3E0C">
              <w:rPr>
                <w:sz w:val="22"/>
                <w:szCs w:val="22"/>
                <w:lang w:eastAsia="ja-JP"/>
              </w:rPr>
              <w:t xml:space="preserve">Per AU-C 250.08: “ . . . </w:t>
            </w:r>
            <w:r w:rsidRPr="006B3E0C">
              <w:rPr>
                <w:color w:val="252525"/>
                <w:sz w:val="22"/>
                <w:szCs w:val="22"/>
              </w:rPr>
              <w:t>remain alert to the possibility that other audit procedures applied for the purpose of forming an opinion on financial statements may bring instances of identified or suspected noncompliance with laws and regulations to the auditor's attention.”</w:t>
            </w:r>
            <w:r w:rsidR="00EE6F77" w:rsidRPr="006B3E0C">
              <w:rPr>
                <w:sz w:val="22"/>
                <w:szCs w:val="22"/>
                <w:lang w:eastAsia="ja-JP"/>
              </w:rPr>
              <w:t xml:space="preserve"> </w:t>
            </w:r>
          </w:p>
          <w:p w14:paraId="31391567" w14:textId="0B4C66EC" w:rsidR="00EE6F77" w:rsidRPr="006B3E0C" w:rsidRDefault="00EE6F77" w:rsidP="00776C23">
            <w:pPr>
              <w:pStyle w:val="ListParagraph"/>
              <w:numPr>
                <w:ilvl w:val="1"/>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rFonts w:ascii="ELJAMA+TimesNewRoman,Bold" w:hAnsi="ELJAMA+TimesNewRoman,Bold"/>
                <w:sz w:val="22"/>
                <w:szCs w:val="22"/>
                <w:lang w:eastAsia="ja-JP"/>
              </w:rPr>
            </w:pPr>
            <w:r w:rsidRPr="006B3E0C">
              <w:rPr>
                <w:sz w:val="22"/>
                <w:szCs w:val="22"/>
                <w:lang w:eastAsia="ja-JP"/>
              </w:rPr>
              <w:t>Therefore</w:t>
            </w:r>
            <w:r w:rsidR="00611DEC" w:rsidRPr="006B3E0C">
              <w:rPr>
                <w:sz w:val="22"/>
                <w:szCs w:val="22"/>
                <w:lang w:eastAsia="ja-JP"/>
              </w:rPr>
              <w:t>,</w:t>
            </w:r>
            <w:r w:rsidRPr="006B3E0C">
              <w:rPr>
                <w:sz w:val="22"/>
                <w:szCs w:val="22"/>
                <w:lang w:eastAsia="ja-JP"/>
              </w:rPr>
              <w:t xml:space="preserve"> procedures designed </w:t>
            </w:r>
            <w:r w:rsidR="00C17178" w:rsidRPr="006B3E0C">
              <w:rPr>
                <w:sz w:val="22"/>
                <w:szCs w:val="22"/>
                <w:lang w:eastAsia="ja-JP"/>
              </w:rPr>
              <w:t xml:space="preserve">to obtain evidence about financial statement assertions might also </w:t>
            </w:r>
            <w:r w:rsidRPr="006B3E0C">
              <w:rPr>
                <w:sz w:val="22"/>
                <w:szCs w:val="22"/>
                <w:lang w:eastAsia="ja-JP"/>
              </w:rPr>
              <w:t xml:space="preserve">yield evidence of noncompliance the auditor may need to report </w:t>
            </w:r>
            <w:r w:rsidR="00250DFA" w:rsidRPr="006B3E0C">
              <w:rPr>
                <w:sz w:val="22"/>
                <w:szCs w:val="22"/>
                <w:lang w:eastAsia="ja-JP"/>
              </w:rPr>
              <w:t xml:space="preserve">per </w:t>
            </w:r>
            <w:r w:rsidR="008005FD" w:rsidRPr="006B3E0C">
              <w:rPr>
                <w:sz w:val="22"/>
                <w:szCs w:val="22"/>
                <w:lang w:eastAsia="ja-JP"/>
              </w:rPr>
              <w:t>2018 GAGAS 6.41(a)</w:t>
            </w:r>
            <w:r w:rsidR="00B845EC" w:rsidRPr="006B3E0C">
              <w:rPr>
                <w:sz w:val="22"/>
                <w:szCs w:val="22"/>
                <w:lang w:eastAsia="ja-JP"/>
              </w:rPr>
              <w:t>.</w:t>
            </w:r>
          </w:p>
          <w:p w14:paraId="75F6CC0F" w14:textId="77777777" w:rsidR="00C17178" w:rsidRPr="006B3E0C" w:rsidRDefault="00C17178" w:rsidP="00776C23">
            <w:pPr>
              <w:pStyle w:val="ListParagraph"/>
              <w:numPr>
                <w:ilvl w:val="1"/>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rFonts w:ascii="ELJAMA+TimesNewRoman,Bold" w:hAnsi="ELJAMA+TimesNewRoman,Bold"/>
                <w:sz w:val="22"/>
                <w:szCs w:val="22"/>
                <w:lang w:eastAsia="ja-JP"/>
              </w:rPr>
            </w:pPr>
            <w:r w:rsidRPr="006B3E0C">
              <w:rPr>
                <w:sz w:val="22"/>
                <w:szCs w:val="22"/>
                <w:lang w:eastAsia="ja-JP"/>
              </w:rPr>
              <w:t>Some suggested steps in Chapter 2 for indirect noncompliance slightly exceed the “</w:t>
            </w:r>
            <w:r w:rsidR="003A36D1" w:rsidRPr="006B3E0C">
              <w:rPr>
                <w:sz w:val="22"/>
                <w:szCs w:val="22"/>
                <w:lang w:eastAsia="ja-JP"/>
              </w:rPr>
              <w:t>inquiring of management” and “inspecting correspondence”</w:t>
            </w:r>
            <w:r w:rsidR="00BD12B7" w:rsidRPr="006B3E0C">
              <w:rPr>
                <w:sz w:val="22"/>
                <w:szCs w:val="22"/>
                <w:lang w:eastAsia="ja-JP"/>
              </w:rPr>
              <w:t xml:space="preserve"> </w:t>
            </w:r>
            <w:r w:rsidRPr="006B3E0C">
              <w:rPr>
                <w:sz w:val="22"/>
                <w:szCs w:val="22"/>
                <w:lang w:eastAsia="ja-JP"/>
              </w:rPr>
              <w:t xml:space="preserve">AU-C 250.14 requires.   However, these additional steps always build on tests normally required to support a financial statement opinion.  </w:t>
            </w:r>
          </w:p>
          <w:p w14:paraId="17FF4BC5" w14:textId="77777777" w:rsidR="00FD502F" w:rsidRPr="006B3E0C" w:rsidRDefault="00C17178" w:rsidP="00A66E45">
            <w:pPr>
              <w:pStyle w:val="ListParagraph"/>
              <w:numPr>
                <w:ilvl w:val="2"/>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350"/>
              <w:rPr>
                <w:sz w:val="22"/>
                <w:szCs w:val="22"/>
                <w:lang w:eastAsia="ja-JP"/>
              </w:rPr>
            </w:pPr>
            <w:r w:rsidRPr="006B3E0C">
              <w:rPr>
                <w:sz w:val="22"/>
                <w:szCs w:val="22"/>
                <w:lang w:eastAsia="ja-JP"/>
              </w:rPr>
              <w:t xml:space="preserve">For example, an auditor needs sufficient evidence of the types of investments to support the investment footnote.  We believe it is reasonable to request an auditor to use this information to determine whether investments were </w:t>
            </w:r>
            <w:proofErr w:type="gramStart"/>
            <w:r w:rsidRPr="006B3E0C">
              <w:rPr>
                <w:sz w:val="22"/>
                <w:szCs w:val="22"/>
                <w:lang w:eastAsia="ja-JP"/>
              </w:rPr>
              <w:t>allowable</w:t>
            </w:r>
            <w:proofErr w:type="gramEnd"/>
            <w:r w:rsidRPr="006B3E0C">
              <w:rPr>
                <w:sz w:val="22"/>
                <w:szCs w:val="22"/>
                <w:lang w:eastAsia="ja-JP"/>
              </w:rPr>
              <w:t xml:space="preserve"> under </w:t>
            </w:r>
            <w:r w:rsidR="009E75D3" w:rsidRPr="006B3E0C">
              <w:rPr>
                <w:sz w:val="22"/>
                <w:szCs w:val="22"/>
                <w:lang w:eastAsia="ja-JP"/>
              </w:rPr>
              <w:t xml:space="preserve">Ohio Rev. Code </w:t>
            </w:r>
            <w:r w:rsidR="00BB5B1E" w:rsidRPr="006B3E0C">
              <w:rPr>
                <w:sz w:val="22"/>
                <w:szCs w:val="22"/>
                <w:lang w:eastAsia="ja-JP"/>
              </w:rPr>
              <w:t>Chapter</w:t>
            </w:r>
            <w:r w:rsidRPr="006B3E0C">
              <w:rPr>
                <w:sz w:val="22"/>
                <w:szCs w:val="22"/>
                <w:lang w:eastAsia="ja-JP"/>
              </w:rPr>
              <w:t xml:space="preserve"> 135.</w:t>
            </w:r>
          </w:p>
        </w:tc>
      </w:tr>
      <w:tr w:rsidR="00FD502F" w:rsidRPr="006B3E0C" w14:paraId="0B34CDCB" w14:textId="77777777" w:rsidTr="00776C23">
        <w:tc>
          <w:tcPr>
            <w:tcW w:w="3382" w:type="dxa"/>
          </w:tcPr>
          <w:p w14:paraId="0649FD0D" w14:textId="77777777" w:rsidR="00FD502F" w:rsidRPr="006B3E0C" w:rsidRDefault="00A90393" w:rsidP="00FD502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Audit tests mandated by law.</w:t>
            </w:r>
          </w:p>
        </w:tc>
        <w:tc>
          <w:tcPr>
            <w:tcW w:w="6518" w:type="dxa"/>
          </w:tcPr>
          <w:p w14:paraId="5F7D7CC4" w14:textId="77777777" w:rsidR="00C954E9" w:rsidRPr="006B3E0C" w:rsidRDefault="00A90393" w:rsidP="007955DE">
            <w:pPr>
              <w:pStyle w:val="ListParagraph"/>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 xml:space="preserve">The OCS includes </w:t>
            </w:r>
            <w:r w:rsidR="00E41AAA" w:rsidRPr="006B3E0C">
              <w:rPr>
                <w:sz w:val="22"/>
                <w:szCs w:val="22"/>
                <w:lang w:eastAsia="ja-JP"/>
              </w:rPr>
              <w:t>procedures to help auditors obt</w:t>
            </w:r>
            <w:r w:rsidRPr="006B3E0C">
              <w:rPr>
                <w:sz w:val="22"/>
                <w:szCs w:val="22"/>
                <w:lang w:eastAsia="ja-JP"/>
              </w:rPr>
              <w:t>ain sufficient</w:t>
            </w:r>
            <w:r w:rsidR="00BB7F31" w:rsidRPr="006B3E0C">
              <w:rPr>
                <w:sz w:val="22"/>
                <w:szCs w:val="22"/>
                <w:lang w:eastAsia="ja-JP"/>
              </w:rPr>
              <w:t xml:space="preserve">, </w:t>
            </w:r>
            <w:r w:rsidR="00ED67A5" w:rsidRPr="006B3E0C">
              <w:rPr>
                <w:sz w:val="22"/>
                <w:szCs w:val="22"/>
                <w:lang w:eastAsia="ja-JP"/>
              </w:rPr>
              <w:t>appropriate evidence</w:t>
            </w:r>
            <w:r w:rsidRPr="006B3E0C">
              <w:rPr>
                <w:sz w:val="22"/>
                <w:szCs w:val="22"/>
                <w:lang w:eastAsia="ja-JP"/>
              </w:rPr>
              <w:t xml:space="preserve"> </w:t>
            </w:r>
            <w:r w:rsidR="00E41AAA" w:rsidRPr="006B3E0C">
              <w:rPr>
                <w:sz w:val="22"/>
                <w:szCs w:val="22"/>
                <w:lang w:eastAsia="ja-JP"/>
              </w:rPr>
              <w:t xml:space="preserve">to assess </w:t>
            </w:r>
            <w:r w:rsidRPr="006B3E0C">
              <w:rPr>
                <w:sz w:val="22"/>
                <w:szCs w:val="22"/>
                <w:lang w:eastAsia="ja-JP"/>
              </w:rPr>
              <w:t>compl</w:t>
            </w:r>
            <w:r w:rsidR="00BB7F31" w:rsidRPr="006B3E0C">
              <w:rPr>
                <w:sz w:val="22"/>
                <w:szCs w:val="22"/>
                <w:lang w:eastAsia="ja-JP"/>
              </w:rPr>
              <w:t>iance</w:t>
            </w:r>
            <w:r w:rsidRPr="006B3E0C">
              <w:rPr>
                <w:sz w:val="22"/>
                <w:szCs w:val="22"/>
                <w:lang w:eastAsia="ja-JP"/>
              </w:rPr>
              <w:t xml:space="preserve"> with the</w:t>
            </w:r>
            <w:r w:rsidR="00EE6F77" w:rsidRPr="006B3E0C">
              <w:rPr>
                <w:sz w:val="22"/>
                <w:szCs w:val="22"/>
                <w:lang w:eastAsia="ja-JP"/>
              </w:rPr>
              <w:t>se</w:t>
            </w:r>
            <w:r w:rsidRPr="006B3E0C">
              <w:rPr>
                <w:sz w:val="22"/>
                <w:szCs w:val="22"/>
                <w:lang w:eastAsia="ja-JP"/>
              </w:rPr>
              <w:t xml:space="preserve"> law</w:t>
            </w:r>
            <w:r w:rsidR="00EE6F77" w:rsidRPr="006B3E0C">
              <w:rPr>
                <w:sz w:val="22"/>
                <w:szCs w:val="22"/>
                <w:lang w:eastAsia="ja-JP"/>
              </w:rPr>
              <w:t>s</w:t>
            </w:r>
            <w:r w:rsidRPr="006B3E0C">
              <w:rPr>
                <w:sz w:val="22"/>
                <w:szCs w:val="22"/>
                <w:lang w:eastAsia="ja-JP"/>
              </w:rPr>
              <w:t>.</w:t>
            </w:r>
            <w:r w:rsidR="00BB7F31" w:rsidRPr="006B3E0C">
              <w:rPr>
                <w:sz w:val="22"/>
                <w:szCs w:val="22"/>
                <w:lang w:eastAsia="ja-JP"/>
              </w:rPr>
              <w:t xml:space="preserve">  </w:t>
            </w:r>
          </w:p>
          <w:p w14:paraId="6C284903" w14:textId="77777777" w:rsidR="00FD502F" w:rsidRPr="006B3E0C" w:rsidRDefault="00BB7F31" w:rsidP="007955DE">
            <w:pPr>
              <w:pStyle w:val="ListParagraph"/>
              <w:numPr>
                <w:ilvl w:val="0"/>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Though we do not require opinions on compliance</w:t>
            </w:r>
            <w:r w:rsidR="00C954E9" w:rsidRPr="006B3E0C">
              <w:rPr>
                <w:sz w:val="22"/>
                <w:szCs w:val="22"/>
                <w:lang w:eastAsia="ja-JP"/>
              </w:rPr>
              <w:t>, we have required separate reports for some compliance, such as agreed-upon procedures for anti-bullying policies</w:t>
            </w:r>
            <w:r w:rsidR="00611DEC" w:rsidRPr="006B3E0C">
              <w:rPr>
                <w:sz w:val="22"/>
                <w:szCs w:val="22"/>
                <w:lang w:eastAsia="ja-JP"/>
              </w:rPr>
              <w:t xml:space="preserve"> and landfill certifications</w:t>
            </w:r>
            <w:r w:rsidR="00C954E9" w:rsidRPr="006B3E0C">
              <w:rPr>
                <w:sz w:val="22"/>
                <w:szCs w:val="22"/>
                <w:lang w:eastAsia="ja-JP"/>
              </w:rPr>
              <w:t>.</w:t>
            </w:r>
          </w:p>
          <w:p w14:paraId="6085E1D0" w14:textId="77777777" w:rsidR="00EE6F77" w:rsidRPr="006B3E0C" w:rsidRDefault="00B87E02" w:rsidP="00776C23">
            <w:pPr>
              <w:pStyle w:val="ListParagraph"/>
              <w:numPr>
                <w:ilvl w:val="1"/>
                <w:numId w:val="3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810"/>
              <w:rPr>
                <w:strike/>
                <w:sz w:val="22"/>
                <w:szCs w:val="22"/>
                <w:lang w:eastAsia="ja-JP"/>
              </w:rPr>
            </w:pPr>
            <w:r w:rsidRPr="006B3E0C">
              <w:rPr>
                <w:sz w:val="22"/>
                <w:szCs w:val="22"/>
                <w:lang w:eastAsia="ja-JP"/>
              </w:rPr>
              <w:t>Because legislation does not require opinions on compliance, for efficiency, w</w:t>
            </w:r>
            <w:r w:rsidR="00454643" w:rsidRPr="006B3E0C">
              <w:rPr>
                <w:sz w:val="22"/>
                <w:szCs w:val="22"/>
                <w:lang w:eastAsia="ja-JP"/>
              </w:rPr>
              <w:t xml:space="preserve">e </w:t>
            </w:r>
            <w:r w:rsidR="00611DEC" w:rsidRPr="006B3E0C">
              <w:rPr>
                <w:sz w:val="22"/>
                <w:szCs w:val="22"/>
                <w:lang w:eastAsia="ja-JP"/>
              </w:rPr>
              <w:t xml:space="preserve">sometimes </w:t>
            </w:r>
            <w:r w:rsidR="00454643" w:rsidRPr="006B3E0C">
              <w:rPr>
                <w:sz w:val="22"/>
                <w:szCs w:val="22"/>
                <w:lang w:eastAsia="ja-JP"/>
              </w:rPr>
              <w:t>include violations in the GAGAS report, though we judge materiality for the requirement, not vs. opinion unit amounts.</w:t>
            </w:r>
          </w:p>
        </w:tc>
      </w:tr>
      <w:tr w:rsidR="00A12C9B" w:rsidRPr="006B3E0C" w14:paraId="1D6F1A21" w14:textId="77777777" w:rsidTr="00776C23">
        <w:tc>
          <w:tcPr>
            <w:tcW w:w="9900" w:type="dxa"/>
            <w:gridSpan w:val="2"/>
            <w:shd w:val="clear" w:color="auto" w:fill="C6D9F1" w:themeFill="text2" w:themeFillTint="33"/>
          </w:tcPr>
          <w:p w14:paraId="03C7A770" w14:textId="1EA3179C" w:rsidR="00A12C9B" w:rsidRPr="006B3E0C" w:rsidRDefault="00A12C9B" w:rsidP="00DD161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rPr>
                <w:b/>
                <w:i/>
                <w:sz w:val="22"/>
                <w:szCs w:val="22"/>
                <w:lang w:eastAsia="ja-JP"/>
              </w:rPr>
            </w:pPr>
            <w:r w:rsidRPr="006B3E0C">
              <w:rPr>
                <w:b/>
                <w:i/>
                <w:sz w:val="22"/>
                <w:szCs w:val="22"/>
                <w:lang w:eastAsia="ja-JP"/>
              </w:rPr>
              <w:t>Chapter</w:t>
            </w:r>
            <w:r w:rsidR="00DD1616" w:rsidRPr="006B3E0C">
              <w:rPr>
                <w:b/>
                <w:i/>
                <w:sz w:val="22"/>
                <w:szCs w:val="22"/>
                <w:lang w:eastAsia="ja-JP"/>
              </w:rPr>
              <w:t>s</w:t>
            </w:r>
            <w:r w:rsidRPr="006B3E0C">
              <w:rPr>
                <w:b/>
                <w:i/>
                <w:sz w:val="22"/>
                <w:szCs w:val="22"/>
                <w:lang w:eastAsia="ja-JP"/>
              </w:rPr>
              <w:t xml:space="preserve"> 3</w:t>
            </w:r>
            <w:r w:rsidR="00DD1616" w:rsidRPr="006B3E0C">
              <w:rPr>
                <w:b/>
                <w:i/>
                <w:sz w:val="22"/>
                <w:szCs w:val="22"/>
                <w:lang w:eastAsia="ja-JP"/>
              </w:rPr>
              <w:t xml:space="preserve"> &amp; 4D</w:t>
            </w:r>
          </w:p>
        </w:tc>
      </w:tr>
      <w:tr w:rsidR="00FD502F" w:rsidRPr="006B3E0C" w14:paraId="5110952B" w14:textId="77777777" w:rsidTr="00776C23">
        <w:tc>
          <w:tcPr>
            <w:tcW w:w="3382" w:type="dxa"/>
          </w:tcPr>
          <w:p w14:paraId="4A4A1E6F" w14:textId="24FDCD94" w:rsidR="00FD502F" w:rsidRPr="006B3E0C" w:rsidRDefault="00B84C79" w:rsidP="00A12C9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22"/>
                <w:szCs w:val="22"/>
                <w:lang w:eastAsia="ja-JP"/>
              </w:rPr>
            </w:pPr>
            <w:r w:rsidRPr="006B3E0C">
              <w:rPr>
                <w:sz w:val="22"/>
                <w:szCs w:val="22"/>
                <w:lang w:eastAsia="ja-JP"/>
              </w:rPr>
              <w:t>Stewardship</w:t>
            </w:r>
            <w:r w:rsidR="00FD502F" w:rsidRPr="006B3E0C">
              <w:rPr>
                <w:sz w:val="22"/>
                <w:szCs w:val="22"/>
                <w:lang w:eastAsia="ja-JP"/>
              </w:rPr>
              <w:t xml:space="preserve"> requirements</w:t>
            </w:r>
            <w:r w:rsidR="009C3934" w:rsidRPr="006B3E0C">
              <w:rPr>
                <w:rStyle w:val="FootnoteReference"/>
                <w:sz w:val="22"/>
                <w:szCs w:val="22"/>
                <w:lang w:eastAsia="ja-JP"/>
              </w:rPr>
              <w:footnoteReference w:id="6"/>
            </w:r>
          </w:p>
        </w:tc>
        <w:tc>
          <w:tcPr>
            <w:tcW w:w="6518" w:type="dxa"/>
          </w:tcPr>
          <w:p w14:paraId="187E55E1" w14:textId="77777777" w:rsidR="00A90393" w:rsidRPr="006B3E0C" w:rsidRDefault="00A90393" w:rsidP="00A66E45">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360"/>
              <w:rPr>
                <w:sz w:val="22"/>
                <w:szCs w:val="22"/>
                <w:lang w:eastAsia="ja-JP"/>
              </w:rPr>
            </w:pPr>
            <w:r w:rsidRPr="006B3E0C">
              <w:rPr>
                <w:sz w:val="22"/>
                <w:szCs w:val="22"/>
                <w:lang w:eastAsia="ja-JP"/>
              </w:rPr>
              <w:t>Inquiry and limited examination of documents</w:t>
            </w:r>
            <w:r w:rsidR="004F5E56" w:rsidRPr="006B3E0C">
              <w:rPr>
                <w:sz w:val="22"/>
                <w:szCs w:val="22"/>
                <w:lang w:eastAsia="ja-JP"/>
              </w:rPr>
              <w:t>, as described for each test</w:t>
            </w:r>
            <w:r w:rsidRPr="006B3E0C">
              <w:rPr>
                <w:sz w:val="22"/>
                <w:szCs w:val="22"/>
                <w:lang w:eastAsia="ja-JP"/>
              </w:rPr>
              <w:t>.</w:t>
            </w:r>
          </w:p>
          <w:p w14:paraId="41B14C24" w14:textId="77777777" w:rsidR="00FD502F" w:rsidRPr="006B3E0C" w:rsidRDefault="00FD502F" w:rsidP="00A66E45">
            <w:pPr>
              <w:pStyle w:val="ListParagraph"/>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360"/>
              <w:rPr>
                <w:sz w:val="22"/>
                <w:szCs w:val="22"/>
                <w:lang w:eastAsia="ja-JP"/>
              </w:rPr>
            </w:pPr>
            <w:r w:rsidRPr="006B3E0C">
              <w:rPr>
                <w:sz w:val="22"/>
                <w:szCs w:val="22"/>
                <w:lang w:eastAsia="ja-JP"/>
              </w:rPr>
              <w:t xml:space="preserve">Many steps allow </w:t>
            </w:r>
            <w:r w:rsidR="00A90393" w:rsidRPr="006B3E0C">
              <w:rPr>
                <w:sz w:val="22"/>
                <w:szCs w:val="22"/>
                <w:lang w:eastAsia="ja-JP"/>
              </w:rPr>
              <w:t xml:space="preserve">rotation / </w:t>
            </w:r>
            <w:r w:rsidRPr="006B3E0C">
              <w:rPr>
                <w:sz w:val="22"/>
                <w:szCs w:val="22"/>
                <w:lang w:eastAsia="ja-JP"/>
              </w:rPr>
              <w:t>performing every other audit.</w:t>
            </w:r>
          </w:p>
          <w:p w14:paraId="49C2CBC8" w14:textId="3C04E067" w:rsidR="00FD502F" w:rsidRPr="006B3E0C" w:rsidRDefault="00FD502F" w:rsidP="00776C23">
            <w:pPr>
              <w:pStyle w:val="ListParagraph"/>
              <w:numPr>
                <w:ilvl w:val="1"/>
                <w:numId w:val="16"/>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76" w:lineRule="auto"/>
              <w:ind w:left="810"/>
              <w:rPr>
                <w:sz w:val="22"/>
                <w:szCs w:val="22"/>
                <w:lang w:eastAsia="ja-JP"/>
              </w:rPr>
            </w:pPr>
            <w:r w:rsidRPr="006B3E0C">
              <w:rPr>
                <w:sz w:val="22"/>
                <w:szCs w:val="22"/>
                <w:lang w:eastAsia="ja-JP"/>
              </w:rPr>
              <w:t xml:space="preserve">Except, if auditors judge a requirement </w:t>
            </w:r>
            <w:r w:rsidR="00EE6F77" w:rsidRPr="006B3E0C">
              <w:rPr>
                <w:sz w:val="22"/>
                <w:szCs w:val="22"/>
                <w:lang w:eastAsia="ja-JP"/>
              </w:rPr>
              <w:t xml:space="preserve">to </w:t>
            </w:r>
            <w:r w:rsidRPr="006B3E0C">
              <w:rPr>
                <w:sz w:val="22"/>
                <w:szCs w:val="22"/>
                <w:lang w:eastAsia="ja-JP"/>
              </w:rPr>
              <w:t xml:space="preserve">directly and materially affect financial statement amounts or disclosures, they should meet the requirements </w:t>
            </w:r>
            <w:r w:rsidR="00A90393" w:rsidRPr="006B3E0C">
              <w:rPr>
                <w:sz w:val="22"/>
                <w:szCs w:val="22"/>
                <w:lang w:eastAsia="ja-JP"/>
              </w:rPr>
              <w:t>for Chapter</w:t>
            </w:r>
            <w:r w:rsidR="00CA4CEE" w:rsidRPr="006B3E0C">
              <w:rPr>
                <w:sz w:val="22"/>
                <w:szCs w:val="22"/>
                <w:lang w:eastAsia="ja-JP"/>
              </w:rPr>
              <w:t>s</w:t>
            </w:r>
            <w:r w:rsidR="00A90393" w:rsidRPr="006B3E0C">
              <w:rPr>
                <w:sz w:val="22"/>
                <w:szCs w:val="22"/>
                <w:lang w:eastAsia="ja-JP"/>
              </w:rPr>
              <w:t xml:space="preserve"> 1</w:t>
            </w:r>
            <w:r w:rsidRPr="006B3E0C">
              <w:rPr>
                <w:sz w:val="22"/>
                <w:szCs w:val="22"/>
                <w:lang w:eastAsia="ja-JP"/>
              </w:rPr>
              <w:t xml:space="preserve"> </w:t>
            </w:r>
            <w:r w:rsidR="00CA4CEE" w:rsidRPr="006B3E0C">
              <w:rPr>
                <w:sz w:val="22"/>
                <w:szCs w:val="22"/>
                <w:lang w:eastAsia="ja-JP"/>
              </w:rPr>
              <w:t xml:space="preserve">or 4A </w:t>
            </w:r>
            <w:r w:rsidRPr="006B3E0C">
              <w:rPr>
                <w:sz w:val="22"/>
                <w:szCs w:val="22"/>
                <w:lang w:eastAsia="ja-JP"/>
              </w:rPr>
              <w:t>above.</w:t>
            </w:r>
          </w:p>
        </w:tc>
      </w:tr>
    </w:tbl>
    <w:p w14:paraId="0437607A" w14:textId="77777777" w:rsidR="00847848" w:rsidRPr="00F45E67" w:rsidRDefault="00847848"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i/>
          <w:sz w:val="24"/>
          <w:szCs w:val="24"/>
          <w:lang w:eastAsia="ja-JP"/>
        </w:rPr>
      </w:pPr>
    </w:p>
    <w:p w14:paraId="5B7CD13B" w14:textId="77777777" w:rsidR="00A1775D" w:rsidRPr="00F45E67" w:rsidRDefault="00A1775D"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szCs w:val="24"/>
          <w:lang w:eastAsia="ja-JP"/>
        </w:rPr>
      </w:pPr>
    </w:p>
    <w:p w14:paraId="5E73A504" w14:textId="77777777" w:rsidR="00271B7B" w:rsidRDefault="00271B7B">
      <w:pPr>
        <w:rPr>
          <w:sz w:val="24"/>
          <w:szCs w:val="24"/>
          <w:lang w:eastAsia="ja-JP"/>
        </w:rPr>
        <w:sectPr w:rsidR="00271B7B" w:rsidSect="002A3762">
          <w:headerReference w:type="default" r:id="rId15"/>
          <w:type w:val="continuous"/>
          <w:pgSz w:w="12240" w:h="15840"/>
          <w:pgMar w:top="1152" w:right="1152" w:bottom="720" w:left="1152" w:header="720" w:footer="720" w:gutter="0"/>
          <w:cols w:space="720"/>
          <w:noEndnote/>
        </w:sectPr>
      </w:pPr>
      <w:r>
        <w:rPr>
          <w:sz w:val="24"/>
          <w:szCs w:val="24"/>
          <w:lang w:eastAsia="ja-JP"/>
        </w:rPr>
        <w:br w:type="page"/>
      </w:r>
    </w:p>
    <w:p w14:paraId="158E6977" w14:textId="3A3D1F90" w:rsidR="00847848" w:rsidRPr="000A6262" w:rsidRDefault="00847848" w:rsidP="00621F8F">
      <w:pPr>
        <w:pStyle w:val="Subtitle"/>
        <w:shd w:val="clear" w:color="auto" w:fill="A6A6A6" w:themeFill="background1" w:themeFillShade="A6"/>
      </w:pPr>
      <w:bookmarkStart w:id="16" w:name="_Toc214431122"/>
      <w:r w:rsidRPr="000A6262">
        <w:t>Home Rule Power</w:t>
      </w:r>
      <w:r w:rsidR="0055730B">
        <w:t>s</w:t>
      </w:r>
      <w:bookmarkEnd w:id="16"/>
    </w:p>
    <w:p w14:paraId="1370B9FF" w14:textId="77777777" w:rsidR="006A67BF" w:rsidRDefault="006A67BF" w:rsidP="00270149">
      <w:pPr>
        <w:autoSpaceDE w:val="0"/>
        <w:autoSpaceDN w:val="0"/>
        <w:adjustRightInd w:val="0"/>
        <w:jc w:val="both"/>
        <w:rPr>
          <w:b/>
          <w:i/>
          <w:sz w:val="24"/>
          <w:szCs w:val="24"/>
        </w:rPr>
      </w:pPr>
    </w:p>
    <w:p w14:paraId="669C3537" w14:textId="77777777" w:rsidR="00847848" w:rsidRPr="00090962" w:rsidRDefault="00847848" w:rsidP="00270149">
      <w:pPr>
        <w:autoSpaceDE w:val="0"/>
        <w:autoSpaceDN w:val="0"/>
        <w:adjustRightInd w:val="0"/>
        <w:jc w:val="both"/>
        <w:rPr>
          <w:b/>
          <w:i/>
          <w:sz w:val="22"/>
          <w:szCs w:val="22"/>
        </w:rPr>
      </w:pPr>
      <w:r w:rsidRPr="00090962">
        <w:rPr>
          <w:b/>
          <w:i/>
          <w:sz w:val="22"/>
          <w:szCs w:val="22"/>
        </w:rPr>
        <w:t>Definition</w:t>
      </w:r>
    </w:p>
    <w:p w14:paraId="11B2670F" w14:textId="69450A15" w:rsidR="00847848" w:rsidRPr="00090962" w:rsidRDefault="00847848" w:rsidP="00270149">
      <w:pPr>
        <w:autoSpaceDE w:val="0"/>
        <w:autoSpaceDN w:val="0"/>
        <w:adjustRightInd w:val="0"/>
        <w:jc w:val="both"/>
        <w:rPr>
          <w:sz w:val="22"/>
          <w:szCs w:val="22"/>
        </w:rPr>
      </w:pPr>
      <w:r w:rsidRPr="00090962">
        <w:rPr>
          <w:sz w:val="22"/>
          <w:szCs w:val="22"/>
        </w:rPr>
        <w:t xml:space="preserve">Villages and cities are municipal corporations. </w:t>
      </w:r>
      <w:r w:rsidR="000D7195" w:rsidRPr="00090962">
        <w:rPr>
          <w:sz w:val="22"/>
          <w:szCs w:val="22"/>
        </w:rPr>
        <w:t xml:space="preserve"> </w:t>
      </w:r>
      <w:r w:rsidRPr="00090962">
        <w:rPr>
          <w:sz w:val="22"/>
          <w:szCs w:val="22"/>
        </w:rPr>
        <w:t xml:space="preserve">They are defined and regulated in </w:t>
      </w:r>
      <w:r w:rsidR="00FF20B5" w:rsidRPr="00090962">
        <w:rPr>
          <w:sz w:val="22"/>
          <w:szCs w:val="22"/>
        </w:rPr>
        <w:t xml:space="preserve">Ohio Const. </w:t>
      </w:r>
      <w:r w:rsidRPr="00090962">
        <w:rPr>
          <w:sz w:val="22"/>
          <w:szCs w:val="22"/>
        </w:rPr>
        <w:t>Art</w:t>
      </w:r>
      <w:r w:rsidR="00FF20B5" w:rsidRPr="00090962">
        <w:rPr>
          <w:sz w:val="22"/>
          <w:szCs w:val="22"/>
        </w:rPr>
        <w:t>.</w:t>
      </w:r>
      <w:r w:rsidRPr="00090962">
        <w:rPr>
          <w:sz w:val="22"/>
          <w:szCs w:val="22"/>
        </w:rPr>
        <w:t xml:space="preserve"> XVIII and in Ohio Rev. Code Title 7. </w:t>
      </w:r>
    </w:p>
    <w:p w14:paraId="04286965" w14:textId="77777777" w:rsidR="00847848" w:rsidRPr="00090962" w:rsidRDefault="00847848" w:rsidP="00270149">
      <w:pPr>
        <w:autoSpaceDE w:val="0"/>
        <w:autoSpaceDN w:val="0"/>
        <w:adjustRightInd w:val="0"/>
        <w:jc w:val="both"/>
        <w:rPr>
          <w:sz w:val="22"/>
          <w:szCs w:val="22"/>
        </w:rPr>
      </w:pPr>
    </w:p>
    <w:p w14:paraId="1D5FEAFC" w14:textId="77777777" w:rsidR="00847848" w:rsidRPr="00090962" w:rsidRDefault="00847848" w:rsidP="00270149">
      <w:pPr>
        <w:autoSpaceDE w:val="0"/>
        <w:autoSpaceDN w:val="0"/>
        <w:adjustRightInd w:val="0"/>
        <w:jc w:val="both"/>
        <w:rPr>
          <w:b/>
          <w:i/>
          <w:sz w:val="22"/>
          <w:szCs w:val="22"/>
        </w:rPr>
      </w:pPr>
      <w:r w:rsidRPr="00090962">
        <w:rPr>
          <w:b/>
          <w:i/>
          <w:sz w:val="22"/>
          <w:szCs w:val="22"/>
        </w:rPr>
        <w:t>Classification</w:t>
      </w:r>
    </w:p>
    <w:p w14:paraId="03C68E3B" w14:textId="77777777" w:rsidR="00847848" w:rsidRPr="00090962" w:rsidRDefault="00847848" w:rsidP="00270149">
      <w:pPr>
        <w:autoSpaceDE w:val="0"/>
        <w:autoSpaceDN w:val="0"/>
        <w:adjustRightInd w:val="0"/>
        <w:jc w:val="both"/>
        <w:rPr>
          <w:sz w:val="22"/>
          <w:szCs w:val="22"/>
        </w:rPr>
      </w:pPr>
      <w:r w:rsidRPr="00090962">
        <w:rPr>
          <w:sz w:val="22"/>
          <w:szCs w:val="22"/>
        </w:rPr>
        <w:t xml:space="preserve">Municipal corporations with a population of less than 5,000 are villages. </w:t>
      </w:r>
      <w:r w:rsidR="0069552D" w:rsidRPr="00090962">
        <w:rPr>
          <w:sz w:val="22"/>
          <w:szCs w:val="22"/>
        </w:rPr>
        <w:t xml:space="preserve"> </w:t>
      </w:r>
      <w:r w:rsidRPr="00090962">
        <w:rPr>
          <w:sz w:val="22"/>
          <w:szCs w:val="22"/>
        </w:rPr>
        <w:t xml:space="preserve">The village may be incorporated by </w:t>
      </w:r>
      <w:r w:rsidR="009B4BF1" w:rsidRPr="00090962">
        <w:rPr>
          <w:sz w:val="22"/>
          <w:szCs w:val="22"/>
        </w:rPr>
        <w:t>the</w:t>
      </w:r>
      <w:r w:rsidRPr="00090962">
        <w:rPr>
          <w:sz w:val="22"/>
          <w:szCs w:val="22"/>
        </w:rPr>
        <w:t xml:space="preserve"> procedures set forth in Ohio Rev. Code Chapter 707, requiring a petition to the county commissioners (Ohio Rev. Code </w:t>
      </w:r>
      <w:r w:rsidR="009B4BF1" w:rsidRPr="00090962">
        <w:rPr>
          <w:sz w:val="22"/>
          <w:szCs w:val="22"/>
        </w:rPr>
        <w:t>§ 7</w:t>
      </w:r>
      <w:r w:rsidRPr="00090962">
        <w:rPr>
          <w:sz w:val="22"/>
          <w:szCs w:val="22"/>
        </w:rPr>
        <w:t>03.01 and Chapter 707).</w:t>
      </w:r>
    </w:p>
    <w:p w14:paraId="734B2840" w14:textId="77777777" w:rsidR="00847848" w:rsidRPr="00090962" w:rsidRDefault="00847848" w:rsidP="00270149">
      <w:pPr>
        <w:autoSpaceDE w:val="0"/>
        <w:autoSpaceDN w:val="0"/>
        <w:adjustRightInd w:val="0"/>
        <w:jc w:val="both"/>
        <w:rPr>
          <w:sz w:val="22"/>
          <w:szCs w:val="22"/>
        </w:rPr>
      </w:pPr>
    </w:p>
    <w:p w14:paraId="25540FA5" w14:textId="77777777" w:rsidR="00847848" w:rsidRPr="00090962" w:rsidRDefault="00847848" w:rsidP="00270149">
      <w:pPr>
        <w:autoSpaceDE w:val="0"/>
        <w:autoSpaceDN w:val="0"/>
        <w:adjustRightInd w:val="0"/>
        <w:jc w:val="both"/>
        <w:rPr>
          <w:b/>
          <w:i/>
          <w:sz w:val="22"/>
          <w:szCs w:val="22"/>
        </w:rPr>
      </w:pPr>
      <w:r w:rsidRPr="00090962">
        <w:rPr>
          <w:b/>
          <w:i/>
          <w:sz w:val="22"/>
          <w:szCs w:val="22"/>
        </w:rPr>
        <w:t>Plans of Government</w:t>
      </w:r>
    </w:p>
    <w:p w14:paraId="24E8F21A" w14:textId="287D98C0" w:rsidR="00847848" w:rsidRPr="00090962" w:rsidRDefault="00847848" w:rsidP="00270149">
      <w:pPr>
        <w:autoSpaceDE w:val="0"/>
        <w:autoSpaceDN w:val="0"/>
        <w:adjustRightInd w:val="0"/>
        <w:jc w:val="both"/>
        <w:rPr>
          <w:sz w:val="22"/>
          <w:szCs w:val="22"/>
        </w:rPr>
      </w:pPr>
      <w:r w:rsidRPr="00090962">
        <w:rPr>
          <w:sz w:val="22"/>
          <w:szCs w:val="22"/>
        </w:rPr>
        <w:t xml:space="preserve">Ohio </w:t>
      </w:r>
      <w:r w:rsidR="00986125" w:rsidRPr="00090962">
        <w:rPr>
          <w:sz w:val="22"/>
          <w:szCs w:val="22"/>
        </w:rPr>
        <w:t xml:space="preserve">Const. </w:t>
      </w:r>
      <w:r w:rsidRPr="00090962">
        <w:rPr>
          <w:sz w:val="22"/>
          <w:szCs w:val="22"/>
        </w:rPr>
        <w:t>Art</w:t>
      </w:r>
      <w:r w:rsidR="00986125" w:rsidRPr="00090962">
        <w:rPr>
          <w:sz w:val="22"/>
          <w:szCs w:val="22"/>
        </w:rPr>
        <w:t>.</w:t>
      </w:r>
      <w:r w:rsidRPr="00090962">
        <w:rPr>
          <w:sz w:val="22"/>
          <w:szCs w:val="22"/>
        </w:rPr>
        <w:t xml:space="preserve"> XVIII provides for the formation of municipal corporations.  Section 3 confers upon the municipal corporations all powers of local self-government and Section 7 authorizes the municipal corporations to adopt charters setting up their own plans of government.  Those </w:t>
      </w:r>
      <w:r w:rsidR="007B68A1" w:rsidRPr="00090962">
        <w:rPr>
          <w:sz w:val="22"/>
          <w:szCs w:val="22"/>
        </w:rPr>
        <w:t>municipalities</w:t>
      </w:r>
      <w:r w:rsidRPr="00090962">
        <w:rPr>
          <w:sz w:val="22"/>
          <w:szCs w:val="22"/>
        </w:rPr>
        <w:t xml:space="preserve"> which do not have charters may adopt one of the plans of government set forth by the legislature in Ohio Rev. Code Chapter 705 or may operate under the general provisions of Ohio Rev. Code Title 7.</w:t>
      </w:r>
    </w:p>
    <w:p w14:paraId="179C9C06" w14:textId="77777777" w:rsidR="00847848" w:rsidRPr="00090962" w:rsidRDefault="00847848" w:rsidP="00270149">
      <w:pPr>
        <w:pStyle w:val="Default"/>
        <w:rPr>
          <w:rFonts w:ascii="Times New Roman" w:hAnsi="Times New Roman" w:cs="Times New Roman"/>
          <w:b/>
          <w:sz w:val="22"/>
          <w:szCs w:val="22"/>
        </w:rPr>
      </w:pPr>
    </w:p>
    <w:p w14:paraId="6E1A5E14" w14:textId="77777777" w:rsidR="00847848" w:rsidRPr="00090962" w:rsidRDefault="00847848" w:rsidP="00270149">
      <w:pPr>
        <w:autoSpaceDE w:val="0"/>
        <w:autoSpaceDN w:val="0"/>
        <w:adjustRightInd w:val="0"/>
        <w:jc w:val="both"/>
        <w:rPr>
          <w:b/>
          <w:i/>
          <w:sz w:val="22"/>
          <w:szCs w:val="22"/>
        </w:rPr>
      </w:pPr>
      <w:r w:rsidRPr="00090962">
        <w:rPr>
          <w:b/>
          <w:i/>
          <w:sz w:val="22"/>
          <w:szCs w:val="22"/>
        </w:rPr>
        <w:t>Home Rule</w:t>
      </w:r>
    </w:p>
    <w:p w14:paraId="0498258C" w14:textId="02310392" w:rsidR="00847848" w:rsidRPr="00090962" w:rsidRDefault="00847848" w:rsidP="00270149">
      <w:pPr>
        <w:autoSpaceDE w:val="0"/>
        <w:autoSpaceDN w:val="0"/>
        <w:adjustRightInd w:val="0"/>
        <w:jc w:val="both"/>
        <w:rPr>
          <w:sz w:val="22"/>
          <w:szCs w:val="22"/>
        </w:rPr>
      </w:pPr>
      <w:r w:rsidRPr="00090962">
        <w:rPr>
          <w:sz w:val="22"/>
          <w:szCs w:val="22"/>
        </w:rPr>
        <w:t xml:space="preserve">“Home Rule” is a term used to describe those powers granted to municipal corporations under </w:t>
      </w:r>
      <w:r w:rsidR="00996C67" w:rsidRPr="00090962">
        <w:rPr>
          <w:sz w:val="22"/>
          <w:szCs w:val="22"/>
        </w:rPr>
        <w:t xml:space="preserve">Ohio Const. </w:t>
      </w:r>
      <w:r w:rsidRPr="00090962">
        <w:rPr>
          <w:sz w:val="22"/>
          <w:szCs w:val="22"/>
        </w:rPr>
        <w:t>Art</w:t>
      </w:r>
      <w:r w:rsidR="00996C67" w:rsidRPr="00090962">
        <w:rPr>
          <w:sz w:val="22"/>
          <w:szCs w:val="22"/>
        </w:rPr>
        <w:t>.</w:t>
      </w:r>
      <w:r w:rsidRPr="00090962">
        <w:rPr>
          <w:sz w:val="22"/>
          <w:szCs w:val="22"/>
        </w:rPr>
        <w:t xml:space="preserve"> XVIII, Section 3, which provides, “municipalities shall have authority to exercise all powers of local self-government and to adopt and enforce within their limits such local police, sanitary, and other similar regulations as are not in conflict with general laws”.  These powers were granted </w:t>
      </w:r>
      <w:proofErr w:type="gramStart"/>
      <w:r w:rsidRPr="00090962">
        <w:rPr>
          <w:sz w:val="22"/>
          <w:szCs w:val="22"/>
        </w:rPr>
        <w:t>in an effort to</w:t>
      </w:r>
      <w:proofErr w:type="gramEnd"/>
      <w:r w:rsidRPr="00090962">
        <w:rPr>
          <w:sz w:val="22"/>
          <w:szCs w:val="22"/>
        </w:rPr>
        <w:t xml:space="preserve"> provide more local control over certain governmental activities, but not to allow complete independence from State government.  Because this grant of power derive</w:t>
      </w:r>
      <w:r w:rsidR="00516008" w:rsidRPr="00090962">
        <w:rPr>
          <w:sz w:val="22"/>
          <w:szCs w:val="22"/>
        </w:rPr>
        <w:t>s</w:t>
      </w:r>
      <w:r w:rsidRPr="00090962">
        <w:rPr>
          <w:sz w:val="22"/>
          <w:szCs w:val="22"/>
        </w:rPr>
        <w:t xml:space="preserve"> from the Ohio Constitution, it </w:t>
      </w:r>
      <w:r w:rsidR="00123697" w:rsidRPr="00090962">
        <w:rPr>
          <w:sz w:val="22"/>
          <w:szCs w:val="22"/>
        </w:rPr>
        <w:t xml:space="preserve">may not be altered or superseded by </w:t>
      </w:r>
      <w:r w:rsidRPr="00090962">
        <w:rPr>
          <w:sz w:val="22"/>
          <w:szCs w:val="22"/>
        </w:rPr>
        <w:t>laws enacted by the legislature, except where a constitutional limitation allow</w:t>
      </w:r>
      <w:r w:rsidR="00516008" w:rsidRPr="00090962">
        <w:rPr>
          <w:sz w:val="22"/>
          <w:szCs w:val="22"/>
        </w:rPr>
        <w:t>s</w:t>
      </w:r>
      <w:r w:rsidRPr="00090962">
        <w:rPr>
          <w:sz w:val="22"/>
          <w:szCs w:val="22"/>
        </w:rPr>
        <w:t xml:space="preserve"> the legislature to regulate municipalities.  </w:t>
      </w:r>
    </w:p>
    <w:p w14:paraId="5BE51E23" w14:textId="77777777" w:rsidR="00847848" w:rsidRPr="00090962" w:rsidRDefault="00847848" w:rsidP="00270149">
      <w:pPr>
        <w:autoSpaceDE w:val="0"/>
        <w:autoSpaceDN w:val="0"/>
        <w:adjustRightInd w:val="0"/>
        <w:jc w:val="both"/>
        <w:rPr>
          <w:b/>
          <w:bCs/>
          <w:sz w:val="22"/>
          <w:szCs w:val="22"/>
        </w:rPr>
      </w:pPr>
    </w:p>
    <w:p w14:paraId="7FC1F9FB" w14:textId="77777777" w:rsidR="00847848" w:rsidRPr="00090962" w:rsidRDefault="00847848" w:rsidP="00270149">
      <w:pPr>
        <w:autoSpaceDE w:val="0"/>
        <w:autoSpaceDN w:val="0"/>
        <w:adjustRightInd w:val="0"/>
        <w:jc w:val="both"/>
        <w:rPr>
          <w:b/>
          <w:bCs/>
          <w:i/>
          <w:sz w:val="22"/>
          <w:szCs w:val="22"/>
        </w:rPr>
      </w:pPr>
      <w:r w:rsidRPr="00090962">
        <w:rPr>
          <w:b/>
          <w:bCs/>
          <w:i/>
          <w:sz w:val="22"/>
          <w:szCs w:val="22"/>
        </w:rPr>
        <w:t>Charter vs. Non-Charter</w:t>
      </w:r>
    </w:p>
    <w:p w14:paraId="4FA00725" w14:textId="6DB9AB68" w:rsidR="00847848" w:rsidRPr="00090962" w:rsidRDefault="00847848" w:rsidP="00270149">
      <w:pPr>
        <w:autoSpaceDE w:val="0"/>
        <w:autoSpaceDN w:val="0"/>
        <w:adjustRightInd w:val="0"/>
        <w:jc w:val="both"/>
        <w:rPr>
          <w:sz w:val="22"/>
          <w:szCs w:val="22"/>
        </w:rPr>
      </w:pPr>
      <w:r w:rsidRPr="00090962">
        <w:rPr>
          <w:sz w:val="22"/>
          <w:szCs w:val="22"/>
        </w:rPr>
        <w:t>All municipal corporations have Home Rule powers, but the extent of these powers differ depending upon whet</w:t>
      </w:r>
      <w:r w:rsidR="005C605A" w:rsidRPr="00090962">
        <w:rPr>
          <w:sz w:val="22"/>
          <w:szCs w:val="22"/>
        </w:rPr>
        <w:t>her a charter has been adopted.</w:t>
      </w:r>
      <w:r w:rsidR="002D3E89" w:rsidRPr="00090962">
        <w:rPr>
          <w:sz w:val="22"/>
          <w:szCs w:val="22"/>
        </w:rPr>
        <w:t xml:space="preserve"> </w:t>
      </w:r>
      <w:r w:rsidR="00123697" w:rsidRPr="00090962">
        <w:rPr>
          <w:sz w:val="22"/>
          <w:szCs w:val="22"/>
        </w:rPr>
        <w:t xml:space="preserve">Broadly speaking, by </w:t>
      </w:r>
      <w:r w:rsidRPr="00090962">
        <w:rPr>
          <w:sz w:val="22"/>
          <w:szCs w:val="22"/>
        </w:rPr>
        <w:t xml:space="preserve">adopting a charter, the municipal corporation may set up a system of government which differs from the statutory plans. Non-charter municipal corporations must comply with all State laws concerning matters of procedural local self-government.  Matters of substantive local self-government are not controlled by State laws, regardless of </w:t>
      </w:r>
      <w:proofErr w:type="gramStart"/>
      <w:r w:rsidRPr="00090962">
        <w:rPr>
          <w:sz w:val="22"/>
          <w:szCs w:val="22"/>
        </w:rPr>
        <w:t>whether or not</w:t>
      </w:r>
      <w:proofErr w:type="gramEnd"/>
      <w:r w:rsidRPr="00090962">
        <w:rPr>
          <w:sz w:val="22"/>
          <w:szCs w:val="22"/>
        </w:rPr>
        <w:t xml:space="preserve"> the municipal corporation has adopted a charter. </w:t>
      </w:r>
    </w:p>
    <w:p w14:paraId="493F051C" w14:textId="77777777" w:rsidR="00847848" w:rsidRPr="00090962" w:rsidRDefault="00847848" w:rsidP="00270149">
      <w:pPr>
        <w:autoSpaceDE w:val="0"/>
        <w:autoSpaceDN w:val="0"/>
        <w:adjustRightInd w:val="0"/>
        <w:jc w:val="both"/>
        <w:rPr>
          <w:sz w:val="22"/>
          <w:szCs w:val="22"/>
        </w:rPr>
      </w:pPr>
    </w:p>
    <w:p w14:paraId="11B3E7E1" w14:textId="77777777" w:rsidR="00847848" w:rsidRPr="00090962" w:rsidRDefault="00847848" w:rsidP="00270149">
      <w:pPr>
        <w:autoSpaceDE w:val="0"/>
        <w:autoSpaceDN w:val="0"/>
        <w:adjustRightInd w:val="0"/>
        <w:jc w:val="both"/>
        <w:rPr>
          <w:sz w:val="22"/>
          <w:szCs w:val="22"/>
        </w:rPr>
      </w:pPr>
      <w:r w:rsidRPr="00090962">
        <w:rPr>
          <w:b/>
          <w:i/>
          <w:sz w:val="22"/>
          <w:szCs w:val="22"/>
        </w:rPr>
        <w:t>Local Self-Government Powers vs. Police Regulations</w:t>
      </w:r>
    </w:p>
    <w:p w14:paraId="3DD35B03" w14:textId="20086320" w:rsidR="00847848" w:rsidRPr="00090962" w:rsidRDefault="00847848" w:rsidP="00270149">
      <w:pPr>
        <w:autoSpaceDE w:val="0"/>
        <w:autoSpaceDN w:val="0"/>
        <w:adjustRightInd w:val="0"/>
        <w:jc w:val="both"/>
        <w:rPr>
          <w:sz w:val="22"/>
          <w:szCs w:val="22"/>
        </w:rPr>
      </w:pPr>
      <w:r w:rsidRPr="00090962">
        <w:rPr>
          <w:sz w:val="22"/>
          <w:szCs w:val="22"/>
        </w:rPr>
        <w:t xml:space="preserve">As previously mentioned, charter governments </w:t>
      </w:r>
      <w:r w:rsidR="00123697" w:rsidRPr="00090962">
        <w:rPr>
          <w:sz w:val="22"/>
          <w:szCs w:val="22"/>
        </w:rPr>
        <w:t xml:space="preserve">can adopt charter provisions that permit deviation </w:t>
      </w:r>
      <w:r w:rsidRPr="00090962">
        <w:rPr>
          <w:sz w:val="22"/>
          <w:szCs w:val="22"/>
        </w:rPr>
        <w:t xml:space="preserve">from regulation by the legislature in matters of </w:t>
      </w:r>
      <w:r w:rsidR="00123697" w:rsidRPr="00090962">
        <w:rPr>
          <w:sz w:val="22"/>
          <w:szCs w:val="22"/>
        </w:rPr>
        <w:t xml:space="preserve">both procedural and substantive </w:t>
      </w:r>
      <w:r w:rsidRPr="00090962">
        <w:rPr>
          <w:sz w:val="22"/>
          <w:szCs w:val="22"/>
        </w:rPr>
        <w:t>local self-government, but the exercise of police powers cannot conflict with general laws enacted by the legislature.</w:t>
      </w:r>
    </w:p>
    <w:p w14:paraId="7057455F" w14:textId="77777777" w:rsidR="00847848" w:rsidRPr="00090962" w:rsidRDefault="00847848" w:rsidP="00270149">
      <w:pPr>
        <w:autoSpaceDE w:val="0"/>
        <w:autoSpaceDN w:val="0"/>
        <w:adjustRightInd w:val="0"/>
        <w:jc w:val="both"/>
        <w:rPr>
          <w:b/>
          <w:sz w:val="22"/>
          <w:szCs w:val="22"/>
        </w:rPr>
      </w:pPr>
    </w:p>
    <w:p w14:paraId="5F0D520F" w14:textId="77777777" w:rsidR="00847848" w:rsidRPr="00090962" w:rsidRDefault="00847848" w:rsidP="00270149">
      <w:pPr>
        <w:autoSpaceDE w:val="0"/>
        <w:autoSpaceDN w:val="0"/>
        <w:adjustRightInd w:val="0"/>
        <w:jc w:val="both"/>
        <w:rPr>
          <w:b/>
          <w:bCs/>
          <w:i/>
          <w:sz w:val="22"/>
          <w:szCs w:val="22"/>
        </w:rPr>
      </w:pPr>
      <w:r w:rsidRPr="00090962">
        <w:rPr>
          <w:b/>
          <w:bCs/>
          <w:i/>
          <w:sz w:val="22"/>
          <w:szCs w:val="22"/>
        </w:rPr>
        <w:t>Local Self-Government Powers</w:t>
      </w:r>
    </w:p>
    <w:p w14:paraId="1D11EFBB" w14:textId="77777777" w:rsidR="00847848" w:rsidRPr="00090962" w:rsidRDefault="00847848" w:rsidP="00270149">
      <w:pPr>
        <w:autoSpaceDE w:val="0"/>
        <w:autoSpaceDN w:val="0"/>
        <w:adjustRightInd w:val="0"/>
        <w:jc w:val="both"/>
        <w:rPr>
          <w:sz w:val="22"/>
          <w:szCs w:val="22"/>
        </w:rPr>
      </w:pPr>
      <w:r w:rsidRPr="00090962">
        <w:rPr>
          <w:sz w:val="22"/>
          <w:szCs w:val="22"/>
        </w:rPr>
        <w:t xml:space="preserve">Procedural Local Self-Government Powers are powers which concern the organization of municipal government as well as the procedures under which the municipal corporation must function.  Charter governments may deviate from State laws regulating matters of procedural local self-government only by adopting a charter.  Examples of these powers are as follows: </w:t>
      </w:r>
    </w:p>
    <w:p w14:paraId="54268A16" w14:textId="77777777" w:rsidR="00847848" w:rsidRPr="00090962" w:rsidRDefault="00847848" w:rsidP="007B10F2">
      <w:pPr>
        <w:autoSpaceDE w:val="0"/>
        <w:autoSpaceDN w:val="0"/>
        <w:adjustRightInd w:val="0"/>
        <w:ind w:left="990" w:hanging="270"/>
        <w:jc w:val="both"/>
        <w:rPr>
          <w:sz w:val="22"/>
          <w:szCs w:val="22"/>
        </w:rPr>
      </w:pPr>
      <w:r w:rsidRPr="00090962">
        <w:rPr>
          <w:sz w:val="22"/>
          <w:szCs w:val="22"/>
        </w:rPr>
        <w:t xml:space="preserve">1. Structure of government - This pertains to the officers and their functions. Without </w:t>
      </w:r>
      <w:proofErr w:type="gramStart"/>
      <w:r w:rsidRPr="00090962">
        <w:rPr>
          <w:sz w:val="22"/>
          <w:szCs w:val="22"/>
        </w:rPr>
        <w:t>a charter</w:t>
      </w:r>
      <w:proofErr w:type="gramEnd"/>
      <w:r w:rsidRPr="00090962">
        <w:rPr>
          <w:sz w:val="22"/>
          <w:szCs w:val="22"/>
        </w:rPr>
        <w:t xml:space="preserve">, municipalities and villages must comply with State laws regulating </w:t>
      </w:r>
      <w:proofErr w:type="gramStart"/>
      <w:r w:rsidRPr="00090962">
        <w:rPr>
          <w:sz w:val="22"/>
          <w:szCs w:val="22"/>
        </w:rPr>
        <w:t>them;</w:t>
      </w:r>
      <w:proofErr w:type="gramEnd"/>
    </w:p>
    <w:p w14:paraId="658C4DD3" w14:textId="77777777" w:rsidR="00847848" w:rsidRPr="00090962" w:rsidRDefault="00847848" w:rsidP="007B10F2">
      <w:pPr>
        <w:tabs>
          <w:tab w:val="left" w:pos="1170"/>
        </w:tabs>
        <w:autoSpaceDE w:val="0"/>
        <w:autoSpaceDN w:val="0"/>
        <w:adjustRightInd w:val="0"/>
        <w:ind w:left="990" w:hanging="270"/>
        <w:jc w:val="both"/>
        <w:rPr>
          <w:sz w:val="22"/>
          <w:szCs w:val="22"/>
        </w:rPr>
      </w:pPr>
      <w:r w:rsidRPr="00090962">
        <w:rPr>
          <w:sz w:val="22"/>
          <w:szCs w:val="22"/>
        </w:rPr>
        <w:t xml:space="preserve">2. Competitive bidding requirements - State laws determine when competitive bidding is necessary and what procedures must be followed. Only charter governments may set up their own bidding </w:t>
      </w:r>
      <w:proofErr w:type="gramStart"/>
      <w:r w:rsidRPr="00090962">
        <w:rPr>
          <w:sz w:val="22"/>
          <w:szCs w:val="22"/>
        </w:rPr>
        <w:t>requirements;</w:t>
      </w:r>
      <w:proofErr w:type="gramEnd"/>
    </w:p>
    <w:p w14:paraId="52927DB4" w14:textId="77777777" w:rsidR="00847848" w:rsidRPr="00090962" w:rsidRDefault="00847848" w:rsidP="00361150">
      <w:pPr>
        <w:autoSpaceDE w:val="0"/>
        <w:autoSpaceDN w:val="0"/>
        <w:adjustRightInd w:val="0"/>
        <w:ind w:left="720"/>
        <w:jc w:val="both"/>
        <w:rPr>
          <w:sz w:val="22"/>
          <w:szCs w:val="22"/>
        </w:rPr>
      </w:pPr>
      <w:r w:rsidRPr="00090962">
        <w:rPr>
          <w:sz w:val="22"/>
          <w:szCs w:val="22"/>
        </w:rPr>
        <w:t xml:space="preserve">3. Initiative and </w:t>
      </w:r>
      <w:proofErr w:type="gramStart"/>
      <w:r w:rsidRPr="00090962">
        <w:rPr>
          <w:sz w:val="22"/>
          <w:szCs w:val="22"/>
        </w:rPr>
        <w:t>referendum;</w:t>
      </w:r>
      <w:proofErr w:type="gramEnd"/>
    </w:p>
    <w:p w14:paraId="58ED4B5D" w14:textId="77777777" w:rsidR="00847848" w:rsidRPr="00090962" w:rsidRDefault="00847848" w:rsidP="00361150">
      <w:pPr>
        <w:autoSpaceDE w:val="0"/>
        <w:autoSpaceDN w:val="0"/>
        <w:adjustRightInd w:val="0"/>
        <w:ind w:left="720"/>
        <w:jc w:val="both"/>
        <w:rPr>
          <w:sz w:val="22"/>
          <w:szCs w:val="22"/>
        </w:rPr>
      </w:pPr>
      <w:r w:rsidRPr="00090962">
        <w:rPr>
          <w:sz w:val="22"/>
          <w:szCs w:val="22"/>
        </w:rPr>
        <w:t xml:space="preserve">4. Appointment and duties of police </w:t>
      </w:r>
      <w:proofErr w:type="gramStart"/>
      <w:r w:rsidRPr="00090962">
        <w:rPr>
          <w:sz w:val="22"/>
          <w:szCs w:val="22"/>
        </w:rPr>
        <w:t>officers;</w:t>
      </w:r>
      <w:proofErr w:type="gramEnd"/>
    </w:p>
    <w:p w14:paraId="22711AFC" w14:textId="77777777" w:rsidR="00847848" w:rsidRPr="00090962" w:rsidRDefault="00847848" w:rsidP="00361150">
      <w:pPr>
        <w:autoSpaceDE w:val="0"/>
        <w:autoSpaceDN w:val="0"/>
        <w:adjustRightInd w:val="0"/>
        <w:ind w:left="720"/>
        <w:jc w:val="both"/>
        <w:rPr>
          <w:sz w:val="22"/>
          <w:szCs w:val="22"/>
        </w:rPr>
      </w:pPr>
      <w:r w:rsidRPr="00090962">
        <w:rPr>
          <w:sz w:val="22"/>
          <w:szCs w:val="22"/>
        </w:rPr>
        <w:t>5. Election procedures; and</w:t>
      </w:r>
    </w:p>
    <w:p w14:paraId="6824F41C" w14:textId="77777777" w:rsidR="00847848" w:rsidRPr="00090962" w:rsidRDefault="00847848" w:rsidP="00361150">
      <w:pPr>
        <w:autoSpaceDE w:val="0"/>
        <w:autoSpaceDN w:val="0"/>
        <w:adjustRightInd w:val="0"/>
        <w:ind w:left="720"/>
        <w:jc w:val="both"/>
        <w:rPr>
          <w:sz w:val="22"/>
          <w:szCs w:val="22"/>
        </w:rPr>
      </w:pPr>
      <w:r w:rsidRPr="00090962">
        <w:rPr>
          <w:sz w:val="22"/>
          <w:szCs w:val="22"/>
        </w:rPr>
        <w:t>6. Annexation proceedings.</w:t>
      </w:r>
    </w:p>
    <w:p w14:paraId="6CB5C9B5" w14:textId="77777777" w:rsidR="00847848" w:rsidRPr="00090962" w:rsidRDefault="00847848" w:rsidP="00361150">
      <w:pPr>
        <w:autoSpaceDE w:val="0"/>
        <w:autoSpaceDN w:val="0"/>
        <w:adjustRightInd w:val="0"/>
        <w:jc w:val="both"/>
        <w:rPr>
          <w:sz w:val="22"/>
          <w:szCs w:val="22"/>
        </w:rPr>
      </w:pPr>
    </w:p>
    <w:p w14:paraId="15082868" w14:textId="77777777" w:rsidR="00847848" w:rsidRPr="00090962" w:rsidRDefault="00847848" w:rsidP="00361150">
      <w:pPr>
        <w:autoSpaceDE w:val="0"/>
        <w:autoSpaceDN w:val="0"/>
        <w:adjustRightInd w:val="0"/>
        <w:jc w:val="both"/>
        <w:rPr>
          <w:b/>
          <w:i/>
          <w:sz w:val="22"/>
          <w:szCs w:val="22"/>
        </w:rPr>
      </w:pPr>
      <w:r w:rsidRPr="00090962">
        <w:rPr>
          <w:b/>
          <w:i/>
          <w:sz w:val="22"/>
          <w:szCs w:val="22"/>
        </w:rPr>
        <w:t>Substantive Local Self-Government Powers</w:t>
      </w:r>
    </w:p>
    <w:p w14:paraId="7502D6CC" w14:textId="7F1F1412" w:rsidR="00847848" w:rsidRPr="00090962" w:rsidRDefault="00847848" w:rsidP="00361150">
      <w:pPr>
        <w:autoSpaceDE w:val="0"/>
        <w:autoSpaceDN w:val="0"/>
        <w:adjustRightInd w:val="0"/>
        <w:jc w:val="both"/>
        <w:rPr>
          <w:sz w:val="22"/>
          <w:szCs w:val="22"/>
        </w:rPr>
      </w:pPr>
      <w:r w:rsidRPr="00090962">
        <w:rPr>
          <w:sz w:val="22"/>
          <w:szCs w:val="22"/>
        </w:rPr>
        <w:t>Substantive Local Self-Government Powers are po</w:t>
      </w:r>
      <w:r w:rsidR="00D61038" w:rsidRPr="00090962">
        <w:rPr>
          <w:sz w:val="22"/>
          <w:szCs w:val="22"/>
        </w:rPr>
        <w:t>wers which concern the decision-</w:t>
      </w:r>
      <w:r w:rsidRPr="00090962">
        <w:rPr>
          <w:sz w:val="22"/>
          <w:szCs w:val="22"/>
        </w:rPr>
        <w:t xml:space="preserve">making authority of the municipal corporation as well as </w:t>
      </w:r>
      <w:proofErr w:type="gramStart"/>
      <w:r w:rsidRPr="00090962">
        <w:rPr>
          <w:sz w:val="22"/>
          <w:szCs w:val="22"/>
        </w:rPr>
        <w:t>regulate</w:t>
      </w:r>
      <w:proofErr w:type="gramEnd"/>
      <w:r w:rsidRPr="00090962">
        <w:rPr>
          <w:sz w:val="22"/>
          <w:szCs w:val="22"/>
        </w:rPr>
        <w:t xml:space="preserve"> the conduct of individuals within the municipal corporation. With a few constitutional exceptions, these powers cannot be superseded by State laws. Examples of these powers are as follows:</w:t>
      </w:r>
    </w:p>
    <w:p w14:paraId="08F75915" w14:textId="77777777" w:rsidR="00847848" w:rsidRPr="00090962" w:rsidRDefault="00847848" w:rsidP="007B10F2">
      <w:pPr>
        <w:autoSpaceDE w:val="0"/>
        <w:autoSpaceDN w:val="0"/>
        <w:adjustRightInd w:val="0"/>
        <w:ind w:left="990" w:hanging="270"/>
        <w:jc w:val="both"/>
        <w:rPr>
          <w:sz w:val="22"/>
          <w:szCs w:val="22"/>
        </w:rPr>
      </w:pPr>
      <w:r w:rsidRPr="00090962">
        <w:rPr>
          <w:sz w:val="22"/>
          <w:szCs w:val="22"/>
        </w:rPr>
        <w:t xml:space="preserve">1. Power to contract - The State cannot, by law, restrict the government’s general power to </w:t>
      </w:r>
      <w:proofErr w:type="gramStart"/>
      <w:r w:rsidRPr="00090962">
        <w:rPr>
          <w:sz w:val="22"/>
          <w:szCs w:val="22"/>
        </w:rPr>
        <w:t>contract;</w:t>
      </w:r>
      <w:proofErr w:type="gramEnd"/>
    </w:p>
    <w:p w14:paraId="14212F9B" w14:textId="70FD31ED" w:rsidR="00847848" w:rsidRPr="00090962" w:rsidRDefault="00847848" w:rsidP="007B10F2">
      <w:pPr>
        <w:autoSpaceDE w:val="0"/>
        <w:autoSpaceDN w:val="0"/>
        <w:adjustRightInd w:val="0"/>
        <w:ind w:left="990" w:hanging="270"/>
        <w:jc w:val="both"/>
        <w:rPr>
          <w:sz w:val="22"/>
          <w:szCs w:val="22"/>
        </w:rPr>
      </w:pPr>
      <w:r w:rsidRPr="00090962">
        <w:rPr>
          <w:sz w:val="22"/>
          <w:szCs w:val="22"/>
        </w:rPr>
        <w:t xml:space="preserve">2. Taxation - There are explicit constitutional limitations provided in </w:t>
      </w:r>
      <w:r w:rsidR="00F55B64" w:rsidRPr="00090962">
        <w:rPr>
          <w:sz w:val="22"/>
          <w:szCs w:val="22"/>
        </w:rPr>
        <w:t xml:space="preserve">Ohio Const. </w:t>
      </w:r>
      <w:r w:rsidRPr="00090962">
        <w:rPr>
          <w:sz w:val="22"/>
          <w:szCs w:val="22"/>
        </w:rPr>
        <w:t>Art</w:t>
      </w:r>
      <w:r w:rsidR="00F55B64" w:rsidRPr="00090962">
        <w:rPr>
          <w:sz w:val="22"/>
          <w:szCs w:val="22"/>
        </w:rPr>
        <w:t>.</w:t>
      </w:r>
      <w:r w:rsidRPr="00090962">
        <w:rPr>
          <w:sz w:val="22"/>
          <w:szCs w:val="22"/>
        </w:rPr>
        <w:t xml:space="preserve"> XVIII, Section 13 and </w:t>
      </w:r>
      <w:r w:rsidR="00504A1E" w:rsidRPr="00090962">
        <w:rPr>
          <w:sz w:val="22"/>
          <w:szCs w:val="22"/>
        </w:rPr>
        <w:t xml:space="preserve">Ohio Const. </w:t>
      </w:r>
      <w:r w:rsidRPr="00090962">
        <w:rPr>
          <w:sz w:val="22"/>
          <w:szCs w:val="22"/>
        </w:rPr>
        <w:t>Art</w:t>
      </w:r>
      <w:r w:rsidR="00504A1E" w:rsidRPr="00090962">
        <w:rPr>
          <w:sz w:val="22"/>
          <w:szCs w:val="22"/>
        </w:rPr>
        <w:t>.</w:t>
      </w:r>
      <w:r w:rsidRPr="00090962">
        <w:rPr>
          <w:sz w:val="22"/>
          <w:szCs w:val="22"/>
        </w:rPr>
        <w:t xml:space="preserve"> XIII, Section 6, as it is necessary to provide for coordination of State and local taxation. Otherwise, State laws cannot restrict the government’s power to </w:t>
      </w:r>
      <w:proofErr w:type="gramStart"/>
      <w:r w:rsidRPr="00090962">
        <w:rPr>
          <w:sz w:val="22"/>
          <w:szCs w:val="22"/>
        </w:rPr>
        <w:t>tax;</w:t>
      </w:r>
      <w:proofErr w:type="gramEnd"/>
    </w:p>
    <w:p w14:paraId="582C10E5" w14:textId="36F83659" w:rsidR="00847848" w:rsidRPr="00090962" w:rsidRDefault="00847848" w:rsidP="00361150">
      <w:pPr>
        <w:autoSpaceDE w:val="0"/>
        <w:autoSpaceDN w:val="0"/>
        <w:adjustRightInd w:val="0"/>
        <w:ind w:left="720"/>
        <w:jc w:val="both"/>
        <w:rPr>
          <w:sz w:val="22"/>
          <w:szCs w:val="22"/>
        </w:rPr>
      </w:pPr>
      <w:r w:rsidRPr="00090962">
        <w:rPr>
          <w:sz w:val="22"/>
          <w:szCs w:val="22"/>
        </w:rPr>
        <w:t xml:space="preserve">3. Assessments - This power is limited by </w:t>
      </w:r>
      <w:r w:rsidR="00504A1E" w:rsidRPr="00090962">
        <w:rPr>
          <w:sz w:val="22"/>
          <w:szCs w:val="22"/>
        </w:rPr>
        <w:t xml:space="preserve">Ohio Const. </w:t>
      </w:r>
      <w:r w:rsidRPr="00090962">
        <w:rPr>
          <w:sz w:val="22"/>
          <w:szCs w:val="22"/>
        </w:rPr>
        <w:t>Art</w:t>
      </w:r>
      <w:r w:rsidR="00504A1E" w:rsidRPr="00090962">
        <w:rPr>
          <w:sz w:val="22"/>
          <w:szCs w:val="22"/>
        </w:rPr>
        <w:t>.</w:t>
      </w:r>
      <w:r w:rsidRPr="00090962">
        <w:rPr>
          <w:sz w:val="22"/>
          <w:szCs w:val="22"/>
        </w:rPr>
        <w:t xml:space="preserve"> XIII, Section </w:t>
      </w:r>
      <w:proofErr w:type="gramStart"/>
      <w:r w:rsidRPr="00090962">
        <w:rPr>
          <w:sz w:val="22"/>
          <w:szCs w:val="22"/>
        </w:rPr>
        <w:t>6;</w:t>
      </w:r>
      <w:proofErr w:type="gramEnd"/>
    </w:p>
    <w:p w14:paraId="2D90F4E3" w14:textId="7AEB7CF8" w:rsidR="00847848" w:rsidRPr="00090962" w:rsidRDefault="00847848" w:rsidP="007B10F2">
      <w:pPr>
        <w:autoSpaceDE w:val="0"/>
        <w:autoSpaceDN w:val="0"/>
        <w:adjustRightInd w:val="0"/>
        <w:ind w:left="990" w:hanging="270"/>
        <w:jc w:val="both"/>
        <w:rPr>
          <w:sz w:val="22"/>
          <w:szCs w:val="22"/>
        </w:rPr>
      </w:pPr>
      <w:r w:rsidRPr="00090962">
        <w:rPr>
          <w:sz w:val="22"/>
          <w:szCs w:val="22"/>
        </w:rPr>
        <w:t>4. Incurring debt - Laws may be passed by the General Assembly limiting this power; (</w:t>
      </w:r>
      <w:r w:rsidR="008A6143" w:rsidRPr="00090962">
        <w:rPr>
          <w:sz w:val="22"/>
          <w:szCs w:val="22"/>
        </w:rPr>
        <w:t xml:space="preserve">Ohio Const. </w:t>
      </w:r>
      <w:r w:rsidRPr="00090962">
        <w:rPr>
          <w:sz w:val="22"/>
          <w:szCs w:val="22"/>
        </w:rPr>
        <w:t>Art</w:t>
      </w:r>
      <w:r w:rsidR="008A6143" w:rsidRPr="00090962">
        <w:rPr>
          <w:sz w:val="22"/>
          <w:szCs w:val="22"/>
        </w:rPr>
        <w:t>.</w:t>
      </w:r>
      <w:r w:rsidRPr="00090962">
        <w:rPr>
          <w:sz w:val="22"/>
          <w:szCs w:val="22"/>
        </w:rPr>
        <w:t xml:space="preserve"> XVIII, Section 13</w:t>
      </w:r>
      <w:proofErr w:type="gramStart"/>
      <w:r w:rsidRPr="00090962">
        <w:rPr>
          <w:sz w:val="22"/>
          <w:szCs w:val="22"/>
        </w:rPr>
        <w:t>);</w:t>
      </w:r>
      <w:proofErr w:type="gramEnd"/>
    </w:p>
    <w:p w14:paraId="2D0F7E2F" w14:textId="77777777" w:rsidR="00847848" w:rsidRPr="00090962" w:rsidRDefault="00847848" w:rsidP="007B10F2">
      <w:pPr>
        <w:autoSpaceDE w:val="0"/>
        <w:autoSpaceDN w:val="0"/>
        <w:adjustRightInd w:val="0"/>
        <w:ind w:left="990" w:hanging="270"/>
        <w:jc w:val="both"/>
        <w:rPr>
          <w:sz w:val="22"/>
          <w:szCs w:val="22"/>
        </w:rPr>
      </w:pPr>
      <w:r w:rsidRPr="00090962">
        <w:rPr>
          <w:sz w:val="22"/>
          <w:szCs w:val="22"/>
        </w:rPr>
        <w:t xml:space="preserve">5. Power to purchase, appropriate, or dispose of property - The decision to purchase, appropriate, or dispose of property is a power of substantive local self-government. However, the procedures used to purchase, appropriate, or dispose of property are matters of procedural local self-government and are regulated by State laws, unless the municipal corporation has adopted a </w:t>
      </w:r>
      <w:proofErr w:type="gramStart"/>
      <w:r w:rsidRPr="00090962">
        <w:rPr>
          <w:sz w:val="22"/>
          <w:szCs w:val="22"/>
        </w:rPr>
        <w:t>charter;</w:t>
      </w:r>
      <w:proofErr w:type="gramEnd"/>
    </w:p>
    <w:p w14:paraId="4668A31F" w14:textId="58144C29" w:rsidR="00847848" w:rsidRPr="00090962" w:rsidRDefault="00847848" w:rsidP="007B10F2">
      <w:pPr>
        <w:autoSpaceDE w:val="0"/>
        <w:autoSpaceDN w:val="0"/>
        <w:adjustRightInd w:val="0"/>
        <w:ind w:left="990" w:hanging="270"/>
        <w:jc w:val="both"/>
        <w:rPr>
          <w:sz w:val="22"/>
          <w:szCs w:val="22"/>
        </w:rPr>
      </w:pPr>
      <w:r w:rsidRPr="00090962">
        <w:rPr>
          <w:sz w:val="22"/>
          <w:szCs w:val="22"/>
        </w:rPr>
        <w:t>6. Compensation of employees and officers - This area is purely a matter of substantive local self-government. Statutes regulating many matters of compensation can be</w:t>
      </w:r>
      <w:r w:rsidR="00D7796A" w:rsidRPr="00090962">
        <w:rPr>
          <w:sz w:val="22"/>
          <w:szCs w:val="22"/>
        </w:rPr>
        <w:t xml:space="preserve"> overridden by local ordinance</w:t>
      </w:r>
      <w:r w:rsidR="0041146C" w:rsidRPr="00090962">
        <w:rPr>
          <w:sz w:val="22"/>
          <w:szCs w:val="22"/>
        </w:rPr>
        <w:t xml:space="preserve">.  </w:t>
      </w:r>
      <w:r w:rsidRPr="00090962">
        <w:rPr>
          <w:sz w:val="22"/>
          <w:szCs w:val="22"/>
        </w:rPr>
        <w:t xml:space="preserve"> </w:t>
      </w:r>
    </w:p>
    <w:p w14:paraId="3746B221" w14:textId="77777777" w:rsidR="00847848" w:rsidRPr="00090962" w:rsidRDefault="00847848" w:rsidP="00361150">
      <w:pPr>
        <w:autoSpaceDE w:val="0"/>
        <w:autoSpaceDN w:val="0"/>
        <w:adjustRightInd w:val="0"/>
        <w:ind w:left="720"/>
        <w:jc w:val="both"/>
        <w:rPr>
          <w:sz w:val="22"/>
          <w:szCs w:val="22"/>
        </w:rPr>
      </w:pPr>
      <w:r w:rsidRPr="00090962">
        <w:rPr>
          <w:sz w:val="22"/>
          <w:szCs w:val="22"/>
        </w:rPr>
        <w:t>7. Power to establish, locate, and vacate streets; and</w:t>
      </w:r>
    </w:p>
    <w:p w14:paraId="2E2C7BF9" w14:textId="77777777" w:rsidR="00847848" w:rsidRPr="00090962" w:rsidRDefault="00847848" w:rsidP="00361150">
      <w:pPr>
        <w:autoSpaceDE w:val="0"/>
        <w:autoSpaceDN w:val="0"/>
        <w:adjustRightInd w:val="0"/>
        <w:ind w:left="720"/>
        <w:jc w:val="both"/>
        <w:rPr>
          <w:sz w:val="22"/>
          <w:szCs w:val="22"/>
        </w:rPr>
      </w:pPr>
      <w:r w:rsidRPr="00090962">
        <w:rPr>
          <w:sz w:val="22"/>
          <w:szCs w:val="22"/>
        </w:rPr>
        <w:t>8. Power to restrict the weight of vehicles using the charter government’s streets.</w:t>
      </w:r>
    </w:p>
    <w:p w14:paraId="7B9CCD14" w14:textId="77777777" w:rsidR="00847848" w:rsidRPr="00090962" w:rsidRDefault="00847848" w:rsidP="00361150">
      <w:pPr>
        <w:autoSpaceDE w:val="0"/>
        <w:autoSpaceDN w:val="0"/>
        <w:adjustRightInd w:val="0"/>
        <w:jc w:val="both"/>
        <w:rPr>
          <w:b/>
          <w:bCs/>
          <w:sz w:val="22"/>
          <w:szCs w:val="22"/>
        </w:rPr>
      </w:pPr>
    </w:p>
    <w:p w14:paraId="49747F5C" w14:textId="77777777" w:rsidR="00847848" w:rsidRPr="00090962" w:rsidRDefault="00847848" w:rsidP="00361150">
      <w:pPr>
        <w:autoSpaceDE w:val="0"/>
        <w:autoSpaceDN w:val="0"/>
        <w:adjustRightInd w:val="0"/>
        <w:jc w:val="both"/>
        <w:rPr>
          <w:b/>
          <w:bCs/>
          <w:i/>
          <w:sz w:val="22"/>
          <w:szCs w:val="22"/>
        </w:rPr>
      </w:pPr>
      <w:r w:rsidRPr="00090962">
        <w:rPr>
          <w:b/>
          <w:bCs/>
          <w:i/>
          <w:sz w:val="22"/>
          <w:szCs w:val="22"/>
        </w:rPr>
        <w:t>Police Regulations</w:t>
      </w:r>
    </w:p>
    <w:p w14:paraId="1546D972" w14:textId="77777777" w:rsidR="00847848" w:rsidRPr="00090962" w:rsidRDefault="00847848" w:rsidP="00361150">
      <w:pPr>
        <w:autoSpaceDE w:val="0"/>
        <w:autoSpaceDN w:val="0"/>
        <w:adjustRightInd w:val="0"/>
        <w:jc w:val="both"/>
        <w:rPr>
          <w:sz w:val="22"/>
          <w:szCs w:val="22"/>
        </w:rPr>
      </w:pPr>
      <w:r w:rsidRPr="00090962">
        <w:rPr>
          <w:sz w:val="22"/>
          <w:szCs w:val="22"/>
        </w:rPr>
        <w:t xml:space="preserve">Police regulations are laws enacted to protect the health, safety, and welfare of </w:t>
      </w:r>
      <w:proofErr w:type="gramStart"/>
      <w:r w:rsidRPr="00090962">
        <w:rPr>
          <w:sz w:val="22"/>
          <w:szCs w:val="22"/>
        </w:rPr>
        <w:t>persons</w:t>
      </w:r>
      <w:proofErr w:type="gramEnd"/>
      <w:r w:rsidRPr="00090962">
        <w:rPr>
          <w:sz w:val="22"/>
          <w:szCs w:val="22"/>
        </w:rPr>
        <w:t xml:space="preserve"> and property. They are aimed at matters of private conduct rather than matters of government. Unlike matters of local self-government, police regulations can never conflict with general laws.</w:t>
      </w:r>
    </w:p>
    <w:p w14:paraId="5A10A8E7" w14:textId="77777777" w:rsidR="00847848" w:rsidRPr="00090962" w:rsidRDefault="00847848" w:rsidP="00361150">
      <w:pPr>
        <w:autoSpaceDE w:val="0"/>
        <w:autoSpaceDN w:val="0"/>
        <w:adjustRightInd w:val="0"/>
        <w:jc w:val="both"/>
        <w:rPr>
          <w:b/>
          <w:bCs/>
          <w:i/>
          <w:sz w:val="22"/>
          <w:szCs w:val="22"/>
        </w:rPr>
      </w:pPr>
    </w:p>
    <w:p w14:paraId="4C2C927D" w14:textId="77777777" w:rsidR="00847848" w:rsidRPr="00090962" w:rsidRDefault="00847848" w:rsidP="00361150">
      <w:pPr>
        <w:autoSpaceDE w:val="0"/>
        <w:autoSpaceDN w:val="0"/>
        <w:adjustRightInd w:val="0"/>
        <w:jc w:val="both"/>
        <w:rPr>
          <w:b/>
          <w:bCs/>
          <w:i/>
          <w:sz w:val="22"/>
          <w:szCs w:val="22"/>
        </w:rPr>
      </w:pPr>
      <w:r w:rsidRPr="00090962">
        <w:rPr>
          <w:b/>
          <w:bCs/>
          <w:i/>
          <w:sz w:val="22"/>
          <w:szCs w:val="22"/>
        </w:rPr>
        <w:t>Public Utilities</w:t>
      </w:r>
    </w:p>
    <w:p w14:paraId="64FCA6D1" w14:textId="2731F025" w:rsidR="00847848" w:rsidRPr="00090962" w:rsidRDefault="00847848" w:rsidP="00361150">
      <w:pPr>
        <w:autoSpaceDE w:val="0"/>
        <w:autoSpaceDN w:val="0"/>
        <w:adjustRightInd w:val="0"/>
        <w:jc w:val="both"/>
        <w:rPr>
          <w:b/>
          <w:sz w:val="22"/>
          <w:szCs w:val="22"/>
        </w:rPr>
      </w:pPr>
      <w:r w:rsidRPr="00090962">
        <w:rPr>
          <w:sz w:val="22"/>
          <w:szCs w:val="22"/>
        </w:rPr>
        <w:t xml:space="preserve">The power to operate public utilities has a separate and distinct source from the general home rule powers of </w:t>
      </w:r>
      <w:r w:rsidR="008A6143" w:rsidRPr="00090962">
        <w:rPr>
          <w:sz w:val="22"/>
          <w:szCs w:val="22"/>
        </w:rPr>
        <w:t xml:space="preserve">Ohio Const. </w:t>
      </w:r>
      <w:r w:rsidRPr="00090962">
        <w:rPr>
          <w:sz w:val="22"/>
          <w:szCs w:val="22"/>
        </w:rPr>
        <w:t>Art</w:t>
      </w:r>
      <w:r w:rsidR="008A6143" w:rsidRPr="00090962">
        <w:rPr>
          <w:sz w:val="22"/>
          <w:szCs w:val="22"/>
        </w:rPr>
        <w:t>.</w:t>
      </w:r>
      <w:r w:rsidRPr="00090962">
        <w:rPr>
          <w:sz w:val="22"/>
          <w:szCs w:val="22"/>
        </w:rPr>
        <w:t xml:space="preserve"> XVIII, Section 3. </w:t>
      </w:r>
      <w:r w:rsidR="008A6143" w:rsidRPr="00090962">
        <w:rPr>
          <w:sz w:val="22"/>
          <w:szCs w:val="22"/>
        </w:rPr>
        <w:t xml:space="preserve"> Ohio Const. </w:t>
      </w:r>
      <w:r w:rsidRPr="00090962">
        <w:rPr>
          <w:sz w:val="22"/>
          <w:szCs w:val="22"/>
        </w:rPr>
        <w:t>Art</w:t>
      </w:r>
      <w:r w:rsidR="008A6143" w:rsidRPr="00090962">
        <w:rPr>
          <w:sz w:val="22"/>
          <w:szCs w:val="22"/>
        </w:rPr>
        <w:t>.</w:t>
      </w:r>
      <w:r w:rsidRPr="00090962">
        <w:rPr>
          <w:sz w:val="22"/>
          <w:szCs w:val="22"/>
        </w:rPr>
        <w:t xml:space="preserve"> XVIII, Sections 4 and 5 state that municipal corporations may provide public utility service for their residents directly or by contracting with others within specified limits. </w:t>
      </w:r>
    </w:p>
    <w:p w14:paraId="7A8A4CDA" w14:textId="77777777" w:rsidR="006B3E0C" w:rsidRDefault="006B3E0C" w:rsidP="006B3E0C">
      <w:pPr>
        <w:rPr>
          <w:sz w:val="18"/>
          <w:szCs w:val="18"/>
        </w:rPr>
      </w:pPr>
    </w:p>
    <w:p w14:paraId="34479D15" w14:textId="3975E2CB" w:rsidR="00847848" w:rsidRPr="006B3E0C" w:rsidRDefault="00847848" w:rsidP="006B3E0C">
      <w:pPr>
        <w:rPr>
          <w:sz w:val="22"/>
          <w:szCs w:val="22"/>
        </w:rPr>
      </w:pPr>
      <w:r w:rsidRPr="00090962">
        <w:rPr>
          <w:b/>
          <w:i/>
          <w:sz w:val="22"/>
          <w:szCs w:val="22"/>
        </w:rPr>
        <w:t>Compliance Testing</w:t>
      </w:r>
    </w:p>
    <w:p w14:paraId="3A61FC55" w14:textId="77777777" w:rsidR="00847848" w:rsidRPr="00090962" w:rsidRDefault="00847848" w:rsidP="003611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r w:rsidRPr="00090962">
        <w:rPr>
          <w:sz w:val="22"/>
          <w:szCs w:val="22"/>
        </w:rPr>
        <w:t xml:space="preserve">Auditors must consider whether municipal governments have home rule powers enacted under the statutes above.  If so, auditors will need to tailor compliance testing accordingly to reflect the applicable home rules and powers </w:t>
      </w:r>
      <w:proofErr w:type="gramStart"/>
      <w:r w:rsidRPr="00090962">
        <w:rPr>
          <w:sz w:val="22"/>
          <w:szCs w:val="22"/>
        </w:rPr>
        <w:t>afforded</w:t>
      </w:r>
      <w:proofErr w:type="gramEnd"/>
      <w:r w:rsidRPr="00090962">
        <w:rPr>
          <w:sz w:val="22"/>
          <w:szCs w:val="22"/>
        </w:rPr>
        <w:t xml:space="preserve"> those governments.  Auditors should review charter legislation, resolutions, and ordinances for charter municipal corporations and tailor their testing procedures accordingly.</w:t>
      </w:r>
    </w:p>
    <w:p w14:paraId="5C1A0A37" w14:textId="77777777" w:rsidR="00847848" w:rsidRPr="00090962" w:rsidRDefault="00847848" w:rsidP="0027014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i/>
          <w:sz w:val="22"/>
          <w:szCs w:val="22"/>
          <w:lang w:eastAsia="ja-JP"/>
        </w:rPr>
      </w:pPr>
    </w:p>
    <w:p w14:paraId="6E06C8CD" w14:textId="77777777" w:rsidR="00DD468D" w:rsidRPr="00090962" w:rsidRDefault="00DD468D" w:rsidP="00DD468D">
      <w:pPr>
        <w:pStyle w:val="Default"/>
        <w:jc w:val="both"/>
        <w:rPr>
          <w:rFonts w:ascii="Times New Roman" w:hAnsi="Times New Roman" w:cs="Times New Roman"/>
          <w:b/>
          <w:i/>
          <w:sz w:val="22"/>
          <w:szCs w:val="22"/>
        </w:rPr>
      </w:pPr>
      <w:r w:rsidRPr="00090962">
        <w:rPr>
          <w:rFonts w:ascii="Times New Roman" w:hAnsi="Times New Roman" w:cs="Times New Roman"/>
          <w:b/>
          <w:i/>
          <w:sz w:val="22"/>
          <w:szCs w:val="22"/>
        </w:rPr>
        <w:t>Township Home</w:t>
      </w:r>
      <w:r w:rsidR="009D7632" w:rsidRPr="00090962">
        <w:rPr>
          <w:rFonts w:ascii="Times New Roman" w:hAnsi="Times New Roman" w:cs="Times New Roman"/>
          <w:b/>
          <w:i/>
          <w:sz w:val="22"/>
          <w:szCs w:val="22"/>
        </w:rPr>
        <w:t xml:space="preserve"> R</w:t>
      </w:r>
      <w:r w:rsidRPr="00090962">
        <w:rPr>
          <w:rFonts w:ascii="Times New Roman" w:hAnsi="Times New Roman" w:cs="Times New Roman"/>
          <w:b/>
          <w:i/>
          <w:sz w:val="22"/>
          <w:szCs w:val="22"/>
        </w:rPr>
        <w:t>ule</w:t>
      </w:r>
    </w:p>
    <w:p w14:paraId="5811279A" w14:textId="77777777" w:rsidR="000D17C6" w:rsidRPr="00090962" w:rsidRDefault="00DD468D" w:rsidP="005D1B8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rPr>
      </w:pPr>
      <w:r w:rsidRPr="00090962">
        <w:rPr>
          <w:sz w:val="22"/>
          <w:szCs w:val="22"/>
        </w:rPr>
        <w:t>Township home rule powers do not come from the Ohio Constitution.  Rather, there are statutes (Ohio Rev. Code Chapter 504) that permit townships to take action to become a “limited home rule” township.  This is a statutory power and not a constitutional power like the home rule for municipalities. Nevertheless, similar compliance testing considerations to those above may apply to Townships that have adopted limited home rule government powers.</w:t>
      </w:r>
    </w:p>
    <w:p w14:paraId="15526519" w14:textId="536B57B9" w:rsidR="00271B7B" w:rsidRPr="00DD468D" w:rsidRDefault="0090498D" w:rsidP="005D1B8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4"/>
          <w:szCs w:val="24"/>
        </w:rPr>
        <w:sectPr w:rsidR="00271B7B" w:rsidRPr="00DD468D" w:rsidSect="002A3762">
          <w:headerReference w:type="default" r:id="rId16"/>
          <w:type w:val="continuous"/>
          <w:pgSz w:w="12240" w:h="15840"/>
          <w:pgMar w:top="1152" w:right="1152" w:bottom="720" w:left="1152" w:header="720" w:footer="720" w:gutter="0"/>
          <w:cols w:space="720"/>
          <w:noEndnote/>
        </w:sectPr>
      </w:pPr>
      <w:r>
        <w:rPr>
          <w:sz w:val="22"/>
          <w:szCs w:val="22"/>
          <w:lang w:eastAsia="ja-JP"/>
        </w:rPr>
        <w:br w:type="page"/>
      </w:r>
    </w:p>
    <w:p w14:paraId="14FD370B" w14:textId="77777777" w:rsidR="008F6A36" w:rsidRDefault="008F6A36" w:rsidP="00621F8F">
      <w:pPr>
        <w:pStyle w:val="Subtitle"/>
        <w:shd w:val="clear" w:color="auto" w:fill="A6A6A6" w:themeFill="background1" w:themeFillShade="A6"/>
        <w:rPr>
          <w:sz w:val="24"/>
        </w:rPr>
      </w:pPr>
      <w:bookmarkStart w:id="17" w:name="_Toc214431123"/>
      <w:r>
        <w:t>Reporting</w:t>
      </w:r>
      <w:bookmarkEnd w:id="17"/>
    </w:p>
    <w:p w14:paraId="513554FF" w14:textId="77777777" w:rsidR="008F6A36" w:rsidRDefault="008F6A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4"/>
          <w:lang w:eastAsia="ja-JP"/>
        </w:rPr>
      </w:pPr>
    </w:p>
    <w:p w14:paraId="060A96BA" w14:textId="07BF5985" w:rsidR="008F6A36" w:rsidRPr="00090962" w:rsidRDefault="00C271E7"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The 201</w:t>
      </w:r>
      <w:r w:rsidR="002C7071" w:rsidRPr="00090962">
        <w:rPr>
          <w:sz w:val="22"/>
          <w:szCs w:val="22"/>
          <w:lang w:eastAsia="ja-JP"/>
        </w:rPr>
        <w:t>8</w:t>
      </w:r>
      <w:r w:rsidRPr="00090962">
        <w:rPr>
          <w:sz w:val="22"/>
          <w:szCs w:val="22"/>
          <w:lang w:eastAsia="ja-JP"/>
        </w:rPr>
        <w:t xml:space="preserve"> </w:t>
      </w:r>
      <w:r w:rsidR="002C7071" w:rsidRPr="00090962">
        <w:rPr>
          <w:sz w:val="22"/>
          <w:szCs w:val="22"/>
          <w:lang w:eastAsia="ja-JP"/>
        </w:rPr>
        <w:t xml:space="preserve">(as revised in April 2021) </w:t>
      </w:r>
      <w:r w:rsidRPr="00090962">
        <w:rPr>
          <w:sz w:val="22"/>
          <w:szCs w:val="22"/>
          <w:lang w:eastAsia="ja-JP"/>
        </w:rPr>
        <w:t xml:space="preserve">Government Accountability Office’s </w:t>
      </w:r>
      <w:r w:rsidR="008F6A36" w:rsidRPr="00090962">
        <w:rPr>
          <w:i/>
          <w:sz w:val="22"/>
          <w:szCs w:val="22"/>
          <w:lang w:eastAsia="ja-JP"/>
        </w:rPr>
        <w:t>Government Auditing Standards</w:t>
      </w:r>
      <w:r w:rsidR="008F6A36" w:rsidRPr="00090962">
        <w:rPr>
          <w:sz w:val="22"/>
          <w:szCs w:val="22"/>
          <w:lang w:eastAsia="ja-JP"/>
        </w:rPr>
        <w:t xml:space="preserve"> </w:t>
      </w:r>
      <w:r w:rsidR="008F6A36" w:rsidRPr="00090962">
        <w:rPr>
          <w:i/>
          <w:sz w:val="22"/>
          <w:szCs w:val="22"/>
          <w:lang w:eastAsia="ja-JP"/>
        </w:rPr>
        <w:t>(GAGAS</w:t>
      </w:r>
      <w:r w:rsidRPr="00090962">
        <w:rPr>
          <w:i/>
          <w:sz w:val="22"/>
          <w:szCs w:val="22"/>
          <w:lang w:eastAsia="ja-JP"/>
        </w:rPr>
        <w:t>, aka: “the Yellow Book”</w:t>
      </w:r>
      <w:r w:rsidR="008F6A36" w:rsidRPr="00090962">
        <w:rPr>
          <w:sz w:val="22"/>
          <w:szCs w:val="22"/>
          <w:lang w:eastAsia="ja-JP"/>
        </w:rPr>
        <w:t>)</w:t>
      </w:r>
      <w:r w:rsidR="00526DBD" w:rsidRPr="00090962">
        <w:rPr>
          <w:sz w:val="22"/>
          <w:szCs w:val="22"/>
          <w:lang w:eastAsia="ja-JP"/>
        </w:rPr>
        <w:t xml:space="preserve"> describes the auditor’s compliance reporting obligations</w:t>
      </w:r>
      <w:r w:rsidR="00E74D05" w:rsidRPr="00090962">
        <w:rPr>
          <w:sz w:val="22"/>
          <w:szCs w:val="22"/>
          <w:lang w:eastAsia="ja-JP"/>
        </w:rPr>
        <w:t>:</w:t>
      </w:r>
    </w:p>
    <w:p w14:paraId="5F451A1C" w14:textId="77777777"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p>
    <w:p w14:paraId="0BF469DE" w14:textId="18342E09" w:rsidR="008005FD" w:rsidRPr="00090962" w:rsidRDefault="008005FD" w:rsidP="008F23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b/>
          <w:sz w:val="22"/>
          <w:szCs w:val="22"/>
          <w:lang w:eastAsia="ja-JP"/>
        </w:rPr>
        <w:t>2018: 6.41</w:t>
      </w:r>
      <w:r w:rsidRPr="00090962">
        <w:rPr>
          <w:sz w:val="22"/>
          <w:szCs w:val="22"/>
          <w:lang w:eastAsia="ja-JP"/>
        </w:rPr>
        <w:t xml:space="preserve"> </w:t>
      </w:r>
      <w:r w:rsidR="00D276A7" w:rsidRPr="00090962">
        <w:rPr>
          <w:sz w:val="22"/>
          <w:szCs w:val="22"/>
        </w:rPr>
        <w:t>Auditors should include in their report on internal control or compliance the relevant information about noncompliance and fraud when auditors, based on sufficient, appropriate evidence, identify or suspect:</w:t>
      </w:r>
    </w:p>
    <w:p w14:paraId="3A8E1B40" w14:textId="77777777" w:rsidR="008005FD" w:rsidRPr="00090962" w:rsidRDefault="008005FD" w:rsidP="008005F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lang w:eastAsia="ja-JP"/>
        </w:rPr>
      </w:pPr>
    </w:p>
    <w:p w14:paraId="78B84987" w14:textId="713FC07C" w:rsidR="008005FD" w:rsidRPr="00090962" w:rsidRDefault="008005FD" w:rsidP="008F2330">
      <w:pPr>
        <w:pStyle w:val="ListParagraph"/>
        <w:numPr>
          <w:ilvl w:val="0"/>
          <w:numId w:val="4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jc w:val="both"/>
        <w:rPr>
          <w:sz w:val="22"/>
          <w:szCs w:val="22"/>
          <w:lang w:eastAsia="ja-JP"/>
        </w:rPr>
      </w:pPr>
      <w:r w:rsidRPr="00090962">
        <w:rPr>
          <w:sz w:val="22"/>
          <w:szCs w:val="22"/>
          <w:lang w:eastAsia="ja-JP"/>
        </w:rPr>
        <w:t>noncompliance with provisions of laws, regulations, contracts or grant agreements that have a material effect on the financial statements or other financial data significant to the audit objectives</w:t>
      </w:r>
      <w:r w:rsidR="00D276A7" w:rsidRPr="00090962">
        <w:rPr>
          <w:sz w:val="22"/>
          <w:szCs w:val="22"/>
          <w:lang w:eastAsia="ja-JP"/>
        </w:rPr>
        <w:t xml:space="preserve"> or</w:t>
      </w:r>
    </w:p>
    <w:p w14:paraId="50E9B3BB" w14:textId="77777777" w:rsidR="008005FD" w:rsidRPr="00090962" w:rsidRDefault="008005FD" w:rsidP="008F233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jc w:val="both"/>
        <w:rPr>
          <w:sz w:val="22"/>
          <w:szCs w:val="22"/>
          <w:lang w:eastAsia="ja-JP"/>
        </w:rPr>
      </w:pPr>
    </w:p>
    <w:p w14:paraId="30A0F828" w14:textId="77777777" w:rsidR="008005FD" w:rsidRPr="00090962" w:rsidRDefault="008005FD" w:rsidP="008F2330">
      <w:pPr>
        <w:pStyle w:val="ListParagraph"/>
        <w:numPr>
          <w:ilvl w:val="0"/>
          <w:numId w:val="4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jc w:val="both"/>
        <w:rPr>
          <w:sz w:val="22"/>
          <w:szCs w:val="22"/>
          <w:lang w:eastAsia="ja-JP"/>
        </w:rPr>
      </w:pPr>
      <w:r w:rsidRPr="00090962">
        <w:rPr>
          <w:sz w:val="22"/>
          <w:szCs w:val="22"/>
          <w:lang w:eastAsia="ja-JP"/>
        </w:rPr>
        <w:t>fraud that is material, either quantitatively or qualitatively, to the financial statements or other financial data significant to the audit objectives.</w:t>
      </w:r>
    </w:p>
    <w:p w14:paraId="18C1403E" w14:textId="77777777" w:rsidR="008005FD" w:rsidRPr="00090962" w:rsidRDefault="008005FD" w:rsidP="00361150">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18"/>
          <w:lang w:eastAsia="ja-JP"/>
        </w:rPr>
      </w:pPr>
    </w:p>
    <w:p w14:paraId="2801BCDA" w14:textId="1CEA29E1" w:rsidR="00EA1563" w:rsidRPr="00090962" w:rsidRDefault="00EA1563"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r w:rsidRPr="00090962">
        <w:rPr>
          <w:b/>
          <w:sz w:val="22"/>
          <w:szCs w:val="22"/>
          <w:lang w:eastAsia="ja-JP"/>
        </w:rPr>
        <w:t>Reporting Immaterial Violations</w:t>
      </w:r>
    </w:p>
    <w:p w14:paraId="65B6D082" w14:textId="77777777" w:rsidR="00EA1563" w:rsidRPr="00090962" w:rsidRDefault="00EA1563"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p>
    <w:p w14:paraId="20E517A6" w14:textId="59D0195A" w:rsidR="003F5D33" w:rsidRPr="00090962" w:rsidRDefault="008005FD" w:rsidP="003F5D3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b/>
          <w:sz w:val="22"/>
          <w:szCs w:val="22"/>
          <w:lang w:eastAsia="ja-JP"/>
        </w:rPr>
        <w:t xml:space="preserve">2018: </w:t>
      </w:r>
      <w:r w:rsidR="00B845EC" w:rsidRPr="00090962">
        <w:rPr>
          <w:b/>
          <w:sz w:val="22"/>
          <w:szCs w:val="22"/>
          <w:lang w:eastAsia="ja-JP"/>
        </w:rPr>
        <w:t xml:space="preserve"> </w:t>
      </w:r>
      <w:r w:rsidR="003F5D33" w:rsidRPr="00090962">
        <w:rPr>
          <w:b/>
          <w:sz w:val="22"/>
          <w:szCs w:val="22"/>
          <w:lang w:eastAsia="ja-JP"/>
        </w:rPr>
        <w:t>6.44</w:t>
      </w:r>
      <w:r w:rsidRPr="00090962">
        <w:rPr>
          <w:sz w:val="22"/>
          <w:szCs w:val="22"/>
          <w:lang w:eastAsia="ja-JP"/>
        </w:rPr>
        <w:t xml:space="preserve"> </w:t>
      </w:r>
      <w:r w:rsidR="003F5D33" w:rsidRPr="00090962">
        <w:rPr>
          <w:sz w:val="22"/>
          <w:szCs w:val="22"/>
          <w:lang w:eastAsia="ja-JP"/>
        </w:rPr>
        <w:t>Auditors should communicate in writing</w:t>
      </w:r>
      <w:r w:rsidR="0083350C" w:rsidRPr="00090962">
        <w:rPr>
          <w:rStyle w:val="FootnoteReference"/>
          <w:sz w:val="22"/>
          <w:szCs w:val="22"/>
          <w:lang w:eastAsia="ja-JP"/>
        </w:rPr>
        <w:footnoteReference w:id="7"/>
      </w:r>
      <w:r w:rsidR="003F5D33" w:rsidRPr="00090962">
        <w:rPr>
          <w:sz w:val="22"/>
          <w:szCs w:val="22"/>
          <w:lang w:eastAsia="ja-JP"/>
        </w:rPr>
        <w:t xml:space="preserve"> to audited entity officials when:</w:t>
      </w:r>
    </w:p>
    <w:p w14:paraId="0FC8F6BA" w14:textId="77777777" w:rsidR="003F5D33" w:rsidRPr="00090962" w:rsidRDefault="003F5D33" w:rsidP="003F5D3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BADF29F" w14:textId="1DE7408E" w:rsidR="003F5D33" w:rsidRPr="00090962" w:rsidRDefault="003F5D33" w:rsidP="00776C23">
      <w:pPr>
        <w:tabs>
          <w:tab w:val="left" w:pos="0"/>
          <w:tab w:val="left" w:pos="720"/>
          <w:tab w:val="left" w:pos="108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360"/>
        <w:jc w:val="both"/>
        <w:rPr>
          <w:sz w:val="22"/>
          <w:szCs w:val="22"/>
          <w:lang w:eastAsia="ja-JP"/>
        </w:rPr>
      </w:pPr>
      <w:r w:rsidRPr="00090962">
        <w:rPr>
          <w:sz w:val="22"/>
          <w:szCs w:val="22"/>
          <w:lang w:eastAsia="ja-JP"/>
        </w:rPr>
        <w:t xml:space="preserve">a. </w:t>
      </w:r>
      <w:r w:rsidR="00776C23" w:rsidRPr="00090962">
        <w:rPr>
          <w:sz w:val="22"/>
          <w:szCs w:val="22"/>
          <w:lang w:eastAsia="ja-JP"/>
        </w:rPr>
        <w:tab/>
      </w:r>
      <w:r w:rsidRPr="00090962">
        <w:rPr>
          <w:sz w:val="22"/>
          <w:szCs w:val="22"/>
          <w:lang w:eastAsia="ja-JP"/>
        </w:rPr>
        <w:t xml:space="preserve">identified or suspected noncompliance with provisions of laws, regulations, contracts, or grant agreements comes to the auditor’s attention </w:t>
      </w:r>
      <w:proofErr w:type="gramStart"/>
      <w:r w:rsidRPr="00090962">
        <w:rPr>
          <w:sz w:val="22"/>
          <w:szCs w:val="22"/>
          <w:lang w:eastAsia="ja-JP"/>
        </w:rPr>
        <w:t>during the course of</w:t>
      </w:r>
      <w:proofErr w:type="gramEnd"/>
      <w:r w:rsidRPr="00090962">
        <w:rPr>
          <w:sz w:val="22"/>
          <w:szCs w:val="22"/>
          <w:lang w:eastAsia="ja-JP"/>
        </w:rPr>
        <w:t xml:space="preserve"> an audit that </w:t>
      </w:r>
      <w:proofErr w:type="gramStart"/>
      <w:r w:rsidRPr="00090962">
        <w:rPr>
          <w:sz w:val="22"/>
          <w:szCs w:val="22"/>
          <w:lang w:eastAsia="ja-JP"/>
        </w:rPr>
        <w:t>has an effect on</w:t>
      </w:r>
      <w:proofErr w:type="gramEnd"/>
      <w:r w:rsidRPr="00090962">
        <w:rPr>
          <w:sz w:val="22"/>
          <w:szCs w:val="22"/>
          <w:lang w:eastAsia="ja-JP"/>
        </w:rPr>
        <w:t xml:space="preserve"> the financial statements or other financial data significant to the audit objectives that is </w:t>
      </w:r>
      <w:r w:rsidRPr="00090962">
        <w:rPr>
          <w:i/>
          <w:sz w:val="22"/>
          <w:szCs w:val="22"/>
          <w:lang w:eastAsia="ja-JP"/>
        </w:rPr>
        <w:t>less than material but warrants the attention of those charged with governance</w:t>
      </w:r>
      <w:r w:rsidRPr="00090962">
        <w:rPr>
          <w:sz w:val="22"/>
          <w:szCs w:val="22"/>
          <w:lang w:eastAsia="ja-JP"/>
        </w:rPr>
        <w:t xml:space="preserve"> or</w:t>
      </w:r>
    </w:p>
    <w:p w14:paraId="4B418851" w14:textId="77777777" w:rsidR="003F5D33" w:rsidRPr="00090962" w:rsidRDefault="003F5D33" w:rsidP="003F5D3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C175B00" w14:textId="62CA1808" w:rsidR="003F5D33" w:rsidRPr="00090962" w:rsidRDefault="00B845EC" w:rsidP="00776C23">
      <w:pPr>
        <w:tabs>
          <w:tab w:val="left" w:pos="720"/>
          <w:tab w:val="left" w:pos="108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080" w:hanging="1080"/>
        <w:jc w:val="both"/>
        <w:rPr>
          <w:sz w:val="22"/>
          <w:szCs w:val="22"/>
          <w:lang w:eastAsia="ja-JP"/>
        </w:rPr>
      </w:pPr>
      <w:r w:rsidRPr="00090962">
        <w:rPr>
          <w:sz w:val="22"/>
          <w:szCs w:val="22"/>
          <w:lang w:eastAsia="ja-JP"/>
        </w:rPr>
        <w:tab/>
      </w:r>
      <w:r w:rsidR="003F5D33" w:rsidRPr="00090962">
        <w:rPr>
          <w:sz w:val="22"/>
          <w:szCs w:val="22"/>
          <w:lang w:eastAsia="ja-JP"/>
        </w:rPr>
        <w:t xml:space="preserve">b. </w:t>
      </w:r>
      <w:r w:rsidR="00776C23" w:rsidRPr="00090962">
        <w:rPr>
          <w:sz w:val="22"/>
          <w:szCs w:val="22"/>
          <w:lang w:eastAsia="ja-JP"/>
        </w:rPr>
        <w:tab/>
      </w:r>
      <w:r w:rsidR="003F5D33" w:rsidRPr="00090962">
        <w:rPr>
          <w:sz w:val="22"/>
          <w:szCs w:val="22"/>
          <w:lang w:eastAsia="ja-JP"/>
        </w:rPr>
        <w:t xml:space="preserve">the auditor has obtained evidence of identified or suspected instances of fraud that </w:t>
      </w:r>
      <w:proofErr w:type="gramStart"/>
      <w:r w:rsidR="003F5D33" w:rsidRPr="00090962">
        <w:rPr>
          <w:sz w:val="22"/>
          <w:szCs w:val="22"/>
          <w:lang w:eastAsia="ja-JP"/>
        </w:rPr>
        <w:t>have an effect on</w:t>
      </w:r>
      <w:proofErr w:type="gramEnd"/>
      <w:r w:rsidR="003F5D33" w:rsidRPr="00090962">
        <w:rPr>
          <w:sz w:val="22"/>
          <w:szCs w:val="22"/>
          <w:lang w:eastAsia="ja-JP"/>
        </w:rPr>
        <w:t xml:space="preserve"> the financial statements or other financial data significant to the audit objectives that are </w:t>
      </w:r>
      <w:r w:rsidR="003F5D33" w:rsidRPr="00090962">
        <w:rPr>
          <w:i/>
          <w:sz w:val="22"/>
          <w:szCs w:val="22"/>
          <w:lang w:eastAsia="ja-JP"/>
        </w:rPr>
        <w:t>less than material but warrant the attention of those charged with governance</w:t>
      </w:r>
      <w:r w:rsidR="003F5D33" w:rsidRPr="00090962">
        <w:rPr>
          <w:sz w:val="22"/>
          <w:szCs w:val="22"/>
          <w:lang w:eastAsia="ja-JP"/>
        </w:rPr>
        <w:t>.</w:t>
      </w:r>
    </w:p>
    <w:p w14:paraId="50A3EB71" w14:textId="77777777" w:rsidR="003F5D33" w:rsidRPr="00090962" w:rsidRDefault="003F5D33" w:rsidP="003F5D33">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497C6CB5" w14:textId="2F12B7C8" w:rsidR="008C13D9" w:rsidRPr="00090962" w:rsidRDefault="008005FD"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b/>
          <w:sz w:val="22"/>
          <w:szCs w:val="22"/>
          <w:lang w:eastAsia="ja-JP"/>
        </w:rPr>
        <w:t xml:space="preserve">2018: </w:t>
      </w:r>
      <w:r w:rsidR="00B845EC" w:rsidRPr="00090962">
        <w:rPr>
          <w:b/>
          <w:sz w:val="22"/>
          <w:szCs w:val="22"/>
          <w:lang w:eastAsia="ja-JP"/>
        </w:rPr>
        <w:t xml:space="preserve"> </w:t>
      </w:r>
      <w:r w:rsidR="003F5D33" w:rsidRPr="00090962">
        <w:rPr>
          <w:b/>
          <w:sz w:val="22"/>
          <w:szCs w:val="22"/>
          <w:lang w:eastAsia="ja-JP"/>
        </w:rPr>
        <w:t>6.48</w:t>
      </w:r>
      <w:r w:rsidR="003F5D33" w:rsidRPr="00090962">
        <w:rPr>
          <w:sz w:val="22"/>
          <w:szCs w:val="22"/>
          <w:lang w:eastAsia="ja-JP"/>
        </w:rPr>
        <w:t xml:space="preserve"> When identified or suspected noncompliance with provisions of laws, regulations, contracts, or grant agreements that does not warrant the attention of those charged with governance comes to the auditor’s attention </w:t>
      </w:r>
      <w:proofErr w:type="gramStart"/>
      <w:r w:rsidR="003F5D33" w:rsidRPr="00090962">
        <w:rPr>
          <w:sz w:val="22"/>
          <w:szCs w:val="22"/>
          <w:lang w:eastAsia="ja-JP"/>
        </w:rPr>
        <w:t>during the course of</w:t>
      </w:r>
      <w:proofErr w:type="gramEnd"/>
      <w:r w:rsidR="003F5D33" w:rsidRPr="00090962">
        <w:rPr>
          <w:sz w:val="22"/>
          <w:szCs w:val="22"/>
          <w:lang w:eastAsia="ja-JP"/>
        </w:rPr>
        <w:t xml:space="preserve"> the audit, the auditors’ determination of how to communicate such instances to audited entity officials is a matter of professional judgment. When identified or suspected noncompliance with provisions of laws, regulations, contracts, or grant agreements is clearly </w:t>
      </w:r>
      <w:r w:rsidR="003F5D33" w:rsidRPr="00090962">
        <w:rPr>
          <w:i/>
          <w:sz w:val="22"/>
          <w:szCs w:val="22"/>
          <w:lang w:eastAsia="ja-JP"/>
        </w:rPr>
        <w:t>inconsequential</w:t>
      </w:r>
      <w:r w:rsidR="003F5D33" w:rsidRPr="00090962">
        <w:rPr>
          <w:sz w:val="22"/>
          <w:szCs w:val="22"/>
          <w:lang w:eastAsia="ja-JP"/>
        </w:rPr>
        <w:t>, the auditors’ determination of whether and how to communicate such instances to audited entity officials is a matter of professional judgment.</w:t>
      </w:r>
    </w:p>
    <w:p w14:paraId="69B125E7" w14:textId="1E670C1A" w:rsidR="003F5D33" w:rsidRPr="00090962" w:rsidRDefault="003F5D33"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248142A" w14:textId="638078DB" w:rsidR="003F5D33" w:rsidRPr="00090962" w:rsidRDefault="003F5D33"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(Determining </w:t>
      </w:r>
      <w:r w:rsidRPr="00090962">
        <w:rPr>
          <w:i/>
          <w:sz w:val="22"/>
          <w:szCs w:val="22"/>
          <w:lang w:eastAsia="ja-JP"/>
        </w:rPr>
        <w:t>inconsequential</w:t>
      </w:r>
      <w:r w:rsidRPr="00090962">
        <w:rPr>
          <w:sz w:val="22"/>
          <w:szCs w:val="22"/>
          <w:lang w:eastAsia="ja-JP"/>
        </w:rPr>
        <w:t xml:space="preserve"> requires auditor judgment.  Absent qualitative considerations, it may equate to </w:t>
      </w:r>
      <w:r w:rsidRPr="00090962">
        <w:rPr>
          <w:i/>
          <w:sz w:val="22"/>
          <w:szCs w:val="22"/>
          <w:lang w:eastAsia="ja-JP"/>
        </w:rPr>
        <w:t>trivial</w:t>
      </w:r>
      <w:r w:rsidRPr="00090962">
        <w:rPr>
          <w:sz w:val="22"/>
          <w:szCs w:val="22"/>
          <w:lang w:eastAsia="ja-JP"/>
        </w:rPr>
        <w:t xml:space="preserve">, as described in footnote </w:t>
      </w:r>
      <w:r w:rsidRPr="00090962">
        <w:rPr>
          <w:color w:val="2B579A"/>
          <w:sz w:val="22"/>
          <w:szCs w:val="22"/>
          <w:shd w:val="clear" w:color="auto" w:fill="E6E6E6"/>
          <w:lang w:eastAsia="ja-JP"/>
        </w:rPr>
        <w:fldChar w:fldCharType="begin"/>
      </w:r>
      <w:r w:rsidRPr="00090962">
        <w:rPr>
          <w:sz w:val="22"/>
          <w:szCs w:val="22"/>
          <w:lang w:eastAsia="ja-JP"/>
        </w:rPr>
        <w:instrText xml:space="preserve"> NOTEREF _Ref443466368 \h </w:instrText>
      </w:r>
      <w:r w:rsidR="00D51CBF" w:rsidRPr="00090962">
        <w:rPr>
          <w:sz w:val="22"/>
          <w:szCs w:val="22"/>
          <w:lang w:eastAsia="ja-JP"/>
        </w:rPr>
        <w:instrText xml:space="preserve"> \* MERGEFORMAT </w:instrText>
      </w:r>
      <w:r w:rsidRPr="00090962">
        <w:rPr>
          <w:color w:val="2B579A"/>
          <w:sz w:val="22"/>
          <w:szCs w:val="22"/>
          <w:shd w:val="clear" w:color="auto" w:fill="E6E6E6"/>
          <w:lang w:eastAsia="ja-JP"/>
        </w:rPr>
      </w:r>
      <w:r w:rsidRPr="00090962">
        <w:rPr>
          <w:color w:val="2B579A"/>
          <w:sz w:val="22"/>
          <w:szCs w:val="22"/>
          <w:shd w:val="clear" w:color="auto" w:fill="E6E6E6"/>
          <w:lang w:eastAsia="ja-JP"/>
        </w:rPr>
        <w:fldChar w:fldCharType="separate"/>
      </w:r>
      <w:r w:rsidR="00627D0E">
        <w:rPr>
          <w:sz w:val="22"/>
          <w:szCs w:val="22"/>
          <w:lang w:eastAsia="ja-JP"/>
        </w:rPr>
        <w:t>10</w:t>
      </w:r>
      <w:r w:rsidRPr="00090962">
        <w:rPr>
          <w:color w:val="2B579A"/>
          <w:sz w:val="22"/>
          <w:szCs w:val="22"/>
          <w:shd w:val="clear" w:color="auto" w:fill="E6E6E6"/>
          <w:lang w:eastAsia="ja-JP"/>
        </w:rPr>
        <w:fldChar w:fldCharType="end"/>
      </w:r>
      <w:r w:rsidRPr="00090962">
        <w:rPr>
          <w:sz w:val="22"/>
          <w:szCs w:val="22"/>
          <w:lang w:eastAsia="ja-JP"/>
        </w:rPr>
        <w:t>)</w:t>
      </w:r>
    </w:p>
    <w:p w14:paraId="5875B780" w14:textId="77777777" w:rsidR="003F5D33" w:rsidRPr="00090962" w:rsidRDefault="003F5D33"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p>
    <w:p w14:paraId="4563275B" w14:textId="02322302" w:rsidR="00EA1563" w:rsidRPr="00090962" w:rsidRDefault="00EA1563"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r w:rsidRPr="00090962">
        <w:rPr>
          <w:b/>
          <w:sz w:val="22"/>
          <w:szCs w:val="22"/>
          <w:lang w:eastAsia="ja-JP"/>
        </w:rPr>
        <w:t>Examples</w:t>
      </w:r>
    </w:p>
    <w:p w14:paraId="07E9B277" w14:textId="77777777" w:rsidR="00EA1563" w:rsidRPr="00090962" w:rsidRDefault="00EA1563" w:rsidP="00361150">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p>
    <w:p w14:paraId="3E417888" w14:textId="2DDB7ACE" w:rsidR="007B10F2" w:rsidRPr="00090962" w:rsidRDefault="00AD5B2E"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r w:rsidRPr="00090962">
        <w:rPr>
          <w:sz w:val="22"/>
          <w:szCs w:val="18"/>
          <w:lang w:eastAsia="ja-JP"/>
        </w:rPr>
        <w:t>The audit</w:t>
      </w:r>
      <w:r w:rsidR="00F631E1" w:rsidRPr="00090962">
        <w:rPr>
          <w:sz w:val="22"/>
          <w:szCs w:val="18"/>
          <w:lang w:eastAsia="ja-JP"/>
        </w:rPr>
        <w:t xml:space="preserve">or should refer to the AICPA’s </w:t>
      </w:r>
      <w:r w:rsidRPr="00090962">
        <w:rPr>
          <w:i/>
          <w:sz w:val="22"/>
          <w:szCs w:val="18"/>
          <w:lang w:eastAsia="ja-JP"/>
        </w:rPr>
        <w:t xml:space="preserve">Government Auditing Standards and </w:t>
      </w:r>
      <w:r w:rsidR="0016520F" w:rsidRPr="00090962">
        <w:rPr>
          <w:i/>
          <w:sz w:val="22"/>
          <w:szCs w:val="18"/>
          <w:lang w:eastAsia="ja-JP"/>
        </w:rPr>
        <w:t>Single</w:t>
      </w:r>
      <w:r w:rsidRPr="00090962">
        <w:rPr>
          <w:i/>
          <w:sz w:val="22"/>
          <w:szCs w:val="18"/>
          <w:lang w:eastAsia="ja-JP"/>
        </w:rPr>
        <w:t xml:space="preserve"> Audits</w:t>
      </w:r>
      <w:r w:rsidR="00EB6D1F" w:rsidRPr="00090962">
        <w:rPr>
          <w:sz w:val="22"/>
          <w:szCs w:val="18"/>
          <w:lang w:eastAsia="ja-JP"/>
        </w:rPr>
        <w:t xml:space="preserve"> </w:t>
      </w:r>
      <w:r w:rsidR="009B04FE" w:rsidRPr="00090962">
        <w:rPr>
          <w:sz w:val="22"/>
          <w:szCs w:val="18"/>
          <w:lang w:eastAsia="ja-JP"/>
        </w:rPr>
        <w:t>guide</w:t>
      </w:r>
      <w:r w:rsidRPr="00090962">
        <w:rPr>
          <w:sz w:val="22"/>
          <w:szCs w:val="18"/>
          <w:lang w:eastAsia="ja-JP"/>
        </w:rPr>
        <w:t xml:space="preserve">, for reporting examples.  (AOS staff can access these examples </w:t>
      </w:r>
      <w:r w:rsidR="00CF1696" w:rsidRPr="00090962">
        <w:rPr>
          <w:sz w:val="22"/>
          <w:szCs w:val="18"/>
          <w:lang w:eastAsia="ja-JP"/>
        </w:rPr>
        <w:t>on the Intranet</w:t>
      </w:r>
      <w:r w:rsidRPr="00090962">
        <w:rPr>
          <w:sz w:val="22"/>
          <w:szCs w:val="18"/>
          <w:lang w:eastAsia="ja-JP"/>
        </w:rPr>
        <w:t>.)</w:t>
      </w:r>
    </w:p>
    <w:p w14:paraId="58182DB2" w14:textId="77777777" w:rsidR="00473286" w:rsidRDefault="00473286"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6873B17B"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1B00B7D2"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4D9E4F3A"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670F85F6"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7BB3E822"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2B551355" w14:textId="77777777" w:rsidR="009F5445"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3D889BAF" w14:textId="77777777" w:rsidR="009F5445" w:rsidRPr="008A42FE" w:rsidRDefault="009F5445" w:rsidP="008A42FE">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rStyle w:val="footnoteref"/>
          <w:sz w:val="24"/>
          <w:lang w:eastAsia="ja-JP"/>
        </w:rPr>
      </w:pPr>
    </w:p>
    <w:p w14:paraId="60577F03" w14:textId="69ECD8AE" w:rsidR="00DA1C5C" w:rsidRPr="009F5445" w:rsidRDefault="00DA1C5C" w:rsidP="0034575B">
      <w:pPr>
        <w:tabs>
          <w:tab w:val="left" w:pos="0"/>
          <w:tab w:val="left" w:pos="547"/>
          <w:tab w:val="left" w:pos="936"/>
          <w:tab w:val="left" w:pos="1440"/>
          <w:tab w:val="left" w:pos="1987"/>
        </w:tabs>
        <w:rPr>
          <w:rStyle w:val="footnoteref"/>
          <w:b/>
          <w:sz w:val="22"/>
          <w:szCs w:val="22"/>
        </w:rPr>
      </w:pPr>
      <w:r w:rsidRPr="009F5445">
        <w:rPr>
          <w:rStyle w:val="footnoteref"/>
          <w:b/>
          <w:sz w:val="22"/>
          <w:szCs w:val="22"/>
        </w:rPr>
        <w:t>Noncompliance Reporting Examples</w:t>
      </w:r>
    </w:p>
    <w:tbl>
      <w:tblPr>
        <w:tblStyle w:val="TableGrid"/>
        <w:tblW w:w="0" w:type="auto"/>
        <w:tblInd w:w="0" w:type="dxa"/>
        <w:tblLook w:val="04A0" w:firstRow="1" w:lastRow="0" w:firstColumn="1" w:lastColumn="0" w:noHBand="0" w:noVBand="1"/>
      </w:tblPr>
      <w:tblGrid>
        <w:gridCol w:w="2330"/>
        <w:gridCol w:w="5867"/>
        <w:gridCol w:w="1739"/>
      </w:tblGrid>
      <w:tr w:rsidR="00DA1C5C" w:rsidRPr="00F45E67" w14:paraId="5252B6D8" w14:textId="77777777" w:rsidTr="00DB24AE">
        <w:tc>
          <w:tcPr>
            <w:tcW w:w="2358" w:type="dxa"/>
            <w:shd w:val="clear" w:color="auto" w:fill="4F81BD" w:themeFill="accent1"/>
          </w:tcPr>
          <w:p w14:paraId="17B0800B" w14:textId="77777777" w:rsidR="00DA1C5C" w:rsidRPr="00DB24AE" w:rsidRDefault="00DA1C5C" w:rsidP="0034575B">
            <w:pPr>
              <w:tabs>
                <w:tab w:val="left" w:pos="0"/>
                <w:tab w:val="left" w:pos="547"/>
                <w:tab w:val="left" w:pos="936"/>
                <w:tab w:val="left" w:pos="1440"/>
                <w:tab w:val="left" w:pos="1987"/>
              </w:tabs>
              <w:rPr>
                <w:rStyle w:val="footnoteref"/>
                <w:b/>
                <w:color w:val="FFFFFF" w:themeColor="background1"/>
                <w:sz w:val="24"/>
                <w:szCs w:val="24"/>
              </w:rPr>
            </w:pPr>
            <w:r w:rsidRPr="00DB24AE">
              <w:rPr>
                <w:rStyle w:val="footnoteref"/>
                <w:b/>
                <w:color w:val="FFFFFF" w:themeColor="background1"/>
                <w:sz w:val="24"/>
                <w:szCs w:val="24"/>
              </w:rPr>
              <w:t>Noncompliance</w:t>
            </w:r>
          </w:p>
        </w:tc>
        <w:tc>
          <w:tcPr>
            <w:tcW w:w="6030" w:type="dxa"/>
            <w:shd w:val="clear" w:color="auto" w:fill="4F81BD" w:themeFill="accent1"/>
          </w:tcPr>
          <w:p w14:paraId="692CD353" w14:textId="77777777" w:rsidR="00DA1C5C" w:rsidRPr="00DB24AE" w:rsidRDefault="00DA1C5C" w:rsidP="0034575B">
            <w:pPr>
              <w:tabs>
                <w:tab w:val="left" w:pos="0"/>
                <w:tab w:val="left" w:pos="547"/>
                <w:tab w:val="left" w:pos="936"/>
                <w:tab w:val="left" w:pos="1440"/>
                <w:tab w:val="left" w:pos="1987"/>
              </w:tabs>
              <w:rPr>
                <w:rStyle w:val="footnoteref"/>
                <w:b/>
                <w:color w:val="FFFFFF" w:themeColor="background1"/>
                <w:sz w:val="24"/>
                <w:szCs w:val="24"/>
              </w:rPr>
            </w:pPr>
            <w:r w:rsidRPr="00DB24AE">
              <w:rPr>
                <w:rStyle w:val="footnoteref"/>
                <w:b/>
                <w:color w:val="FFFFFF" w:themeColor="background1"/>
                <w:sz w:val="24"/>
                <w:szCs w:val="24"/>
              </w:rPr>
              <w:t>Example Evaluation</w:t>
            </w:r>
          </w:p>
        </w:tc>
        <w:tc>
          <w:tcPr>
            <w:tcW w:w="1764" w:type="dxa"/>
            <w:shd w:val="clear" w:color="auto" w:fill="4F81BD" w:themeFill="accent1"/>
          </w:tcPr>
          <w:p w14:paraId="77B4133B" w14:textId="77777777" w:rsidR="00DA1C5C" w:rsidRPr="00DB24AE" w:rsidRDefault="00DA1C5C" w:rsidP="0034575B">
            <w:pPr>
              <w:tabs>
                <w:tab w:val="left" w:pos="0"/>
                <w:tab w:val="left" w:pos="547"/>
                <w:tab w:val="left" w:pos="936"/>
                <w:tab w:val="left" w:pos="1440"/>
                <w:tab w:val="left" w:pos="1987"/>
              </w:tabs>
              <w:rPr>
                <w:rStyle w:val="footnoteref"/>
                <w:b/>
                <w:color w:val="FFFFFF" w:themeColor="background1"/>
                <w:sz w:val="24"/>
                <w:szCs w:val="24"/>
              </w:rPr>
            </w:pPr>
            <w:r w:rsidRPr="00DB24AE">
              <w:rPr>
                <w:rStyle w:val="footnoteref"/>
                <w:b/>
                <w:color w:val="FFFFFF" w:themeColor="background1"/>
                <w:sz w:val="24"/>
                <w:szCs w:val="24"/>
              </w:rPr>
              <w:t>Reporting</w:t>
            </w:r>
          </w:p>
        </w:tc>
      </w:tr>
      <w:tr w:rsidR="00DA1C5C" w:rsidRPr="00F45E67" w14:paraId="115AA4FA" w14:textId="77777777" w:rsidTr="004F0BD8">
        <w:tc>
          <w:tcPr>
            <w:tcW w:w="2358" w:type="dxa"/>
          </w:tcPr>
          <w:p w14:paraId="4A3D5269" w14:textId="77777777" w:rsidR="00DA1C5C" w:rsidRPr="001C04A2" w:rsidRDefault="004F0BD8" w:rsidP="0034575B">
            <w:pPr>
              <w:tabs>
                <w:tab w:val="left" w:pos="0"/>
                <w:tab w:val="left" w:pos="547"/>
                <w:tab w:val="left" w:pos="936"/>
                <w:tab w:val="left" w:pos="1440"/>
                <w:tab w:val="left" w:pos="1987"/>
              </w:tabs>
              <w:rPr>
                <w:rStyle w:val="footnoteref"/>
                <w:sz w:val="22"/>
                <w:szCs w:val="22"/>
              </w:rPr>
            </w:pPr>
            <w:r w:rsidRPr="001C04A2">
              <w:rPr>
                <w:rStyle w:val="footnoteref"/>
                <w:sz w:val="22"/>
                <w:szCs w:val="22"/>
              </w:rPr>
              <w:t>The auditee records premiums received with a debt issuance in a capital project fund.</w:t>
            </w:r>
          </w:p>
        </w:tc>
        <w:tc>
          <w:tcPr>
            <w:tcW w:w="6030" w:type="dxa"/>
          </w:tcPr>
          <w:p w14:paraId="2D8F6D19" w14:textId="77777777" w:rsidR="00DA1C5C" w:rsidRPr="001C04A2" w:rsidRDefault="004F0BD8" w:rsidP="00406A54">
            <w:pPr>
              <w:tabs>
                <w:tab w:val="left" w:pos="0"/>
                <w:tab w:val="left" w:pos="547"/>
                <w:tab w:val="left" w:pos="936"/>
                <w:tab w:val="left" w:pos="1440"/>
                <w:tab w:val="left" w:pos="1987"/>
              </w:tabs>
              <w:jc w:val="both"/>
              <w:rPr>
                <w:rStyle w:val="footnoteref"/>
                <w:sz w:val="22"/>
                <w:szCs w:val="22"/>
              </w:rPr>
            </w:pPr>
            <w:r w:rsidRPr="001C04A2">
              <w:rPr>
                <w:rStyle w:val="footnoteref"/>
                <w:sz w:val="22"/>
                <w:szCs w:val="22"/>
              </w:rPr>
              <w:t>Ohio law requires recording premiums in a debt service fund</w:t>
            </w:r>
            <w:r w:rsidR="00704235" w:rsidRPr="001C04A2">
              <w:rPr>
                <w:rStyle w:val="footnoteref"/>
                <w:sz w:val="22"/>
                <w:szCs w:val="22"/>
              </w:rPr>
              <w:t xml:space="preserve"> (</w:t>
            </w:r>
            <w:r w:rsidR="009E75D3" w:rsidRPr="001C04A2">
              <w:rPr>
                <w:rStyle w:val="footnoteref"/>
                <w:sz w:val="22"/>
                <w:szCs w:val="22"/>
              </w:rPr>
              <w:t>Ohio Rev. Code §</w:t>
            </w:r>
            <w:r w:rsidR="00704235" w:rsidRPr="001C04A2">
              <w:rPr>
                <w:rStyle w:val="footnoteref"/>
                <w:sz w:val="22"/>
                <w:szCs w:val="22"/>
              </w:rPr>
              <w:t xml:space="preserve"> 133.32)</w:t>
            </w:r>
            <w:r w:rsidRPr="001C04A2">
              <w:rPr>
                <w:rStyle w:val="footnoteref"/>
                <w:sz w:val="22"/>
                <w:szCs w:val="22"/>
              </w:rPr>
              <w:t xml:space="preserve">.  Therefore, resources and total assets in the capital project fund are overstated, and understated by similar amounts in the debt service fund.  If these funds are in different opinion units, a </w:t>
            </w:r>
            <w:proofErr w:type="gramStart"/>
            <w:r w:rsidRPr="001C04A2">
              <w:rPr>
                <w:rStyle w:val="footnoteref"/>
                <w:sz w:val="22"/>
                <w:szCs w:val="22"/>
              </w:rPr>
              <w:t>misstatement</w:t>
            </w:r>
            <w:proofErr w:type="gramEnd"/>
            <w:r w:rsidRPr="001C04A2">
              <w:rPr>
                <w:rStyle w:val="footnoteref"/>
                <w:sz w:val="22"/>
                <w:szCs w:val="22"/>
              </w:rPr>
              <w:t xml:space="preserve"> </w:t>
            </w:r>
            <w:proofErr w:type="gramStart"/>
            <w:r w:rsidRPr="001C04A2">
              <w:rPr>
                <w:rStyle w:val="footnoteref"/>
                <w:sz w:val="22"/>
                <w:szCs w:val="22"/>
              </w:rPr>
              <w:t>occurred</w:t>
            </w:r>
            <w:proofErr w:type="gramEnd"/>
            <w:r w:rsidRPr="001C04A2">
              <w:rPr>
                <w:rStyle w:val="footnoteref"/>
                <w:sz w:val="22"/>
                <w:szCs w:val="22"/>
              </w:rPr>
              <w:t>.</w:t>
            </w:r>
          </w:p>
          <w:p w14:paraId="72592195" w14:textId="77777777" w:rsidR="004F0BD8" w:rsidRPr="001C04A2" w:rsidRDefault="004F0BD8" w:rsidP="00406A54">
            <w:pPr>
              <w:tabs>
                <w:tab w:val="left" w:pos="0"/>
                <w:tab w:val="left" w:pos="547"/>
                <w:tab w:val="left" w:pos="936"/>
                <w:tab w:val="left" w:pos="1440"/>
                <w:tab w:val="left" w:pos="1987"/>
              </w:tabs>
              <w:jc w:val="both"/>
              <w:rPr>
                <w:rStyle w:val="footnoteref"/>
                <w:sz w:val="22"/>
                <w:szCs w:val="22"/>
              </w:rPr>
            </w:pPr>
          </w:p>
          <w:p w14:paraId="606A5899" w14:textId="77777777" w:rsidR="004F0BD8" w:rsidRPr="001C04A2" w:rsidRDefault="00643B9C" w:rsidP="00406A54">
            <w:pPr>
              <w:tabs>
                <w:tab w:val="left" w:pos="0"/>
                <w:tab w:val="left" w:pos="547"/>
                <w:tab w:val="left" w:pos="936"/>
                <w:tab w:val="left" w:pos="1440"/>
                <w:tab w:val="left" w:pos="1987"/>
              </w:tabs>
              <w:jc w:val="both"/>
              <w:rPr>
                <w:rStyle w:val="footnoteref"/>
                <w:sz w:val="22"/>
                <w:szCs w:val="22"/>
              </w:rPr>
            </w:pPr>
            <w:r w:rsidRPr="001C04A2">
              <w:rPr>
                <w:rStyle w:val="footnoteref"/>
                <w:sz w:val="22"/>
                <w:szCs w:val="22"/>
              </w:rPr>
              <w:t>I</w:t>
            </w:r>
            <w:r w:rsidR="004F0BD8" w:rsidRPr="001C04A2">
              <w:rPr>
                <w:rStyle w:val="footnoteref"/>
                <w:sz w:val="22"/>
                <w:szCs w:val="22"/>
              </w:rPr>
              <w:t xml:space="preserve">f the two funds are in the same opinion unit (such as RFI), </w:t>
            </w:r>
            <w:r w:rsidRPr="001C04A2">
              <w:rPr>
                <w:rStyle w:val="footnoteref"/>
                <w:sz w:val="22"/>
                <w:szCs w:val="22"/>
              </w:rPr>
              <w:t xml:space="preserve">no </w:t>
            </w:r>
            <w:proofErr w:type="gramStart"/>
            <w:r w:rsidRPr="001C04A2">
              <w:rPr>
                <w:rStyle w:val="footnoteref"/>
                <w:sz w:val="22"/>
                <w:szCs w:val="22"/>
              </w:rPr>
              <w:t>misstatement</w:t>
            </w:r>
            <w:proofErr w:type="gramEnd"/>
            <w:r w:rsidRPr="001C04A2">
              <w:rPr>
                <w:rStyle w:val="footnoteref"/>
                <w:sz w:val="22"/>
                <w:szCs w:val="22"/>
              </w:rPr>
              <w:t xml:space="preserve"> occurred</w:t>
            </w:r>
            <w:r w:rsidR="00EE6F77" w:rsidRPr="001C04A2">
              <w:rPr>
                <w:rStyle w:val="footnoteref"/>
                <w:sz w:val="22"/>
                <w:szCs w:val="22"/>
              </w:rPr>
              <w:t>, so there is no direct effect</w:t>
            </w:r>
            <w:r w:rsidRPr="001C04A2">
              <w:rPr>
                <w:rStyle w:val="footnoteref"/>
                <w:sz w:val="22"/>
                <w:szCs w:val="22"/>
              </w:rPr>
              <w:t xml:space="preserve">.  However, </w:t>
            </w:r>
            <w:r w:rsidR="004F0BD8" w:rsidRPr="001C04A2">
              <w:rPr>
                <w:rStyle w:val="footnoteref"/>
                <w:sz w:val="22"/>
                <w:szCs w:val="22"/>
              </w:rPr>
              <w:t>the matter is important enough to warrant attention by those charged with governance.</w:t>
            </w:r>
          </w:p>
          <w:p w14:paraId="6AD5CF01" w14:textId="77777777" w:rsidR="004F0BD8" w:rsidRPr="001C04A2" w:rsidRDefault="004F0BD8" w:rsidP="00406A54">
            <w:pPr>
              <w:tabs>
                <w:tab w:val="left" w:pos="0"/>
                <w:tab w:val="left" w:pos="547"/>
                <w:tab w:val="left" w:pos="936"/>
                <w:tab w:val="left" w:pos="1440"/>
                <w:tab w:val="left" w:pos="1987"/>
              </w:tabs>
              <w:jc w:val="both"/>
              <w:rPr>
                <w:rStyle w:val="footnoteref"/>
                <w:sz w:val="22"/>
                <w:szCs w:val="22"/>
              </w:rPr>
            </w:pPr>
          </w:p>
          <w:p w14:paraId="27734902" w14:textId="00459A32" w:rsidR="004F0BD8" w:rsidRPr="001C04A2" w:rsidRDefault="004F0BD8" w:rsidP="00406A54">
            <w:pPr>
              <w:tabs>
                <w:tab w:val="left" w:pos="547"/>
                <w:tab w:val="left" w:pos="936"/>
                <w:tab w:val="left" w:pos="1440"/>
                <w:tab w:val="left" w:pos="1987"/>
              </w:tabs>
              <w:jc w:val="both"/>
              <w:rPr>
                <w:rStyle w:val="footnoteref"/>
                <w:sz w:val="22"/>
                <w:szCs w:val="22"/>
              </w:rPr>
            </w:pPr>
            <w:r w:rsidRPr="001C04A2">
              <w:rPr>
                <w:rStyle w:val="footnoteref"/>
                <w:sz w:val="22"/>
                <w:szCs w:val="22"/>
              </w:rPr>
              <w:t>The auditor would propose an audit adjustment to correct the balances in the two funds</w:t>
            </w:r>
            <w:r w:rsidR="00387F2F" w:rsidRPr="00432237">
              <w:rPr>
                <w:rStyle w:val="footnoteref"/>
                <w:sz w:val="22"/>
                <w:szCs w:val="22"/>
              </w:rPr>
              <w:t xml:space="preserve"> on </w:t>
            </w:r>
            <w:proofErr w:type="gramStart"/>
            <w:r w:rsidR="00387F2F" w:rsidRPr="00432237">
              <w:rPr>
                <w:rStyle w:val="footnoteref"/>
                <w:sz w:val="22"/>
                <w:szCs w:val="22"/>
              </w:rPr>
              <w:t>the</w:t>
            </w:r>
            <w:proofErr w:type="gramEnd"/>
            <w:r w:rsidR="00387F2F" w:rsidRPr="00432237">
              <w:rPr>
                <w:rStyle w:val="footnoteref"/>
                <w:sz w:val="22"/>
                <w:szCs w:val="22"/>
              </w:rPr>
              <w:t xml:space="preserve"> budgetary basis</w:t>
            </w:r>
            <w:r w:rsidRPr="001C04A2">
              <w:rPr>
                <w:rStyle w:val="footnoteref"/>
                <w:sz w:val="22"/>
                <w:szCs w:val="22"/>
              </w:rPr>
              <w:t>.</w:t>
            </w:r>
          </w:p>
        </w:tc>
        <w:tc>
          <w:tcPr>
            <w:tcW w:w="1764" w:type="dxa"/>
          </w:tcPr>
          <w:p w14:paraId="0CC49E15" w14:textId="77777777" w:rsidR="00DA1C5C" w:rsidRPr="001C04A2" w:rsidRDefault="00DA1C5C" w:rsidP="0034575B">
            <w:pPr>
              <w:tabs>
                <w:tab w:val="left" w:pos="0"/>
                <w:tab w:val="left" w:pos="547"/>
                <w:tab w:val="left" w:pos="936"/>
                <w:tab w:val="left" w:pos="1440"/>
                <w:tab w:val="left" w:pos="1987"/>
              </w:tabs>
              <w:rPr>
                <w:rStyle w:val="footnoteref"/>
                <w:sz w:val="22"/>
                <w:szCs w:val="22"/>
              </w:rPr>
            </w:pPr>
            <w:r w:rsidRPr="001C04A2">
              <w:rPr>
                <w:rStyle w:val="footnoteref"/>
                <w:sz w:val="22"/>
                <w:szCs w:val="22"/>
              </w:rPr>
              <w:t>Report a finding in the GAGAS report.</w:t>
            </w:r>
          </w:p>
          <w:p w14:paraId="6DF142A0" w14:textId="77777777" w:rsidR="00EC669B" w:rsidRPr="001C04A2" w:rsidRDefault="00EC669B" w:rsidP="0034575B">
            <w:pPr>
              <w:tabs>
                <w:tab w:val="left" w:pos="0"/>
                <w:tab w:val="left" w:pos="547"/>
                <w:tab w:val="left" w:pos="936"/>
                <w:tab w:val="left" w:pos="1440"/>
                <w:tab w:val="left" w:pos="1987"/>
              </w:tabs>
              <w:rPr>
                <w:rStyle w:val="footnoteref"/>
                <w:sz w:val="22"/>
                <w:szCs w:val="22"/>
              </w:rPr>
            </w:pPr>
          </w:p>
          <w:p w14:paraId="5B95DA67" w14:textId="61F0A1A9" w:rsidR="00E51A55" w:rsidRPr="001C04A2" w:rsidRDefault="009650DB" w:rsidP="00E51A55">
            <w:pPr>
              <w:tabs>
                <w:tab w:val="left" w:pos="0"/>
                <w:tab w:val="left" w:pos="547"/>
                <w:tab w:val="left" w:pos="936"/>
                <w:tab w:val="left" w:pos="1440"/>
                <w:tab w:val="left" w:pos="1987"/>
              </w:tabs>
              <w:rPr>
                <w:rStyle w:val="footnoteref"/>
                <w:sz w:val="22"/>
                <w:szCs w:val="22"/>
              </w:rPr>
            </w:pPr>
            <w:r w:rsidRPr="00571C4E">
              <w:rPr>
                <w:rStyle w:val="footnoteref"/>
                <w:sz w:val="22"/>
                <w:szCs w:val="22"/>
              </w:rPr>
              <w:t xml:space="preserve">Also, as described in </w:t>
            </w:r>
            <w:hyperlink r:id="rId17" w:history="1">
              <w:r w:rsidRPr="00571C4E">
                <w:rPr>
                  <w:rStyle w:val="Hyperlink"/>
                  <w:sz w:val="22"/>
                  <w:szCs w:val="22"/>
                </w:rPr>
                <w:t>AOS Bulletin 2014-001</w:t>
              </w:r>
            </w:hyperlink>
            <w:r w:rsidRPr="00571C4E">
              <w:rPr>
                <w:rStyle w:val="footnoteref"/>
                <w:sz w:val="22"/>
                <w:szCs w:val="22"/>
              </w:rPr>
              <w:t>, for bonds and notes issued on and after July 1,</w:t>
            </w:r>
            <w:r w:rsidRPr="001C04A2">
              <w:rPr>
                <w:rStyle w:val="footnoteref"/>
                <w:sz w:val="22"/>
                <w:szCs w:val="22"/>
              </w:rPr>
              <w:t xml:space="preserve"> 2014, AOS will issue findings for adjustment.  </w:t>
            </w:r>
          </w:p>
          <w:p w14:paraId="1EE87903" w14:textId="77777777" w:rsidR="00E51A55" w:rsidRPr="001C04A2" w:rsidRDefault="00E51A55" w:rsidP="00E51A55">
            <w:pPr>
              <w:tabs>
                <w:tab w:val="left" w:pos="0"/>
                <w:tab w:val="left" w:pos="547"/>
                <w:tab w:val="left" w:pos="936"/>
                <w:tab w:val="left" w:pos="1440"/>
                <w:tab w:val="left" w:pos="1987"/>
              </w:tabs>
              <w:rPr>
                <w:rStyle w:val="footnoteref"/>
                <w:sz w:val="22"/>
                <w:szCs w:val="22"/>
              </w:rPr>
            </w:pPr>
          </w:p>
          <w:p w14:paraId="57772887" w14:textId="77777777" w:rsidR="00EC669B" w:rsidRPr="001C04A2" w:rsidRDefault="00E51A55" w:rsidP="00E51A55">
            <w:pPr>
              <w:tabs>
                <w:tab w:val="left" w:pos="0"/>
                <w:tab w:val="left" w:pos="547"/>
                <w:tab w:val="left" w:pos="936"/>
                <w:tab w:val="left" w:pos="1440"/>
                <w:tab w:val="left" w:pos="1987"/>
              </w:tabs>
              <w:rPr>
                <w:rStyle w:val="footnoteref"/>
                <w:sz w:val="22"/>
                <w:szCs w:val="22"/>
              </w:rPr>
            </w:pPr>
            <w:r w:rsidRPr="001C04A2">
              <w:rPr>
                <w:rStyle w:val="footnoteref"/>
                <w:sz w:val="22"/>
                <w:szCs w:val="22"/>
              </w:rPr>
              <w:t xml:space="preserve">See the </w:t>
            </w:r>
            <w:r w:rsidR="000E1648" w:rsidRPr="001C04A2">
              <w:rPr>
                <w:rStyle w:val="footnoteref"/>
                <w:b/>
                <w:i/>
                <w:sz w:val="22"/>
                <w:szCs w:val="22"/>
              </w:rPr>
              <w:t>Finding</w:t>
            </w:r>
            <w:r w:rsidRPr="001C04A2">
              <w:rPr>
                <w:rStyle w:val="footnoteref"/>
                <w:b/>
                <w:i/>
                <w:sz w:val="22"/>
                <w:szCs w:val="22"/>
              </w:rPr>
              <w:t>s for Adjustment</w:t>
            </w:r>
            <w:r w:rsidRPr="001C04A2">
              <w:rPr>
                <w:rStyle w:val="footnoteref"/>
                <w:sz w:val="22"/>
                <w:szCs w:val="22"/>
              </w:rPr>
              <w:t xml:space="preserve"> section later in this Guide.</w:t>
            </w:r>
          </w:p>
        </w:tc>
      </w:tr>
      <w:tr w:rsidR="00DA1C5C" w:rsidRPr="00F45E67" w14:paraId="49882D0F" w14:textId="77777777" w:rsidTr="004F0BD8">
        <w:tc>
          <w:tcPr>
            <w:tcW w:w="2358" w:type="dxa"/>
          </w:tcPr>
          <w:p w14:paraId="5D77CDCE" w14:textId="77777777" w:rsidR="00DA1C5C" w:rsidRPr="001C04A2" w:rsidRDefault="00DA1C5C" w:rsidP="001254CD">
            <w:pPr>
              <w:tabs>
                <w:tab w:val="left" w:pos="0"/>
                <w:tab w:val="left" w:pos="547"/>
                <w:tab w:val="left" w:pos="936"/>
                <w:tab w:val="left" w:pos="1440"/>
                <w:tab w:val="left" w:pos="1987"/>
              </w:tabs>
              <w:rPr>
                <w:rStyle w:val="footnoteref"/>
                <w:sz w:val="22"/>
                <w:szCs w:val="22"/>
              </w:rPr>
            </w:pPr>
            <w:r w:rsidRPr="001C04A2">
              <w:rPr>
                <w:rStyle w:val="footnoteref"/>
                <w:sz w:val="22"/>
                <w:szCs w:val="22"/>
              </w:rPr>
              <w:t xml:space="preserve">Total fund </w:t>
            </w:r>
            <w:r w:rsidR="001254CD" w:rsidRPr="001C04A2">
              <w:rPr>
                <w:rStyle w:val="footnoteref"/>
                <w:sz w:val="22"/>
                <w:szCs w:val="22"/>
              </w:rPr>
              <w:t xml:space="preserve">“X” </w:t>
            </w:r>
            <w:r w:rsidRPr="001C04A2">
              <w:rPr>
                <w:rStyle w:val="footnoteref"/>
                <w:sz w:val="22"/>
                <w:szCs w:val="22"/>
              </w:rPr>
              <w:t>budget expenditures exceed appropriations.</w:t>
            </w:r>
          </w:p>
        </w:tc>
        <w:tc>
          <w:tcPr>
            <w:tcW w:w="6030" w:type="dxa"/>
          </w:tcPr>
          <w:p w14:paraId="581F4082" w14:textId="6E38F2DB" w:rsidR="007D4D72" w:rsidRPr="001C04A2" w:rsidRDefault="001254CD" w:rsidP="005C605A">
            <w:pPr>
              <w:tabs>
                <w:tab w:val="left" w:pos="0"/>
                <w:tab w:val="left" w:pos="547"/>
                <w:tab w:val="left" w:pos="936"/>
                <w:tab w:val="left" w:pos="1440"/>
                <w:tab w:val="left" w:pos="1987"/>
              </w:tabs>
              <w:jc w:val="both"/>
              <w:rPr>
                <w:rStyle w:val="footnoteref"/>
                <w:sz w:val="22"/>
                <w:szCs w:val="22"/>
              </w:rPr>
            </w:pPr>
            <w:r w:rsidRPr="001C04A2">
              <w:rPr>
                <w:rStyle w:val="footnoteref"/>
                <w:sz w:val="22"/>
                <w:szCs w:val="22"/>
              </w:rPr>
              <w:t>If t</w:t>
            </w:r>
            <w:r w:rsidR="00DA1C5C" w:rsidRPr="001C04A2">
              <w:rPr>
                <w:rStyle w:val="footnoteref"/>
                <w:sz w:val="22"/>
                <w:szCs w:val="22"/>
              </w:rPr>
              <w:t>he</w:t>
            </w:r>
            <w:r w:rsidR="0044425C" w:rsidRPr="001C04A2">
              <w:rPr>
                <w:rStyle w:val="footnoteref"/>
                <w:sz w:val="22"/>
                <w:szCs w:val="22"/>
              </w:rPr>
              <w:t xml:space="preserve"> budgetary statement or budgetary RSI for the</w:t>
            </w:r>
            <w:r w:rsidR="00DA1C5C" w:rsidRPr="001C04A2">
              <w:rPr>
                <w:rStyle w:val="footnoteref"/>
                <w:sz w:val="22"/>
                <w:szCs w:val="22"/>
              </w:rPr>
              <w:t xml:space="preserve"> fund </w:t>
            </w:r>
            <w:r w:rsidRPr="001C04A2">
              <w:rPr>
                <w:rStyle w:val="footnoteref"/>
                <w:sz w:val="22"/>
                <w:szCs w:val="22"/>
              </w:rPr>
              <w:t>reports the negative variance (such as would occur for a major special revenue fund</w:t>
            </w:r>
            <w:r w:rsidR="0044425C" w:rsidRPr="001C04A2">
              <w:rPr>
                <w:rStyle w:val="footnoteref"/>
                <w:sz w:val="22"/>
                <w:szCs w:val="22"/>
              </w:rPr>
              <w:t>)</w:t>
            </w:r>
            <w:r w:rsidRPr="001C04A2">
              <w:rPr>
                <w:rStyle w:val="footnoteref"/>
                <w:sz w:val="22"/>
                <w:szCs w:val="22"/>
              </w:rPr>
              <w:t xml:space="preserve">, </w:t>
            </w:r>
            <w:r w:rsidR="00DA1C5C" w:rsidRPr="001C04A2">
              <w:rPr>
                <w:rStyle w:val="footnoteref"/>
                <w:sz w:val="22"/>
                <w:szCs w:val="22"/>
              </w:rPr>
              <w:t xml:space="preserve">no misstatement occurred.  However, </w:t>
            </w:r>
            <w:r w:rsidR="007D4D72" w:rsidRPr="001C04A2">
              <w:rPr>
                <w:rStyle w:val="footnoteref"/>
                <w:sz w:val="22"/>
                <w:szCs w:val="22"/>
              </w:rPr>
              <w:t xml:space="preserve">even for funds </w:t>
            </w:r>
            <w:r w:rsidR="007D4D72" w:rsidRPr="001C04A2">
              <w:rPr>
                <w:rStyle w:val="footnoteref"/>
                <w:i/>
                <w:sz w:val="22"/>
                <w:szCs w:val="22"/>
              </w:rPr>
              <w:t>not</w:t>
            </w:r>
            <w:r w:rsidR="007D4D72" w:rsidRPr="001C04A2">
              <w:rPr>
                <w:rStyle w:val="footnoteref"/>
                <w:sz w:val="22"/>
                <w:szCs w:val="22"/>
              </w:rPr>
              <w:t xml:space="preserve"> included in budget presentations,</w:t>
            </w:r>
            <w:r w:rsidR="00CA01E3" w:rsidRPr="001C04A2">
              <w:rPr>
                <w:rStyle w:val="FootnoteReference"/>
                <w:sz w:val="22"/>
                <w:szCs w:val="22"/>
              </w:rPr>
              <w:footnoteReference w:id="8"/>
            </w:r>
            <w:r w:rsidR="007D4D72" w:rsidRPr="001C04A2">
              <w:rPr>
                <w:rStyle w:val="footnoteref"/>
                <w:sz w:val="22"/>
                <w:szCs w:val="22"/>
              </w:rPr>
              <w:t xml:space="preserve"> </w:t>
            </w:r>
            <w:r w:rsidR="0044425C" w:rsidRPr="001C04A2">
              <w:rPr>
                <w:rStyle w:val="footnoteref"/>
                <w:sz w:val="22"/>
                <w:szCs w:val="22"/>
              </w:rPr>
              <w:t>significant over-</w:t>
            </w:r>
            <w:r w:rsidR="00DA1C5C" w:rsidRPr="001C04A2">
              <w:rPr>
                <w:rStyle w:val="footnoteref"/>
                <w:sz w:val="22"/>
                <w:szCs w:val="22"/>
              </w:rPr>
              <w:t xml:space="preserve">expenditure </w:t>
            </w:r>
            <w:r w:rsidR="009D27BE" w:rsidRPr="001C04A2">
              <w:rPr>
                <w:rStyle w:val="footnoteref"/>
                <w:sz w:val="22"/>
                <w:szCs w:val="22"/>
              </w:rPr>
              <w:t xml:space="preserve">of appropriation could endanger the </w:t>
            </w:r>
            <w:r w:rsidRPr="001C04A2">
              <w:rPr>
                <w:rStyle w:val="footnoteref"/>
                <w:sz w:val="22"/>
                <w:szCs w:val="22"/>
              </w:rPr>
              <w:t xml:space="preserve">program’s </w:t>
            </w:r>
            <w:r w:rsidR="009D27BE" w:rsidRPr="001C04A2">
              <w:rPr>
                <w:rStyle w:val="footnoteref"/>
                <w:sz w:val="22"/>
                <w:szCs w:val="22"/>
              </w:rPr>
              <w:t xml:space="preserve">sustainability, so the noncompliance </w:t>
            </w:r>
            <w:r w:rsidR="00DA1C5C" w:rsidRPr="001C04A2">
              <w:rPr>
                <w:rStyle w:val="footnoteref"/>
                <w:sz w:val="22"/>
                <w:szCs w:val="22"/>
              </w:rPr>
              <w:t xml:space="preserve">warrants </w:t>
            </w:r>
            <w:r w:rsidR="00387F2F" w:rsidRPr="005C605A">
              <w:rPr>
                <w:rStyle w:val="footnoteref"/>
                <w:sz w:val="22"/>
                <w:szCs w:val="22"/>
              </w:rPr>
              <w:t xml:space="preserve">the </w:t>
            </w:r>
            <w:r w:rsidR="00DA1C5C" w:rsidRPr="005C605A">
              <w:rPr>
                <w:rStyle w:val="footnoteref"/>
                <w:sz w:val="22"/>
                <w:szCs w:val="22"/>
              </w:rPr>
              <w:t>attention</w:t>
            </w:r>
            <w:r w:rsidR="00387F2F" w:rsidRPr="005C605A">
              <w:rPr>
                <w:rStyle w:val="footnoteref"/>
                <w:sz w:val="22"/>
                <w:szCs w:val="22"/>
              </w:rPr>
              <w:t xml:space="preserve"> of those charged with governance</w:t>
            </w:r>
            <w:r w:rsidR="00DA1C5C" w:rsidRPr="005C605A">
              <w:rPr>
                <w:rStyle w:val="footnoteref"/>
                <w:sz w:val="22"/>
                <w:szCs w:val="22"/>
              </w:rPr>
              <w:t>.</w:t>
            </w:r>
            <w:r w:rsidR="00B92774">
              <w:rPr>
                <w:rStyle w:val="footnoteref"/>
                <w:sz w:val="22"/>
                <w:szCs w:val="22"/>
              </w:rPr>
              <w:t xml:space="preserve">  </w:t>
            </w:r>
            <w:r w:rsidR="00B92774" w:rsidRPr="00B92774">
              <w:rPr>
                <w:rStyle w:val="footnoteref"/>
                <w:b/>
                <w:bCs/>
                <w:sz w:val="22"/>
                <w:szCs w:val="22"/>
                <w:u w:val="double"/>
              </w:rPr>
              <w:t>Note:</w:t>
            </w:r>
            <w:r w:rsidR="00B92774" w:rsidRPr="00B92774">
              <w:rPr>
                <w:rStyle w:val="footnoteref"/>
                <w:sz w:val="22"/>
                <w:szCs w:val="22"/>
                <w:u w:val="double"/>
              </w:rPr>
              <w:t xml:space="preserve"> This example is pre-GASB 103.  Upon implementation of GASB 103, budgetary comparisons are required to be presented as RSI on the GAAP basis.</w:t>
            </w:r>
          </w:p>
        </w:tc>
        <w:tc>
          <w:tcPr>
            <w:tcW w:w="1764" w:type="dxa"/>
          </w:tcPr>
          <w:p w14:paraId="41FAB1EA" w14:textId="77777777" w:rsidR="00DA1C5C" w:rsidRPr="001C04A2" w:rsidRDefault="00DA1C5C" w:rsidP="0034575B">
            <w:pPr>
              <w:tabs>
                <w:tab w:val="left" w:pos="0"/>
                <w:tab w:val="left" w:pos="547"/>
                <w:tab w:val="left" w:pos="936"/>
                <w:tab w:val="left" w:pos="1440"/>
                <w:tab w:val="left" w:pos="1987"/>
              </w:tabs>
              <w:rPr>
                <w:rStyle w:val="footnoteref"/>
                <w:sz w:val="22"/>
                <w:szCs w:val="22"/>
              </w:rPr>
            </w:pPr>
            <w:r w:rsidRPr="001C04A2">
              <w:rPr>
                <w:rStyle w:val="footnoteref"/>
                <w:sz w:val="22"/>
                <w:szCs w:val="22"/>
              </w:rPr>
              <w:t>Report a finding in the GAGAS report.</w:t>
            </w:r>
          </w:p>
        </w:tc>
      </w:tr>
      <w:tr w:rsidR="00DA1C5C" w:rsidRPr="00F45E67" w14:paraId="7C2910B9" w14:textId="77777777" w:rsidTr="004F0BD8">
        <w:tc>
          <w:tcPr>
            <w:tcW w:w="2358" w:type="dxa"/>
          </w:tcPr>
          <w:p w14:paraId="08356421" w14:textId="77777777" w:rsidR="00DA1C5C" w:rsidRPr="001C04A2" w:rsidRDefault="00DA1C5C" w:rsidP="0034575B">
            <w:pPr>
              <w:tabs>
                <w:tab w:val="left" w:pos="0"/>
                <w:tab w:val="left" w:pos="547"/>
                <w:tab w:val="left" w:pos="936"/>
                <w:tab w:val="left" w:pos="1440"/>
                <w:tab w:val="left" w:pos="1987"/>
              </w:tabs>
              <w:rPr>
                <w:rStyle w:val="footnoteref"/>
                <w:sz w:val="22"/>
                <w:szCs w:val="22"/>
              </w:rPr>
            </w:pPr>
            <w:r w:rsidRPr="001C04A2">
              <w:rPr>
                <w:rStyle w:val="footnoteref"/>
                <w:sz w:val="22"/>
                <w:szCs w:val="22"/>
              </w:rPr>
              <w:t>The government purchased a speculative hedging instrument.</w:t>
            </w:r>
          </w:p>
        </w:tc>
        <w:tc>
          <w:tcPr>
            <w:tcW w:w="6030" w:type="dxa"/>
          </w:tcPr>
          <w:p w14:paraId="034F0B00" w14:textId="77777777" w:rsidR="00DA1C5C" w:rsidRPr="001C04A2" w:rsidRDefault="00DA1C5C" w:rsidP="00406A54">
            <w:pPr>
              <w:tabs>
                <w:tab w:val="left" w:pos="0"/>
                <w:tab w:val="left" w:pos="547"/>
                <w:tab w:val="left" w:pos="936"/>
                <w:tab w:val="left" w:pos="1440"/>
                <w:tab w:val="left" w:pos="1987"/>
              </w:tabs>
              <w:jc w:val="both"/>
              <w:rPr>
                <w:rStyle w:val="footnoteref"/>
                <w:sz w:val="22"/>
                <w:szCs w:val="22"/>
              </w:rPr>
            </w:pPr>
            <w:r w:rsidRPr="001C04A2">
              <w:rPr>
                <w:rStyle w:val="footnoteref"/>
                <w:sz w:val="22"/>
                <w:szCs w:val="22"/>
              </w:rPr>
              <w:t xml:space="preserve">If classified and disclosed properly, no </w:t>
            </w:r>
            <w:proofErr w:type="gramStart"/>
            <w:r w:rsidRPr="001C04A2">
              <w:rPr>
                <w:rStyle w:val="footnoteref"/>
                <w:sz w:val="22"/>
                <w:szCs w:val="22"/>
              </w:rPr>
              <w:t>misstatement</w:t>
            </w:r>
            <w:proofErr w:type="gramEnd"/>
            <w:r w:rsidRPr="001C04A2">
              <w:rPr>
                <w:rStyle w:val="footnoteref"/>
                <w:sz w:val="22"/>
                <w:szCs w:val="22"/>
              </w:rPr>
              <w:t xml:space="preserve"> occurred.  However, because </w:t>
            </w:r>
            <w:r w:rsidR="004F0BD8" w:rsidRPr="001C04A2">
              <w:rPr>
                <w:rStyle w:val="footnoteref"/>
                <w:sz w:val="22"/>
                <w:szCs w:val="22"/>
              </w:rPr>
              <w:t>it is unauthorized i</w:t>
            </w:r>
            <w:r w:rsidRPr="001C04A2">
              <w:rPr>
                <w:rStyle w:val="footnoteref"/>
                <w:sz w:val="22"/>
                <w:szCs w:val="22"/>
              </w:rPr>
              <w:t xml:space="preserve">n </w:t>
            </w:r>
            <w:r w:rsidR="004F0BD8" w:rsidRPr="001C04A2">
              <w:rPr>
                <w:rStyle w:val="footnoteref"/>
                <w:sz w:val="22"/>
                <w:szCs w:val="22"/>
              </w:rPr>
              <w:t xml:space="preserve">the </w:t>
            </w:r>
            <w:r w:rsidR="009E75D3" w:rsidRPr="001C04A2">
              <w:rPr>
                <w:rStyle w:val="footnoteref"/>
                <w:sz w:val="22"/>
                <w:szCs w:val="22"/>
              </w:rPr>
              <w:t>Ohio Revised Code</w:t>
            </w:r>
            <w:r w:rsidRPr="001C04A2">
              <w:rPr>
                <w:rStyle w:val="footnoteref"/>
                <w:sz w:val="22"/>
                <w:szCs w:val="22"/>
              </w:rPr>
              <w:t xml:space="preserve">, </w:t>
            </w:r>
            <w:r w:rsidR="004F0BD8" w:rsidRPr="001C04A2">
              <w:rPr>
                <w:rStyle w:val="footnoteref"/>
                <w:sz w:val="22"/>
                <w:szCs w:val="22"/>
              </w:rPr>
              <w:t xml:space="preserve">and </w:t>
            </w:r>
            <w:r w:rsidRPr="001C04A2">
              <w:rPr>
                <w:rStyle w:val="footnoteref"/>
                <w:sz w:val="22"/>
                <w:szCs w:val="22"/>
              </w:rPr>
              <w:t xml:space="preserve">we assume it poses unnecessary risk of loss to the government, </w:t>
            </w:r>
            <w:r w:rsidR="004F0BD8" w:rsidRPr="001C04A2">
              <w:rPr>
                <w:rStyle w:val="footnoteref"/>
                <w:sz w:val="22"/>
                <w:szCs w:val="22"/>
              </w:rPr>
              <w:t>it</w:t>
            </w:r>
            <w:r w:rsidRPr="001C04A2">
              <w:rPr>
                <w:rStyle w:val="footnoteref"/>
                <w:sz w:val="22"/>
                <w:szCs w:val="22"/>
              </w:rPr>
              <w:t xml:space="preserve"> warrants the attention of those charged with governance.</w:t>
            </w:r>
          </w:p>
        </w:tc>
        <w:tc>
          <w:tcPr>
            <w:tcW w:w="1764" w:type="dxa"/>
          </w:tcPr>
          <w:p w14:paraId="0A65BDA5" w14:textId="77777777" w:rsidR="00DA1C5C" w:rsidRPr="001C04A2" w:rsidRDefault="00DA1C5C" w:rsidP="0034575B">
            <w:pPr>
              <w:tabs>
                <w:tab w:val="left" w:pos="0"/>
                <w:tab w:val="left" w:pos="547"/>
                <w:tab w:val="left" w:pos="936"/>
                <w:tab w:val="left" w:pos="1440"/>
                <w:tab w:val="left" w:pos="1987"/>
              </w:tabs>
              <w:rPr>
                <w:rStyle w:val="footnoteref"/>
                <w:sz w:val="22"/>
                <w:szCs w:val="22"/>
              </w:rPr>
            </w:pPr>
            <w:r w:rsidRPr="001C04A2">
              <w:rPr>
                <w:rStyle w:val="footnoteref"/>
                <w:sz w:val="22"/>
                <w:szCs w:val="22"/>
              </w:rPr>
              <w:t>Report a finding in the GAGAS report.</w:t>
            </w:r>
          </w:p>
        </w:tc>
      </w:tr>
      <w:tr w:rsidR="00DA1C5C" w:rsidRPr="00F45E67" w14:paraId="020B5F6B" w14:textId="77777777" w:rsidTr="004F0BD8">
        <w:tc>
          <w:tcPr>
            <w:tcW w:w="2358" w:type="dxa"/>
          </w:tcPr>
          <w:p w14:paraId="4E73795D" w14:textId="77777777" w:rsidR="00DA1C5C" w:rsidRPr="001C04A2" w:rsidRDefault="00667DBB" w:rsidP="00667DBB">
            <w:pPr>
              <w:tabs>
                <w:tab w:val="left" w:pos="0"/>
                <w:tab w:val="left" w:pos="547"/>
                <w:tab w:val="left" w:pos="936"/>
                <w:tab w:val="left" w:pos="1440"/>
                <w:tab w:val="left" w:pos="1987"/>
              </w:tabs>
              <w:rPr>
                <w:rStyle w:val="footnoteref"/>
                <w:b/>
                <w:sz w:val="22"/>
                <w:szCs w:val="22"/>
              </w:rPr>
            </w:pPr>
            <w:r w:rsidRPr="001C04A2">
              <w:rPr>
                <w:rStyle w:val="footnoteref"/>
                <w:sz w:val="22"/>
                <w:szCs w:val="22"/>
              </w:rPr>
              <w:t>Internet- or computer-based community school contracts with a nonpublic school for instructional facility space.</w:t>
            </w:r>
          </w:p>
        </w:tc>
        <w:tc>
          <w:tcPr>
            <w:tcW w:w="6030" w:type="dxa"/>
          </w:tcPr>
          <w:p w14:paraId="3F03D28E" w14:textId="3C45FDBA" w:rsidR="00DA1C5C" w:rsidRPr="001C04A2" w:rsidRDefault="00667DBB" w:rsidP="00406A54">
            <w:pPr>
              <w:tabs>
                <w:tab w:val="left" w:pos="0"/>
                <w:tab w:val="left" w:pos="547"/>
                <w:tab w:val="left" w:pos="936"/>
                <w:tab w:val="left" w:pos="1440"/>
                <w:tab w:val="left" w:pos="1987"/>
              </w:tabs>
              <w:jc w:val="both"/>
              <w:rPr>
                <w:rStyle w:val="footnoteref"/>
                <w:sz w:val="22"/>
                <w:szCs w:val="22"/>
              </w:rPr>
            </w:pPr>
            <w:r w:rsidRPr="001C04A2">
              <w:rPr>
                <w:rStyle w:val="footnoteref"/>
                <w:sz w:val="22"/>
                <w:szCs w:val="22"/>
              </w:rPr>
              <w:t xml:space="preserve">Violations require </w:t>
            </w:r>
            <w:r w:rsidR="00D97E99">
              <w:rPr>
                <w:rStyle w:val="footnoteref"/>
                <w:sz w:val="22"/>
                <w:szCs w:val="22"/>
              </w:rPr>
              <w:t>DEW</w:t>
            </w:r>
            <w:r w:rsidRPr="001C04A2">
              <w:rPr>
                <w:rStyle w:val="footnoteref"/>
                <w:sz w:val="22"/>
                <w:szCs w:val="22"/>
              </w:rPr>
              <w:t xml:space="preserve"> to withhold foundation payments for any students using nonpublic school facilities.  </w:t>
            </w:r>
            <w:r w:rsidR="00EE6F77" w:rsidRPr="001C04A2">
              <w:rPr>
                <w:rStyle w:val="footnoteref"/>
                <w:sz w:val="22"/>
                <w:szCs w:val="22"/>
              </w:rPr>
              <w:t xml:space="preserve">This is more in the nature of an indirect </w:t>
            </w:r>
            <w:r w:rsidR="00EE6F77" w:rsidRPr="001C04A2">
              <w:rPr>
                <w:rStyle w:val="footnoteref"/>
                <w:i/>
                <w:sz w:val="22"/>
                <w:szCs w:val="22"/>
              </w:rPr>
              <w:t xml:space="preserve">penalty </w:t>
            </w:r>
            <w:r w:rsidR="00EE6F77" w:rsidRPr="001C04A2">
              <w:rPr>
                <w:rStyle w:val="footnoteref"/>
                <w:sz w:val="22"/>
                <w:szCs w:val="22"/>
              </w:rPr>
              <w:t>per</w:t>
            </w:r>
            <w:r w:rsidR="00EE6F77" w:rsidRPr="001C04A2">
              <w:rPr>
                <w:rStyle w:val="footnoteref"/>
                <w:i/>
                <w:sz w:val="22"/>
                <w:szCs w:val="22"/>
              </w:rPr>
              <w:t xml:space="preserve"> </w:t>
            </w:r>
            <w:r w:rsidR="00EE6F77" w:rsidRPr="001C04A2">
              <w:rPr>
                <w:rStyle w:val="footnoteref"/>
                <w:sz w:val="22"/>
                <w:szCs w:val="22"/>
              </w:rPr>
              <w:t>AU-C 250.06(b)(iii) than a direct effect, but we should report it because it</w:t>
            </w:r>
            <w:r w:rsidRPr="001C04A2">
              <w:rPr>
                <w:rStyle w:val="footnoteref"/>
                <w:sz w:val="22"/>
                <w:szCs w:val="22"/>
              </w:rPr>
              <w:t xml:space="preserve"> could lead to the closing of the community school and therefore requires attention of those charged with governance.</w:t>
            </w:r>
          </w:p>
        </w:tc>
        <w:tc>
          <w:tcPr>
            <w:tcW w:w="1764" w:type="dxa"/>
          </w:tcPr>
          <w:p w14:paraId="10B16F66" w14:textId="77777777" w:rsidR="00DA1C5C" w:rsidRPr="001C04A2" w:rsidRDefault="00667DBB" w:rsidP="0034575B">
            <w:pPr>
              <w:tabs>
                <w:tab w:val="left" w:pos="0"/>
                <w:tab w:val="left" w:pos="547"/>
                <w:tab w:val="left" w:pos="936"/>
                <w:tab w:val="left" w:pos="1440"/>
                <w:tab w:val="left" w:pos="1987"/>
              </w:tabs>
              <w:rPr>
                <w:rStyle w:val="footnoteref"/>
                <w:sz w:val="22"/>
                <w:szCs w:val="22"/>
                <w:highlight w:val="yellow"/>
              </w:rPr>
            </w:pPr>
            <w:r w:rsidRPr="001C04A2">
              <w:rPr>
                <w:rStyle w:val="footnoteref"/>
                <w:sz w:val="22"/>
                <w:szCs w:val="22"/>
              </w:rPr>
              <w:t>Report a finding in the GAGAS report.</w:t>
            </w:r>
          </w:p>
        </w:tc>
      </w:tr>
    </w:tbl>
    <w:p w14:paraId="09584AAA" w14:textId="1D381D07" w:rsidR="00821379" w:rsidRDefault="00821379" w:rsidP="00271B7B">
      <w:pPr>
        <w:rPr>
          <w:rStyle w:val="footnoteref"/>
          <w:sz w:val="24"/>
          <w:szCs w:val="24"/>
        </w:rPr>
      </w:pPr>
    </w:p>
    <w:p w14:paraId="0CBE53E3" w14:textId="77777777" w:rsidR="00821379" w:rsidRDefault="00821379">
      <w:pPr>
        <w:rPr>
          <w:rStyle w:val="footnoteref"/>
          <w:sz w:val="24"/>
          <w:szCs w:val="24"/>
        </w:rPr>
      </w:pPr>
      <w:r>
        <w:rPr>
          <w:rStyle w:val="footnoteref"/>
          <w:sz w:val="24"/>
          <w:szCs w:val="24"/>
        </w:rPr>
        <w:br w:type="page"/>
      </w:r>
    </w:p>
    <w:p w14:paraId="1952EC18" w14:textId="77777777" w:rsidR="00271B7B" w:rsidRDefault="00271B7B" w:rsidP="00271B7B">
      <w:pPr>
        <w:rPr>
          <w:rStyle w:val="footnoteref"/>
          <w:sz w:val="24"/>
          <w:szCs w:val="24"/>
        </w:rPr>
        <w:sectPr w:rsidR="00271B7B" w:rsidSect="002A3762">
          <w:headerReference w:type="default" r:id="rId18"/>
          <w:type w:val="continuous"/>
          <w:pgSz w:w="12240" w:h="15840"/>
          <w:pgMar w:top="1152" w:right="1152" w:bottom="720" w:left="1152" w:header="720" w:footer="720" w:gutter="0"/>
          <w:cols w:space="720"/>
          <w:noEndnote/>
        </w:sectPr>
      </w:pPr>
    </w:p>
    <w:p w14:paraId="1B35177B" w14:textId="2362555D" w:rsidR="008F6A36" w:rsidRPr="00F45E67" w:rsidRDefault="008F6A36" w:rsidP="00621F8F">
      <w:pPr>
        <w:pStyle w:val="Subtitle"/>
        <w:shd w:val="clear" w:color="auto" w:fill="A6A6A6" w:themeFill="background1" w:themeFillShade="A6"/>
        <w:rPr>
          <w:sz w:val="24"/>
          <w:szCs w:val="24"/>
        </w:rPr>
      </w:pPr>
      <w:bookmarkStart w:id="18" w:name="_Toc214431124"/>
      <w:r w:rsidRPr="00F45E67">
        <w:t>Audit Findings</w:t>
      </w:r>
      <w:bookmarkEnd w:id="18"/>
    </w:p>
    <w:p w14:paraId="5ED28B3C" w14:textId="77777777" w:rsidR="008F6A36" w:rsidRPr="00F45E67" w:rsidRDefault="008F6A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0"/>
        <w:jc w:val="both"/>
        <w:rPr>
          <w:sz w:val="24"/>
          <w:lang w:eastAsia="ja-JP"/>
        </w:rPr>
      </w:pPr>
    </w:p>
    <w:p w14:paraId="4C04694B" w14:textId="3BDDEA8B" w:rsidR="008F6A36" w:rsidRPr="00090962" w:rsidRDefault="00E14BB9"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0"/>
        <w:jc w:val="both"/>
        <w:rPr>
          <w:sz w:val="22"/>
          <w:szCs w:val="22"/>
          <w:lang w:eastAsia="ja-JP"/>
        </w:rPr>
      </w:pPr>
      <w:r w:rsidRPr="00090962">
        <w:rPr>
          <w:sz w:val="22"/>
          <w:szCs w:val="22"/>
          <w:lang w:eastAsia="ja-JP"/>
        </w:rPr>
        <w:t xml:space="preserve">An audit </w:t>
      </w:r>
      <w:r w:rsidR="008F6A36" w:rsidRPr="00090962">
        <w:rPr>
          <w:b/>
          <w:i/>
          <w:sz w:val="22"/>
          <w:szCs w:val="22"/>
          <w:lang w:eastAsia="ja-JP"/>
        </w:rPr>
        <w:t>finding</w:t>
      </w:r>
      <w:r w:rsidR="008F6A36" w:rsidRPr="00090962">
        <w:rPr>
          <w:sz w:val="22"/>
          <w:szCs w:val="22"/>
          <w:lang w:eastAsia="ja-JP"/>
        </w:rPr>
        <w:t xml:space="preserve"> </w:t>
      </w:r>
      <w:r w:rsidRPr="00090962">
        <w:rPr>
          <w:sz w:val="22"/>
          <w:szCs w:val="22"/>
          <w:lang w:eastAsia="ja-JP"/>
        </w:rPr>
        <w:t xml:space="preserve">is </w:t>
      </w:r>
      <w:r w:rsidR="008F6A36" w:rsidRPr="00090962">
        <w:rPr>
          <w:sz w:val="22"/>
          <w:szCs w:val="22"/>
          <w:lang w:eastAsia="ja-JP"/>
        </w:rPr>
        <w:t xml:space="preserve">a conclusion of fact an auditor </w:t>
      </w:r>
      <w:r w:rsidR="00833016" w:rsidRPr="00090962">
        <w:rPr>
          <w:i/>
          <w:sz w:val="22"/>
          <w:szCs w:val="22"/>
          <w:lang w:eastAsia="ja-JP"/>
        </w:rPr>
        <w:t>finds</w:t>
      </w:r>
      <w:r w:rsidR="00833016" w:rsidRPr="00090962">
        <w:rPr>
          <w:sz w:val="22"/>
          <w:szCs w:val="22"/>
          <w:lang w:eastAsia="ja-JP"/>
        </w:rPr>
        <w:t xml:space="preserve"> </w:t>
      </w:r>
      <w:r w:rsidR="008F6A36" w:rsidRPr="00090962">
        <w:rPr>
          <w:sz w:val="22"/>
          <w:szCs w:val="22"/>
          <w:lang w:eastAsia="ja-JP"/>
        </w:rPr>
        <w:t xml:space="preserve">as part of the audit process. </w:t>
      </w:r>
      <w:r w:rsidR="008F2330" w:rsidRPr="00090962">
        <w:rPr>
          <w:sz w:val="22"/>
          <w:szCs w:val="22"/>
          <w:lang w:eastAsia="ja-JP"/>
        </w:rPr>
        <w:t xml:space="preserve"> </w:t>
      </w:r>
      <w:r w:rsidR="008F6A36" w:rsidRPr="00090962">
        <w:rPr>
          <w:sz w:val="22"/>
          <w:szCs w:val="22"/>
          <w:lang w:eastAsia="ja-JP"/>
        </w:rPr>
        <w:t xml:space="preserve">Findings of legal noncompliance in Ohio fall into </w:t>
      </w:r>
      <w:r w:rsidR="001E3E45" w:rsidRPr="00090962">
        <w:rPr>
          <w:sz w:val="22"/>
          <w:szCs w:val="22"/>
          <w:lang w:eastAsia="ja-JP"/>
        </w:rPr>
        <w:t>three</w:t>
      </w:r>
      <w:r w:rsidR="00250DFA" w:rsidRPr="00090962">
        <w:rPr>
          <w:sz w:val="22"/>
          <w:szCs w:val="22"/>
          <w:lang w:eastAsia="ja-JP"/>
        </w:rPr>
        <w:t xml:space="preserve"> </w:t>
      </w:r>
      <w:r w:rsidR="008F6A36" w:rsidRPr="00090962">
        <w:rPr>
          <w:sz w:val="22"/>
          <w:szCs w:val="22"/>
          <w:lang w:eastAsia="ja-JP"/>
        </w:rPr>
        <w:t>categories</w:t>
      </w:r>
      <w:r w:rsidR="007C6C72" w:rsidRPr="00090962">
        <w:rPr>
          <w:rStyle w:val="FootnoteReference"/>
          <w:sz w:val="22"/>
          <w:szCs w:val="22"/>
          <w:lang w:eastAsia="ja-JP"/>
        </w:rPr>
        <w:footnoteReference w:id="9"/>
      </w:r>
      <w:r w:rsidR="008F6A36" w:rsidRPr="00090962">
        <w:rPr>
          <w:sz w:val="22"/>
          <w:szCs w:val="22"/>
          <w:lang w:eastAsia="ja-JP"/>
        </w:rPr>
        <w:t xml:space="preserve">: </w:t>
      </w:r>
    </w:p>
    <w:p w14:paraId="50FEC997" w14:textId="77777777" w:rsidR="008F6A36" w:rsidRPr="00090962" w:rsidRDefault="00833016"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hanging="990"/>
        <w:jc w:val="both"/>
        <w:rPr>
          <w:sz w:val="22"/>
          <w:szCs w:val="22"/>
          <w:lang w:eastAsia="ja-JP"/>
        </w:rPr>
      </w:pPr>
      <w:r w:rsidRPr="00090962">
        <w:rPr>
          <w:sz w:val="22"/>
          <w:szCs w:val="22"/>
          <w:lang w:eastAsia="ja-JP"/>
        </w:rPr>
        <w:t>N</w:t>
      </w:r>
      <w:r w:rsidR="008F6A36" w:rsidRPr="00090962">
        <w:rPr>
          <w:sz w:val="22"/>
          <w:szCs w:val="22"/>
          <w:lang w:eastAsia="ja-JP"/>
        </w:rPr>
        <w:t>oncompliance citations,</w:t>
      </w:r>
    </w:p>
    <w:p w14:paraId="1C608E2C" w14:textId="77777777" w:rsidR="008F6A36" w:rsidRPr="00090962" w:rsidRDefault="00833016"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hanging="990"/>
        <w:jc w:val="both"/>
        <w:rPr>
          <w:sz w:val="22"/>
          <w:szCs w:val="22"/>
          <w:lang w:eastAsia="ja-JP"/>
        </w:rPr>
      </w:pPr>
      <w:r w:rsidRPr="00090962">
        <w:rPr>
          <w:sz w:val="22"/>
          <w:szCs w:val="22"/>
          <w:lang w:eastAsia="ja-JP"/>
        </w:rPr>
        <w:t>F</w:t>
      </w:r>
      <w:r w:rsidR="008F6A36" w:rsidRPr="00090962">
        <w:rPr>
          <w:sz w:val="22"/>
          <w:szCs w:val="22"/>
          <w:lang w:eastAsia="ja-JP"/>
        </w:rPr>
        <w:t>indings for adjustment, and</w:t>
      </w:r>
    </w:p>
    <w:p w14:paraId="52976A24" w14:textId="77777777" w:rsidR="008F6A36" w:rsidRPr="00090962" w:rsidRDefault="00833016" w:rsidP="00361150">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hanging="990"/>
        <w:jc w:val="both"/>
        <w:rPr>
          <w:sz w:val="22"/>
          <w:szCs w:val="22"/>
          <w:lang w:eastAsia="ja-JP"/>
        </w:rPr>
      </w:pPr>
      <w:r w:rsidRPr="00090962">
        <w:rPr>
          <w:sz w:val="22"/>
          <w:szCs w:val="22"/>
          <w:lang w:eastAsia="ja-JP"/>
        </w:rPr>
        <w:t>F</w:t>
      </w:r>
      <w:r w:rsidR="008F6A36" w:rsidRPr="00090962">
        <w:rPr>
          <w:sz w:val="22"/>
          <w:szCs w:val="22"/>
          <w:lang w:eastAsia="ja-JP"/>
        </w:rPr>
        <w:t>indings for recovery.</w:t>
      </w:r>
    </w:p>
    <w:p w14:paraId="645231EB" w14:textId="77777777" w:rsidR="00F03F04" w:rsidRPr="007B68A1" w:rsidRDefault="00F03F04" w:rsidP="00301A1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szCs w:val="24"/>
          <w:lang w:eastAsia="ja-JP"/>
        </w:rPr>
      </w:pPr>
    </w:p>
    <w:p w14:paraId="5D70D151" w14:textId="77777777" w:rsidR="008F6A36" w:rsidRPr="00ED1E8D" w:rsidRDefault="008F6A36" w:rsidP="005166A8">
      <w:pPr>
        <w:pStyle w:val="Title"/>
        <w:ind w:left="0"/>
        <w:rPr>
          <w:sz w:val="24"/>
          <w:szCs w:val="24"/>
        </w:rPr>
      </w:pPr>
      <w:bookmarkStart w:id="19" w:name="_Toc214431125"/>
      <w:r w:rsidRPr="00ED1E8D">
        <w:rPr>
          <w:sz w:val="24"/>
          <w:szCs w:val="24"/>
        </w:rPr>
        <w:t>Non</w:t>
      </w:r>
      <w:r w:rsidR="00833016" w:rsidRPr="00ED1E8D">
        <w:rPr>
          <w:sz w:val="24"/>
          <w:szCs w:val="24"/>
        </w:rPr>
        <w:t>c</w:t>
      </w:r>
      <w:r w:rsidRPr="00ED1E8D">
        <w:rPr>
          <w:sz w:val="24"/>
          <w:szCs w:val="24"/>
        </w:rPr>
        <w:t>ompliance Citations</w:t>
      </w:r>
      <w:bookmarkEnd w:id="19"/>
    </w:p>
    <w:p w14:paraId="4C1B0B62" w14:textId="77777777" w:rsidR="008F6A36" w:rsidRPr="007B68A1" w:rsidRDefault="008F6A36" w:rsidP="00A017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rPr>
          <w:sz w:val="24"/>
          <w:lang w:eastAsia="ja-JP"/>
        </w:rPr>
      </w:pPr>
    </w:p>
    <w:p w14:paraId="44908B37" w14:textId="5CC00B58" w:rsidR="00AC0C62"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Noncompliance citations should cit</w:t>
      </w:r>
      <w:r w:rsidR="000B695F" w:rsidRPr="00090962">
        <w:rPr>
          <w:sz w:val="22"/>
          <w:szCs w:val="22"/>
          <w:lang w:eastAsia="ja-JP"/>
        </w:rPr>
        <w:t>e the</w:t>
      </w:r>
      <w:r w:rsidRPr="00090962">
        <w:rPr>
          <w:sz w:val="22"/>
          <w:szCs w:val="22"/>
          <w:lang w:eastAsia="ja-JP"/>
        </w:rPr>
        <w:t xml:space="preserve"> appropriate legal authority</w:t>
      </w:r>
      <w:r w:rsidR="00FE0FB2" w:rsidRPr="00090962">
        <w:rPr>
          <w:sz w:val="22"/>
          <w:szCs w:val="22"/>
          <w:lang w:eastAsia="ja-JP"/>
        </w:rPr>
        <w:t xml:space="preserve"> (</w:t>
      </w:r>
      <w:r w:rsidR="009422F6" w:rsidRPr="00090962">
        <w:rPr>
          <w:sz w:val="22"/>
          <w:szCs w:val="22"/>
          <w:lang w:eastAsia="ja-JP"/>
        </w:rPr>
        <w:t xml:space="preserve">i.e. </w:t>
      </w:r>
      <w:r w:rsidR="00FE0FB2" w:rsidRPr="00090962">
        <w:rPr>
          <w:sz w:val="22"/>
          <w:szCs w:val="22"/>
          <w:lang w:eastAsia="ja-JP"/>
        </w:rPr>
        <w:t xml:space="preserve">the </w:t>
      </w:r>
      <w:r w:rsidR="00FE0FB2" w:rsidRPr="00090962">
        <w:rPr>
          <w:b/>
          <w:bCs/>
          <w:i/>
          <w:iCs/>
          <w:sz w:val="22"/>
          <w:szCs w:val="22"/>
          <w:lang w:eastAsia="ja-JP"/>
        </w:rPr>
        <w:t>criteria</w:t>
      </w:r>
      <w:r w:rsidR="00FE0FB2" w:rsidRPr="00090962">
        <w:rPr>
          <w:sz w:val="22"/>
          <w:szCs w:val="22"/>
          <w:lang w:eastAsia="ja-JP"/>
        </w:rPr>
        <w:t xml:space="preserve"> </w:t>
      </w:r>
      <w:r w:rsidR="00AD419D" w:rsidRPr="00090962">
        <w:rPr>
          <w:sz w:val="22"/>
          <w:szCs w:val="22"/>
          <w:lang w:eastAsia="ja-JP"/>
        </w:rPr>
        <w:t>2018 GAGAS 6.25</w:t>
      </w:r>
      <w:r w:rsidR="00B845EC" w:rsidRPr="00090962">
        <w:rPr>
          <w:sz w:val="22"/>
          <w:szCs w:val="22"/>
          <w:lang w:eastAsia="ja-JP"/>
        </w:rPr>
        <w:t>)</w:t>
      </w:r>
      <w:r w:rsidR="00AD419D" w:rsidRPr="00090962">
        <w:rPr>
          <w:sz w:val="22"/>
          <w:szCs w:val="22"/>
          <w:lang w:eastAsia="ja-JP"/>
        </w:rPr>
        <w:t xml:space="preserve"> </w:t>
      </w:r>
      <w:r w:rsidR="00FE0FB2" w:rsidRPr="00090962">
        <w:rPr>
          <w:sz w:val="22"/>
          <w:szCs w:val="22"/>
          <w:lang w:eastAsia="ja-JP"/>
        </w:rPr>
        <w:t>requires in written noncompliance findings)</w:t>
      </w:r>
      <w:r w:rsidRPr="00090962">
        <w:rPr>
          <w:sz w:val="22"/>
          <w:szCs w:val="22"/>
          <w:lang w:eastAsia="ja-JP"/>
        </w:rPr>
        <w:t xml:space="preserve">.  Legal </w:t>
      </w:r>
      <w:proofErr w:type="gramStart"/>
      <w:r w:rsidRPr="00090962">
        <w:rPr>
          <w:sz w:val="22"/>
          <w:szCs w:val="22"/>
          <w:lang w:eastAsia="ja-JP"/>
        </w:rPr>
        <w:t>authorities</w:t>
      </w:r>
      <w:proofErr w:type="gramEnd"/>
      <w:r w:rsidRPr="00090962">
        <w:rPr>
          <w:sz w:val="22"/>
          <w:szCs w:val="22"/>
          <w:lang w:eastAsia="ja-JP"/>
        </w:rPr>
        <w:t xml:space="preserve"> </w:t>
      </w:r>
      <w:r w:rsidR="00FE0FB2" w:rsidRPr="00090962">
        <w:rPr>
          <w:sz w:val="22"/>
          <w:szCs w:val="22"/>
          <w:lang w:eastAsia="ja-JP"/>
        </w:rPr>
        <w:t xml:space="preserve">auditors can </w:t>
      </w:r>
      <w:r w:rsidRPr="00090962">
        <w:rPr>
          <w:sz w:val="22"/>
          <w:szCs w:val="22"/>
          <w:lang w:eastAsia="ja-JP"/>
        </w:rPr>
        <w:t>cite include the Federal and State constitutions, the United States Code</w:t>
      </w:r>
      <w:r w:rsidR="006C5A56" w:rsidRPr="00090962">
        <w:rPr>
          <w:sz w:val="22"/>
          <w:szCs w:val="22"/>
          <w:lang w:eastAsia="ja-JP"/>
        </w:rPr>
        <w:t xml:space="preserve"> and rules</w:t>
      </w:r>
      <w:r w:rsidRPr="00090962">
        <w:rPr>
          <w:sz w:val="22"/>
          <w:szCs w:val="22"/>
          <w:lang w:eastAsia="ja-JP"/>
        </w:rPr>
        <w:t xml:space="preserve">, the Ohio Revised Code, </w:t>
      </w:r>
      <w:r w:rsidR="00833423" w:rsidRPr="00090962">
        <w:rPr>
          <w:sz w:val="22"/>
          <w:szCs w:val="22"/>
          <w:lang w:eastAsia="ja-JP"/>
        </w:rPr>
        <w:t>Oh</w:t>
      </w:r>
      <w:r w:rsidR="000E1648" w:rsidRPr="00090962">
        <w:rPr>
          <w:sz w:val="22"/>
          <w:szCs w:val="22"/>
          <w:lang w:eastAsia="ja-JP"/>
        </w:rPr>
        <w:t>io Administrative Code</w:t>
      </w:r>
      <w:r w:rsidR="00833423" w:rsidRPr="00090962">
        <w:rPr>
          <w:sz w:val="22"/>
          <w:szCs w:val="22"/>
          <w:lang w:eastAsia="ja-JP"/>
        </w:rPr>
        <w:t xml:space="preserve">, </w:t>
      </w:r>
      <w:r w:rsidR="00094132" w:rsidRPr="00090962">
        <w:rPr>
          <w:sz w:val="22"/>
          <w:szCs w:val="22"/>
          <w:lang w:eastAsia="ja-JP"/>
        </w:rPr>
        <w:t>local ordinances</w:t>
      </w:r>
      <w:r w:rsidR="00B0458F" w:rsidRPr="00090962">
        <w:rPr>
          <w:sz w:val="22"/>
          <w:szCs w:val="22"/>
          <w:lang w:eastAsia="ja-JP"/>
        </w:rPr>
        <w:t xml:space="preserve"> and charters</w:t>
      </w:r>
      <w:r w:rsidR="00094132" w:rsidRPr="00090962">
        <w:rPr>
          <w:sz w:val="22"/>
          <w:szCs w:val="22"/>
          <w:lang w:eastAsia="ja-JP"/>
        </w:rPr>
        <w:t xml:space="preserve">, </w:t>
      </w:r>
      <w:r w:rsidRPr="00090962">
        <w:rPr>
          <w:sz w:val="22"/>
          <w:szCs w:val="22"/>
          <w:lang w:eastAsia="ja-JP"/>
        </w:rPr>
        <w:t>Federal and State court decisions, Federal and State regulations</w:t>
      </w:r>
      <w:r w:rsidR="00782768" w:rsidRPr="00090962">
        <w:rPr>
          <w:sz w:val="22"/>
          <w:szCs w:val="22"/>
          <w:lang w:eastAsia="ja-JP"/>
        </w:rPr>
        <w:t xml:space="preserve">, </w:t>
      </w:r>
      <w:r w:rsidRPr="00090962">
        <w:rPr>
          <w:sz w:val="22"/>
          <w:szCs w:val="22"/>
          <w:lang w:eastAsia="ja-JP"/>
        </w:rPr>
        <w:t xml:space="preserve">and opinions of the Ohio Ethics Commission.  </w:t>
      </w:r>
      <w:r w:rsidR="007769EB" w:rsidRPr="00090962">
        <w:rPr>
          <w:sz w:val="22"/>
          <w:szCs w:val="22"/>
          <w:lang w:eastAsia="ja-JP"/>
        </w:rPr>
        <w:t>Auditors may refer to</w:t>
      </w:r>
      <w:r w:rsidR="00782768" w:rsidRPr="00090962">
        <w:rPr>
          <w:sz w:val="22"/>
          <w:szCs w:val="22"/>
          <w:lang w:eastAsia="ja-JP"/>
        </w:rPr>
        <w:t xml:space="preserve"> opinions of the Attorney General, AOS Technical B</w:t>
      </w:r>
      <w:r w:rsidR="007769EB" w:rsidRPr="00090962">
        <w:rPr>
          <w:sz w:val="22"/>
          <w:szCs w:val="22"/>
          <w:lang w:eastAsia="ja-JP"/>
        </w:rPr>
        <w:t>ulletins</w:t>
      </w:r>
      <w:r w:rsidR="00782768" w:rsidRPr="00090962">
        <w:rPr>
          <w:sz w:val="22"/>
          <w:szCs w:val="22"/>
          <w:lang w:eastAsia="ja-JP"/>
        </w:rPr>
        <w:t>,</w:t>
      </w:r>
      <w:r w:rsidR="007769EB" w:rsidRPr="00090962">
        <w:rPr>
          <w:sz w:val="22"/>
          <w:szCs w:val="22"/>
          <w:lang w:eastAsia="ja-JP"/>
        </w:rPr>
        <w:t xml:space="preserve"> and other advisory materials</w:t>
      </w:r>
      <w:r w:rsidR="00F76CEE" w:rsidRPr="00090962">
        <w:rPr>
          <w:sz w:val="22"/>
          <w:szCs w:val="22"/>
          <w:lang w:eastAsia="ja-JP"/>
        </w:rPr>
        <w:t xml:space="preserve"> within the text of a finding</w:t>
      </w:r>
      <w:r w:rsidR="007769EB" w:rsidRPr="00090962">
        <w:rPr>
          <w:sz w:val="22"/>
          <w:szCs w:val="22"/>
          <w:lang w:eastAsia="ja-JP"/>
        </w:rPr>
        <w:t xml:space="preserve"> as</w:t>
      </w:r>
      <w:r w:rsidR="006C5A56" w:rsidRPr="00090962">
        <w:rPr>
          <w:sz w:val="22"/>
          <w:szCs w:val="22"/>
          <w:lang w:eastAsia="ja-JP"/>
        </w:rPr>
        <w:t xml:space="preserve"> additional guidance</w:t>
      </w:r>
      <w:r w:rsidR="00894C3A" w:rsidRPr="00090962">
        <w:rPr>
          <w:sz w:val="22"/>
          <w:szCs w:val="22"/>
          <w:lang w:eastAsia="ja-JP"/>
        </w:rPr>
        <w:t xml:space="preserve">, but </w:t>
      </w:r>
      <w:r w:rsidR="00782768" w:rsidRPr="00090962">
        <w:rPr>
          <w:sz w:val="22"/>
          <w:szCs w:val="22"/>
          <w:lang w:eastAsia="ja-JP"/>
        </w:rPr>
        <w:t>AG opinions, AOS Technical B</w:t>
      </w:r>
      <w:r w:rsidR="00894C3A" w:rsidRPr="00090962">
        <w:rPr>
          <w:sz w:val="22"/>
          <w:szCs w:val="22"/>
          <w:lang w:eastAsia="ja-JP"/>
        </w:rPr>
        <w:t>ulletins</w:t>
      </w:r>
      <w:r w:rsidR="00782768" w:rsidRPr="00090962">
        <w:rPr>
          <w:sz w:val="22"/>
          <w:szCs w:val="22"/>
          <w:lang w:eastAsia="ja-JP"/>
        </w:rPr>
        <w:t>,</w:t>
      </w:r>
      <w:r w:rsidR="00894C3A" w:rsidRPr="00090962">
        <w:rPr>
          <w:sz w:val="22"/>
          <w:szCs w:val="22"/>
          <w:lang w:eastAsia="ja-JP"/>
        </w:rPr>
        <w:t xml:space="preserve"> and advisory materials are not legally binding </w:t>
      </w:r>
      <w:r w:rsidR="00894C3A" w:rsidRPr="00090962">
        <w:rPr>
          <w:i/>
          <w:iCs/>
          <w:sz w:val="22"/>
          <w:szCs w:val="22"/>
          <w:lang w:eastAsia="ja-JP"/>
        </w:rPr>
        <w:t>criteria</w:t>
      </w:r>
      <w:r w:rsidR="00894C3A" w:rsidRPr="00090962">
        <w:rPr>
          <w:sz w:val="22"/>
          <w:szCs w:val="22"/>
          <w:lang w:eastAsia="ja-JP"/>
        </w:rPr>
        <w:t>.</w:t>
      </w:r>
      <w:r w:rsidR="00163CC4" w:rsidRPr="00090962">
        <w:rPr>
          <w:rStyle w:val="FootnoteReference"/>
          <w:sz w:val="22"/>
          <w:szCs w:val="22"/>
          <w:lang w:eastAsia="ja-JP"/>
        </w:rPr>
        <w:footnoteReference w:id="10"/>
      </w:r>
      <w:r w:rsidR="007769EB" w:rsidRPr="00090962">
        <w:rPr>
          <w:sz w:val="22"/>
          <w:szCs w:val="22"/>
          <w:lang w:eastAsia="ja-JP"/>
        </w:rPr>
        <w:t xml:space="preserve"> </w:t>
      </w:r>
    </w:p>
    <w:p w14:paraId="783983EF" w14:textId="77777777" w:rsidR="00AC0C62" w:rsidRPr="00090962" w:rsidRDefault="00AC0C62"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187688D" w14:textId="5DCD7041" w:rsidR="00F76CEE" w:rsidRPr="00090962" w:rsidRDefault="00F76CEE"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For example, </w:t>
      </w:r>
      <w:hyperlink r:id="rId19" w:history="1">
        <w:r w:rsidRPr="00090962">
          <w:rPr>
            <w:rStyle w:val="Hyperlink"/>
            <w:sz w:val="22"/>
            <w:szCs w:val="22"/>
            <w:lang w:eastAsia="ja-JP"/>
          </w:rPr>
          <w:t>AOS Bulletin 2002-004</w:t>
        </w:r>
      </w:hyperlink>
      <w:r w:rsidRPr="00090962">
        <w:rPr>
          <w:sz w:val="22"/>
          <w:szCs w:val="22"/>
          <w:lang w:eastAsia="ja-JP"/>
        </w:rPr>
        <w:t xml:space="preserve"> states the AOS’ position that local governments </w:t>
      </w:r>
      <w:r w:rsidR="000559AF" w:rsidRPr="00090962">
        <w:rPr>
          <w:sz w:val="22"/>
          <w:szCs w:val="22"/>
          <w:lang w:eastAsia="ja-JP"/>
        </w:rPr>
        <w:t>should record and budget Ohio Public Works Commission</w:t>
      </w:r>
      <w:r w:rsidR="00B00989" w:rsidRPr="00090962">
        <w:rPr>
          <w:sz w:val="22"/>
          <w:szCs w:val="22"/>
          <w:lang w:eastAsia="ja-JP"/>
        </w:rPr>
        <w:t xml:space="preserve"> infrastructure project</w:t>
      </w:r>
      <w:r w:rsidR="000559AF" w:rsidRPr="00090962">
        <w:rPr>
          <w:sz w:val="22"/>
          <w:szCs w:val="22"/>
          <w:lang w:eastAsia="ja-JP"/>
        </w:rPr>
        <w:t xml:space="preserve"> (Issue II money) receipts and disbursements </w:t>
      </w:r>
      <w:r w:rsidR="00833016" w:rsidRPr="00090962">
        <w:rPr>
          <w:sz w:val="22"/>
          <w:szCs w:val="22"/>
          <w:lang w:eastAsia="ja-JP"/>
        </w:rPr>
        <w:t xml:space="preserve">even </w:t>
      </w:r>
      <w:r w:rsidR="000559AF" w:rsidRPr="00090962">
        <w:rPr>
          <w:sz w:val="22"/>
          <w:szCs w:val="22"/>
          <w:lang w:eastAsia="ja-JP"/>
        </w:rPr>
        <w:t xml:space="preserve">when </w:t>
      </w:r>
      <w:r w:rsidR="00AC0C62" w:rsidRPr="00090962">
        <w:rPr>
          <w:sz w:val="22"/>
          <w:szCs w:val="22"/>
          <w:lang w:eastAsia="ja-JP"/>
        </w:rPr>
        <w:t xml:space="preserve">the local </w:t>
      </w:r>
      <w:r w:rsidR="000559AF" w:rsidRPr="00090962">
        <w:rPr>
          <w:sz w:val="22"/>
          <w:szCs w:val="22"/>
          <w:lang w:eastAsia="ja-JP"/>
        </w:rPr>
        <w:t>government</w:t>
      </w:r>
      <w:r w:rsidR="00AC0C62" w:rsidRPr="00090962">
        <w:rPr>
          <w:sz w:val="22"/>
          <w:szCs w:val="22"/>
          <w:lang w:eastAsia="ja-JP"/>
        </w:rPr>
        <w:t xml:space="preserve"> does not directly receive or disburse this money.   When a government </w:t>
      </w:r>
      <w:r w:rsidR="00D66BCE" w:rsidRPr="00090962">
        <w:rPr>
          <w:sz w:val="22"/>
          <w:szCs w:val="22"/>
          <w:lang w:eastAsia="ja-JP"/>
        </w:rPr>
        <w:t>fails to</w:t>
      </w:r>
      <w:r w:rsidR="00AC0C62" w:rsidRPr="00090962">
        <w:rPr>
          <w:sz w:val="22"/>
          <w:szCs w:val="22"/>
          <w:lang w:eastAsia="ja-JP"/>
        </w:rPr>
        <w:t xml:space="preserve"> record or budget this money, the citation would be to </w:t>
      </w:r>
      <w:r w:rsidR="00D07E9B" w:rsidRPr="00090962">
        <w:rPr>
          <w:sz w:val="22"/>
          <w:szCs w:val="22"/>
          <w:lang w:eastAsia="ja-JP"/>
        </w:rPr>
        <w:t xml:space="preserve">the sections within Ohio Rev. Code Chapter 5705 requiring budgeting </w:t>
      </w:r>
      <w:r w:rsidR="00CA1F8A" w:rsidRPr="00090962">
        <w:rPr>
          <w:sz w:val="22"/>
          <w:szCs w:val="22"/>
          <w:lang w:eastAsia="ja-JP"/>
        </w:rPr>
        <w:t xml:space="preserve">and recording </w:t>
      </w:r>
      <w:r w:rsidR="00D07E9B" w:rsidRPr="00090962">
        <w:rPr>
          <w:sz w:val="22"/>
          <w:szCs w:val="22"/>
          <w:lang w:eastAsia="ja-JP"/>
        </w:rPr>
        <w:t xml:space="preserve">this money, not </w:t>
      </w:r>
      <w:r w:rsidR="00FD5D9A" w:rsidRPr="00090962">
        <w:rPr>
          <w:sz w:val="22"/>
          <w:szCs w:val="22"/>
          <w:lang w:eastAsia="ja-JP"/>
        </w:rPr>
        <w:t xml:space="preserve">AOS </w:t>
      </w:r>
      <w:r w:rsidR="00D07E9B" w:rsidRPr="00090962">
        <w:rPr>
          <w:sz w:val="22"/>
          <w:szCs w:val="22"/>
          <w:lang w:eastAsia="ja-JP"/>
        </w:rPr>
        <w:t xml:space="preserve">Bulletin 2002-004.  However, it </w:t>
      </w:r>
      <w:r w:rsidR="00D66BCE" w:rsidRPr="00090962">
        <w:rPr>
          <w:sz w:val="22"/>
          <w:szCs w:val="22"/>
          <w:lang w:eastAsia="ja-JP"/>
        </w:rPr>
        <w:t>is</w:t>
      </w:r>
      <w:r w:rsidR="00D07E9B" w:rsidRPr="00090962">
        <w:rPr>
          <w:sz w:val="22"/>
          <w:szCs w:val="22"/>
          <w:lang w:eastAsia="ja-JP"/>
        </w:rPr>
        <w:t xml:space="preserve"> desirable for the finding to</w:t>
      </w:r>
      <w:r w:rsidR="00B61E7C" w:rsidRPr="00090962">
        <w:rPr>
          <w:sz w:val="22"/>
          <w:szCs w:val="22"/>
          <w:lang w:eastAsia="ja-JP"/>
        </w:rPr>
        <w:t xml:space="preserve"> </w:t>
      </w:r>
      <w:r w:rsidR="00B61E7C" w:rsidRPr="00090962">
        <w:rPr>
          <w:sz w:val="22"/>
          <w:szCs w:val="22"/>
          <w:u w:val="single"/>
          <w:lang w:eastAsia="ja-JP"/>
        </w:rPr>
        <w:t>describe</w:t>
      </w:r>
      <w:r w:rsidR="00B61E7C" w:rsidRPr="00090962">
        <w:rPr>
          <w:sz w:val="22"/>
          <w:szCs w:val="22"/>
          <w:lang w:eastAsia="ja-JP"/>
        </w:rPr>
        <w:t xml:space="preserve"> the bulletin as an informational resource, and suggest</w:t>
      </w:r>
      <w:r w:rsidR="00D07E9B" w:rsidRPr="00090962">
        <w:rPr>
          <w:sz w:val="22"/>
          <w:szCs w:val="22"/>
          <w:lang w:eastAsia="ja-JP"/>
        </w:rPr>
        <w:t xml:space="preserve"> the local government officials </w:t>
      </w:r>
      <w:proofErr w:type="gramStart"/>
      <w:r w:rsidR="00F545CD" w:rsidRPr="00090962">
        <w:rPr>
          <w:sz w:val="22"/>
          <w:szCs w:val="22"/>
          <w:lang w:eastAsia="ja-JP"/>
        </w:rPr>
        <w:t xml:space="preserve">to </w:t>
      </w:r>
      <w:r w:rsidR="00D07E9B" w:rsidRPr="00090962">
        <w:rPr>
          <w:sz w:val="22"/>
          <w:szCs w:val="22"/>
          <w:lang w:eastAsia="ja-JP"/>
        </w:rPr>
        <w:t>re</w:t>
      </w:r>
      <w:r w:rsidR="00D66BCE" w:rsidRPr="00090962">
        <w:rPr>
          <w:sz w:val="22"/>
          <w:szCs w:val="22"/>
          <w:lang w:eastAsia="ja-JP"/>
        </w:rPr>
        <w:t>view</w:t>
      </w:r>
      <w:proofErr w:type="gramEnd"/>
      <w:r w:rsidR="00D07E9B" w:rsidRPr="00090962">
        <w:rPr>
          <w:sz w:val="22"/>
          <w:szCs w:val="22"/>
          <w:lang w:eastAsia="ja-JP"/>
        </w:rPr>
        <w:t xml:space="preserve"> and follow the accounting and budgeting guidance from AOS Bulletin 2002-004.</w:t>
      </w:r>
      <w:r w:rsidR="00CA1F8A" w:rsidRPr="00090962">
        <w:rPr>
          <w:sz w:val="22"/>
          <w:szCs w:val="22"/>
          <w:lang w:eastAsia="ja-JP"/>
        </w:rPr>
        <w:t xml:space="preserve">  </w:t>
      </w:r>
    </w:p>
    <w:p w14:paraId="52C2C575" w14:textId="77777777" w:rsidR="00121945" w:rsidRPr="00090962" w:rsidRDefault="00121945"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51E0A59" w14:textId="5C773921"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Also, as described in </w:t>
      </w:r>
      <w:r w:rsidRPr="00090962">
        <w:rPr>
          <w:i/>
          <w:sz w:val="22"/>
          <w:szCs w:val="22"/>
          <w:lang w:eastAsia="ja-JP"/>
        </w:rPr>
        <w:t>Government Auditing Standards</w:t>
      </w:r>
      <w:r w:rsidR="001B1569" w:rsidRPr="00090962">
        <w:rPr>
          <w:sz w:val="22"/>
          <w:szCs w:val="22"/>
          <w:lang w:eastAsia="ja-JP"/>
        </w:rPr>
        <w:t>,</w:t>
      </w:r>
      <w:r w:rsidRPr="00090962">
        <w:rPr>
          <w:sz w:val="22"/>
          <w:szCs w:val="22"/>
          <w:lang w:eastAsia="ja-JP"/>
        </w:rPr>
        <w:t xml:space="preserve"> </w:t>
      </w:r>
      <w:r w:rsidR="00121945" w:rsidRPr="00090962">
        <w:rPr>
          <w:sz w:val="22"/>
          <w:szCs w:val="22"/>
          <w:lang w:eastAsia="ja-JP"/>
        </w:rPr>
        <w:t xml:space="preserve">auditors should report material </w:t>
      </w:r>
      <w:r w:rsidRPr="00090962">
        <w:rPr>
          <w:sz w:val="22"/>
          <w:szCs w:val="22"/>
          <w:lang w:eastAsia="ja-JP"/>
        </w:rPr>
        <w:t xml:space="preserve">noncompliance with </w:t>
      </w:r>
      <w:r w:rsidR="00DE7573" w:rsidRPr="00090962">
        <w:rPr>
          <w:sz w:val="22"/>
          <w:szCs w:val="22"/>
          <w:lang w:eastAsia="ja-JP"/>
        </w:rPr>
        <w:t>laws and regulations</w:t>
      </w:r>
      <w:r w:rsidR="008005FD" w:rsidRPr="00090962">
        <w:rPr>
          <w:sz w:val="22"/>
          <w:szCs w:val="22"/>
          <w:lang w:eastAsia="ja-JP"/>
        </w:rPr>
        <w:t xml:space="preserve"> </w:t>
      </w:r>
      <w:r w:rsidR="00DE7573" w:rsidRPr="00090962">
        <w:rPr>
          <w:sz w:val="22"/>
          <w:szCs w:val="22"/>
          <w:lang w:eastAsia="ja-JP"/>
        </w:rPr>
        <w:t xml:space="preserve">and </w:t>
      </w:r>
      <w:r w:rsidRPr="00090962">
        <w:rPr>
          <w:sz w:val="22"/>
          <w:szCs w:val="22"/>
          <w:lang w:eastAsia="ja-JP"/>
        </w:rPr>
        <w:t>provisions of co</w:t>
      </w:r>
      <w:r w:rsidR="00121945" w:rsidRPr="00090962">
        <w:rPr>
          <w:sz w:val="22"/>
          <w:szCs w:val="22"/>
          <w:lang w:eastAsia="ja-JP"/>
        </w:rPr>
        <w:t>ntracts or grant agreements</w:t>
      </w:r>
      <w:r w:rsidRPr="00090962">
        <w:rPr>
          <w:sz w:val="22"/>
          <w:szCs w:val="22"/>
          <w:lang w:eastAsia="ja-JP"/>
        </w:rPr>
        <w:t>.</w:t>
      </w:r>
    </w:p>
    <w:p w14:paraId="3C7FC0F0" w14:textId="77777777"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C199168" w14:textId="27DF82C2" w:rsidR="008F6A36" w:rsidRPr="00090962" w:rsidRDefault="00230502"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b/>
          <w:sz w:val="22"/>
          <w:szCs w:val="22"/>
          <w:lang w:eastAsia="ja-JP"/>
        </w:rPr>
        <w:t>Exhibit 1</w:t>
      </w:r>
      <w:r w:rsidR="00121945" w:rsidRPr="00090962">
        <w:rPr>
          <w:sz w:val="22"/>
          <w:szCs w:val="22"/>
          <w:lang w:eastAsia="ja-JP"/>
        </w:rPr>
        <w:t xml:space="preserve"> </w:t>
      </w:r>
      <w:r w:rsidR="00E572B4" w:rsidRPr="00090962">
        <w:rPr>
          <w:sz w:val="22"/>
          <w:szCs w:val="22"/>
          <w:lang w:eastAsia="ja-JP"/>
        </w:rPr>
        <w:t>of this Implementation Guide</w:t>
      </w:r>
      <w:r w:rsidR="00E71E84" w:rsidRPr="00090962">
        <w:rPr>
          <w:i/>
          <w:sz w:val="22"/>
          <w:szCs w:val="22"/>
          <w:lang w:eastAsia="ja-JP"/>
        </w:rPr>
        <w:t xml:space="preserve"> </w:t>
      </w:r>
      <w:r w:rsidR="00121945" w:rsidRPr="00090962">
        <w:rPr>
          <w:sz w:val="22"/>
          <w:szCs w:val="22"/>
          <w:lang w:eastAsia="ja-JP"/>
        </w:rPr>
        <w:t>sets forth g</w:t>
      </w:r>
      <w:r w:rsidR="008F6A36" w:rsidRPr="00090962">
        <w:rPr>
          <w:sz w:val="22"/>
          <w:szCs w:val="22"/>
          <w:lang w:eastAsia="ja-JP"/>
        </w:rPr>
        <w:t xml:space="preserve">uidelines for the </w:t>
      </w:r>
      <w:r w:rsidR="00121945" w:rsidRPr="00090962">
        <w:rPr>
          <w:sz w:val="22"/>
          <w:szCs w:val="22"/>
          <w:lang w:eastAsia="ja-JP"/>
        </w:rPr>
        <w:t xml:space="preserve">appropriate form for citing </w:t>
      </w:r>
      <w:r w:rsidR="008F6A36" w:rsidRPr="00090962">
        <w:rPr>
          <w:sz w:val="22"/>
          <w:szCs w:val="22"/>
          <w:lang w:eastAsia="ja-JP"/>
        </w:rPr>
        <w:t>le</w:t>
      </w:r>
      <w:r w:rsidR="00121945" w:rsidRPr="00090962">
        <w:rPr>
          <w:sz w:val="22"/>
          <w:szCs w:val="22"/>
          <w:lang w:eastAsia="ja-JP"/>
        </w:rPr>
        <w:t>gal authority.</w:t>
      </w:r>
      <w:r w:rsidR="008F6A36" w:rsidRPr="00090962">
        <w:rPr>
          <w:sz w:val="22"/>
          <w:szCs w:val="22"/>
          <w:lang w:eastAsia="ja-JP"/>
        </w:rPr>
        <w:t xml:space="preserve"> </w:t>
      </w:r>
    </w:p>
    <w:p w14:paraId="4BEBEA91" w14:textId="77777777"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492A7D3" w14:textId="05C745EA" w:rsidR="008F6A36" w:rsidRPr="00090962" w:rsidRDefault="00AD419D"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i/>
          <w:sz w:val="22"/>
          <w:szCs w:val="22"/>
          <w:lang w:eastAsia="ja-JP"/>
        </w:rPr>
        <w:t xml:space="preserve">2018 </w:t>
      </w:r>
      <w:r w:rsidR="008F6A36" w:rsidRPr="00090962">
        <w:rPr>
          <w:i/>
          <w:sz w:val="22"/>
          <w:szCs w:val="22"/>
          <w:lang w:eastAsia="ja-JP"/>
        </w:rPr>
        <w:t>GAGAS</w:t>
      </w:r>
      <w:r w:rsidR="00AC5BE7" w:rsidRPr="00090962">
        <w:rPr>
          <w:i/>
          <w:sz w:val="22"/>
          <w:szCs w:val="22"/>
          <w:lang w:eastAsia="ja-JP"/>
        </w:rPr>
        <w:t xml:space="preserve"> </w:t>
      </w:r>
      <w:r w:rsidR="00AC5BE7" w:rsidRPr="00090962">
        <w:rPr>
          <w:sz w:val="22"/>
          <w:szCs w:val="22"/>
          <w:lang w:eastAsia="ja-JP"/>
        </w:rPr>
        <w:t>defines the elements of a finding to include</w:t>
      </w:r>
      <w:r w:rsidR="004A4AFA" w:rsidRPr="00090962">
        <w:rPr>
          <w:sz w:val="22"/>
          <w:szCs w:val="22"/>
          <w:lang w:eastAsia="ja-JP"/>
        </w:rPr>
        <w:t>:</w:t>
      </w:r>
    </w:p>
    <w:p w14:paraId="793D19BF" w14:textId="77777777" w:rsidR="004A4AFA" w:rsidRPr="00090962" w:rsidRDefault="004A4AFA"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811BB42" w14:textId="55D7BE06" w:rsidR="00AC5BE7" w:rsidRPr="00090962" w:rsidRDefault="00AD419D" w:rsidP="00361150">
      <w:pPr>
        <w:pStyle w:val="CM57"/>
        <w:spacing w:line="246" w:lineRule="atLeast"/>
        <w:jc w:val="both"/>
        <w:rPr>
          <w:rFonts w:ascii="Times New Roman" w:hAnsi="Times New Roman"/>
          <w:color w:val="000000"/>
          <w:sz w:val="22"/>
          <w:szCs w:val="22"/>
        </w:rPr>
      </w:pPr>
      <w:r w:rsidRPr="00090962">
        <w:rPr>
          <w:rFonts w:ascii="Times New Roman" w:hAnsi="Times New Roman"/>
          <w:b/>
          <w:bCs/>
          <w:color w:val="000000"/>
          <w:sz w:val="22"/>
          <w:szCs w:val="22"/>
        </w:rPr>
        <w:t xml:space="preserve">6.25 </w:t>
      </w:r>
      <w:r w:rsidR="00AC5BE7" w:rsidRPr="00090962">
        <w:rPr>
          <w:rFonts w:ascii="Times New Roman" w:hAnsi="Times New Roman"/>
          <w:color w:val="000000"/>
          <w:sz w:val="22"/>
          <w:szCs w:val="22"/>
        </w:rPr>
        <w:t xml:space="preserve">Criteria: </w:t>
      </w:r>
      <w:r w:rsidR="007B7714" w:rsidRPr="00090962">
        <w:rPr>
          <w:rFonts w:ascii="Times New Roman" w:hAnsi="Times New Roman"/>
          <w:sz w:val="22"/>
          <w:szCs w:val="22"/>
        </w:rPr>
        <w:t>For inclusion in findings, criteria may include t</w:t>
      </w:r>
      <w:r w:rsidR="00AC5BE7" w:rsidRPr="00090962">
        <w:rPr>
          <w:rFonts w:ascii="Times New Roman" w:hAnsi="Times New Roman"/>
          <w:color w:val="000000"/>
          <w:sz w:val="22"/>
          <w:szCs w:val="22"/>
        </w:rPr>
        <w:t>he laws, regulations, contracts, grant agreements, standards, measures, expected performance, defined business practices, and benchmarks against which performance is compared or evaluated. Criteria identify the required or desired state or expectation with respect to the program or operation. Criteria provide a context for evaluating evidence and understanding the findings</w:t>
      </w:r>
      <w:r w:rsidR="00D06282" w:rsidRPr="00090962">
        <w:rPr>
          <w:rFonts w:ascii="Times New Roman" w:hAnsi="Times New Roman"/>
          <w:color w:val="000000"/>
          <w:sz w:val="22"/>
          <w:szCs w:val="22"/>
        </w:rPr>
        <w:t>, conclusions, and recommendations in the report</w:t>
      </w:r>
      <w:r w:rsidR="00AC5BE7" w:rsidRPr="00090962">
        <w:rPr>
          <w:rFonts w:ascii="Times New Roman" w:hAnsi="Times New Roman"/>
          <w:color w:val="000000"/>
          <w:sz w:val="22"/>
          <w:szCs w:val="22"/>
        </w:rPr>
        <w:t xml:space="preserve">. </w:t>
      </w:r>
      <w:r w:rsidRPr="00090962">
        <w:rPr>
          <w:rFonts w:ascii="Times New Roman" w:hAnsi="Times New Roman"/>
          <w:color w:val="000000"/>
          <w:sz w:val="22"/>
          <w:szCs w:val="22"/>
        </w:rPr>
        <w:t xml:space="preserve"> In a financial audit, the applicable financial reporting framework, such as generally accepted accounting principles, represents one set of criteria.</w:t>
      </w:r>
    </w:p>
    <w:p w14:paraId="1B49AB05" w14:textId="77777777" w:rsidR="00AC5BE7" w:rsidRPr="00090962" w:rsidRDefault="00AC5BE7" w:rsidP="00361150">
      <w:pPr>
        <w:pStyle w:val="CM57"/>
        <w:spacing w:line="246" w:lineRule="atLeast"/>
        <w:jc w:val="both"/>
        <w:rPr>
          <w:rFonts w:ascii="Times New Roman" w:hAnsi="Times New Roman"/>
          <w:b/>
          <w:bCs/>
          <w:color w:val="000000"/>
          <w:sz w:val="22"/>
          <w:szCs w:val="22"/>
        </w:rPr>
      </w:pPr>
    </w:p>
    <w:p w14:paraId="7432A2B3" w14:textId="065E3D83" w:rsidR="00AC5BE7" w:rsidRPr="00090962" w:rsidRDefault="00AD419D" w:rsidP="00361150">
      <w:pPr>
        <w:pStyle w:val="CM57"/>
        <w:spacing w:line="246" w:lineRule="atLeast"/>
        <w:jc w:val="both"/>
        <w:rPr>
          <w:rFonts w:ascii="Times New Roman" w:hAnsi="Times New Roman"/>
          <w:color w:val="000000"/>
          <w:sz w:val="22"/>
          <w:szCs w:val="22"/>
        </w:rPr>
      </w:pPr>
      <w:r w:rsidRPr="00090962">
        <w:rPr>
          <w:rFonts w:ascii="Times New Roman" w:hAnsi="Times New Roman"/>
          <w:b/>
          <w:bCs/>
          <w:color w:val="000000"/>
          <w:sz w:val="22"/>
          <w:szCs w:val="22"/>
        </w:rPr>
        <w:t xml:space="preserve">6.26 </w:t>
      </w:r>
      <w:r w:rsidR="00AC5BE7" w:rsidRPr="00090962">
        <w:rPr>
          <w:rFonts w:ascii="Times New Roman" w:hAnsi="Times New Roman"/>
          <w:color w:val="000000"/>
          <w:sz w:val="22"/>
          <w:szCs w:val="22"/>
        </w:rPr>
        <w:t xml:space="preserve">Condition: Condition is a situation that exists. The condition is determined and documented during the audit. </w:t>
      </w:r>
    </w:p>
    <w:p w14:paraId="55989C98" w14:textId="77777777" w:rsidR="00AC5BE7" w:rsidRPr="00090962" w:rsidRDefault="00AC5BE7"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b/>
          <w:bCs/>
          <w:color w:val="000000"/>
          <w:sz w:val="22"/>
          <w:szCs w:val="22"/>
        </w:rPr>
      </w:pPr>
    </w:p>
    <w:p w14:paraId="5ABC5EE4" w14:textId="77E88897" w:rsidR="00013848" w:rsidRPr="00090962" w:rsidRDefault="00AD419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color w:val="000000"/>
          <w:sz w:val="22"/>
          <w:szCs w:val="22"/>
        </w:rPr>
      </w:pPr>
      <w:r w:rsidRPr="00090962">
        <w:rPr>
          <w:b/>
          <w:bCs/>
          <w:color w:val="000000"/>
          <w:sz w:val="22"/>
          <w:szCs w:val="22"/>
        </w:rPr>
        <w:t xml:space="preserve">6.27 </w:t>
      </w:r>
      <w:r w:rsidR="00AC5BE7" w:rsidRPr="00090962">
        <w:rPr>
          <w:color w:val="000000"/>
          <w:sz w:val="22"/>
          <w:szCs w:val="22"/>
        </w:rPr>
        <w:t>Cause: The cause identifies the factor or factors responsible for the difference between the</w:t>
      </w:r>
      <w:r w:rsidR="00CF037C" w:rsidRPr="00090962">
        <w:rPr>
          <w:color w:val="000000"/>
          <w:sz w:val="22"/>
          <w:szCs w:val="22"/>
        </w:rPr>
        <w:t xml:space="preserve"> </w:t>
      </w:r>
      <w:r w:rsidR="00094FBA" w:rsidRPr="00090962">
        <w:rPr>
          <w:color w:val="000000"/>
          <w:sz w:val="22"/>
          <w:szCs w:val="22"/>
        </w:rPr>
        <w:t>condition</w:t>
      </w:r>
      <w:r w:rsidR="00CF037C" w:rsidRPr="00090962">
        <w:rPr>
          <w:color w:val="000000"/>
          <w:sz w:val="22"/>
          <w:szCs w:val="22"/>
        </w:rPr>
        <w:t xml:space="preserve"> </w:t>
      </w:r>
      <w:r w:rsidR="00AC5BE7" w:rsidRPr="00090962">
        <w:rPr>
          <w:color w:val="000000"/>
          <w:sz w:val="22"/>
          <w:szCs w:val="22"/>
        </w:rPr>
        <w:t xml:space="preserve">and the </w:t>
      </w:r>
      <w:r w:rsidR="00094FBA" w:rsidRPr="00090962">
        <w:rPr>
          <w:color w:val="000000"/>
          <w:sz w:val="22"/>
          <w:szCs w:val="22"/>
        </w:rPr>
        <w:t>criteria</w:t>
      </w:r>
      <w:r w:rsidR="00AC5BE7" w:rsidRPr="00090962">
        <w:rPr>
          <w:color w:val="000000"/>
          <w:sz w:val="22"/>
          <w:szCs w:val="22"/>
        </w:rPr>
        <w:t>, which may also serve as a basis for recommendations for corrective actions. Common factors include poorly designed policies, procedures, or criteria; inconsistent, incomplete, or incorrect implementation; or factors beyond the control of program management. Auditors may assess whether the evidence provides a reasonable and convincing argument for why the stated cause is the key factor or factors contributing to the difference</w:t>
      </w:r>
      <w:r w:rsidR="00030F13" w:rsidRPr="00090962">
        <w:rPr>
          <w:color w:val="000000"/>
          <w:sz w:val="22"/>
          <w:szCs w:val="22"/>
        </w:rPr>
        <w:t xml:space="preserve"> between the condition and the criteria</w:t>
      </w:r>
      <w:r w:rsidR="00AC5BE7" w:rsidRPr="00090962">
        <w:rPr>
          <w:color w:val="000000"/>
          <w:sz w:val="22"/>
          <w:szCs w:val="22"/>
        </w:rPr>
        <w:t>.</w:t>
      </w:r>
    </w:p>
    <w:p w14:paraId="07912B58" w14:textId="77777777" w:rsidR="00AC5BE7" w:rsidRPr="00090962" w:rsidRDefault="00AC5BE7"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color w:val="000000"/>
          <w:sz w:val="22"/>
          <w:szCs w:val="22"/>
        </w:rPr>
      </w:pPr>
    </w:p>
    <w:p w14:paraId="673892A0" w14:textId="7A738082" w:rsidR="00AC5BE7" w:rsidRPr="00090962" w:rsidRDefault="00AD419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color w:val="000000"/>
          <w:sz w:val="22"/>
          <w:szCs w:val="22"/>
        </w:rPr>
      </w:pPr>
      <w:r w:rsidRPr="00090962">
        <w:rPr>
          <w:b/>
          <w:bCs/>
          <w:color w:val="000000"/>
          <w:sz w:val="22"/>
          <w:szCs w:val="22"/>
        </w:rPr>
        <w:t xml:space="preserve">6.28 </w:t>
      </w:r>
      <w:r w:rsidR="00AC5BE7" w:rsidRPr="00090962">
        <w:rPr>
          <w:color w:val="000000"/>
          <w:sz w:val="22"/>
          <w:szCs w:val="22"/>
        </w:rPr>
        <w:t>Effect or potential effect:</w:t>
      </w:r>
      <w:r w:rsidR="00446D1F" w:rsidRPr="00090962">
        <w:rPr>
          <w:color w:val="000000"/>
          <w:sz w:val="22"/>
          <w:szCs w:val="22"/>
        </w:rPr>
        <w:t xml:space="preserve"> </w:t>
      </w:r>
      <w:r w:rsidRPr="00090962">
        <w:rPr>
          <w:color w:val="000000"/>
          <w:sz w:val="22"/>
          <w:szCs w:val="22"/>
        </w:rPr>
        <w:t xml:space="preserve">The effect or potential effect is the outcome or consequence resulting from the difference between the condition and the criteria.  </w:t>
      </w:r>
      <w:r w:rsidR="00446D1F" w:rsidRPr="00090962">
        <w:rPr>
          <w:color w:val="000000"/>
          <w:sz w:val="22"/>
          <w:szCs w:val="22"/>
        </w:rPr>
        <w:t xml:space="preserve">When the audit objectives include identifying the actual or potential consequences of a condition that varies (either positively or negatively) from the criteria identified in the audit, </w:t>
      </w:r>
      <w:r w:rsidR="00446D1F" w:rsidRPr="00090962">
        <w:rPr>
          <w:i/>
          <w:color w:val="000000"/>
          <w:sz w:val="22"/>
          <w:szCs w:val="22"/>
        </w:rPr>
        <w:t>effect</w:t>
      </w:r>
      <w:r w:rsidR="00446D1F" w:rsidRPr="00090962">
        <w:rPr>
          <w:color w:val="000000"/>
          <w:sz w:val="22"/>
          <w:szCs w:val="22"/>
        </w:rPr>
        <w:t xml:space="preserve"> is a measure of those consequences. Effect or potential effect may be used to </w:t>
      </w:r>
      <w:r w:rsidR="0012044C" w:rsidRPr="00090962">
        <w:rPr>
          <w:color w:val="000000"/>
          <w:sz w:val="22"/>
          <w:szCs w:val="22"/>
        </w:rPr>
        <w:t>d</w:t>
      </w:r>
      <w:r w:rsidR="00446D1F" w:rsidRPr="00090962">
        <w:rPr>
          <w:color w:val="000000"/>
          <w:sz w:val="22"/>
          <w:szCs w:val="22"/>
        </w:rPr>
        <w:t xml:space="preserve">emonstrate the need for corrective action in response to identified problems or relevant risks. </w:t>
      </w:r>
    </w:p>
    <w:p w14:paraId="005E0528" w14:textId="77777777" w:rsidR="00AC5BE7" w:rsidRPr="00090962" w:rsidRDefault="00AC5BE7"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color w:val="000000"/>
          <w:sz w:val="22"/>
          <w:szCs w:val="22"/>
        </w:rPr>
      </w:pPr>
    </w:p>
    <w:p w14:paraId="31F87AC4" w14:textId="42367F02" w:rsidR="00AC5BE7" w:rsidRPr="00090962" w:rsidRDefault="00AD419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b/>
          <w:color w:val="000000"/>
          <w:sz w:val="22"/>
          <w:szCs w:val="22"/>
        </w:rPr>
        <w:t>6.52</w:t>
      </w:r>
      <w:r w:rsidR="009B4BF1" w:rsidRPr="00090962">
        <w:rPr>
          <w:color w:val="000000"/>
          <w:sz w:val="22"/>
          <w:szCs w:val="22"/>
        </w:rPr>
        <w:t xml:space="preserve"> </w:t>
      </w:r>
      <w:r w:rsidRPr="00090962">
        <w:rPr>
          <w:color w:val="000000"/>
          <w:sz w:val="22"/>
          <w:szCs w:val="22"/>
        </w:rPr>
        <w:t xml:space="preserve">Along with assisting management or oversight officials of the audited entity in understanding the need for corrective action, clearly developed findings assist auditors in making recommendations for corrective action.  </w:t>
      </w:r>
      <w:r w:rsidR="00AC5BE7" w:rsidRPr="00090962">
        <w:rPr>
          <w:rFonts w:cs="DKJJH I+ Century"/>
          <w:color w:val="000000"/>
          <w:sz w:val="22"/>
          <w:szCs w:val="22"/>
        </w:rPr>
        <w:t>If auditors sufficiently develop the elements of a finding, they may provide recommendations for corrective action.</w:t>
      </w:r>
    </w:p>
    <w:p w14:paraId="4DB5C6F1" w14:textId="77777777" w:rsidR="00F03F04" w:rsidRPr="0065639F" w:rsidRDefault="00F03F04" w:rsidP="00301A19">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rPr>
          <w:sz w:val="24"/>
          <w:szCs w:val="24"/>
          <w:lang w:eastAsia="ja-JP"/>
        </w:rPr>
      </w:pPr>
    </w:p>
    <w:p w14:paraId="70E871DB" w14:textId="77777777" w:rsidR="0039018E" w:rsidRPr="000A1857" w:rsidRDefault="0016269D" w:rsidP="00621F8F">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center"/>
        <w:outlineLvl w:val="2"/>
        <w:rPr>
          <w:b/>
          <w:sz w:val="28"/>
          <w:szCs w:val="28"/>
          <w:lang w:eastAsia="ja-JP"/>
        </w:rPr>
      </w:pPr>
      <w:bookmarkStart w:id="20" w:name="_Toc214431126"/>
      <w:r w:rsidRPr="00ED1E8D">
        <w:rPr>
          <w:b/>
          <w:sz w:val="24"/>
          <w:szCs w:val="24"/>
          <w:lang w:eastAsia="ja-JP"/>
        </w:rPr>
        <w:t>Auditee</w:t>
      </w:r>
      <w:r w:rsidR="0039018E" w:rsidRPr="00ED1E8D">
        <w:rPr>
          <w:b/>
          <w:sz w:val="24"/>
          <w:szCs w:val="24"/>
          <w:lang w:eastAsia="ja-JP"/>
        </w:rPr>
        <w:t xml:space="preserve"> Responses</w:t>
      </w:r>
      <w:r w:rsidR="00AC5BE7" w:rsidRPr="00ED1E8D">
        <w:rPr>
          <w:b/>
          <w:sz w:val="24"/>
          <w:szCs w:val="24"/>
          <w:lang w:eastAsia="ja-JP"/>
        </w:rPr>
        <w:t xml:space="preserve"> to Findings</w:t>
      </w:r>
      <w:bookmarkEnd w:id="20"/>
    </w:p>
    <w:p w14:paraId="2064CB82" w14:textId="77777777" w:rsidR="00AC5BE7" w:rsidRPr="002C2C17" w:rsidRDefault="00AC5BE7" w:rsidP="00A017CE">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rPr>
          <w:sz w:val="24"/>
          <w:szCs w:val="24"/>
          <w:lang w:eastAsia="ja-JP"/>
        </w:rPr>
      </w:pPr>
    </w:p>
    <w:p w14:paraId="55DFF1E6" w14:textId="3BB7A75C" w:rsidR="00AC5BE7" w:rsidRPr="00090962" w:rsidRDefault="008005F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2018 GAGAS 6.57 – 6.62 </w:t>
      </w:r>
      <w:r w:rsidR="00AB568B" w:rsidRPr="00090962">
        <w:rPr>
          <w:sz w:val="22"/>
          <w:szCs w:val="22"/>
          <w:lang w:eastAsia="ja-JP"/>
        </w:rPr>
        <w:t>establish</w:t>
      </w:r>
      <w:r w:rsidR="00AC5BE7" w:rsidRPr="00090962">
        <w:rPr>
          <w:sz w:val="22"/>
          <w:szCs w:val="22"/>
          <w:lang w:eastAsia="ja-JP"/>
        </w:rPr>
        <w:t xml:space="preserve"> requirements for obtaining and reporting the auditee’s responses to findings.  </w:t>
      </w:r>
      <w:r w:rsidRPr="00090962">
        <w:rPr>
          <w:sz w:val="22"/>
          <w:szCs w:val="22"/>
          <w:lang w:eastAsia="ja-JP"/>
        </w:rPr>
        <w:t xml:space="preserve">2018 GAGAS </w:t>
      </w:r>
      <w:r w:rsidR="007A2466" w:rsidRPr="00090962">
        <w:rPr>
          <w:sz w:val="22"/>
          <w:szCs w:val="22"/>
          <w:lang w:eastAsia="ja-JP"/>
        </w:rPr>
        <w:t>6.57</w:t>
      </w:r>
      <w:r w:rsidRPr="00090962">
        <w:rPr>
          <w:sz w:val="22"/>
          <w:szCs w:val="22"/>
          <w:lang w:eastAsia="ja-JP"/>
        </w:rPr>
        <w:t xml:space="preserve"> </w:t>
      </w:r>
      <w:r w:rsidR="00AC5BE7" w:rsidRPr="00090962">
        <w:rPr>
          <w:sz w:val="22"/>
          <w:szCs w:val="22"/>
          <w:lang w:eastAsia="ja-JP"/>
        </w:rPr>
        <w:t xml:space="preserve">states, </w:t>
      </w:r>
      <w:r w:rsidR="00A017CE" w:rsidRPr="00090962">
        <w:rPr>
          <w:sz w:val="22"/>
          <w:szCs w:val="22"/>
          <w:lang w:eastAsia="ja-JP"/>
        </w:rPr>
        <w:t>“</w:t>
      </w:r>
      <w:r w:rsidR="007A2466" w:rsidRPr="00090962">
        <w:rPr>
          <w:sz w:val="22"/>
          <w:szCs w:val="22"/>
          <w:lang w:eastAsia="ja-JP"/>
        </w:rPr>
        <w:t>A</w:t>
      </w:r>
      <w:r w:rsidR="00A90A4B" w:rsidRPr="00090962">
        <w:rPr>
          <w:sz w:val="22"/>
          <w:szCs w:val="22"/>
          <w:lang w:eastAsia="ja-JP"/>
        </w:rPr>
        <w:t>uditors should</w:t>
      </w:r>
      <w:r w:rsidR="00FC3F5F" w:rsidRPr="00090962">
        <w:rPr>
          <w:sz w:val="22"/>
          <w:szCs w:val="22"/>
          <w:lang w:eastAsia="ja-JP"/>
        </w:rPr>
        <w:t xml:space="preserve"> </w:t>
      </w:r>
      <w:r w:rsidR="00A90A4B" w:rsidRPr="00090962">
        <w:rPr>
          <w:sz w:val="22"/>
          <w:szCs w:val="22"/>
          <w:lang w:eastAsia="ja-JP"/>
        </w:rPr>
        <w:t xml:space="preserve">obtain and report the views of responsible officials </w:t>
      </w:r>
      <w:r w:rsidR="00F95298" w:rsidRPr="00090962">
        <w:rPr>
          <w:sz w:val="22"/>
          <w:szCs w:val="22"/>
          <w:lang w:eastAsia="ja-JP"/>
        </w:rPr>
        <w:t xml:space="preserve">of the audited entity </w:t>
      </w:r>
      <w:r w:rsidR="00A90A4B" w:rsidRPr="00090962">
        <w:rPr>
          <w:sz w:val="22"/>
          <w:szCs w:val="22"/>
          <w:lang w:eastAsia="ja-JP"/>
        </w:rPr>
        <w:t xml:space="preserve">concerning </w:t>
      </w:r>
      <w:r w:rsidR="00F95298" w:rsidRPr="00090962">
        <w:rPr>
          <w:sz w:val="22"/>
          <w:szCs w:val="22"/>
          <w:lang w:eastAsia="ja-JP"/>
        </w:rPr>
        <w:t xml:space="preserve">the </w:t>
      </w:r>
      <w:r w:rsidR="00A90A4B" w:rsidRPr="00090962">
        <w:rPr>
          <w:sz w:val="22"/>
          <w:szCs w:val="22"/>
          <w:lang w:eastAsia="ja-JP"/>
        </w:rPr>
        <w:t xml:space="preserve">findings, conclusions, and recommendations, as well as </w:t>
      </w:r>
      <w:r w:rsidR="00F95298" w:rsidRPr="00090962">
        <w:rPr>
          <w:sz w:val="22"/>
          <w:szCs w:val="22"/>
          <w:lang w:eastAsia="ja-JP"/>
        </w:rPr>
        <w:t xml:space="preserve">any </w:t>
      </w:r>
      <w:r w:rsidR="00A90A4B" w:rsidRPr="00090962">
        <w:rPr>
          <w:sz w:val="22"/>
          <w:szCs w:val="22"/>
          <w:lang w:eastAsia="ja-JP"/>
        </w:rPr>
        <w:t>planned corrective actions</w:t>
      </w:r>
      <w:r w:rsidR="00AC5BE7" w:rsidRPr="00090962">
        <w:rPr>
          <w:sz w:val="22"/>
          <w:szCs w:val="22"/>
          <w:lang w:eastAsia="ja-JP"/>
        </w:rPr>
        <w:t>.”</w:t>
      </w:r>
      <w:r w:rsidR="006829F3" w:rsidRPr="00090962">
        <w:rPr>
          <w:sz w:val="22"/>
          <w:szCs w:val="22"/>
          <w:lang w:eastAsia="ja-JP"/>
        </w:rPr>
        <w:t xml:space="preserve">  </w:t>
      </w:r>
      <w:r w:rsidR="009C3934" w:rsidRPr="00090962">
        <w:rPr>
          <w:sz w:val="22"/>
          <w:szCs w:val="22"/>
          <w:lang w:eastAsia="ja-JP"/>
        </w:rPr>
        <w:t xml:space="preserve">2018 GAGAS 6.58 </w:t>
      </w:r>
      <w:r w:rsidR="006829F3" w:rsidRPr="00090962">
        <w:rPr>
          <w:sz w:val="22"/>
          <w:szCs w:val="22"/>
          <w:lang w:eastAsia="ja-JP"/>
        </w:rPr>
        <w:t>states, “When auditors receive written comments from the responsible officials, they should include in their report a copy of the officials' written comments, or a su</w:t>
      </w:r>
      <w:r w:rsidR="007A2466" w:rsidRPr="00090962">
        <w:rPr>
          <w:sz w:val="22"/>
          <w:szCs w:val="22"/>
          <w:lang w:eastAsia="ja-JP"/>
        </w:rPr>
        <w:t xml:space="preserve">mmary of the comments received . . . </w:t>
      </w:r>
      <w:r w:rsidR="00675AF2" w:rsidRPr="00090962">
        <w:rPr>
          <w:sz w:val="22"/>
          <w:szCs w:val="22"/>
          <w:lang w:eastAsia="ja-JP"/>
        </w:rPr>
        <w:t>”</w:t>
      </w:r>
    </w:p>
    <w:p w14:paraId="0B4FDCD3" w14:textId="77777777" w:rsidR="00A83BE8" w:rsidRPr="00090962" w:rsidRDefault="00A83BE8"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11D73D15" w14:textId="77777777" w:rsidR="00DF5F91" w:rsidRPr="00090962" w:rsidRDefault="00DF5F91"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Therefore, if an auditee responds to a finding, we </w:t>
      </w:r>
      <w:r w:rsidR="00F545CD" w:rsidRPr="00090962">
        <w:rPr>
          <w:sz w:val="22"/>
          <w:szCs w:val="22"/>
          <w:lang w:eastAsia="ja-JP"/>
        </w:rPr>
        <w:t>should</w:t>
      </w:r>
      <w:r w:rsidR="0061206C" w:rsidRPr="00090962">
        <w:rPr>
          <w:sz w:val="22"/>
          <w:szCs w:val="22"/>
          <w:lang w:eastAsia="ja-JP"/>
        </w:rPr>
        <w:t xml:space="preserve"> </w:t>
      </w:r>
      <w:r w:rsidR="00ED5454" w:rsidRPr="00090962">
        <w:rPr>
          <w:sz w:val="22"/>
          <w:szCs w:val="22"/>
          <w:lang w:eastAsia="ja-JP"/>
        </w:rPr>
        <w:t xml:space="preserve">include </w:t>
      </w:r>
      <w:r w:rsidRPr="00090962">
        <w:rPr>
          <w:sz w:val="22"/>
          <w:szCs w:val="22"/>
          <w:lang w:eastAsia="ja-JP"/>
        </w:rPr>
        <w:t xml:space="preserve">their response in </w:t>
      </w:r>
      <w:r w:rsidR="00611623" w:rsidRPr="00090962">
        <w:rPr>
          <w:sz w:val="22"/>
          <w:szCs w:val="22"/>
          <w:lang w:eastAsia="ja-JP"/>
        </w:rPr>
        <w:t>the applicable</w:t>
      </w:r>
      <w:r w:rsidRPr="00090962">
        <w:rPr>
          <w:sz w:val="22"/>
          <w:szCs w:val="22"/>
          <w:lang w:eastAsia="ja-JP"/>
        </w:rPr>
        <w:t xml:space="preserve"> report</w:t>
      </w:r>
      <w:r w:rsidR="00611623" w:rsidRPr="00090962">
        <w:rPr>
          <w:sz w:val="22"/>
          <w:szCs w:val="22"/>
          <w:lang w:eastAsia="ja-JP"/>
        </w:rPr>
        <w:t xml:space="preserve"> (i.e., GAGAS or </w:t>
      </w:r>
      <w:r w:rsidR="00F631E1" w:rsidRPr="00090962">
        <w:rPr>
          <w:sz w:val="22"/>
          <w:szCs w:val="22"/>
          <w:lang w:eastAsia="ja-JP"/>
        </w:rPr>
        <w:t>Single A</w:t>
      </w:r>
      <w:r w:rsidR="00423F1F" w:rsidRPr="00090962">
        <w:rPr>
          <w:sz w:val="22"/>
          <w:szCs w:val="22"/>
          <w:lang w:eastAsia="ja-JP"/>
        </w:rPr>
        <w:t>udit</w:t>
      </w:r>
      <w:r w:rsidR="00611623" w:rsidRPr="00090962">
        <w:rPr>
          <w:sz w:val="22"/>
          <w:szCs w:val="22"/>
          <w:lang w:eastAsia="ja-JP"/>
        </w:rPr>
        <w:t xml:space="preserve"> report)</w:t>
      </w:r>
      <w:r w:rsidRPr="00090962">
        <w:rPr>
          <w:sz w:val="22"/>
          <w:szCs w:val="22"/>
          <w:lang w:eastAsia="ja-JP"/>
        </w:rPr>
        <w:t>.</w:t>
      </w:r>
    </w:p>
    <w:p w14:paraId="094F0B79" w14:textId="77777777" w:rsidR="00404CDD" w:rsidRPr="00090962" w:rsidRDefault="00404CD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i/>
          <w:sz w:val="24"/>
          <w:szCs w:val="24"/>
          <w:lang w:eastAsia="ja-JP"/>
        </w:rPr>
      </w:pPr>
    </w:p>
    <w:p w14:paraId="3877E751" w14:textId="1B2F14ED" w:rsidR="00DF5F91" w:rsidRPr="00090962" w:rsidRDefault="00404CD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If an auditee responds verbally to a finding (for example, at the </w:t>
      </w:r>
      <w:r w:rsidR="00B40AB7" w:rsidRPr="00090962">
        <w:rPr>
          <w:sz w:val="22"/>
          <w:szCs w:val="22"/>
          <w:lang w:eastAsia="ja-JP"/>
        </w:rPr>
        <w:t xml:space="preserve">exit </w:t>
      </w:r>
      <w:r w:rsidRPr="00090962">
        <w:rPr>
          <w:sz w:val="22"/>
          <w:szCs w:val="22"/>
          <w:lang w:eastAsia="ja-JP"/>
        </w:rPr>
        <w:t>conference)</w:t>
      </w:r>
      <w:r w:rsidR="00F631E1" w:rsidRPr="00090962">
        <w:rPr>
          <w:sz w:val="22"/>
          <w:szCs w:val="22"/>
          <w:lang w:eastAsia="ja-JP"/>
        </w:rPr>
        <w:t>,</w:t>
      </w:r>
      <w:r w:rsidRPr="00090962">
        <w:rPr>
          <w:sz w:val="22"/>
          <w:szCs w:val="22"/>
          <w:lang w:eastAsia="ja-JP"/>
        </w:rPr>
        <w:t xml:space="preserve"> we should ask if they wish to include their response in the report. </w:t>
      </w:r>
    </w:p>
    <w:p w14:paraId="6AF1D767" w14:textId="77777777" w:rsidR="000F6D6B" w:rsidRPr="00090962" w:rsidRDefault="000F6D6B"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5AE18779" w14:textId="77777777" w:rsidR="00A83BE8" w:rsidRPr="00090962" w:rsidRDefault="00A83BE8"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We should recognize that the tone of </w:t>
      </w:r>
      <w:r w:rsidR="008B1638" w:rsidRPr="00090962">
        <w:rPr>
          <w:sz w:val="22"/>
          <w:szCs w:val="22"/>
          <w:lang w:eastAsia="ja-JP"/>
        </w:rPr>
        <w:t xml:space="preserve">these </w:t>
      </w:r>
      <w:r w:rsidRPr="00090962">
        <w:rPr>
          <w:sz w:val="22"/>
          <w:szCs w:val="22"/>
          <w:lang w:eastAsia="ja-JP"/>
        </w:rPr>
        <w:t xml:space="preserve">responses will vary.  </w:t>
      </w:r>
      <w:r w:rsidR="00B258D2" w:rsidRPr="00090962">
        <w:rPr>
          <w:sz w:val="22"/>
          <w:szCs w:val="22"/>
          <w:lang w:eastAsia="ja-JP"/>
        </w:rPr>
        <w:t xml:space="preserve">Some officials will prepare </w:t>
      </w:r>
      <w:r w:rsidR="008B1638" w:rsidRPr="00090962">
        <w:rPr>
          <w:sz w:val="22"/>
          <w:szCs w:val="22"/>
          <w:lang w:eastAsia="ja-JP"/>
        </w:rPr>
        <w:t xml:space="preserve">thoughtful </w:t>
      </w:r>
      <w:r w:rsidR="00B258D2" w:rsidRPr="00090962">
        <w:rPr>
          <w:sz w:val="22"/>
          <w:szCs w:val="22"/>
          <w:lang w:eastAsia="ja-JP"/>
        </w:rPr>
        <w:t>responses</w:t>
      </w:r>
      <w:r w:rsidR="008B1638" w:rsidRPr="00090962">
        <w:rPr>
          <w:sz w:val="22"/>
          <w:szCs w:val="22"/>
          <w:lang w:eastAsia="ja-JP"/>
        </w:rPr>
        <w:t xml:space="preserve">, perhaps </w:t>
      </w:r>
      <w:r w:rsidR="009F0094" w:rsidRPr="00090962">
        <w:rPr>
          <w:sz w:val="22"/>
          <w:szCs w:val="22"/>
          <w:lang w:eastAsia="ja-JP"/>
        </w:rPr>
        <w:t xml:space="preserve">even </w:t>
      </w:r>
      <w:r w:rsidR="008B1638" w:rsidRPr="00090962">
        <w:rPr>
          <w:sz w:val="22"/>
          <w:szCs w:val="22"/>
          <w:lang w:eastAsia="ja-JP"/>
        </w:rPr>
        <w:t xml:space="preserve">acknowledging responsibility for the error.  Conversely, other officials will feel we have been unfair, that we do not understand the </w:t>
      </w:r>
      <w:r w:rsidR="008B1638" w:rsidRPr="00090962">
        <w:rPr>
          <w:i/>
          <w:sz w:val="22"/>
          <w:szCs w:val="22"/>
          <w:lang w:eastAsia="ja-JP"/>
        </w:rPr>
        <w:t>criteria</w:t>
      </w:r>
      <w:r w:rsidR="008B1638" w:rsidRPr="00090962">
        <w:rPr>
          <w:sz w:val="22"/>
          <w:szCs w:val="22"/>
          <w:lang w:eastAsia="ja-JP"/>
        </w:rPr>
        <w:t xml:space="preserve"> </w:t>
      </w:r>
      <w:r w:rsidR="009A117C" w:rsidRPr="00090962">
        <w:rPr>
          <w:sz w:val="22"/>
          <w:szCs w:val="22"/>
          <w:lang w:eastAsia="ja-JP"/>
        </w:rPr>
        <w:t>(e.g.</w:t>
      </w:r>
      <w:r w:rsidR="0077563A" w:rsidRPr="00090962">
        <w:rPr>
          <w:sz w:val="22"/>
          <w:szCs w:val="22"/>
          <w:lang w:eastAsia="ja-JP"/>
        </w:rPr>
        <w:t>,</w:t>
      </w:r>
      <w:r w:rsidR="009A117C" w:rsidRPr="00090962">
        <w:rPr>
          <w:sz w:val="22"/>
          <w:szCs w:val="22"/>
          <w:lang w:eastAsia="ja-JP"/>
        </w:rPr>
        <w:t xml:space="preserve"> law</w:t>
      </w:r>
      <w:r w:rsidR="00F545CD" w:rsidRPr="00090962">
        <w:rPr>
          <w:sz w:val="22"/>
          <w:szCs w:val="22"/>
          <w:lang w:eastAsia="ja-JP"/>
        </w:rPr>
        <w:t>s</w:t>
      </w:r>
      <w:r w:rsidR="009A117C" w:rsidRPr="00090962">
        <w:rPr>
          <w:sz w:val="22"/>
          <w:szCs w:val="22"/>
          <w:lang w:eastAsia="ja-JP"/>
        </w:rPr>
        <w:t xml:space="preserve">) </w:t>
      </w:r>
      <w:r w:rsidR="008B1638" w:rsidRPr="00090962">
        <w:rPr>
          <w:sz w:val="22"/>
          <w:szCs w:val="22"/>
          <w:lang w:eastAsia="ja-JP"/>
        </w:rPr>
        <w:t xml:space="preserve">we are citing or draft a response impugning our abilities or motives.  Regardless, we should carefully consider these responses.  If there is significant disagreement regarding </w:t>
      </w:r>
      <w:r w:rsidR="00F2532B" w:rsidRPr="00090962">
        <w:rPr>
          <w:sz w:val="22"/>
          <w:szCs w:val="22"/>
          <w:lang w:eastAsia="ja-JP"/>
        </w:rPr>
        <w:t>a</w:t>
      </w:r>
      <w:r w:rsidR="008B1638" w:rsidRPr="00090962">
        <w:rPr>
          <w:sz w:val="22"/>
          <w:szCs w:val="22"/>
          <w:lang w:eastAsia="ja-JP"/>
        </w:rPr>
        <w:t xml:space="preserve"> finding, we should attempt to resolve the disagreement, if practical.  For example, if there is disagreement regarding a grant re</w:t>
      </w:r>
      <w:r w:rsidR="00F2532B" w:rsidRPr="00090962">
        <w:rPr>
          <w:sz w:val="22"/>
          <w:szCs w:val="22"/>
          <w:lang w:eastAsia="ja-JP"/>
        </w:rPr>
        <w:t>quirement</w:t>
      </w:r>
      <w:r w:rsidR="008B1638" w:rsidRPr="00090962">
        <w:rPr>
          <w:sz w:val="22"/>
          <w:szCs w:val="22"/>
          <w:lang w:eastAsia="ja-JP"/>
        </w:rPr>
        <w:t xml:space="preserve">, we </w:t>
      </w:r>
      <w:r w:rsidR="00B94197" w:rsidRPr="00090962">
        <w:rPr>
          <w:sz w:val="22"/>
          <w:szCs w:val="22"/>
          <w:lang w:eastAsia="ja-JP"/>
        </w:rPr>
        <w:t>might</w:t>
      </w:r>
      <w:r w:rsidR="008B1638" w:rsidRPr="00090962">
        <w:rPr>
          <w:sz w:val="22"/>
          <w:szCs w:val="22"/>
          <w:lang w:eastAsia="ja-JP"/>
        </w:rPr>
        <w:t xml:space="preserve"> contact the grantor and obtain the grantor’s </w:t>
      </w:r>
      <w:r w:rsidR="00F2532B" w:rsidRPr="00090962">
        <w:rPr>
          <w:sz w:val="22"/>
          <w:szCs w:val="22"/>
          <w:lang w:eastAsia="ja-JP"/>
        </w:rPr>
        <w:t xml:space="preserve">interpretation of the requirement.  </w:t>
      </w:r>
    </w:p>
    <w:p w14:paraId="19170CF1" w14:textId="77777777" w:rsidR="009F0094" w:rsidRPr="00090962" w:rsidRDefault="009F0094"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2458472E" w14:textId="1BF68927" w:rsidR="00120F23" w:rsidRPr="00090962" w:rsidRDefault="008005FD"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2018 GAGAS </w:t>
      </w:r>
      <w:r w:rsidR="00DE7573" w:rsidRPr="00090962">
        <w:rPr>
          <w:sz w:val="22"/>
          <w:szCs w:val="22"/>
          <w:lang w:eastAsia="ja-JP"/>
        </w:rPr>
        <w:t xml:space="preserve">6.59 </w:t>
      </w:r>
      <w:r w:rsidR="009F0094" w:rsidRPr="00090962">
        <w:rPr>
          <w:sz w:val="22"/>
          <w:szCs w:val="22"/>
          <w:lang w:eastAsia="ja-JP"/>
        </w:rPr>
        <w:t xml:space="preserve">states that when </w:t>
      </w:r>
      <w:r w:rsidR="00526B08" w:rsidRPr="00090962">
        <w:rPr>
          <w:sz w:val="22"/>
          <w:szCs w:val="22"/>
          <w:lang w:eastAsia="ja-JP"/>
        </w:rPr>
        <w:t>the audited entity's comments are inconsistent or in conflict with the findings, conclusions, or recommendations in the draft report, or when planned corrective actions do not adequately address the auditors' recommendations, the auditors shou</w:t>
      </w:r>
      <w:r w:rsidR="0097028E" w:rsidRPr="00090962">
        <w:rPr>
          <w:sz w:val="22"/>
          <w:szCs w:val="22"/>
          <w:lang w:eastAsia="ja-JP"/>
        </w:rPr>
        <w:t>ld evaluate the validity of the</w:t>
      </w:r>
      <w:r w:rsidR="00526B08" w:rsidRPr="00090962">
        <w:rPr>
          <w:sz w:val="22"/>
          <w:szCs w:val="22"/>
          <w:lang w:eastAsia="ja-JP"/>
        </w:rPr>
        <w:t xml:space="preserve"> comments. If the auditors disagree with the comments, they should explain in the report their reasons for disagreement.</w:t>
      </w:r>
      <w:r w:rsidR="009F0094" w:rsidRPr="00090962">
        <w:rPr>
          <w:sz w:val="22"/>
          <w:szCs w:val="22"/>
          <w:lang w:eastAsia="ja-JP"/>
        </w:rPr>
        <w:t xml:space="preserve">  </w:t>
      </w:r>
      <w:r w:rsidR="00DE7573" w:rsidRPr="00090962">
        <w:rPr>
          <w:sz w:val="22"/>
          <w:szCs w:val="22"/>
          <w:lang w:eastAsia="ja-JP"/>
        </w:rPr>
        <w:t>(</w:t>
      </w:r>
      <w:r w:rsidR="00DE7573" w:rsidRPr="00090962">
        <w:rPr>
          <w:i/>
          <w:sz w:val="22"/>
          <w:szCs w:val="22"/>
          <w:lang w:eastAsia="ja-JP"/>
        </w:rPr>
        <w:t>Note:</w:t>
      </w:r>
      <w:r w:rsidR="00DE7573" w:rsidRPr="00090962">
        <w:rPr>
          <w:sz w:val="22"/>
          <w:szCs w:val="22"/>
          <w:lang w:eastAsia="ja-JP"/>
        </w:rPr>
        <w:t xml:space="preserve"> </w:t>
      </w:r>
      <w:r w:rsidR="00120F23" w:rsidRPr="00090962">
        <w:rPr>
          <w:sz w:val="22"/>
          <w:szCs w:val="22"/>
          <w:lang w:eastAsia="ja-JP"/>
        </w:rPr>
        <w:t xml:space="preserve">However, we should always attempt to resolve disagreements before issuing the final report.  If we can resolve the differences, the report should </w:t>
      </w:r>
      <w:r w:rsidR="00655AB6" w:rsidRPr="00090962">
        <w:rPr>
          <w:sz w:val="22"/>
          <w:szCs w:val="22"/>
          <w:lang w:eastAsia="ja-JP"/>
        </w:rPr>
        <w:t xml:space="preserve">not </w:t>
      </w:r>
      <w:r w:rsidR="00120F23" w:rsidRPr="00090962">
        <w:rPr>
          <w:sz w:val="22"/>
          <w:szCs w:val="22"/>
          <w:lang w:eastAsia="ja-JP"/>
        </w:rPr>
        <w:t xml:space="preserve">include </w:t>
      </w:r>
      <w:r w:rsidR="00655AB6" w:rsidRPr="00090962">
        <w:rPr>
          <w:sz w:val="22"/>
          <w:szCs w:val="22"/>
          <w:lang w:eastAsia="ja-JP"/>
        </w:rPr>
        <w:t xml:space="preserve">the </w:t>
      </w:r>
      <w:r w:rsidR="00120F23" w:rsidRPr="00090962">
        <w:rPr>
          <w:sz w:val="22"/>
          <w:szCs w:val="22"/>
          <w:lang w:eastAsia="ja-JP"/>
        </w:rPr>
        <w:t>client</w:t>
      </w:r>
      <w:r w:rsidR="00655AB6" w:rsidRPr="00090962">
        <w:rPr>
          <w:sz w:val="22"/>
          <w:szCs w:val="22"/>
          <w:lang w:eastAsia="ja-JP"/>
        </w:rPr>
        <w:t>’s original</w:t>
      </w:r>
      <w:r w:rsidR="00120F23" w:rsidRPr="00090962">
        <w:rPr>
          <w:sz w:val="22"/>
          <w:szCs w:val="22"/>
          <w:lang w:eastAsia="ja-JP"/>
        </w:rPr>
        <w:t xml:space="preserve"> response. </w:t>
      </w:r>
      <w:r w:rsidR="00655AB6" w:rsidRPr="00090962">
        <w:rPr>
          <w:sz w:val="22"/>
          <w:szCs w:val="22"/>
          <w:lang w:eastAsia="ja-JP"/>
        </w:rPr>
        <w:t>We can in</w:t>
      </w:r>
      <w:r w:rsidR="00F545CD" w:rsidRPr="00090962">
        <w:rPr>
          <w:sz w:val="22"/>
          <w:szCs w:val="22"/>
          <w:lang w:eastAsia="ja-JP"/>
        </w:rPr>
        <w:t>clude an updated response</w:t>
      </w:r>
      <w:r w:rsidR="00655AB6" w:rsidRPr="00090962">
        <w:rPr>
          <w:sz w:val="22"/>
          <w:szCs w:val="22"/>
          <w:lang w:eastAsia="ja-JP"/>
        </w:rPr>
        <w:t>.</w:t>
      </w:r>
      <w:r w:rsidR="00120F23" w:rsidRPr="00090962">
        <w:rPr>
          <w:sz w:val="22"/>
          <w:szCs w:val="22"/>
          <w:lang w:eastAsia="ja-JP"/>
        </w:rPr>
        <w:t xml:space="preserve"> The report </w:t>
      </w:r>
      <w:r w:rsidR="00F545CD" w:rsidRPr="00090962">
        <w:rPr>
          <w:sz w:val="22"/>
          <w:szCs w:val="22"/>
          <w:lang w:eastAsia="ja-JP"/>
        </w:rPr>
        <w:t>w</w:t>
      </w:r>
      <w:r w:rsidR="00120F23" w:rsidRPr="00090962">
        <w:rPr>
          <w:sz w:val="22"/>
          <w:szCs w:val="22"/>
          <w:lang w:eastAsia="ja-JP"/>
        </w:rPr>
        <w:t>ould no</w:t>
      </w:r>
      <w:r w:rsidR="009B4BF1" w:rsidRPr="00090962">
        <w:rPr>
          <w:sz w:val="22"/>
          <w:szCs w:val="22"/>
          <w:lang w:eastAsia="ja-JP"/>
        </w:rPr>
        <w:t xml:space="preserve">t refer to </w:t>
      </w:r>
      <w:proofErr w:type="gramStart"/>
      <w:r w:rsidR="009B4BF1" w:rsidRPr="00090962">
        <w:rPr>
          <w:sz w:val="22"/>
          <w:szCs w:val="22"/>
          <w:lang w:eastAsia="ja-JP"/>
        </w:rPr>
        <w:t>a disagreement</w:t>
      </w:r>
      <w:proofErr w:type="gramEnd"/>
      <w:r w:rsidR="009B4BF1" w:rsidRPr="00090962">
        <w:rPr>
          <w:sz w:val="22"/>
          <w:szCs w:val="22"/>
          <w:lang w:eastAsia="ja-JP"/>
        </w:rPr>
        <w:t>, because</w:t>
      </w:r>
      <w:r w:rsidR="00120F23" w:rsidRPr="00090962">
        <w:rPr>
          <w:sz w:val="22"/>
          <w:szCs w:val="22"/>
          <w:lang w:eastAsia="ja-JP"/>
        </w:rPr>
        <w:t xml:space="preserve"> the disagreement no longer exists.</w:t>
      </w:r>
      <w:r w:rsidR="00DE7573" w:rsidRPr="00090962">
        <w:rPr>
          <w:sz w:val="22"/>
          <w:szCs w:val="22"/>
          <w:lang w:eastAsia="ja-JP"/>
        </w:rPr>
        <w:t>)</w:t>
      </w:r>
      <w:r w:rsidR="00120F23" w:rsidRPr="00090962">
        <w:rPr>
          <w:sz w:val="22"/>
          <w:szCs w:val="22"/>
          <w:lang w:eastAsia="ja-JP"/>
        </w:rPr>
        <w:t xml:space="preserve">  </w:t>
      </w:r>
    </w:p>
    <w:p w14:paraId="69AF6A14" w14:textId="77777777" w:rsidR="00120F23" w:rsidRPr="00090962" w:rsidRDefault="00120F23"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09856E37" w14:textId="2575B0FA" w:rsidR="009F0094" w:rsidRPr="00090962" w:rsidRDefault="00D42795"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If we cannot agree with the client, we should </w:t>
      </w:r>
      <w:r w:rsidR="00655AB6" w:rsidRPr="00090962">
        <w:rPr>
          <w:sz w:val="22"/>
          <w:szCs w:val="22"/>
          <w:lang w:eastAsia="ja-JP"/>
        </w:rPr>
        <w:t xml:space="preserve">summarize the client’s substantive reasons for </w:t>
      </w:r>
      <w:proofErr w:type="gramStart"/>
      <w:r w:rsidR="00655AB6" w:rsidRPr="00090962">
        <w:rPr>
          <w:sz w:val="22"/>
          <w:szCs w:val="22"/>
          <w:lang w:eastAsia="ja-JP"/>
        </w:rPr>
        <w:t>disagree</w:t>
      </w:r>
      <w:r w:rsidR="00540150" w:rsidRPr="00090962">
        <w:rPr>
          <w:sz w:val="22"/>
          <w:szCs w:val="22"/>
          <w:lang w:eastAsia="ja-JP"/>
        </w:rPr>
        <w:t>ing</w:t>
      </w:r>
      <w:proofErr w:type="gramEnd"/>
      <w:r w:rsidRPr="00090962">
        <w:rPr>
          <w:sz w:val="22"/>
          <w:szCs w:val="22"/>
          <w:lang w:eastAsia="ja-JP"/>
        </w:rPr>
        <w:t xml:space="preserve"> and our reasons, per </w:t>
      </w:r>
      <w:r w:rsidR="008005FD" w:rsidRPr="00090962">
        <w:rPr>
          <w:sz w:val="22"/>
          <w:szCs w:val="22"/>
          <w:lang w:eastAsia="ja-JP"/>
        </w:rPr>
        <w:t xml:space="preserve">2018 GAGAS </w:t>
      </w:r>
      <w:r w:rsidR="00DE7573" w:rsidRPr="00090962">
        <w:rPr>
          <w:sz w:val="22"/>
          <w:szCs w:val="22"/>
          <w:lang w:eastAsia="ja-JP"/>
        </w:rPr>
        <w:t>6.59</w:t>
      </w:r>
      <w:r w:rsidR="0016269D" w:rsidRPr="00090962">
        <w:rPr>
          <w:sz w:val="22"/>
          <w:szCs w:val="22"/>
          <w:lang w:eastAsia="ja-JP"/>
        </w:rPr>
        <w:t xml:space="preserve">.  </w:t>
      </w:r>
      <w:r w:rsidR="00A85696" w:rsidRPr="00090962">
        <w:rPr>
          <w:sz w:val="22"/>
          <w:szCs w:val="22"/>
          <w:lang w:eastAsia="ja-JP"/>
        </w:rPr>
        <w:t xml:space="preserve">Responses </w:t>
      </w:r>
      <w:r w:rsidR="00120F23" w:rsidRPr="00090962">
        <w:rPr>
          <w:sz w:val="22"/>
          <w:szCs w:val="22"/>
          <w:lang w:eastAsia="ja-JP"/>
        </w:rPr>
        <w:t>indicating significant disagreement require review by the</w:t>
      </w:r>
      <w:r w:rsidR="00DB5251" w:rsidRPr="00090962">
        <w:rPr>
          <w:sz w:val="22"/>
          <w:szCs w:val="22"/>
          <w:lang w:eastAsia="ja-JP"/>
        </w:rPr>
        <w:t xml:space="preserve"> Center for Audit Excellence</w:t>
      </w:r>
      <w:r w:rsidR="00A85696" w:rsidRPr="00090962">
        <w:rPr>
          <w:sz w:val="22"/>
          <w:szCs w:val="22"/>
          <w:lang w:eastAsia="ja-JP"/>
        </w:rPr>
        <w:t xml:space="preserve">.  (This review requirement does not apply to IPA audits.)  </w:t>
      </w:r>
      <w:r w:rsidR="00120F23" w:rsidRPr="00090962">
        <w:rPr>
          <w:sz w:val="22"/>
          <w:szCs w:val="22"/>
          <w:lang w:eastAsia="ja-JP"/>
        </w:rPr>
        <w:t xml:space="preserve">  </w:t>
      </w:r>
    </w:p>
    <w:p w14:paraId="5EE1EB80" w14:textId="77777777" w:rsidR="009F0094" w:rsidRPr="00090962" w:rsidRDefault="009F0094"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1C147E32" w14:textId="77777777" w:rsidR="00A90A4B" w:rsidRPr="00090962" w:rsidRDefault="002972DA" w:rsidP="00361150">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b/>
          <w:i/>
          <w:sz w:val="22"/>
          <w:szCs w:val="22"/>
          <w:lang w:eastAsia="ja-JP"/>
        </w:rPr>
        <w:t>I</w:t>
      </w:r>
      <w:r w:rsidR="00FC563B" w:rsidRPr="00090962">
        <w:rPr>
          <w:b/>
          <w:i/>
          <w:sz w:val="22"/>
          <w:szCs w:val="22"/>
          <w:lang w:eastAsia="ja-JP"/>
        </w:rPr>
        <w:t>mportant</w:t>
      </w:r>
      <w:r w:rsidRPr="00090962">
        <w:rPr>
          <w:sz w:val="22"/>
          <w:szCs w:val="22"/>
          <w:lang w:eastAsia="ja-JP"/>
        </w:rPr>
        <w:t xml:space="preserve">:  </w:t>
      </w:r>
      <w:r w:rsidR="00D42795" w:rsidRPr="00090962">
        <w:rPr>
          <w:sz w:val="22"/>
          <w:szCs w:val="22"/>
          <w:lang w:eastAsia="ja-JP"/>
        </w:rPr>
        <w:t xml:space="preserve">In some instances, we </w:t>
      </w:r>
      <w:r w:rsidR="00DF66DD" w:rsidRPr="00090962">
        <w:rPr>
          <w:sz w:val="22"/>
          <w:szCs w:val="22"/>
          <w:lang w:eastAsia="ja-JP"/>
        </w:rPr>
        <w:t xml:space="preserve">should </w:t>
      </w:r>
      <w:r w:rsidR="00D42795" w:rsidRPr="00090962">
        <w:rPr>
          <w:sz w:val="22"/>
          <w:szCs w:val="22"/>
          <w:lang w:eastAsia="ja-JP"/>
        </w:rPr>
        <w:t xml:space="preserve">include most of the text of the client’s response, if the issue is complex </w:t>
      </w:r>
      <w:r w:rsidR="009F14CE" w:rsidRPr="00090962">
        <w:rPr>
          <w:sz w:val="22"/>
          <w:szCs w:val="22"/>
          <w:lang w:eastAsia="ja-JP"/>
        </w:rPr>
        <w:t xml:space="preserve">or </w:t>
      </w:r>
      <w:r w:rsidR="00D42795" w:rsidRPr="00090962">
        <w:rPr>
          <w:sz w:val="22"/>
          <w:szCs w:val="22"/>
          <w:lang w:eastAsia="ja-JP"/>
        </w:rPr>
        <w:t xml:space="preserve">if there is substantial disagreement.  However, </w:t>
      </w:r>
      <w:r w:rsidR="00AC4F03" w:rsidRPr="00090962">
        <w:rPr>
          <w:sz w:val="22"/>
          <w:szCs w:val="22"/>
          <w:lang w:eastAsia="ja-JP"/>
        </w:rPr>
        <w:t xml:space="preserve">we discourage </w:t>
      </w:r>
      <w:r w:rsidR="00D42795" w:rsidRPr="00090962">
        <w:rPr>
          <w:sz w:val="22"/>
          <w:szCs w:val="22"/>
          <w:lang w:eastAsia="ja-JP"/>
        </w:rPr>
        <w:t>includ</w:t>
      </w:r>
      <w:r w:rsidR="00AC4F03" w:rsidRPr="00090962">
        <w:rPr>
          <w:sz w:val="22"/>
          <w:szCs w:val="22"/>
          <w:lang w:eastAsia="ja-JP"/>
        </w:rPr>
        <w:t>ing</w:t>
      </w:r>
      <w:r w:rsidR="00D42795" w:rsidRPr="00090962">
        <w:rPr>
          <w:sz w:val="22"/>
          <w:szCs w:val="22"/>
          <w:lang w:eastAsia="ja-JP"/>
        </w:rPr>
        <w:t xml:space="preserve"> the complete text of </w:t>
      </w:r>
      <w:r w:rsidR="00AC4F03" w:rsidRPr="00090962">
        <w:rPr>
          <w:sz w:val="22"/>
          <w:szCs w:val="22"/>
          <w:lang w:eastAsia="ja-JP"/>
        </w:rPr>
        <w:t xml:space="preserve">lengthy </w:t>
      </w:r>
      <w:r w:rsidR="00D42795" w:rsidRPr="00090962">
        <w:rPr>
          <w:sz w:val="22"/>
          <w:szCs w:val="22"/>
          <w:lang w:eastAsia="ja-JP"/>
        </w:rPr>
        <w:t>client response</w:t>
      </w:r>
      <w:r w:rsidR="00AC4F03" w:rsidRPr="00090962">
        <w:rPr>
          <w:sz w:val="22"/>
          <w:szCs w:val="22"/>
          <w:lang w:eastAsia="ja-JP"/>
        </w:rPr>
        <w:t>s</w:t>
      </w:r>
      <w:r w:rsidR="00D42795" w:rsidRPr="00090962">
        <w:rPr>
          <w:sz w:val="22"/>
          <w:szCs w:val="22"/>
          <w:lang w:eastAsia="ja-JP"/>
        </w:rPr>
        <w:t xml:space="preserve"> in our reports.  </w:t>
      </w:r>
      <w:r w:rsidR="002E6A9B" w:rsidRPr="00090962">
        <w:rPr>
          <w:sz w:val="22"/>
          <w:szCs w:val="22"/>
          <w:lang w:eastAsia="ja-JP"/>
        </w:rPr>
        <w:t>For brevity, w</w:t>
      </w:r>
      <w:r w:rsidR="009F14CE" w:rsidRPr="00090962">
        <w:rPr>
          <w:sz w:val="22"/>
          <w:szCs w:val="22"/>
          <w:lang w:eastAsia="ja-JP"/>
        </w:rPr>
        <w:t>e prefer a</w:t>
      </w:r>
      <w:r w:rsidR="00D42795" w:rsidRPr="00090962">
        <w:rPr>
          <w:sz w:val="22"/>
          <w:szCs w:val="22"/>
          <w:lang w:eastAsia="ja-JP"/>
        </w:rPr>
        <w:t xml:space="preserve"> summary</w:t>
      </w:r>
      <w:r w:rsidR="009F14CE" w:rsidRPr="00090962">
        <w:rPr>
          <w:sz w:val="22"/>
          <w:szCs w:val="22"/>
          <w:lang w:eastAsia="ja-JP"/>
        </w:rPr>
        <w:t xml:space="preserve"> within the body of the </w:t>
      </w:r>
      <w:proofErr w:type="gramStart"/>
      <w:r w:rsidR="009F14CE" w:rsidRPr="00090962">
        <w:rPr>
          <w:sz w:val="22"/>
          <w:szCs w:val="22"/>
          <w:lang w:eastAsia="ja-JP"/>
        </w:rPr>
        <w:t>finding</w:t>
      </w:r>
      <w:proofErr w:type="gramEnd"/>
      <w:r w:rsidR="009F14CE" w:rsidRPr="00090962">
        <w:rPr>
          <w:sz w:val="22"/>
          <w:szCs w:val="22"/>
          <w:lang w:eastAsia="ja-JP"/>
        </w:rPr>
        <w:t xml:space="preserve"> in question</w:t>
      </w:r>
      <w:r w:rsidR="00D42795" w:rsidRPr="00090962">
        <w:rPr>
          <w:sz w:val="22"/>
          <w:szCs w:val="22"/>
          <w:lang w:eastAsia="ja-JP"/>
        </w:rPr>
        <w:t>, indicating their general agreement or disagreement and planned corrective action</w:t>
      </w:r>
      <w:r w:rsidR="002631E8" w:rsidRPr="00090962">
        <w:rPr>
          <w:sz w:val="22"/>
          <w:szCs w:val="22"/>
          <w:lang w:eastAsia="ja-JP"/>
        </w:rPr>
        <w:t>.</w:t>
      </w:r>
      <w:r w:rsidR="009F14CE" w:rsidRPr="00090962">
        <w:rPr>
          <w:sz w:val="22"/>
          <w:szCs w:val="22"/>
          <w:lang w:eastAsia="ja-JP"/>
        </w:rPr>
        <w:t xml:space="preserve">  </w:t>
      </w:r>
      <w:r w:rsidR="00157487" w:rsidRPr="00090962">
        <w:rPr>
          <w:sz w:val="22"/>
          <w:szCs w:val="22"/>
          <w:lang w:eastAsia="ja-JP"/>
        </w:rPr>
        <w:t>Deciding wh</w:t>
      </w:r>
      <w:r w:rsidR="00DF66DD" w:rsidRPr="00090962">
        <w:rPr>
          <w:sz w:val="22"/>
          <w:szCs w:val="22"/>
          <w:lang w:eastAsia="ja-JP"/>
        </w:rPr>
        <w:t xml:space="preserve">ether to summarize </w:t>
      </w:r>
      <w:r w:rsidR="00157487" w:rsidRPr="00090962">
        <w:rPr>
          <w:sz w:val="22"/>
          <w:szCs w:val="22"/>
          <w:lang w:eastAsia="ja-JP"/>
        </w:rPr>
        <w:t>versus</w:t>
      </w:r>
      <w:r w:rsidR="00DF66DD" w:rsidRPr="00090962">
        <w:rPr>
          <w:sz w:val="22"/>
          <w:szCs w:val="22"/>
          <w:lang w:eastAsia="ja-JP"/>
        </w:rPr>
        <w:t xml:space="preserve"> includ</w:t>
      </w:r>
      <w:r w:rsidR="00157487" w:rsidRPr="00090962">
        <w:rPr>
          <w:sz w:val="22"/>
          <w:szCs w:val="22"/>
          <w:lang w:eastAsia="ja-JP"/>
        </w:rPr>
        <w:t>ing</w:t>
      </w:r>
      <w:r w:rsidR="00DF66DD" w:rsidRPr="00090962">
        <w:rPr>
          <w:sz w:val="22"/>
          <w:szCs w:val="22"/>
          <w:lang w:eastAsia="ja-JP"/>
        </w:rPr>
        <w:t xml:space="preserve"> the complete text requires auditor judgment.  </w:t>
      </w:r>
      <w:r w:rsidR="002631E8" w:rsidRPr="00090962">
        <w:rPr>
          <w:sz w:val="22"/>
          <w:szCs w:val="22"/>
          <w:lang w:eastAsia="ja-JP"/>
        </w:rPr>
        <w:t>W</w:t>
      </w:r>
      <w:r w:rsidR="000E0785" w:rsidRPr="00090962">
        <w:rPr>
          <w:sz w:val="22"/>
          <w:szCs w:val="22"/>
          <w:lang w:eastAsia="ja-JP"/>
        </w:rPr>
        <w:t>h</w:t>
      </w:r>
      <w:r w:rsidR="002631E8" w:rsidRPr="00090962">
        <w:rPr>
          <w:sz w:val="22"/>
          <w:szCs w:val="22"/>
          <w:lang w:eastAsia="ja-JP"/>
        </w:rPr>
        <w:t>e</w:t>
      </w:r>
      <w:r w:rsidR="000E0785" w:rsidRPr="00090962">
        <w:rPr>
          <w:sz w:val="22"/>
          <w:szCs w:val="22"/>
          <w:lang w:eastAsia="ja-JP"/>
        </w:rPr>
        <w:t xml:space="preserve">n we summarize the response, we </w:t>
      </w:r>
      <w:r w:rsidR="00157487" w:rsidRPr="00090962">
        <w:rPr>
          <w:sz w:val="22"/>
          <w:szCs w:val="22"/>
          <w:lang w:eastAsia="ja-JP"/>
        </w:rPr>
        <w:t>must</w:t>
      </w:r>
      <w:r w:rsidR="002631E8" w:rsidRPr="00090962">
        <w:rPr>
          <w:sz w:val="22"/>
          <w:szCs w:val="22"/>
          <w:lang w:eastAsia="ja-JP"/>
        </w:rPr>
        <w:t xml:space="preserve"> allow the client to read the draft finding, </w:t>
      </w:r>
      <w:r w:rsidR="00C731E7" w:rsidRPr="00090962">
        <w:rPr>
          <w:sz w:val="22"/>
          <w:szCs w:val="22"/>
          <w:lang w:eastAsia="ja-JP"/>
        </w:rPr>
        <w:t xml:space="preserve">our summary of </w:t>
      </w:r>
      <w:r w:rsidR="002631E8" w:rsidRPr="00090962">
        <w:rPr>
          <w:sz w:val="22"/>
          <w:szCs w:val="22"/>
          <w:lang w:eastAsia="ja-JP"/>
        </w:rPr>
        <w:t>their response</w:t>
      </w:r>
      <w:r w:rsidR="00B733CF" w:rsidRPr="00090962">
        <w:rPr>
          <w:sz w:val="22"/>
          <w:szCs w:val="22"/>
          <w:lang w:eastAsia="ja-JP"/>
        </w:rPr>
        <w:t>,</w:t>
      </w:r>
      <w:r w:rsidR="002631E8" w:rsidRPr="00090962">
        <w:rPr>
          <w:sz w:val="22"/>
          <w:szCs w:val="22"/>
          <w:lang w:eastAsia="ja-JP"/>
        </w:rPr>
        <w:t xml:space="preserve"> </w:t>
      </w:r>
      <w:r w:rsidR="00D66BCE" w:rsidRPr="00090962">
        <w:rPr>
          <w:sz w:val="22"/>
          <w:szCs w:val="22"/>
          <w:lang w:eastAsia="ja-JP"/>
        </w:rPr>
        <w:t xml:space="preserve">and our </w:t>
      </w:r>
      <w:r w:rsidR="002631E8" w:rsidRPr="00090962">
        <w:rPr>
          <w:sz w:val="22"/>
          <w:szCs w:val="22"/>
          <w:lang w:eastAsia="ja-JP"/>
        </w:rPr>
        <w:t>rebuttal to their response</w:t>
      </w:r>
      <w:r w:rsidR="00B733CF" w:rsidRPr="00090962">
        <w:rPr>
          <w:sz w:val="22"/>
          <w:szCs w:val="22"/>
          <w:lang w:eastAsia="ja-JP"/>
        </w:rPr>
        <w:t xml:space="preserve"> if we disagree with it</w:t>
      </w:r>
      <w:r w:rsidR="002664A3" w:rsidRPr="00090962">
        <w:rPr>
          <w:sz w:val="22"/>
          <w:szCs w:val="22"/>
          <w:lang w:eastAsia="ja-JP"/>
        </w:rPr>
        <w:t xml:space="preserve">.  </w:t>
      </w:r>
      <w:r w:rsidR="000E0785" w:rsidRPr="00090962">
        <w:rPr>
          <w:sz w:val="22"/>
          <w:szCs w:val="22"/>
          <w:lang w:eastAsia="ja-JP"/>
        </w:rPr>
        <w:t xml:space="preserve">We should include their signature </w:t>
      </w:r>
      <w:r w:rsidR="00E222DD" w:rsidRPr="00090962">
        <w:rPr>
          <w:sz w:val="22"/>
          <w:szCs w:val="22"/>
          <w:lang w:eastAsia="ja-JP"/>
        </w:rPr>
        <w:t xml:space="preserve">on a draft of the </w:t>
      </w:r>
      <w:proofErr w:type="gramStart"/>
      <w:r w:rsidR="00E222DD" w:rsidRPr="00090962">
        <w:rPr>
          <w:sz w:val="22"/>
          <w:szCs w:val="22"/>
          <w:lang w:eastAsia="ja-JP"/>
        </w:rPr>
        <w:t>finding</w:t>
      </w:r>
      <w:proofErr w:type="gramEnd"/>
      <w:r w:rsidR="00E222DD" w:rsidRPr="00090962">
        <w:rPr>
          <w:sz w:val="22"/>
          <w:szCs w:val="22"/>
          <w:lang w:eastAsia="ja-JP"/>
        </w:rPr>
        <w:t xml:space="preserve"> </w:t>
      </w:r>
      <w:r w:rsidR="000E0785" w:rsidRPr="00090962">
        <w:rPr>
          <w:sz w:val="22"/>
          <w:szCs w:val="22"/>
          <w:lang w:eastAsia="ja-JP"/>
        </w:rPr>
        <w:t xml:space="preserve">in the </w:t>
      </w:r>
      <w:r w:rsidR="00650491" w:rsidRPr="00090962">
        <w:rPr>
          <w:sz w:val="22"/>
          <w:szCs w:val="22"/>
          <w:lang w:eastAsia="ja-JP"/>
        </w:rPr>
        <w:t>audit documentation</w:t>
      </w:r>
      <w:r w:rsidR="000E0785" w:rsidRPr="00090962">
        <w:rPr>
          <w:sz w:val="22"/>
          <w:szCs w:val="22"/>
          <w:lang w:eastAsia="ja-JP"/>
        </w:rPr>
        <w:t xml:space="preserve"> indicating they have read the final draft, including their re</w:t>
      </w:r>
      <w:r w:rsidR="000679C1" w:rsidRPr="00090962">
        <w:rPr>
          <w:sz w:val="22"/>
          <w:szCs w:val="22"/>
          <w:lang w:eastAsia="ja-JP"/>
        </w:rPr>
        <w:t>s</w:t>
      </w:r>
      <w:r w:rsidR="000E0785" w:rsidRPr="00090962">
        <w:rPr>
          <w:sz w:val="22"/>
          <w:szCs w:val="22"/>
          <w:lang w:eastAsia="ja-JP"/>
        </w:rPr>
        <w:t>ponse</w:t>
      </w:r>
      <w:r w:rsidR="00E222DD" w:rsidRPr="00090962">
        <w:rPr>
          <w:sz w:val="22"/>
          <w:szCs w:val="22"/>
          <w:lang w:eastAsia="ja-JP"/>
        </w:rPr>
        <w:t xml:space="preserve"> (and our rebuttal, if there is one)</w:t>
      </w:r>
      <w:r w:rsidR="002631E8" w:rsidRPr="00090962">
        <w:rPr>
          <w:sz w:val="22"/>
          <w:szCs w:val="22"/>
          <w:lang w:eastAsia="ja-JP"/>
        </w:rPr>
        <w:t>.</w:t>
      </w:r>
    </w:p>
    <w:p w14:paraId="6AD68C02" w14:textId="77777777" w:rsidR="00AE7737" w:rsidRPr="00791FE1" w:rsidRDefault="00AE7737" w:rsidP="00D3664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4"/>
          <w:lang w:eastAsia="ja-JP"/>
        </w:rPr>
      </w:pPr>
    </w:p>
    <w:p w14:paraId="43C61BF7" w14:textId="77777777" w:rsidR="008F6A36" w:rsidRPr="00ED1E8D" w:rsidRDefault="008F6A36" w:rsidP="005166A8">
      <w:pPr>
        <w:pStyle w:val="Title"/>
        <w:ind w:left="0"/>
        <w:rPr>
          <w:sz w:val="24"/>
          <w:szCs w:val="24"/>
        </w:rPr>
      </w:pPr>
      <w:bookmarkStart w:id="21" w:name="_Toc214431127"/>
      <w:r w:rsidRPr="00ED1E8D">
        <w:rPr>
          <w:sz w:val="24"/>
          <w:szCs w:val="24"/>
        </w:rPr>
        <w:t>Findings for Adjustment</w:t>
      </w:r>
      <w:bookmarkEnd w:id="21"/>
    </w:p>
    <w:p w14:paraId="222BBAA8" w14:textId="77777777" w:rsidR="008F6A36" w:rsidRDefault="008F6A36" w:rsidP="00A017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spacing w:line="225" w:lineRule="exact"/>
        <w:rPr>
          <w:sz w:val="24"/>
          <w:lang w:eastAsia="ja-JP"/>
        </w:rPr>
      </w:pPr>
    </w:p>
    <w:p w14:paraId="02A49667" w14:textId="77777777" w:rsidR="008F6A36" w:rsidRPr="00090962" w:rsidRDefault="00DC728B"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r w:rsidRPr="00090962">
        <w:rPr>
          <w:sz w:val="22"/>
          <w:szCs w:val="18"/>
          <w:lang w:eastAsia="ja-JP"/>
        </w:rPr>
        <w:t>Audit procedure results may determine</w:t>
      </w:r>
      <w:r w:rsidR="001B1569" w:rsidRPr="00090962">
        <w:rPr>
          <w:sz w:val="22"/>
          <w:szCs w:val="18"/>
          <w:lang w:eastAsia="ja-JP"/>
        </w:rPr>
        <w:t xml:space="preserve"> an audited entity has posted</w:t>
      </w:r>
      <w:r w:rsidR="008F6A36" w:rsidRPr="00090962">
        <w:rPr>
          <w:sz w:val="22"/>
          <w:szCs w:val="18"/>
          <w:lang w:eastAsia="ja-JP"/>
        </w:rPr>
        <w:t xml:space="preserve"> receipts to a</w:t>
      </w:r>
      <w:r w:rsidR="003C212F" w:rsidRPr="00090962">
        <w:rPr>
          <w:sz w:val="22"/>
          <w:szCs w:val="18"/>
          <w:lang w:eastAsia="ja-JP"/>
        </w:rPr>
        <w:t xml:space="preserve"> fund</w:t>
      </w:r>
      <w:r w:rsidR="008F6A36" w:rsidRPr="00090962">
        <w:rPr>
          <w:sz w:val="22"/>
          <w:szCs w:val="18"/>
          <w:lang w:eastAsia="ja-JP"/>
        </w:rPr>
        <w:t xml:space="preserve"> ha</w:t>
      </w:r>
      <w:r w:rsidR="003C212F" w:rsidRPr="00090962">
        <w:rPr>
          <w:sz w:val="22"/>
          <w:szCs w:val="18"/>
          <w:lang w:eastAsia="ja-JP"/>
        </w:rPr>
        <w:t>ving</w:t>
      </w:r>
      <w:r w:rsidR="008F6A36" w:rsidRPr="00090962">
        <w:rPr>
          <w:sz w:val="22"/>
          <w:szCs w:val="18"/>
          <w:lang w:eastAsia="ja-JP"/>
        </w:rPr>
        <w:t xml:space="preserve"> no authority to receive them, or has </w:t>
      </w:r>
      <w:r w:rsidR="000F55A1" w:rsidRPr="00090962">
        <w:rPr>
          <w:sz w:val="22"/>
          <w:szCs w:val="18"/>
          <w:lang w:eastAsia="ja-JP"/>
        </w:rPr>
        <w:t>disburs</w:t>
      </w:r>
      <w:r w:rsidR="00833016" w:rsidRPr="00090962">
        <w:rPr>
          <w:sz w:val="22"/>
          <w:szCs w:val="18"/>
          <w:lang w:eastAsia="ja-JP"/>
        </w:rPr>
        <w:t>ed amounts</w:t>
      </w:r>
      <w:r w:rsidR="008F6A36" w:rsidRPr="00090962">
        <w:rPr>
          <w:sz w:val="22"/>
          <w:szCs w:val="18"/>
          <w:lang w:eastAsia="ja-JP"/>
        </w:rPr>
        <w:t xml:space="preserve"> not author</w:t>
      </w:r>
      <w:r w:rsidR="003C212F" w:rsidRPr="00090962">
        <w:rPr>
          <w:sz w:val="22"/>
          <w:szCs w:val="18"/>
          <w:lang w:eastAsia="ja-JP"/>
        </w:rPr>
        <w:t xml:space="preserve">ized from </w:t>
      </w:r>
      <w:r w:rsidR="00833016" w:rsidRPr="00090962">
        <w:rPr>
          <w:sz w:val="22"/>
          <w:szCs w:val="18"/>
          <w:lang w:eastAsia="ja-JP"/>
        </w:rPr>
        <w:t>o</w:t>
      </w:r>
      <w:r w:rsidR="003C212F" w:rsidRPr="00090962">
        <w:rPr>
          <w:sz w:val="22"/>
          <w:szCs w:val="18"/>
          <w:lang w:eastAsia="ja-JP"/>
        </w:rPr>
        <w:t>ne fund</w:t>
      </w:r>
      <w:r w:rsidR="008F6A36" w:rsidRPr="00090962">
        <w:rPr>
          <w:sz w:val="22"/>
          <w:szCs w:val="18"/>
          <w:lang w:eastAsia="ja-JP"/>
        </w:rPr>
        <w:t xml:space="preserve"> but permissible from another.</w:t>
      </w:r>
    </w:p>
    <w:p w14:paraId="7F2A98F3" w14:textId="77777777"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p>
    <w:p w14:paraId="203A9094" w14:textId="4BDE9950" w:rsidR="008F6A36" w:rsidRPr="00090962" w:rsidRDefault="008F6A36" w:rsidP="0036115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18"/>
          <w:lang w:eastAsia="ja-JP"/>
        </w:rPr>
      </w:pPr>
      <w:r w:rsidRPr="00090962">
        <w:rPr>
          <w:sz w:val="22"/>
          <w:szCs w:val="18"/>
          <w:lang w:eastAsia="ja-JP"/>
        </w:rPr>
        <w:t xml:space="preserve">In these instances, it may be appropriate to make a </w:t>
      </w:r>
      <w:r w:rsidRPr="00090962">
        <w:rPr>
          <w:i/>
          <w:sz w:val="22"/>
          <w:szCs w:val="18"/>
          <w:lang w:eastAsia="ja-JP"/>
        </w:rPr>
        <w:t>finding for adjustment</w:t>
      </w:r>
      <w:r w:rsidR="00DC728B" w:rsidRPr="00090962">
        <w:rPr>
          <w:sz w:val="22"/>
          <w:szCs w:val="18"/>
          <w:lang w:eastAsia="ja-JP"/>
        </w:rPr>
        <w:t xml:space="preserve">, that is, a </w:t>
      </w:r>
      <w:r w:rsidRPr="00090962">
        <w:rPr>
          <w:sz w:val="22"/>
          <w:szCs w:val="18"/>
          <w:lang w:eastAsia="ja-JP"/>
        </w:rPr>
        <w:t>reallocation of receipts or disbur</w:t>
      </w:r>
      <w:r w:rsidR="00DC728B" w:rsidRPr="00090962">
        <w:rPr>
          <w:sz w:val="22"/>
          <w:szCs w:val="18"/>
          <w:lang w:eastAsia="ja-JP"/>
        </w:rPr>
        <w:t xml:space="preserve">sements to the proper </w:t>
      </w:r>
      <w:r w:rsidR="005A1D92" w:rsidRPr="00090962">
        <w:rPr>
          <w:sz w:val="22"/>
          <w:szCs w:val="18"/>
          <w:lang w:eastAsia="ja-JP"/>
        </w:rPr>
        <w:t>funds</w:t>
      </w:r>
      <w:r w:rsidRPr="00090962">
        <w:rPr>
          <w:sz w:val="22"/>
          <w:szCs w:val="18"/>
          <w:lang w:eastAsia="ja-JP"/>
        </w:rPr>
        <w:t xml:space="preserve">.  Whether </w:t>
      </w:r>
      <w:r w:rsidR="005A1D92" w:rsidRPr="00090962">
        <w:rPr>
          <w:sz w:val="22"/>
          <w:szCs w:val="18"/>
          <w:lang w:eastAsia="ja-JP"/>
        </w:rPr>
        <w:t>the auditor recommends an adjustment</w:t>
      </w:r>
      <w:r w:rsidRPr="00090962">
        <w:rPr>
          <w:sz w:val="22"/>
          <w:szCs w:val="18"/>
          <w:lang w:eastAsia="ja-JP"/>
        </w:rPr>
        <w:t xml:space="preserve">, and the manner in which </w:t>
      </w:r>
      <w:r w:rsidR="00833016" w:rsidRPr="00090962">
        <w:rPr>
          <w:sz w:val="22"/>
          <w:szCs w:val="18"/>
          <w:lang w:eastAsia="ja-JP"/>
        </w:rPr>
        <w:t xml:space="preserve">the auditor reports </w:t>
      </w:r>
      <w:r w:rsidR="000F55A1" w:rsidRPr="00090962">
        <w:rPr>
          <w:sz w:val="22"/>
          <w:szCs w:val="18"/>
          <w:lang w:eastAsia="ja-JP"/>
        </w:rPr>
        <w:t xml:space="preserve">it </w:t>
      </w:r>
      <w:r w:rsidRPr="00090962">
        <w:rPr>
          <w:sz w:val="22"/>
          <w:szCs w:val="18"/>
          <w:lang w:eastAsia="ja-JP"/>
        </w:rPr>
        <w:t>depend</w:t>
      </w:r>
      <w:r w:rsidR="000F55A1" w:rsidRPr="00090962">
        <w:rPr>
          <w:sz w:val="22"/>
          <w:szCs w:val="18"/>
          <w:lang w:eastAsia="ja-JP"/>
        </w:rPr>
        <w:t>s</w:t>
      </w:r>
      <w:r w:rsidRPr="00090962">
        <w:rPr>
          <w:sz w:val="22"/>
          <w:szCs w:val="18"/>
          <w:lang w:eastAsia="ja-JP"/>
        </w:rPr>
        <w:t xml:space="preserve"> on: (1) the nature of the adjustment, i.e., whether it is material, </w:t>
      </w:r>
      <w:r w:rsidR="00EB6A5F" w:rsidRPr="00090962">
        <w:rPr>
          <w:sz w:val="22"/>
          <w:szCs w:val="18"/>
          <w:lang w:eastAsia="ja-JP"/>
        </w:rPr>
        <w:t xml:space="preserve">clearly </w:t>
      </w:r>
      <w:r w:rsidR="00C0531D" w:rsidRPr="00090962">
        <w:rPr>
          <w:sz w:val="22"/>
          <w:szCs w:val="18"/>
          <w:lang w:eastAsia="ja-JP"/>
        </w:rPr>
        <w:t>trivial</w:t>
      </w:r>
      <w:bookmarkStart w:id="22" w:name="_Ref443466368"/>
      <w:r w:rsidR="00484E6A" w:rsidRPr="00090962">
        <w:rPr>
          <w:rStyle w:val="FootnoteReference"/>
          <w:sz w:val="22"/>
          <w:szCs w:val="18"/>
          <w:lang w:eastAsia="ja-JP"/>
        </w:rPr>
        <w:footnoteReference w:id="11"/>
      </w:r>
      <w:bookmarkEnd w:id="22"/>
      <w:r w:rsidRPr="00090962">
        <w:rPr>
          <w:sz w:val="22"/>
          <w:szCs w:val="18"/>
          <w:lang w:eastAsia="ja-JP"/>
        </w:rPr>
        <w:t>, or immaterial; (2) whether the auditee agree</w:t>
      </w:r>
      <w:r w:rsidR="00DC728B" w:rsidRPr="00090962">
        <w:rPr>
          <w:sz w:val="22"/>
          <w:szCs w:val="18"/>
          <w:lang w:eastAsia="ja-JP"/>
        </w:rPr>
        <w:t>s</w:t>
      </w:r>
      <w:r w:rsidRPr="00090962">
        <w:rPr>
          <w:sz w:val="22"/>
          <w:szCs w:val="18"/>
          <w:lang w:eastAsia="ja-JP"/>
        </w:rPr>
        <w:t xml:space="preserve"> with the adjustment; and (3) whether the misallocation of funds also constitutes a violation of law warrant</w:t>
      </w:r>
      <w:r w:rsidR="005A1D92" w:rsidRPr="00090962">
        <w:rPr>
          <w:sz w:val="22"/>
          <w:szCs w:val="18"/>
          <w:lang w:eastAsia="ja-JP"/>
        </w:rPr>
        <w:t>ing</w:t>
      </w:r>
      <w:r w:rsidRPr="00090962">
        <w:rPr>
          <w:sz w:val="22"/>
          <w:szCs w:val="18"/>
          <w:lang w:eastAsia="ja-JP"/>
        </w:rPr>
        <w:t xml:space="preserve"> a </w:t>
      </w:r>
      <w:r w:rsidR="00A273C0" w:rsidRPr="00090962">
        <w:rPr>
          <w:sz w:val="22"/>
          <w:szCs w:val="18"/>
          <w:lang w:eastAsia="ja-JP"/>
        </w:rPr>
        <w:t>noncompliance</w:t>
      </w:r>
      <w:r w:rsidRPr="00090962">
        <w:rPr>
          <w:sz w:val="22"/>
          <w:szCs w:val="18"/>
          <w:lang w:eastAsia="ja-JP"/>
        </w:rPr>
        <w:t xml:space="preserve"> citation. </w:t>
      </w:r>
    </w:p>
    <w:p w14:paraId="01C93059" w14:textId="77777777" w:rsidR="008F6A36" w:rsidRPr="00090962"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18"/>
          <w:lang w:eastAsia="ja-JP"/>
        </w:rPr>
      </w:pPr>
    </w:p>
    <w:p w14:paraId="1E506AC0" w14:textId="77777777" w:rsidR="005470BB" w:rsidRPr="00090962" w:rsidRDefault="005470BB" w:rsidP="005470BB">
      <w:pPr>
        <w:jc w:val="both"/>
        <w:rPr>
          <w:sz w:val="22"/>
          <w:szCs w:val="22"/>
        </w:rPr>
      </w:pPr>
      <w:r w:rsidRPr="00090962">
        <w:rPr>
          <w:sz w:val="22"/>
          <w:szCs w:val="22"/>
        </w:rPr>
        <w:t xml:space="preserve">Potential </w:t>
      </w:r>
      <w:r w:rsidRPr="00090962">
        <w:rPr>
          <w:i/>
          <w:iCs/>
          <w:sz w:val="22"/>
          <w:szCs w:val="22"/>
        </w:rPr>
        <w:t>adjustment</w:t>
      </w:r>
      <w:r w:rsidR="00084B84" w:rsidRPr="00090962">
        <w:rPr>
          <w:i/>
          <w:iCs/>
          <w:sz w:val="22"/>
          <w:szCs w:val="22"/>
        </w:rPr>
        <w:t>s</w:t>
      </w:r>
      <w:r w:rsidRPr="00090962">
        <w:rPr>
          <w:sz w:val="22"/>
          <w:szCs w:val="22"/>
        </w:rPr>
        <w:t xml:space="preserve"> fall into one of the following categories:</w:t>
      </w:r>
    </w:p>
    <w:p w14:paraId="0E1C05DF" w14:textId="77777777" w:rsidR="005470BB" w:rsidRPr="00090962" w:rsidRDefault="005470BB" w:rsidP="005470BB">
      <w:pPr>
        <w:jc w:val="both"/>
        <w:rPr>
          <w:sz w:val="22"/>
          <w:szCs w:val="22"/>
        </w:rPr>
      </w:pPr>
    </w:p>
    <w:p w14:paraId="6419F661" w14:textId="77777777" w:rsidR="005470BB" w:rsidRPr="00090962" w:rsidRDefault="005470BB" w:rsidP="00A66E45">
      <w:pPr>
        <w:numPr>
          <w:ilvl w:val="0"/>
          <w:numId w:val="4"/>
        </w:numPr>
        <w:jc w:val="both"/>
        <w:rPr>
          <w:sz w:val="22"/>
          <w:szCs w:val="22"/>
        </w:rPr>
      </w:pPr>
      <w:r w:rsidRPr="00090962">
        <w:rPr>
          <w:sz w:val="22"/>
          <w:szCs w:val="22"/>
          <w:u w:val="single"/>
        </w:rPr>
        <w:t>Material</w:t>
      </w:r>
      <w:r w:rsidR="00DF6299" w:rsidRPr="00090962">
        <w:rPr>
          <w:sz w:val="22"/>
          <w:szCs w:val="22"/>
        </w:rPr>
        <w:t xml:space="preserve"> (at the opinion level)</w:t>
      </w:r>
      <w:r w:rsidRPr="00090962">
        <w:rPr>
          <w:sz w:val="22"/>
          <w:szCs w:val="22"/>
        </w:rPr>
        <w:t xml:space="preserve"> adjustments with which the auditee agrees, which have been posted to the accounting </w:t>
      </w:r>
      <w:proofErr w:type="gramStart"/>
      <w:r w:rsidRPr="00090962">
        <w:rPr>
          <w:sz w:val="22"/>
          <w:szCs w:val="22"/>
        </w:rPr>
        <w:t>records</w:t>
      </w:r>
      <w:proofErr w:type="gramEnd"/>
      <w:r w:rsidRPr="00090962">
        <w:rPr>
          <w:sz w:val="22"/>
          <w:szCs w:val="22"/>
        </w:rPr>
        <w:t xml:space="preserve"> and which are reflected in the audited financial </w:t>
      </w:r>
      <w:proofErr w:type="gramStart"/>
      <w:r w:rsidRPr="00090962">
        <w:rPr>
          <w:sz w:val="22"/>
          <w:szCs w:val="22"/>
        </w:rPr>
        <w:t>statements;</w:t>
      </w:r>
      <w:proofErr w:type="gramEnd"/>
      <w:r w:rsidRPr="00090962">
        <w:rPr>
          <w:sz w:val="22"/>
          <w:szCs w:val="22"/>
        </w:rPr>
        <w:t xml:space="preserve"> </w:t>
      </w:r>
    </w:p>
    <w:p w14:paraId="530DD42F" w14:textId="77777777" w:rsidR="005470BB" w:rsidRPr="00090962" w:rsidRDefault="005470BB" w:rsidP="005470BB">
      <w:pPr>
        <w:spacing w:line="139" w:lineRule="exact"/>
        <w:jc w:val="both"/>
        <w:rPr>
          <w:sz w:val="22"/>
          <w:szCs w:val="22"/>
        </w:rPr>
      </w:pPr>
    </w:p>
    <w:p w14:paraId="5491ECF5" w14:textId="77777777" w:rsidR="005470BB" w:rsidRPr="00090962" w:rsidRDefault="005470BB" w:rsidP="00A66E45">
      <w:pPr>
        <w:numPr>
          <w:ilvl w:val="0"/>
          <w:numId w:val="4"/>
        </w:numPr>
        <w:jc w:val="both"/>
        <w:rPr>
          <w:sz w:val="22"/>
          <w:szCs w:val="22"/>
        </w:rPr>
      </w:pPr>
      <w:r w:rsidRPr="00090962">
        <w:rPr>
          <w:sz w:val="22"/>
          <w:szCs w:val="22"/>
          <w:u w:val="single"/>
        </w:rPr>
        <w:t>Material</w:t>
      </w:r>
      <w:r w:rsidR="00084B84" w:rsidRPr="00090962">
        <w:rPr>
          <w:sz w:val="22"/>
          <w:szCs w:val="22"/>
        </w:rPr>
        <w:t xml:space="preserve"> </w:t>
      </w:r>
      <w:r w:rsidR="00DF6299" w:rsidRPr="00090962">
        <w:rPr>
          <w:sz w:val="22"/>
          <w:szCs w:val="22"/>
        </w:rPr>
        <w:t>(at the opinion level)</w:t>
      </w:r>
      <w:r w:rsidRPr="00090962">
        <w:rPr>
          <w:sz w:val="22"/>
          <w:szCs w:val="22"/>
        </w:rPr>
        <w:t xml:space="preserve"> adjustments with which the auditee disagrees and which are </w:t>
      </w:r>
      <w:r w:rsidR="00A9560B" w:rsidRPr="00090962">
        <w:rPr>
          <w:sz w:val="22"/>
          <w:szCs w:val="22"/>
        </w:rPr>
        <w:t xml:space="preserve">not </w:t>
      </w:r>
      <w:r w:rsidRPr="00090962">
        <w:rPr>
          <w:sz w:val="22"/>
          <w:szCs w:val="22"/>
        </w:rPr>
        <w:t xml:space="preserve">posted to the accounting records </w:t>
      </w:r>
      <w:r w:rsidR="00A9560B" w:rsidRPr="00090962">
        <w:rPr>
          <w:sz w:val="22"/>
          <w:szCs w:val="22"/>
        </w:rPr>
        <w:t xml:space="preserve">or </w:t>
      </w:r>
      <w:r w:rsidR="007C498A" w:rsidRPr="00090962">
        <w:rPr>
          <w:sz w:val="22"/>
          <w:szCs w:val="22"/>
        </w:rPr>
        <w:t xml:space="preserve">are not </w:t>
      </w:r>
      <w:r w:rsidRPr="00090962">
        <w:rPr>
          <w:sz w:val="22"/>
          <w:szCs w:val="22"/>
        </w:rPr>
        <w:t>reflected in the financial statements</w:t>
      </w:r>
      <w:r w:rsidR="00A9560B" w:rsidRPr="00090962">
        <w:rPr>
          <w:sz w:val="22"/>
          <w:szCs w:val="22"/>
        </w:rPr>
        <w:t xml:space="preserve"> (Note:  If the client agrees and posts the adjustment to the financial statements but refuses to post the adjustment to the accounting records we will still issue a finding for adjustment to correct the accounting records)</w:t>
      </w:r>
      <w:r w:rsidRPr="00090962">
        <w:rPr>
          <w:sz w:val="22"/>
          <w:szCs w:val="22"/>
        </w:rPr>
        <w:t>;</w:t>
      </w:r>
    </w:p>
    <w:p w14:paraId="10C984B3" w14:textId="77777777" w:rsidR="005470BB" w:rsidRPr="00090962" w:rsidRDefault="005470BB" w:rsidP="005470BB">
      <w:pPr>
        <w:spacing w:line="139" w:lineRule="exact"/>
        <w:ind w:left="720"/>
        <w:jc w:val="both"/>
        <w:rPr>
          <w:sz w:val="22"/>
          <w:szCs w:val="22"/>
        </w:rPr>
      </w:pPr>
    </w:p>
    <w:p w14:paraId="1DF48332" w14:textId="77777777" w:rsidR="005470BB" w:rsidRPr="00090962" w:rsidRDefault="005470BB" w:rsidP="00A66E45">
      <w:pPr>
        <w:numPr>
          <w:ilvl w:val="0"/>
          <w:numId w:val="4"/>
        </w:numPr>
        <w:spacing w:line="276" w:lineRule="auto"/>
        <w:jc w:val="both"/>
        <w:rPr>
          <w:sz w:val="22"/>
          <w:szCs w:val="22"/>
        </w:rPr>
      </w:pPr>
      <w:r w:rsidRPr="00090962">
        <w:rPr>
          <w:sz w:val="22"/>
          <w:szCs w:val="22"/>
          <w:u w:val="single"/>
        </w:rPr>
        <w:t>Immaterial</w:t>
      </w:r>
      <w:r w:rsidRPr="00090962">
        <w:rPr>
          <w:sz w:val="22"/>
          <w:szCs w:val="22"/>
        </w:rPr>
        <w:t xml:space="preserve"> </w:t>
      </w:r>
      <w:proofErr w:type="gramStart"/>
      <w:r w:rsidRPr="00090962">
        <w:rPr>
          <w:sz w:val="22"/>
          <w:szCs w:val="22"/>
        </w:rPr>
        <w:t>adjustments which</w:t>
      </w:r>
      <w:proofErr w:type="gramEnd"/>
      <w:r w:rsidRPr="00090962">
        <w:rPr>
          <w:sz w:val="22"/>
          <w:szCs w:val="22"/>
        </w:rPr>
        <w:t xml:space="preserve"> are more than </w:t>
      </w:r>
      <w:r w:rsidR="00A20DCB" w:rsidRPr="00090962">
        <w:rPr>
          <w:sz w:val="22"/>
          <w:szCs w:val="22"/>
        </w:rPr>
        <w:t>trivial</w:t>
      </w:r>
      <w:r w:rsidR="006E28AE" w:rsidRPr="00090962">
        <w:rPr>
          <w:sz w:val="22"/>
          <w:szCs w:val="22"/>
        </w:rPr>
        <w:t xml:space="preserve">. </w:t>
      </w:r>
      <w:r w:rsidRPr="00090962">
        <w:rPr>
          <w:sz w:val="22"/>
          <w:szCs w:val="22"/>
        </w:rPr>
        <w:t xml:space="preserve"> See discussion in the following section.</w:t>
      </w:r>
    </w:p>
    <w:p w14:paraId="3C60F47A" w14:textId="7F5112C1" w:rsidR="00B358E6" w:rsidRPr="008109D5" w:rsidRDefault="00203893" w:rsidP="00B358E6">
      <w:pPr>
        <w:numPr>
          <w:ilvl w:val="1"/>
          <w:numId w:val="4"/>
        </w:numPr>
        <w:spacing w:line="276" w:lineRule="auto"/>
        <w:jc w:val="both"/>
        <w:rPr>
          <w:sz w:val="22"/>
          <w:szCs w:val="22"/>
        </w:rPr>
      </w:pPr>
      <w:r w:rsidRPr="00090962">
        <w:rPr>
          <w:sz w:val="22"/>
          <w:szCs w:val="22"/>
        </w:rPr>
        <w:t>This includes adjustments that are immaterial to opinion units, but material to one or more individual funds.</w:t>
      </w:r>
    </w:p>
    <w:tbl>
      <w:tblPr>
        <w:tblStyle w:val="TableGrid"/>
        <w:tblW w:w="8550" w:type="dxa"/>
        <w:tblInd w:w="1435" w:type="dxa"/>
        <w:shd w:val="clear" w:color="auto" w:fill="C6D9F1" w:themeFill="text2" w:themeFillTint="33"/>
        <w:tblLook w:val="04A0" w:firstRow="1" w:lastRow="0" w:firstColumn="1" w:lastColumn="0" w:noHBand="0" w:noVBand="1"/>
      </w:tblPr>
      <w:tblGrid>
        <w:gridCol w:w="8550"/>
      </w:tblGrid>
      <w:tr w:rsidR="00B358E6" w:rsidRPr="00090962" w14:paraId="2A539EAA" w14:textId="77777777" w:rsidTr="008109D5">
        <w:tc>
          <w:tcPr>
            <w:tcW w:w="8550" w:type="dxa"/>
            <w:shd w:val="clear" w:color="auto" w:fill="C6D9F1" w:themeFill="text2" w:themeFillTint="33"/>
          </w:tcPr>
          <w:p w14:paraId="75AC6BA6" w14:textId="77777777" w:rsidR="00B358E6" w:rsidRPr="00090962" w:rsidRDefault="00B358E6" w:rsidP="00DB4DA9">
            <w:pPr>
              <w:jc w:val="both"/>
              <w:rPr>
                <w:sz w:val="22"/>
                <w:szCs w:val="22"/>
              </w:rPr>
            </w:pPr>
            <w:r w:rsidRPr="00090962">
              <w:rPr>
                <w:sz w:val="22"/>
                <w:szCs w:val="22"/>
              </w:rPr>
              <w:t xml:space="preserve">Note:  </w:t>
            </w:r>
            <w:proofErr w:type="gramStart"/>
            <w:r w:rsidRPr="00090962">
              <w:rPr>
                <w:sz w:val="22"/>
                <w:szCs w:val="22"/>
              </w:rPr>
              <w:t>Auditors</w:t>
            </w:r>
            <w:proofErr w:type="gramEnd"/>
            <w:r w:rsidRPr="00090962">
              <w:rPr>
                <w:sz w:val="22"/>
                <w:szCs w:val="22"/>
              </w:rPr>
              <w:t xml:space="preserve"> base materiality on opinion units when forming their opinion.</w:t>
            </w:r>
          </w:p>
          <w:p w14:paraId="72AAC0A1" w14:textId="77777777" w:rsidR="00B358E6" w:rsidRPr="00090962" w:rsidRDefault="00B358E6" w:rsidP="00DB4DA9">
            <w:pPr>
              <w:jc w:val="both"/>
              <w:rPr>
                <w:sz w:val="22"/>
                <w:szCs w:val="22"/>
              </w:rPr>
            </w:pPr>
          </w:p>
          <w:p w14:paraId="1BACCE1C" w14:textId="324AEF08" w:rsidR="00B358E6" w:rsidRPr="00090962" w:rsidRDefault="00B358E6" w:rsidP="00DB4DA9">
            <w:pPr>
              <w:jc w:val="both"/>
              <w:rPr>
                <w:sz w:val="22"/>
                <w:szCs w:val="22"/>
              </w:rPr>
            </w:pPr>
            <w:r w:rsidRPr="00090962">
              <w:rPr>
                <w:sz w:val="22"/>
                <w:szCs w:val="22"/>
              </w:rPr>
              <w:t xml:space="preserve">However, when assessing whether a finding for adjustment is a material noncompliance finding, auditors should normally consider materiality in relation to individual funds rather than the opinion unit.  (Remember, </w:t>
            </w:r>
            <w:r w:rsidR="008005FD" w:rsidRPr="00090962">
              <w:rPr>
                <w:sz w:val="22"/>
                <w:szCs w:val="22"/>
              </w:rPr>
              <w:t xml:space="preserve">2018 GAGAS </w:t>
            </w:r>
            <w:r w:rsidR="0026342F" w:rsidRPr="00090962">
              <w:rPr>
                <w:sz w:val="22"/>
                <w:szCs w:val="22"/>
              </w:rPr>
              <w:t>6.41 -- 6.44</w:t>
            </w:r>
            <w:r w:rsidR="008005FD" w:rsidRPr="00090962">
              <w:rPr>
                <w:sz w:val="22"/>
                <w:szCs w:val="22"/>
              </w:rPr>
              <w:t xml:space="preserve"> </w:t>
            </w:r>
            <w:r w:rsidRPr="00090962">
              <w:rPr>
                <w:sz w:val="22"/>
                <w:szCs w:val="22"/>
              </w:rPr>
              <w:t>also requires reporting noncompliance warranting attention by those charged with governance.)  Considerations include:</w:t>
            </w:r>
          </w:p>
          <w:p w14:paraId="4F6BD81F" w14:textId="77777777" w:rsidR="00B358E6" w:rsidRPr="00090962" w:rsidRDefault="00B358E6" w:rsidP="00A66E45">
            <w:pPr>
              <w:pStyle w:val="ListParagraph"/>
              <w:numPr>
                <w:ilvl w:val="0"/>
                <w:numId w:val="10"/>
              </w:numPr>
              <w:jc w:val="both"/>
              <w:rPr>
                <w:sz w:val="22"/>
                <w:szCs w:val="22"/>
              </w:rPr>
            </w:pPr>
            <w:r w:rsidRPr="00090962">
              <w:rPr>
                <w:sz w:val="22"/>
                <w:szCs w:val="22"/>
              </w:rPr>
              <w:t>Judging whether measuring materiality against receipts, disbursements or fund cash balance is the most appropriate.</w:t>
            </w:r>
          </w:p>
          <w:p w14:paraId="774EEFD4" w14:textId="77777777" w:rsidR="00B358E6" w:rsidRPr="00090962" w:rsidRDefault="00B358E6" w:rsidP="00A66E45">
            <w:pPr>
              <w:pStyle w:val="ListParagraph"/>
              <w:numPr>
                <w:ilvl w:val="0"/>
                <w:numId w:val="10"/>
              </w:numPr>
              <w:jc w:val="both"/>
              <w:rPr>
                <w:sz w:val="22"/>
                <w:szCs w:val="22"/>
              </w:rPr>
            </w:pPr>
            <w:r w:rsidRPr="00090962">
              <w:rPr>
                <w:sz w:val="22"/>
                <w:szCs w:val="22"/>
              </w:rPr>
              <w:t xml:space="preserve">Auditors may detect a </w:t>
            </w:r>
            <w:r w:rsidRPr="00090962">
              <w:rPr>
                <w:i/>
                <w:sz w:val="22"/>
                <w:szCs w:val="22"/>
              </w:rPr>
              <w:t>finding for adjustment</w:t>
            </w:r>
            <w:r w:rsidRPr="00090962">
              <w:rPr>
                <w:sz w:val="22"/>
                <w:szCs w:val="22"/>
              </w:rPr>
              <w:t xml:space="preserve"> affecting two funds reported in the same opinion unit.  This adjustment would have no effect on the financial statements (and the auditor’s opinion thereon), but may still represent reportable noncompliance if it is material to either of the two funds.</w:t>
            </w:r>
          </w:p>
        </w:tc>
      </w:tr>
    </w:tbl>
    <w:p w14:paraId="18CC5006" w14:textId="1303C0A7" w:rsidR="009E28F5" w:rsidRPr="00292B29" w:rsidRDefault="00484E6A" w:rsidP="005470BB">
      <w:pPr>
        <w:numPr>
          <w:ilvl w:val="0"/>
          <w:numId w:val="4"/>
        </w:numPr>
        <w:jc w:val="both"/>
        <w:rPr>
          <w:sz w:val="22"/>
          <w:szCs w:val="22"/>
        </w:rPr>
      </w:pPr>
      <w:r w:rsidRPr="00090962">
        <w:rPr>
          <w:sz w:val="22"/>
          <w:szCs w:val="22"/>
          <w:u w:val="single"/>
        </w:rPr>
        <w:t>Trivial</w:t>
      </w:r>
      <w:r w:rsidR="0069552D" w:rsidRPr="00090962">
        <w:rPr>
          <w:rStyle w:val="FootnoteReference"/>
          <w:sz w:val="22"/>
          <w:szCs w:val="18"/>
          <w:lang w:eastAsia="ja-JP"/>
        </w:rPr>
        <w:fldChar w:fldCharType="begin"/>
      </w:r>
      <w:r w:rsidR="0069552D" w:rsidRPr="00090962">
        <w:rPr>
          <w:sz w:val="22"/>
          <w:szCs w:val="22"/>
          <w:u w:val="single"/>
          <w:vertAlign w:val="superscript"/>
        </w:rPr>
        <w:instrText xml:space="preserve"> NOTEREF _Ref443466368 \h </w:instrText>
      </w:r>
      <w:r w:rsidR="0069552D" w:rsidRPr="00090962">
        <w:rPr>
          <w:rStyle w:val="FootnoteReference"/>
          <w:sz w:val="22"/>
          <w:szCs w:val="18"/>
          <w:lang w:eastAsia="ja-JP"/>
        </w:rPr>
        <w:instrText xml:space="preserve"> \* MERGEFORMAT </w:instrText>
      </w:r>
      <w:r w:rsidR="0069552D" w:rsidRPr="00090962">
        <w:rPr>
          <w:rStyle w:val="FootnoteReference"/>
          <w:sz w:val="22"/>
          <w:szCs w:val="18"/>
          <w:lang w:eastAsia="ja-JP"/>
        </w:rPr>
      </w:r>
      <w:r w:rsidR="0069552D" w:rsidRPr="00090962">
        <w:rPr>
          <w:rStyle w:val="FootnoteReference"/>
          <w:sz w:val="22"/>
          <w:szCs w:val="18"/>
          <w:lang w:eastAsia="ja-JP"/>
        </w:rPr>
        <w:fldChar w:fldCharType="separate"/>
      </w:r>
      <w:r w:rsidR="00511A0B">
        <w:rPr>
          <w:sz w:val="22"/>
          <w:szCs w:val="22"/>
          <w:u w:val="single"/>
          <w:vertAlign w:val="superscript"/>
        </w:rPr>
        <w:t>10</w:t>
      </w:r>
      <w:r w:rsidR="0069552D" w:rsidRPr="00090962">
        <w:rPr>
          <w:rStyle w:val="FootnoteReference"/>
          <w:sz w:val="22"/>
          <w:szCs w:val="18"/>
          <w:lang w:eastAsia="ja-JP"/>
        </w:rPr>
        <w:fldChar w:fldCharType="end"/>
      </w:r>
    </w:p>
    <w:p w14:paraId="7126C66D" w14:textId="77777777" w:rsidR="005470BB" w:rsidRDefault="005470BB" w:rsidP="005470BB">
      <w:pPr>
        <w:rPr>
          <w:sz w:val="24"/>
          <w:szCs w:val="24"/>
        </w:rPr>
      </w:pPr>
      <w:r>
        <w:rPr>
          <w:b/>
          <w:bCs/>
          <w:sz w:val="24"/>
          <w:szCs w:val="24"/>
          <w:u w:val="single"/>
        </w:rPr>
        <w:t>Treatment of Adjustment</w:t>
      </w:r>
      <w:r w:rsidR="00B358E6">
        <w:rPr>
          <w:b/>
          <w:bCs/>
          <w:sz w:val="24"/>
          <w:szCs w:val="24"/>
          <w:u w:val="single"/>
        </w:rPr>
        <w:t>s</w:t>
      </w:r>
      <w:r>
        <w:rPr>
          <w:b/>
          <w:bCs/>
          <w:sz w:val="24"/>
          <w:szCs w:val="24"/>
          <w:u w:val="single"/>
        </w:rPr>
        <w:t xml:space="preserve"> in Audit Reports</w:t>
      </w:r>
    </w:p>
    <w:p w14:paraId="7797320A" w14:textId="77777777" w:rsidR="005470BB" w:rsidRDefault="005470BB" w:rsidP="005470BB">
      <w:pPr>
        <w:ind w:left="720"/>
        <w:rPr>
          <w:sz w:val="24"/>
          <w:szCs w:val="24"/>
        </w:rPr>
      </w:pPr>
    </w:p>
    <w:p w14:paraId="7E679FF1" w14:textId="77777777" w:rsidR="005470BB" w:rsidRPr="00090962" w:rsidRDefault="005470BB" w:rsidP="005470BB">
      <w:pPr>
        <w:jc w:val="both"/>
        <w:rPr>
          <w:sz w:val="22"/>
          <w:szCs w:val="22"/>
        </w:rPr>
      </w:pPr>
      <w:r w:rsidRPr="00090962">
        <w:rPr>
          <w:sz w:val="22"/>
          <w:szCs w:val="22"/>
        </w:rPr>
        <w:t xml:space="preserve">Adjustments in the </w:t>
      </w:r>
      <w:r w:rsidRPr="00090962">
        <w:rPr>
          <w:b/>
          <w:sz w:val="22"/>
          <w:szCs w:val="22"/>
        </w:rPr>
        <w:t>first</w:t>
      </w:r>
      <w:r w:rsidRPr="00090962">
        <w:rPr>
          <w:sz w:val="22"/>
          <w:szCs w:val="22"/>
        </w:rPr>
        <w:t xml:space="preserve"> category above based on a violation of legal authority will result in a noncompliance citation </w:t>
      </w:r>
      <w:r w:rsidR="00775663" w:rsidRPr="00090962">
        <w:rPr>
          <w:sz w:val="22"/>
          <w:szCs w:val="22"/>
        </w:rPr>
        <w:t xml:space="preserve">and possibly a material weakness or significant deficiency </w:t>
      </w:r>
      <w:r w:rsidR="00005DFE" w:rsidRPr="00090962">
        <w:rPr>
          <w:sz w:val="22"/>
          <w:szCs w:val="22"/>
        </w:rPr>
        <w:t>in accordance with</w:t>
      </w:r>
      <w:r w:rsidR="00775663" w:rsidRPr="00090962">
        <w:rPr>
          <w:sz w:val="22"/>
          <w:szCs w:val="22"/>
        </w:rPr>
        <w:t xml:space="preserve"> AU-C 265 </w:t>
      </w:r>
      <w:r w:rsidRPr="00090962">
        <w:rPr>
          <w:sz w:val="22"/>
          <w:szCs w:val="22"/>
        </w:rPr>
        <w:t>in the GAGAS report.</w:t>
      </w:r>
      <w:r w:rsidR="00AE7737" w:rsidRPr="00090962">
        <w:rPr>
          <w:sz w:val="22"/>
          <w:szCs w:val="22"/>
        </w:rPr>
        <w:t xml:space="preserve"> </w:t>
      </w:r>
      <w:r w:rsidRPr="00090962">
        <w:rPr>
          <w:sz w:val="22"/>
          <w:szCs w:val="22"/>
        </w:rPr>
        <w:t xml:space="preserve"> </w:t>
      </w:r>
      <w:r w:rsidRPr="00090962">
        <w:rPr>
          <w:sz w:val="22"/>
          <w:szCs w:val="22"/>
          <w:u w:val="single"/>
        </w:rPr>
        <w:t xml:space="preserve">The auditor should neither label the noncompliance as a </w:t>
      </w:r>
      <w:r w:rsidRPr="00090962">
        <w:rPr>
          <w:i/>
          <w:iCs/>
          <w:sz w:val="22"/>
          <w:szCs w:val="22"/>
          <w:u w:val="single"/>
        </w:rPr>
        <w:t>Finding for Adjustment</w:t>
      </w:r>
      <w:r w:rsidRPr="00090962">
        <w:rPr>
          <w:b/>
          <w:bCs/>
          <w:sz w:val="22"/>
          <w:szCs w:val="22"/>
        </w:rPr>
        <w:t xml:space="preserve"> </w:t>
      </w:r>
      <w:r w:rsidRPr="00090962">
        <w:rPr>
          <w:sz w:val="22"/>
          <w:szCs w:val="22"/>
        </w:rPr>
        <w:t>nor use a “finding for adjustment statement” (i.e. “In accordance with the foregoing facts, we hereby issue a finding for adjustment . . .</w:t>
      </w:r>
      <w:r w:rsidR="007E3E32" w:rsidRPr="00090962">
        <w:rPr>
          <w:sz w:val="22"/>
          <w:szCs w:val="22"/>
        </w:rPr>
        <w:t>”</w:t>
      </w:r>
      <w:r w:rsidRPr="00090962">
        <w:rPr>
          <w:sz w:val="22"/>
          <w:szCs w:val="22"/>
        </w:rPr>
        <w:t>) but the finding should cite the legal criterion and briefly state the client has</w:t>
      </w:r>
      <w:r w:rsidR="008D4AFF" w:rsidRPr="00090962">
        <w:rPr>
          <w:sz w:val="22"/>
          <w:szCs w:val="22"/>
        </w:rPr>
        <w:t xml:space="preserve"> agreed to and</w:t>
      </w:r>
      <w:r w:rsidRPr="00090962">
        <w:rPr>
          <w:sz w:val="22"/>
          <w:szCs w:val="22"/>
        </w:rPr>
        <w:t xml:space="preserve"> posted adjustments which are also reflected</w:t>
      </w:r>
      <w:r w:rsidR="006E28AE" w:rsidRPr="00090962">
        <w:rPr>
          <w:sz w:val="22"/>
          <w:szCs w:val="22"/>
        </w:rPr>
        <w:t xml:space="preserve"> in the financial statements. </w:t>
      </w:r>
      <w:r w:rsidRPr="00090962">
        <w:rPr>
          <w:sz w:val="22"/>
          <w:szCs w:val="22"/>
        </w:rPr>
        <w:t xml:space="preserve"> No </w:t>
      </w:r>
      <w:r w:rsidR="00005DFE" w:rsidRPr="00090962">
        <w:rPr>
          <w:sz w:val="22"/>
          <w:szCs w:val="22"/>
        </w:rPr>
        <w:t xml:space="preserve">modification </w:t>
      </w:r>
      <w:r w:rsidRPr="00090962">
        <w:rPr>
          <w:sz w:val="22"/>
          <w:szCs w:val="22"/>
        </w:rPr>
        <w:t>of the auditor’s financial statement opinion is necessary because the adjustment corrected the material misstatement.</w:t>
      </w:r>
    </w:p>
    <w:p w14:paraId="686FD98F" w14:textId="77777777" w:rsidR="005470BB" w:rsidRPr="00090962" w:rsidRDefault="005470BB" w:rsidP="005470BB">
      <w:pPr>
        <w:jc w:val="both"/>
        <w:rPr>
          <w:sz w:val="22"/>
          <w:szCs w:val="22"/>
        </w:rPr>
      </w:pPr>
    </w:p>
    <w:p w14:paraId="25FA2A47" w14:textId="2B5BFCF4" w:rsidR="005470BB" w:rsidRPr="00090962" w:rsidRDefault="005470BB" w:rsidP="005470BB">
      <w:pPr>
        <w:jc w:val="both"/>
        <w:rPr>
          <w:sz w:val="22"/>
          <w:szCs w:val="22"/>
        </w:rPr>
      </w:pPr>
      <w:r w:rsidRPr="00090962">
        <w:rPr>
          <w:sz w:val="22"/>
          <w:szCs w:val="22"/>
        </w:rPr>
        <w:t xml:space="preserve">Adjustments in the </w:t>
      </w:r>
      <w:r w:rsidR="00B358E6" w:rsidRPr="00090962">
        <w:rPr>
          <w:b/>
          <w:sz w:val="22"/>
          <w:szCs w:val="22"/>
        </w:rPr>
        <w:t>second</w:t>
      </w:r>
      <w:r w:rsidRPr="00090962">
        <w:rPr>
          <w:sz w:val="22"/>
          <w:szCs w:val="22"/>
        </w:rPr>
        <w:t xml:space="preserve"> category and which are based on a violation of legal authority will result both in a noncompliance citation and normally a </w:t>
      </w:r>
      <w:r w:rsidR="00E82ED5" w:rsidRPr="00090962">
        <w:rPr>
          <w:sz w:val="22"/>
          <w:szCs w:val="22"/>
        </w:rPr>
        <w:t xml:space="preserve">modified opinion </w:t>
      </w:r>
      <w:r w:rsidRPr="00090962">
        <w:rPr>
          <w:sz w:val="22"/>
          <w:szCs w:val="22"/>
        </w:rPr>
        <w:t>paragraph in the auditor</w:t>
      </w:r>
      <w:r w:rsidR="006E28AE" w:rsidRPr="00090962">
        <w:rPr>
          <w:sz w:val="22"/>
          <w:szCs w:val="22"/>
        </w:rPr>
        <w:t xml:space="preserve">’s financial statement opinion. </w:t>
      </w:r>
      <w:r w:rsidRPr="00090962">
        <w:rPr>
          <w:sz w:val="22"/>
          <w:szCs w:val="22"/>
        </w:rPr>
        <w:t xml:space="preserve"> The noncompliance citation will also include a finding for adjustment statement (i.e. “In accordance with the foregoing facts, we hereby </w:t>
      </w:r>
      <w:r w:rsidR="006E28AE" w:rsidRPr="00090962">
        <w:rPr>
          <w:sz w:val="22"/>
          <w:szCs w:val="22"/>
        </w:rPr>
        <w:t xml:space="preserve">issue a finding for adjustment.  . </w:t>
      </w:r>
      <w:r w:rsidRPr="00090962">
        <w:rPr>
          <w:sz w:val="22"/>
          <w:szCs w:val="22"/>
        </w:rPr>
        <w:t xml:space="preserve"> .</w:t>
      </w:r>
      <w:r w:rsidR="007E3E32" w:rsidRPr="00090962">
        <w:rPr>
          <w:sz w:val="22"/>
          <w:szCs w:val="22"/>
        </w:rPr>
        <w:t>”</w:t>
      </w:r>
      <w:r w:rsidRPr="00090962">
        <w:rPr>
          <w:sz w:val="22"/>
          <w:szCs w:val="22"/>
        </w:rPr>
        <w:t xml:space="preserve">). </w:t>
      </w:r>
    </w:p>
    <w:p w14:paraId="0303F9C8" w14:textId="35DF5D36" w:rsidR="00E73CA1" w:rsidRPr="00090962" w:rsidRDefault="00E73CA1" w:rsidP="005470BB">
      <w:pPr>
        <w:jc w:val="both"/>
        <w:rPr>
          <w:sz w:val="22"/>
          <w:szCs w:val="22"/>
        </w:rPr>
      </w:pPr>
    </w:p>
    <w:p w14:paraId="17F5F0DE" w14:textId="7B2E10D5" w:rsidR="00E73CA1" w:rsidRPr="00090962" w:rsidRDefault="00E73CA1" w:rsidP="00E73CA1">
      <w:pPr>
        <w:jc w:val="both"/>
        <w:rPr>
          <w:sz w:val="22"/>
          <w:szCs w:val="22"/>
        </w:rPr>
      </w:pPr>
      <w:r w:rsidRPr="00090962">
        <w:rPr>
          <w:sz w:val="22"/>
          <w:szCs w:val="22"/>
        </w:rPr>
        <w:t xml:space="preserve">The status of any </w:t>
      </w:r>
      <w:r w:rsidRPr="00090962">
        <w:rPr>
          <w:b/>
          <w:sz w:val="22"/>
          <w:szCs w:val="22"/>
        </w:rPr>
        <w:t>second</w:t>
      </w:r>
      <w:r w:rsidRPr="00090962">
        <w:rPr>
          <w:sz w:val="22"/>
          <w:szCs w:val="22"/>
        </w:rPr>
        <w:t xml:space="preserve"> category findings for adjustment from prior periods should be tracked in the Schedule of Prior Audit Findings in all future audits until the adjustment has been appropriately recorded by the client. If the issue that caused / allowed the finding for adjustment to occur has:</w:t>
      </w:r>
    </w:p>
    <w:p w14:paraId="06DCFC88" w14:textId="3010A63B" w:rsidR="00E73CA1" w:rsidRPr="00090962" w:rsidRDefault="00E73CA1" w:rsidP="00701DA6">
      <w:pPr>
        <w:pStyle w:val="ListParagraph"/>
        <w:numPr>
          <w:ilvl w:val="0"/>
          <w:numId w:val="47"/>
        </w:numPr>
        <w:jc w:val="both"/>
        <w:rPr>
          <w:sz w:val="22"/>
          <w:szCs w:val="22"/>
        </w:rPr>
      </w:pPr>
      <w:r w:rsidRPr="00090962">
        <w:rPr>
          <w:sz w:val="22"/>
          <w:szCs w:val="22"/>
        </w:rPr>
        <w:t xml:space="preserve">Been corrected = there is no need to repeat the comment.  </w:t>
      </w:r>
    </w:p>
    <w:p w14:paraId="61C4F14A" w14:textId="44A1FA4E" w:rsidR="00E73CA1" w:rsidRPr="00090962" w:rsidRDefault="00E73CA1" w:rsidP="00701DA6">
      <w:pPr>
        <w:pStyle w:val="ListParagraph"/>
        <w:numPr>
          <w:ilvl w:val="0"/>
          <w:numId w:val="47"/>
        </w:numPr>
        <w:jc w:val="both"/>
        <w:rPr>
          <w:sz w:val="22"/>
          <w:szCs w:val="22"/>
        </w:rPr>
      </w:pPr>
      <w:r w:rsidRPr="00090962">
        <w:rPr>
          <w:sz w:val="22"/>
          <w:szCs w:val="22"/>
        </w:rPr>
        <w:t xml:space="preserve">Remains uncorrected = the situation should be evaluated for financial statement materiality and opinion modification.  </w:t>
      </w:r>
    </w:p>
    <w:p w14:paraId="78C1D8BB" w14:textId="1227B67C" w:rsidR="00E73CA1" w:rsidRPr="00090962" w:rsidRDefault="00E73CA1" w:rsidP="00701DA6">
      <w:pPr>
        <w:pStyle w:val="ListParagraph"/>
        <w:numPr>
          <w:ilvl w:val="0"/>
          <w:numId w:val="47"/>
        </w:numPr>
        <w:jc w:val="both"/>
        <w:rPr>
          <w:sz w:val="22"/>
          <w:szCs w:val="22"/>
        </w:rPr>
      </w:pPr>
      <w:r w:rsidRPr="00090962">
        <w:rPr>
          <w:sz w:val="22"/>
          <w:szCs w:val="22"/>
        </w:rPr>
        <w:t xml:space="preserve">Remains uncorrected </w:t>
      </w:r>
      <w:r w:rsidRPr="00090962">
        <w:rPr>
          <w:b/>
          <w:sz w:val="22"/>
          <w:szCs w:val="22"/>
        </w:rPr>
        <w:t>and</w:t>
      </w:r>
      <w:r w:rsidRPr="00090962">
        <w:rPr>
          <w:sz w:val="22"/>
          <w:szCs w:val="22"/>
        </w:rPr>
        <w:t xml:space="preserve"> additional errors occurred in the current audit / engagement period that add to the finding for adjustment = </w:t>
      </w:r>
      <w:r w:rsidR="006D6745" w:rsidRPr="00090962">
        <w:rPr>
          <w:sz w:val="22"/>
          <w:szCs w:val="22"/>
        </w:rPr>
        <w:t>auditors</w:t>
      </w:r>
      <w:r w:rsidRPr="00090962">
        <w:rPr>
          <w:sz w:val="22"/>
          <w:szCs w:val="22"/>
        </w:rPr>
        <w:t xml:space="preserve"> should report for the cumulative amount of the errors, including amounts from the prior period, for the current period, and evaluate the errors for financial statement materiality and opinion modification.  </w:t>
      </w:r>
    </w:p>
    <w:p w14:paraId="5507A5C6" w14:textId="30B484C5" w:rsidR="00E73CA1" w:rsidRPr="00090962" w:rsidRDefault="00E73CA1" w:rsidP="00E73CA1">
      <w:pPr>
        <w:jc w:val="both"/>
        <w:rPr>
          <w:sz w:val="22"/>
          <w:szCs w:val="22"/>
        </w:rPr>
      </w:pPr>
      <w:r w:rsidRPr="00090962">
        <w:rPr>
          <w:sz w:val="22"/>
          <w:szCs w:val="22"/>
        </w:rPr>
        <w:t>A client not recording a necessary adjustment that requires an opinion modification should usually result in a material weakness / significant deficiency reported in the GAGAS report and the Schedule of Findings.</w:t>
      </w:r>
    </w:p>
    <w:p w14:paraId="0934ABC8" w14:textId="77777777" w:rsidR="005470BB" w:rsidRPr="00090962" w:rsidRDefault="005470BB" w:rsidP="005470BB">
      <w:pPr>
        <w:jc w:val="both"/>
        <w:rPr>
          <w:sz w:val="22"/>
          <w:szCs w:val="22"/>
        </w:rPr>
      </w:pPr>
    </w:p>
    <w:p w14:paraId="44AEBDCB" w14:textId="0ACEC472" w:rsidR="00782768" w:rsidRPr="00090962" w:rsidRDefault="008D4AFF" w:rsidP="00782768">
      <w:pPr>
        <w:jc w:val="both"/>
        <w:rPr>
          <w:b/>
          <w:sz w:val="22"/>
          <w:szCs w:val="22"/>
        </w:rPr>
      </w:pPr>
      <w:r w:rsidRPr="00090962">
        <w:rPr>
          <w:sz w:val="22"/>
          <w:szCs w:val="22"/>
        </w:rPr>
        <w:t>A</w:t>
      </w:r>
      <w:r w:rsidR="005470BB" w:rsidRPr="00090962">
        <w:rPr>
          <w:sz w:val="22"/>
          <w:szCs w:val="22"/>
        </w:rPr>
        <w:t xml:space="preserve">djustments in the </w:t>
      </w:r>
      <w:r w:rsidR="00B358E6" w:rsidRPr="00090962">
        <w:rPr>
          <w:b/>
          <w:sz w:val="22"/>
          <w:szCs w:val="22"/>
        </w:rPr>
        <w:t>third</w:t>
      </w:r>
      <w:r w:rsidR="005470BB" w:rsidRPr="00090962">
        <w:rPr>
          <w:sz w:val="22"/>
          <w:szCs w:val="22"/>
        </w:rPr>
        <w:t xml:space="preserve"> category (quantitatively immaterial but more than </w:t>
      </w:r>
      <w:r w:rsidR="00CB5954" w:rsidRPr="00090962">
        <w:rPr>
          <w:sz w:val="22"/>
          <w:szCs w:val="22"/>
        </w:rPr>
        <w:t>trivial</w:t>
      </w:r>
      <w:r w:rsidR="005470BB" w:rsidRPr="00090962">
        <w:rPr>
          <w:sz w:val="22"/>
          <w:szCs w:val="22"/>
        </w:rPr>
        <w:t>)</w:t>
      </w:r>
      <w:r w:rsidRPr="00090962">
        <w:rPr>
          <w:sz w:val="22"/>
          <w:szCs w:val="22"/>
        </w:rPr>
        <w:t xml:space="preserve"> should be reported in the management letter</w:t>
      </w:r>
      <w:r w:rsidR="005470BB" w:rsidRPr="00090962">
        <w:rPr>
          <w:sz w:val="22"/>
          <w:szCs w:val="22"/>
        </w:rPr>
        <w:t xml:space="preserve"> if the misallocation of funds also constitutes a violation of law which warrants a noncompliance citation</w:t>
      </w:r>
      <w:r w:rsidR="00EE16FD" w:rsidRPr="00090962">
        <w:rPr>
          <w:sz w:val="22"/>
          <w:szCs w:val="22"/>
        </w:rPr>
        <w:t>, per 2018 GAGAS 6.44</w:t>
      </w:r>
      <w:r w:rsidR="005470BB" w:rsidRPr="00090962">
        <w:rPr>
          <w:sz w:val="22"/>
          <w:szCs w:val="22"/>
        </w:rPr>
        <w:t xml:space="preserve">.  </w:t>
      </w:r>
      <w:r w:rsidR="00AD5FDF" w:rsidRPr="00090962">
        <w:rPr>
          <w:i/>
          <w:sz w:val="22"/>
          <w:szCs w:val="22"/>
        </w:rPr>
        <w:t>However</w:t>
      </w:r>
      <w:r w:rsidR="00AD5FDF" w:rsidRPr="00090962">
        <w:rPr>
          <w:sz w:val="22"/>
          <w:szCs w:val="22"/>
        </w:rPr>
        <w:t>, auditors should report these adjustments in the GAGAS letter whenever qualitative considerations of materiality</w:t>
      </w:r>
      <w:r w:rsidR="00B61DCF" w:rsidRPr="00090962">
        <w:rPr>
          <w:sz w:val="22"/>
          <w:szCs w:val="22"/>
        </w:rPr>
        <w:t xml:space="preserve"> </w:t>
      </w:r>
      <w:r w:rsidR="00F631E1" w:rsidRPr="00090962">
        <w:rPr>
          <w:sz w:val="22"/>
          <w:szCs w:val="22"/>
        </w:rPr>
        <w:t xml:space="preserve">(for example, </w:t>
      </w:r>
      <w:r w:rsidR="00B61DCF" w:rsidRPr="00090962">
        <w:rPr>
          <w:sz w:val="22"/>
          <w:szCs w:val="22"/>
        </w:rPr>
        <w:t>material at the fund level)</w:t>
      </w:r>
      <w:r w:rsidR="00AD5FDF" w:rsidRPr="00090962">
        <w:rPr>
          <w:sz w:val="22"/>
          <w:szCs w:val="22"/>
        </w:rPr>
        <w:t xml:space="preserve"> outweigh the quantitative materiality amounts</w:t>
      </w:r>
      <w:r w:rsidR="004F7715" w:rsidRPr="00090962">
        <w:rPr>
          <w:sz w:val="22"/>
          <w:szCs w:val="22"/>
        </w:rPr>
        <w:t xml:space="preserve">, or if the auditor deems the matter of sufficient importance that it requires additional “emphasis” by those charged with governance.  </w:t>
      </w:r>
    </w:p>
    <w:p w14:paraId="7EB4000A" w14:textId="77777777" w:rsidR="00B358E6" w:rsidRPr="00090962" w:rsidRDefault="005470BB" w:rsidP="00A66E45">
      <w:pPr>
        <w:numPr>
          <w:ilvl w:val="0"/>
          <w:numId w:val="7"/>
        </w:numPr>
        <w:jc w:val="both"/>
        <w:rPr>
          <w:sz w:val="22"/>
          <w:szCs w:val="22"/>
        </w:rPr>
      </w:pPr>
      <w:r w:rsidRPr="00090962">
        <w:rPr>
          <w:sz w:val="22"/>
          <w:szCs w:val="22"/>
        </w:rPr>
        <w:t xml:space="preserve">If the auditee agrees with the adjustment and has posted it, cite the law violated, but do not use the term </w:t>
      </w:r>
      <w:r w:rsidRPr="00090962">
        <w:rPr>
          <w:i/>
          <w:iCs/>
          <w:sz w:val="22"/>
          <w:szCs w:val="22"/>
        </w:rPr>
        <w:t>finding for adjustment</w:t>
      </w:r>
      <w:r w:rsidRPr="00090962">
        <w:rPr>
          <w:sz w:val="22"/>
          <w:szCs w:val="22"/>
        </w:rPr>
        <w:t xml:space="preserve">; do not include a </w:t>
      </w:r>
      <w:r w:rsidRPr="00090962">
        <w:rPr>
          <w:i/>
          <w:iCs/>
          <w:sz w:val="22"/>
          <w:szCs w:val="22"/>
        </w:rPr>
        <w:t xml:space="preserve">finding for adjustment </w:t>
      </w:r>
      <w:r w:rsidRPr="00090962">
        <w:rPr>
          <w:iCs/>
          <w:sz w:val="22"/>
          <w:szCs w:val="22"/>
        </w:rPr>
        <w:t>statement</w:t>
      </w:r>
      <w:r w:rsidRPr="00090962">
        <w:rPr>
          <w:i/>
          <w:iCs/>
          <w:sz w:val="22"/>
          <w:szCs w:val="22"/>
        </w:rPr>
        <w:t>.</w:t>
      </w:r>
    </w:p>
    <w:p w14:paraId="5A728408" w14:textId="77777777" w:rsidR="00B358E6" w:rsidRPr="00090962" w:rsidRDefault="00B358E6" w:rsidP="00B358E6">
      <w:pPr>
        <w:ind w:left="810"/>
        <w:jc w:val="both"/>
        <w:rPr>
          <w:sz w:val="22"/>
          <w:szCs w:val="22"/>
        </w:rPr>
      </w:pPr>
    </w:p>
    <w:p w14:paraId="763FFF3E" w14:textId="77777777" w:rsidR="005470BB" w:rsidRPr="00090962" w:rsidRDefault="005470BB" w:rsidP="00A66E45">
      <w:pPr>
        <w:numPr>
          <w:ilvl w:val="0"/>
          <w:numId w:val="7"/>
        </w:numPr>
        <w:jc w:val="both"/>
        <w:rPr>
          <w:sz w:val="22"/>
          <w:szCs w:val="22"/>
        </w:rPr>
      </w:pPr>
      <w:r w:rsidRPr="00090962">
        <w:rPr>
          <w:sz w:val="22"/>
          <w:szCs w:val="22"/>
        </w:rPr>
        <w:t>If the auditee disagrees with the adjustment or has not posted it, cite the law violated</w:t>
      </w:r>
      <w:r w:rsidR="00FF722A" w:rsidRPr="00090962">
        <w:rPr>
          <w:sz w:val="22"/>
          <w:szCs w:val="22"/>
        </w:rPr>
        <w:t xml:space="preserve">, label the finding as a </w:t>
      </w:r>
      <w:r w:rsidR="00FF722A" w:rsidRPr="00090962">
        <w:rPr>
          <w:i/>
          <w:sz w:val="22"/>
          <w:szCs w:val="22"/>
        </w:rPr>
        <w:t>finding for adjustment</w:t>
      </w:r>
      <w:r w:rsidR="00FF722A" w:rsidRPr="00090962">
        <w:rPr>
          <w:sz w:val="22"/>
          <w:szCs w:val="22"/>
        </w:rPr>
        <w:t>,</w:t>
      </w:r>
      <w:r w:rsidRPr="00090962">
        <w:rPr>
          <w:sz w:val="22"/>
          <w:szCs w:val="22"/>
        </w:rPr>
        <w:t xml:space="preserve"> and include a </w:t>
      </w:r>
      <w:r w:rsidRPr="00090962">
        <w:rPr>
          <w:i/>
          <w:iCs/>
          <w:sz w:val="22"/>
          <w:szCs w:val="22"/>
        </w:rPr>
        <w:t xml:space="preserve">finding for adjustment </w:t>
      </w:r>
      <w:r w:rsidRPr="00090962">
        <w:rPr>
          <w:iCs/>
          <w:sz w:val="22"/>
          <w:szCs w:val="22"/>
        </w:rPr>
        <w:t>statement</w:t>
      </w:r>
      <w:r w:rsidR="00FF722A" w:rsidRPr="00090962">
        <w:rPr>
          <w:i/>
          <w:iCs/>
          <w:sz w:val="22"/>
          <w:szCs w:val="22"/>
        </w:rPr>
        <w:t>.</w:t>
      </w:r>
    </w:p>
    <w:p w14:paraId="102FF3A6" w14:textId="3C8D61C8" w:rsidR="00B358E6" w:rsidRPr="00090962" w:rsidRDefault="00B358E6" w:rsidP="007955DE">
      <w:pPr>
        <w:pStyle w:val="ListParagraph"/>
        <w:numPr>
          <w:ilvl w:val="0"/>
          <w:numId w:val="24"/>
        </w:numPr>
        <w:tabs>
          <w:tab w:val="left" w:pos="360"/>
        </w:tabs>
        <w:jc w:val="both"/>
        <w:rPr>
          <w:sz w:val="22"/>
          <w:szCs w:val="22"/>
        </w:rPr>
      </w:pPr>
      <w:r w:rsidRPr="00090962">
        <w:rPr>
          <w:sz w:val="22"/>
          <w:szCs w:val="22"/>
        </w:rPr>
        <w:t xml:space="preserve">Consistent with unadjusted identified misstatements exceeding trivial, post the adjustment to the Summary of </w:t>
      </w:r>
      <w:r w:rsidR="00B219BB" w:rsidRPr="00090962">
        <w:rPr>
          <w:sz w:val="22"/>
          <w:szCs w:val="22"/>
        </w:rPr>
        <w:t>Identified Misstatements</w:t>
      </w:r>
      <w:r w:rsidRPr="00090962">
        <w:rPr>
          <w:sz w:val="22"/>
          <w:szCs w:val="22"/>
        </w:rPr>
        <w:t xml:space="preserve"> (or similar documentation for IPAs) and carr</w:t>
      </w:r>
      <w:r w:rsidR="00075183" w:rsidRPr="00090962">
        <w:rPr>
          <w:sz w:val="22"/>
          <w:szCs w:val="22"/>
        </w:rPr>
        <w:t>y</w:t>
      </w:r>
      <w:r w:rsidRPr="00090962">
        <w:rPr>
          <w:sz w:val="22"/>
          <w:szCs w:val="22"/>
        </w:rPr>
        <w:t xml:space="preserve"> forward each year to evaluate against the applicable opinion unit.</w:t>
      </w:r>
    </w:p>
    <w:p w14:paraId="1AA2E02E" w14:textId="77777777" w:rsidR="005470BB" w:rsidRPr="00090962" w:rsidRDefault="005470BB" w:rsidP="005470BB">
      <w:pPr>
        <w:pStyle w:val="ListParagraph"/>
        <w:ind w:left="0"/>
        <w:jc w:val="both"/>
        <w:rPr>
          <w:sz w:val="22"/>
          <w:szCs w:val="22"/>
        </w:rPr>
      </w:pPr>
    </w:p>
    <w:p w14:paraId="757EF304" w14:textId="77777777" w:rsidR="005470BB" w:rsidRPr="00090962" w:rsidRDefault="00CB5954" w:rsidP="005470BB">
      <w:pPr>
        <w:jc w:val="both"/>
        <w:rPr>
          <w:sz w:val="22"/>
          <w:szCs w:val="22"/>
        </w:rPr>
      </w:pPr>
      <w:r w:rsidRPr="00090962">
        <w:rPr>
          <w:sz w:val="22"/>
          <w:szCs w:val="22"/>
        </w:rPr>
        <w:t>Trivial</w:t>
      </w:r>
      <w:r w:rsidR="001E44F3" w:rsidRPr="00090962">
        <w:rPr>
          <w:sz w:val="22"/>
          <w:szCs w:val="22"/>
        </w:rPr>
        <w:t xml:space="preserve"> </w:t>
      </w:r>
      <w:r w:rsidR="005470BB" w:rsidRPr="00090962">
        <w:rPr>
          <w:sz w:val="22"/>
          <w:szCs w:val="22"/>
        </w:rPr>
        <w:t>noncompliance adjustments will simply be noted in the audit working papers.</w:t>
      </w:r>
    </w:p>
    <w:p w14:paraId="223DC409" w14:textId="1D5F0191" w:rsidR="00C10478" w:rsidRPr="00090962" w:rsidRDefault="00C10478">
      <w:pPr>
        <w:rPr>
          <w:sz w:val="22"/>
          <w:szCs w:val="22"/>
        </w:rPr>
      </w:pPr>
      <w:r w:rsidRPr="00090962">
        <w:rPr>
          <w:sz w:val="22"/>
          <w:szCs w:val="22"/>
        </w:rPr>
        <w:br w:type="page"/>
      </w:r>
    </w:p>
    <w:p w14:paraId="3696502E" w14:textId="77777777" w:rsidR="005470BB" w:rsidRPr="00621F8F" w:rsidRDefault="005470BB" w:rsidP="00F03F04">
      <w:pPr>
        <w:rPr>
          <w:sz w:val="24"/>
          <w:szCs w:val="24"/>
        </w:rPr>
      </w:pPr>
      <w:r w:rsidRPr="00621F8F">
        <w:rPr>
          <w:b/>
          <w:bCs/>
          <w:sz w:val="24"/>
          <w:szCs w:val="24"/>
        </w:rPr>
        <w:t xml:space="preserve">Summary of Finding </w:t>
      </w:r>
      <w:r w:rsidR="00B53628" w:rsidRPr="00621F8F">
        <w:rPr>
          <w:b/>
          <w:bCs/>
          <w:sz w:val="24"/>
          <w:szCs w:val="24"/>
        </w:rPr>
        <w:t>for</w:t>
      </w:r>
      <w:r w:rsidRPr="00621F8F">
        <w:rPr>
          <w:b/>
          <w:bCs/>
          <w:sz w:val="24"/>
          <w:szCs w:val="24"/>
        </w:rPr>
        <w:t xml:space="preserve"> Adjustment Reporting Treatment</w:t>
      </w:r>
    </w:p>
    <w:p w14:paraId="3F8ED66B" w14:textId="77777777" w:rsidR="005470BB" w:rsidRDefault="005470BB" w:rsidP="005470BB">
      <w:pPr>
        <w:ind w:left="720"/>
        <w:jc w:val="both"/>
        <w:rPr>
          <w:sz w:val="12"/>
          <w:szCs w:val="12"/>
        </w:rPr>
      </w:pPr>
    </w:p>
    <w:tbl>
      <w:tblPr>
        <w:tblW w:w="10056"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2011"/>
        <w:gridCol w:w="2010"/>
        <w:gridCol w:w="2010"/>
        <w:gridCol w:w="2010"/>
        <w:gridCol w:w="2009"/>
        <w:gridCol w:w="6"/>
      </w:tblGrid>
      <w:tr w:rsidR="00203893" w14:paraId="0F5B943D" w14:textId="77777777" w:rsidTr="00DB24AE">
        <w:trPr>
          <w:tblHeader/>
          <w:jc w:val="center"/>
        </w:trPr>
        <w:tc>
          <w:tcPr>
            <w:tcW w:w="2011" w:type="dxa"/>
            <w:shd w:val="clear" w:color="auto" w:fill="4F81BD" w:themeFill="accent1"/>
            <w:tcMar>
              <w:top w:w="0" w:type="dxa"/>
              <w:left w:w="120" w:type="dxa"/>
              <w:bottom w:w="0" w:type="dxa"/>
              <w:right w:w="120" w:type="dxa"/>
            </w:tcMar>
          </w:tcPr>
          <w:p w14:paraId="65C49B50" w14:textId="77777777" w:rsidR="00203893" w:rsidRPr="00387DA7" w:rsidRDefault="00203893">
            <w:pPr>
              <w:rPr>
                <w:rFonts w:ascii="Courier" w:eastAsia="Calibri" w:hAnsi="Courier"/>
                <w:color w:val="FFFFFF" w:themeColor="background1"/>
              </w:rPr>
            </w:pPr>
          </w:p>
        </w:tc>
        <w:tc>
          <w:tcPr>
            <w:tcW w:w="2011" w:type="dxa"/>
            <w:shd w:val="clear" w:color="auto" w:fill="4F81BD" w:themeFill="accent1"/>
            <w:tcMar>
              <w:top w:w="0" w:type="dxa"/>
              <w:left w:w="120" w:type="dxa"/>
              <w:bottom w:w="0" w:type="dxa"/>
              <w:right w:w="120" w:type="dxa"/>
            </w:tcMar>
            <w:hideMark/>
          </w:tcPr>
          <w:p w14:paraId="4287411A" w14:textId="77777777" w:rsidR="00203893" w:rsidRPr="00387DA7" w:rsidRDefault="00203893">
            <w:pPr>
              <w:rPr>
                <w:rFonts w:ascii="Calibri" w:eastAsia="Calibri" w:hAnsi="Calibri"/>
                <w:b/>
                <w:i/>
                <w:iCs/>
                <w:color w:val="FFFFFF" w:themeColor="background1"/>
              </w:rPr>
            </w:pPr>
            <w:r w:rsidRPr="00387DA7">
              <w:rPr>
                <w:b/>
                <w:i/>
                <w:iCs/>
                <w:color w:val="FFFFFF" w:themeColor="background1"/>
                <w:u w:val="single"/>
              </w:rPr>
              <w:t>Material</w:t>
            </w:r>
            <w:r w:rsidRPr="00387DA7">
              <w:rPr>
                <w:b/>
                <w:i/>
                <w:iCs/>
                <w:color w:val="FFFFFF" w:themeColor="background1"/>
              </w:rPr>
              <w:t xml:space="preserve"> </w:t>
            </w:r>
            <w:r w:rsidR="00DF6299" w:rsidRPr="00387DA7">
              <w:rPr>
                <w:b/>
                <w:i/>
                <w:iCs/>
                <w:color w:val="FFFFFF" w:themeColor="background1"/>
              </w:rPr>
              <w:t>(At the opinion level)</w:t>
            </w:r>
            <w:r w:rsidR="00DF6299" w:rsidRPr="00387DA7">
              <w:rPr>
                <w:b/>
                <w:i/>
                <w:iCs/>
                <w:color w:val="FFFFFF" w:themeColor="background1"/>
                <w:u w:val="single"/>
              </w:rPr>
              <w:t xml:space="preserve"> </w:t>
            </w:r>
            <w:r w:rsidRPr="00387DA7">
              <w:rPr>
                <w:b/>
                <w:i/>
                <w:iCs/>
                <w:color w:val="FFFFFF" w:themeColor="background1"/>
              </w:rPr>
              <w:t xml:space="preserve">adjustments with which the auditee agrees, which have been posted to the accounting </w:t>
            </w:r>
            <w:proofErr w:type="gramStart"/>
            <w:r w:rsidRPr="00387DA7">
              <w:rPr>
                <w:b/>
                <w:i/>
                <w:iCs/>
                <w:color w:val="FFFFFF" w:themeColor="background1"/>
              </w:rPr>
              <w:t>records</w:t>
            </w:r>
            <w:proofErr w:type="gramEnd"/>
            <w:r w:rsidRPr="00387DA7">
              <w:rPr>
                <w:b/>
                <w:i/>
                <w:iCs/>
                <w:color w:val="FFFFFF" w:themeColor="background1"/>
              </w:rPr>
              <w:t xml:space="preserve"> and which are reflected in the audited financial statements:</w:t>
            </w:r>
          </w:p>
        </w:tc>
        <w:tc>
          <w:tcPr>
            <w:tcW w:w="2011" w:type="dxa"/>
            <w:shd w:val="clear" w:color="auto" w:fill="4F81BD" w:themeFill="accent1"/>
            <w:tcMar>
              <w:top w:w="0" w:type="dxa"/>
              <w:left w:w="120" w:type="dxa"/>
              <w:bottom w:w="0" w:type="dxa"/>
              <w:right w:w="120" w:type="dxa"/>
            </w:tcMar>
          </w:tcPr>
          <w:p w14:paraId="59D951A5" w14:textId="77777777" w:rsidR="00203893" w:rsidRPr="00387DA7" w:rsidRDefault="00203893" w:rsidP="003B59DF">
            <w:pPr>
              <w:rPr>
                <w:rFonts w:ascii="Calibri" w:eastAsia="Calibri" w:hAnsi="Calibri"/>
                <w:b/>
                <w:i/>
                <w:iCs/>
                <w:color w:val="FFFFFF" w:themeColor="background1"/>
              </w:rPr>
            </w:pPr>
            <w:r w:rsidRPr="00387DA7">
              <w:rPr>
                <w:b/>
                <w:i/>
                <w:iCs/>
                <w:color w:val="FFFFFF" w:themeColor="background1"/>
                <w:u w:val="single"/>
              </w:rPr>
              <w:t xml:space="preserve">Material </w:t>
            </w:r>
            <w:r w:rsidR="00DF6299" w:rsidRPr="00387DA7">
              <w:rPr>
                <w:b/>
                <w:i/>
                <w:iCs/>
                <w:color w:val="FFFFFF" w:themeColor="background1"/>
              </w:rPr>
              <w:t>(At the opinion level)</w:t>
            </w:r>
            <w:r w:rsidRPr="00387DA7">
              <w:rPr>
                <w:b/>
                <w:i/>
                <w:iCs/>
                <w:color w:val="FFFFFF" w:themeColor="background1"/>
                <w:u w:val="single"/>
              </w:rPr>
              <w:t xml:space="preserve"> </w:t>
            </w:r>
            <w:r w:rsidRPr="00387DA7">
              <w:rPr>
                <w:b/>
                <w:i/>
                <w:iCs/>
                <w:color w:val="FFFFFF" w:themeColor="background1"/>
              </w:rPr>
              <w:t xml:space="preserve">adjustments with which the auditee </w:t>
            </w:r>
            <w:proofErr w:type="gramStart"/>
            <w:r w:rsidRPr="00387DA7">
              <w:rPr>
                <w:b/>
                <w:i/>
                <w:iCs/>
                <w:color w:val="FFFFFF" w:themeColor="background1"/>
              </w:rPr>
              <w:t>disagrees</w:t>
            </w:r>
            <w:proofErr w:type="gramEnd"/>
            <w:r w:rsidRPr="00387DA7">
              <w:rPr>
                <w:b/>
                <w:i/>
                <w:iCs/>
                <w:color w:val="FFFFFF" w:themeColor="background1"/>
              </w:rPr>
              <w:t xml:space="preserve"> and which are </w:t>
            </w:r>
            <w:r w:rsidR="00A9560B" w:rsidRPr="00387DA7">
              <w:rPr>
                <w:b/>
                <w:i/>
                <w:iCs/>
                <w:color w:val="FFFFFF" w:themeColor="background1"/>
              </w:rPr>
              <w:t xml:space="preserve">not </w:t>
            </w:r>
            <w:r w:rsidRPr="00387DA7">
              <w:rPr>
                <w:b/>
                <w:i/>
                <w:iCs/>
                <w:color w:val="FFFFFF" w:themeColor="background1"/>
              </w:rPr>
              <w:t xml:space="preserve">posted to the accounting records </w:t>
            </w:r>
            <w:r w:rsidR="00A9560B" w:rsidRPr="00387DA7">
              <w:rPr>
                <w:b/>
                <w:i/>
                <w:iCs/>
                <w:color w:val="FFFFFF" w:themeColor="background1"/>
              </w:rPr>
              <w:t>or</w:t>
            </w:r>
            <w:r w:rsidR="007C498A" w:rsidRPr="00387DA7">
              <w:rPr>
                <w:b/>
                <w:i/>
                <w:iCs/>
                <w:color w:val="FFFFFF" w:themeColor="background1"/>
              </w:rPr>
              <w:t xml:space="preserve"> are not</w:t>
            </w:r>
            <w:r w:rsidR="00A9560B" w:rsidRPr="00387DA7">
              <w:rPr>
                <w:b/>
                <w:i/>
                <w:iCs/>
                <w:color w:val="FFFFFF" w:themeColor="background1"/>
              </w:rPr>
              <w:t xml:space="preserve"> </w:t>
            </w:r>
            <w:r w:rsidRPr="00387DA7">
              <w:rPr>
                <w:b/>
                <w:i/>
                <w:iCs/>
                <w:color w:val="FFFFFF" w:themeColor="background1"/>
              </w:rPr>
              <w:t>reflected in the financial statements:</w:t>
            </w:r>
          </w:p>
        </w:tc>
        <w:tc>
          <w:tcPr>
            <w:tcW w:w="2011" w:type="dxa"/>
            <w:shd w:val="clear" w:color="auto" w:fill="4F81BD" w:themeFill="accent1"/>
            <w:tcMar>
              <w:top w:w="0" w:type="dxa"/>
              <w:left w:w="120" w:type="dxa"/>
              <w:bottom w:w="0" w:type="dxa"/>
              <w:right w:w="120" w:type="dxa"/>
            </w:tcMar>
          </w:tcPr>
          <w:p w14:paraId="011E008F" w14:textId="77777777" w:rsidR="00203893" w:rsidRPr="00387DA7" w:rsidRDefault="00203893" w:rsidP="003B59DF">
            <w:pPr>
              <w:rPr>
                <w:rFonts w:ascii="Calibri" w:eastAsia="Calibri" w:hAnsi="Calibri"/>
                <w:b/>
                <w:i/>
                <w:iCs/>
                <w:color w:val="FFFFFF" w:themeColor="background1"/>
              </w:rPr>
            </w:pPr>
            <w:r w:rsidRPr="00387DA7">
              <w:rPr>
                <w:b/>
                <w:i/>
                <w:iCs/>
                <w:color w:val="FFFFFF" w:themeColor="background1"/>
              </w:rPr>
              <w:t>Quantitatively Immaterial adjustments which are more than trivial</w:t>
            </w:r>
            <w:r w:rsidR="00B358E6" w:rsidRPr="00387DA7">
              <w:rPr>
                <w:b/>
                <w:i/>
                <w:iCs/>
                <w:color w:val="FFFFFF" w:themeColor="background1"/>
              </w:rPr>
              <w:t xml:space="preserve"> (including those immaterial to opinion units, but material to one or </w:t>
            </w:r>
            <w:proofErr w:type="gramStart"/>
            <w:r w:rsidR="00B358E6" w:rsidRPr="00387DA7">
              <w:rPr>
                <w:b/>
                <w:i/>
                <w:iCs/>
                <w:color w:val="FFFFFF" w:themeColor="background1"/>
              </w:rPr>
              <w:t>move</w:t>
            </w:r>
            <w:proofErr w:type="gramEnd"/>
            <w:r w:rsidR="00B358E6" w:rsidRPr="00387DA7">
              <w:rPr>
                <w:b/>
                <w:i/>
                <w:iCs/>
                <w:color w:val="FFFFFF" w:themeColor="background1"/>
              </w:rPr>
              <w:t xml:space="preserve"> individual funds):</w:t>
            </w:r>
          </w:p>
        </w:tc>
        <w:tc>
          <w:tcPr>
            <w:tcW w:w="2012" w:type="dxa"/>
            <w:gridSpan w:val="2"/>
            <w:shd w:val="clear" w:color="auto" w:fill="4F81BD" w:themeFill="accent1"/>
            <w:tcMar>
              <w:top w:w="0" w:type="dxa"/>
              <w:left w:w="120" w:type="dxa"/>
              <w:bottom w:w="0" w:type="dxa"/>
              <w:right w:w="120" w:type="dxa"/>
            </w:tcMar>
            <w:hideMark/>
          </w:tcPr>
          <w:p w14:paraId="77082AB7" w14:textId="77777777" w:rsidR="00203893" w:rsidRPr="00387DA7" w:rsidRDefault="00203893" w:rsidP="003B59DF">
            <w:pPr>
              <w:rPr>
                <w:rFonts w:ascii="Calibri" w:eastAsia="Calibri" w:hAnsi="Calibri"/>
                <w:b/>
                <w:i/>
                <w:iCs/>
                <w:strike/>
                <w:color w:val="FFFFFF" w:themeColor="background1"/>
              </w:rPr>
            </w:pPr>
            <w:r w:rsidRPr="00387DA7">
              <w:rPr>
                <w:b/>
                <w:i/>
                <w:iCs/>
                <w:color w:val="FFFFFF" w:themeColor="background1"/>
              </w:rPr>
              <w:t>Adjustments which are trivial</w:t>
            </w:r>
            <w:r w:rsidR="00B358E6" w:rsidRPr="00387DA7">
              <w:rPr>
                <w:b/>
                <w:i/>
                <w:iCs/>
                <w:color w:val="FFFFFF" w:themeColor="background1"/>
              </w:rPr>
              <w:t>:</w:t>
            </w:r>
            <w:r w:rsidRPr="00387DA7">
              <w:rPr>
                <w:b/>
                <w:i/>
                <w:iCs/>
                <w:color w:val="FFFFFF" w:themeColor="background1"/>
              </w:rPr>
              <w:t xml:space="preserve"> </w:t>
            </w:r>
          </w:p>
        </w:tc>
      </w:tr>
      <w:tr w:rsidR="00203893" w14:paraId="3487907B" w14:textId="77777777" w:rsidTr="00DB24AE">
        <w:trPr>
          <w:jc w:val="center"/>
        </w:trPr>
        <w:tc>
          <w:tcPr>
            <w:tcW w:w="2011" w:type="dxa"/>
            <w:shd w:val="clear" w:color="auto" w:fill="C6D9F1" w:themeFill="text2" w:themeFillTint="33"/>
            <w:tcMar>
              <w:top w:w="0" w:type="dxa"/>
              <w:left w:w="120" w:type="dxa"/>
              <w:bottom w:w="0" w:type="dxa"/>
              <w:right w:w="120" w:type="dxa"/>
            </w:tcMar>
            <w:hideMark/>
          </w:tcPr>
          <w:p w14:paraId="47529A70" w14:textId="77777777" w:rsidR="00203893" w:rsidRPr="00387DA7" w:rsidRDefault="00ED2B3D" w:rsidP="00ED2B3D">
            <w:pPr>
              <w:rPr>
                <w:rFonts w:ascii="Calibri" w:eastAsia="Calibri" w:hAnsi="Calibri"/>
                <w:b/>
                <w:bCs/>
              </w:rPr>
            </w:pPr>
            <w:r w:rsidRPr="00387DA7">
              <w:rPr>
                <w:b/>
                <w:bCs/>
              </w:rPr>
              <w:t>GAGAS Report</w:t>
            </w:r>
          </w:p>
        </w:tc>
        <w:tc>
          <w:tcPr>
            <w:tcW w:w="2011" w:type="dxa"/>
            <w:tcMar>
              <w:top w:w="0" w:type="dxa"/>
              <w:left w:w="120" w:type="dxa"/>
              <w:bottom w:w="0" w:type="dxa"/>
              <w:right w:w="120" w:type="dxa"/>
            </w:tcMar>
            <w:hideMark/>
          </w:tcPr>
          <w:p w14:paraId="46FB8FF5" w14:textId="77777777" w:rsidR="00203893" w:rsidRPr="00387DA7" w:rsidRDefault="00203893">
            <w:pPr>
              <w:rPr>
                <w:rFonts w:ascii="Calibri" w:eastAsia="Calibri" w:hAnsi="Calibri"/>
              </w:rPr>
            </w:pPr>
            <w:r w:rsidRPr="00387DA7">
              <w:t xml:space="preserve">If based on a violation of legal authority, report a noncompliance citation </w:t>
            </w:r>
            <w:r w:rsidR="00ED2B3D" w:rsidRPr="00387DA7">
              <w:t xml:space="preserve">in the GAGAS report. </w:t>
            </w:r>
            <w:r w:rsidRPr="00387DA7">
              <w:t xml:space="preserve"> Do not classify as a f</w:t>
            </w:r>
            <w:r w:rsidRPr="00387DA7">
              <w:rPr>
                <w:i/>
                <w:iCs/>
              </w:rPr>
              <w:t>inding for adjustment</w:t>
            </w:r>
            <w:r w:rsidRPr="00387DA7">
              <w:t>.</w:t>
            </w:r>
          </w:p>
        </w:tc>
        <w:tc>
          <w:tcPr>
            <w:tcW w:w="2011" w:type="dxa"/>
            <w:tcMar>
              <w:top w:w="0" w:type="dxa"/>
              <w:left w:w="120" w:type="dxa"/>
              <w:bottom w:w="0" w:type="dxa"/>
              <w:right w:w="120" w:type="dxa"/>
            </w:tcMar>
            <w:hideMark/>
          </w:tcPr>
          <w:p w14:paraId="3BCE789B" w14:textId="77777777" w:rsidR="00203893" w:rsidRPr="00387DA7" w:rsidRDefault="00203893" w:rsidP="00ED2B3D">
            <w:pPr>
              <w:rPr>
                <w:rFonts w:ascii="Calibri" w:eastAsia="Calibri" w:hAnsi="Calibri"/>
              </w:rPr>
            </w:pPr>
            <w:r w:rsidRPr="00387DA7">
              <w:t>If based on a violation of legal authority, report a noncomplianc</w:t>
            </w:r>
            <w:r w:rsidR="00ED2B3D" w:rsidRPr="00387DA7">
              <w:t xml:space="preserve">e citation in the GAGAS report. </w:t>
            </w:r>
            <w:r w:rsidRPr="00387DA7">
              <w:t xml:space="preserve"> AOS staff should include a </w:t>
            </w:r>
            <w:r w:rsidRPr="00387DA7">
              <w:rPr>
                <w:i/>
                <w:iCs/>
              </w:rPr>
              <w:t>finding for adjustment</w:t>
            </w:r>
            <w:r w:rsidR="000B0B96" w:rsidRPr="00387DA7">
              <w:t xml:space="preserve"> statement. </w:t>
            </w:r>
            <w:r w:rsidRPr="00387DA7">
              <w:t xml:space="preserve"> (IPAs should not include a finding for adjustment statement.) </w:t>
            </w:r>
          </w:p>
        </w:tc>
        <w:tc>
          <w:tcPr>
            <w:tcW w:w="2011" w:type="dxa"/>
            <w:tcMar>
              <w:top w:w="0" w:type="dxa"/>
              <w:left w:w="120" w:type="dxa"/>
              <w:bottom w:w="0" w:type="dxa"/>
              <w:right w:w="120" w:type="dxa"/>
            </w:tcMar>
          </w:tcPr>
          <w:p w14:paraId="7AF59A89" w14:textId="77777777" w:rsidR="00203893" w:rsidRPr="00387DA7" w:rsidRDefault="00203893" w:rsidP="00201509">
            <w:pPr>
              <w:rPr>
                <w:rFonts w:ascii="Calibri" w:eastAsia="Calibri" w:hAnsi="Calibri"/>
              </w:rPr>
            </w:pPr>
            <w:r w:rsidRPr="00387DA7">
              <w:t xml:space="preserve">If based on a violation of legal authority, report a noncompliance citation in the management letter.  However, if the matter is </w:t>
            </w:r>
            <w:proofErr w:type="gramStart"/>
            <w:r w:rsidRPr="00387DA7">
              <w:t>qualitatively</w:t>
            </w:r>
            <w:proofErr w:type="gramEnd"/>
            <w:r w:rsidRPr="00387DA7">
              <w:t xml:space="preserve"> material</w:t>
            </w:r>
            <w:r w:rsidR="00DF6299" w:rsidRPr="00387DA7">
              <w:t xml:space="preserve"> (for example, material at the fund level)</w:t>
            </w:r>
            <w:r w:rsidRPr="00387DA7">
              <w:t>, or the auditor deems it of increased importance, report a noncomplian</w:t>
            </w:r>
            <w:r w:rsidR="00DF6299" w:rsidRPr="00387DA7">
              <w:t>ce citation in the GAGAS report and include a fin</w:t>
            </w:r>
            <w:r w:rsidR="006E28AE" w:rsidRPr="00387DA7">
              <w:t xml:space="preserve">ding for adjustment statement. </w:t>
            </w:r>
            <w:r w:rsidR="00DF6299" w:rsidRPr="00387DA7">
              <w:t xml:space="preserve"> (IPAs should not include a finding for adjustment statement.)</w:t>
            </w:r>
          </w:p>
        </w:tc>
        <w:tc>
          <w:tcPr>
            <w:tcW w:w="2012" w:type="dxa"/>
            <w:gridSpan w:val="2"/>
            <w:tcMar>
              <w:top w:w="0" w:type="dxa"/>
              <w:left w:w="120" w:type="dxa"/>
              <w:bottom w:w="0" w:type="dxa"/>
              <w:right w:w="120" w:type="dxa"/>
            </w:tcMar>
            <w:hideMark/>
          </w:tcPr>
          <w:p w14:paraId="3B367DDE" w14:textId="77777777" w:rsidR="00203893" w:rsidRPr="00387DA7" w:rsidRDefault="00203893">
            <w:pPr>
              <w:rPr>
                <w:rFonts w:ascii="Calibri" w:eastAsia="Calibri" w:hAnsi="Calibri"/>
              </w:rPr>
            </w:pPr>
            <w:r w:rsidRPr="00387DA7">
              <w:t>Not reported in the GAGAS report.</w:t>
            </w:r>
          </w:p>
        </w:tc>
      </w:tr>
      <w:tr w:rsidR="00203893" w14:paraId="1CCFE5FD" w14:textId="77777777" w:rsidTr="00DB24AE">
        <w:trPr>
          <w:cantSplit/>
          <w:jc w:val="center"/>
        </w:trPr>
        <w:tc>
          <w:tcPr>
            <w:tcW w:w="2011" w:type="dxa"/>
            <w:shd w:val="clear" w:color="auto" w:fill="C6D9F1" w:themeFill="text2" w:themeFillTint="33"/>
            <w:tcMar>
              <w:top w:w="0" w:type="dxa"/>
              <w:left w:w="120" w:type="dxa"/>
              <w:bottom w:w="0" w:type="dxa"/>
              <w:right w:w="120" w:type="dxa"/>
            </w:tcMar>
            <w:hideMark/>
          </w:tcPr>
          <w:p w14:paraId="4FBE8890" w14:textId="77777777" w:rsidR="00203893" w:rsidRPr="00387DA7" w:rsidRDefault="00203893">
            <w:pPr>
              <w:rPr>
                <w:rFonts w:ascii="Calibri" w:eastAsia="Calibri" w:hAnsi="Calibri"/>
              </w:rPr>
            </w:pPr>
            <w:r w:rsidRPr="00387DA7">
              <w:rPr>
                <w:b/>
                <w:bCs/>
              </w:rPr>
              <w:t>Auditor’s report (opinion) on the financial statements</w:t>
            </w:r>
            <w:r w:rsidRPr="00387DA7">
              <w:t xml:space="preserve"> </w:t>
            </w:r>
          </w:p>
        </w:tc>
        <w:tc>
          <w:tcPr>
            <w:tcW w:w="2011" w:type="dxa"/>
            <w:tcMar>
              <w:top w:w="0" w:type="dxa"/>
              <w:left w:w="120" w:type="dxa"/>
              <w:bottom w:w="0" w:type="dxa"/>
              <w:right w:w="120" w:type="dxa"/>
            </w:tcMar>
          </w:tcPr>
          <w:p w14:paraId="5B89D9E6" w14:textId="77777777" w:rsidR="00203893" w:rsidRPr="00387DA7" w:rsidRDefault="00203893" w:rsidP="000B0B96">
            <w:pPr>
              <w:rPr>
                <w:rFonts w:ascii="Calibri" w:eastAsia="Calibri" w:hAnsi="Calibri"/>
              </w:rPr>
            </w:pPr>
            <w:r w:rsidRPr="00387DA7">
              <w:t xml:space="preserve">No </w:t>
            </w:r>
            <w:r w:rsidR="00005DFE" w:rsidRPr="00387DA7">
              <w:t>modification</w:t>
            </w:r>
            <w:r w:rsidRPr="00387DA7">
              <w:t xml:space="preserve"> of the auditor’s opinion.</w:t>
            </w:r>
          </w:p>
        </w:tc>
        <w:tc>
          <w:tcPr>
            <w:tcW w:w="2011" w:type="dxa"/>
            <w:tcMar>
              <w:top w:w="0" w:type="dxa"/>
              <w:left w:w="120" w:type="dxa"/>
              <w:bottom w:w="0" w:type="dxa"/>
              <w:right w:w="120" w:type="dxa"/>
            </w:tcMar>
          </w:tcPr>
          <w:p w14:paraId="5279215F" w14:textId="77777777" w:rsidR="00203893" w:rsidRPr="00387DA7" w:rsidRDefault="00203893" w:rsidP="00ED2B3D">
            <w:pPr>
              <w:rPr>
                <w:rFonts w:ascii="Calibri" w:eastAsia="Calibri" w:hAnsi="Calibri"/>
              </w:rPr>
            </w:pPr>
            <w:r w:rsidRPr="00387DA7">
              <w:t>Adjustments which are based on a violation of legal authority will result in a qualified (or adverse) opinion on the financial statements, if the adjustment misstates opinion units.</w:t>
            </w:r>
          </w:p>
        </w:tc>
        <w:tc>
          <w:tcPr>
            <w:tcW w:w="2011" w:type="dxa"/>
            <w:tcMar>
              <w:top w:w="0" w:type="dxa"/>
              <w:left w:w="120" w:type="dxa"/>
              <w:bottom w:w="0" w:type="dxa"/>
              <w:right w:w="120" w:type="dxa"/>
            </w:tcMar>
          </w:tcPr>
          <w:p w14:paraId="0C022B08" w14:textId="77777777" w:rsidR="00203893" w:rsidRPr="00387DA7" w:rsidRDefault="00203893" w:rsidP="006E28AE">
            <w:pPr>
              <w:rPr>
                <w:rFonts w:ascii="Calibri" w:eastAsia="Calibri" w:hAnsi="Calibri"/>
                <w:strike/>
              </w:rPr>
            </w:pPr>
            <w:r w:rsidRPr="00387DA7">
              <w:t xml:space="preserve">Adjustments which are qualitatively material and are based on a violation of legal authority </w:t>
            </w:r>
            <w:r w:rsidRPr="00387DA7">
              <w:rPr>
                <w:b/>
                <w:i/>
              </w:rPr>
              <w:t>may</w:t>
            </w:r>
            <w:r w:rsidRPr="00387DA7">
              <w:t xml:space="preserve"> result in a qualified (or adverse) opini</w:t>
            </w:r>
            <w:r w:rsidR="006E28AE" w:rsidRPr="00387DA7">
              <w:t xml:space="preserve">on on the financial statements. </w:t>
            </w:r>
            <w:r w:rsidRPr="00387DA7">
              <w:t xml:space="preserve"> This requires judgment.</w:t>
            </w:r>
          </w:p>
        </w:tc>
        <w:tc>
          <w:tcPr>
            <w:tcW w:w="2012" w:type="dxa"/>
            <w:gridSpan w:val="2"/>
            <w:tcMar>
              <w:top w:w="0" w:type="dxa"/>
              <w:left w:w="120" w:type="dxa"/>
              <w:bottom w:w="0" w:type="dxa"/>
              <w:right w:w="120" w:type="dxa"/>
            </w:tcMar>
            <w:hideMark/>
          </w:tcPr>
          <w:p w14:paraId="4A398C80" w14:textId="77777777" w:rsidR="00203893" w:rsidRPr="00387DA7" w:rsidRDefault="00203893">
            <w:pPr>
              <w:rPr>
                <w:rFonts w:ascii="Calibri" w:eastAsia="Calibri" w:hAnsi="Calibri"/>
              </w:rPr>
            </w:pPr>
            <w:r w:rsidRPr="00387DA7">
              <w:t xml:space="preserve">No effect. </w:t>
            </w:r>
          </w:p>
        </w:tc>
      </w:tr>
      <w:tr w:rsidR="00DF6299" w14:paraId="6035423B" w14:textId="77777777" w:rsidTr="00DB24AE">
        <w:trPr>
          <w:gridAfter w:val="1"/>
          <w:wAfter w:w="6" w:type="dxa"/>
          <w:jc w:val="center"/>
        </w:trPr>
        <w:tc>
          <w:tcPr>
            <w:tcW w:w="2010" w:type="dxa"/>
            <w:shd w:val="clear" w:color="auto" w:fill="C6D9F1" w:themeFill="text2" w:themeFillTint="33"/>
            <w:tcMar>
              <w:top w:w="0" w:type="dxa"/>
              <w:left w:w="120" w:type="dxa"/>
              <w:bottom w:w="0" w:type="dxa"/>
              <w:right w:w="120" w:type="dxa"/>
            </w:tcMar>
            <w:hideMark/>
          </w:tcPr>
          <w:p w14:paraId="6EB6EC6E" w14:textId="77777777" w:rsidR="00DF6299" w:rsidRPr="00387DA7" w:rsidRDefault="00DF6299">
            <w:pPr>
              <w:rPr>
                <w:rFonts w:ascii="Calibri" w:eastAsia="Calibri" w:hAnsi="Calibri"/>
                <w:b/>
                <w:bCs/>
              </w:rPr>
            </w:pPr>
            <w:r w:rsidRPr="00387DA7">
              <w:rPr>
                <w:b/>
                <w:bCs/>
              </w:rPr>
              <w:t>Management letter</w:t>
            </w:r>
          </w:p>
        </w:tc>
        <w:tc>
          <w:tcPr>
            <w:tcW w:w="2010" w:type="dxa"/>
            <w:tcMar>
              <w:top w:w="0" w:type="dxa"/>
              <w:left w:w="120" w:type="dxa"/>
              <w:bottom w:w="0" w:type="dxa"/>
              <w:right w:w="120" w:type="dxa"/>
            </w:tcMar>
            <w:hideMark/>
          </w:tcPr>
          <w:p w14:paraId="7A9929C6" w14:textId="77777777" w:rsidR="00DF6299" w:rsidRPr="00387DA7" w:rsidRDefault="00DF6299">
            <w:pPr>
              <w:rPr>
                <w:rFonts w:ascii="Calibri" w:eastAsia="Calibri" w:hAnsi="Calibri"/>
              </w:rPr>
            </w:pPr>
            <w:r w:rsidRPr="00387DA7">
              <w:t>Not applicable</w:t>
            </w:r>
          </w:p>
        </w:tc>
        <w:tc>
          <w:tcPr>
            <w:tcW w:w="2010" w:type="dxa"/>
            <w:tcMar>
              <w:top w:w="0" w:type="dxa"/>
              <w:left w:w="120" w:type="dxa"/>
              <w:bottom w:w="0" w:type="dxa"/>
              <w:right w:w="120" w:type="dxa"/>
            </w:tcMar>
            <w:hideMark/>
          </w:tcPr>
          <w:p w14:paraId="60E48DD5" w14:textId="77777777" w:rsidR="00DF6299" w:rsidRPr="00387DA7" w:rsidRDefault="00DF6299">
            <w:pPr>
              <w:rPr>
                <w:rFonts w:ascii="Calibri" w:eastAsia="Calibri" w:hAnsi="Calibri"/>
              </w:rPr>
            </w:pPr>
            <w:r w:rsidRPr="00387DA7">
              <w:t>Not applicable</w:t>
            </w:r>
          </w:p>
        </w:tc>
        <w:tc>
          <w:tcPr>
            <w:tcW w:w="2010" w:type="dxa"/>
            <w:tcMar>
              <w:top w:w="0" w:type="dxa"/>
              <w:left w:w="120" w:type="dxa"/>
              <w:bottom w:w="0" w:type="dxa"/>
              <w:right w:w="120" w:type="dxa"/>
            </w:tcMar>
          </w:tcPr>
          <w:p w14:paraId="3B221CCA" w14:textId="77777777" w:rsidR="00DF6299" w:rsidRPr="00387DA7" w:rsidRDefault="00DF6299">
            <w:r w:rsidRPr="00387DA7">
              <w:t xml:space="preserve">If the misallocation of funds also constitutes a violation of law which warrants a noncompliance citation, a citation will be reflected in the management letter if the matter is quantitatively and qualitatively immaterial. AOS staff should include a </w:t>
            </w:r>
            <w:r w:rsidRPr="00387DA7">
              <w:rPr>
                <w:i/>
                <w:iCs/>
              </w:rPr>
              <w:t>finding for adjustment</w:t>
            </w:r>
            <w:r w:rsidRPr="00387DA7">
              <w:t xml:space="preserve"> statement if the auditee does not a</w:t>
            </w:r>
            <w:r w:rsidR="00ED2B3D" w:rsidRPr="00387DA7">
              <w:t xml:space="preserve">gree to or post the adjustment. </w:t>
            </w:r>
            <w:r w:rsidRPr="00387DA7">
              <w:t xml:space="preserve"> (IPAs should not include a finding for adjustment statement. Reporting the noncompliance citation alone is sufficient.)</w:t>
            </w:r>
          </w:p>
        </w:tc>
        <w:tc>
          <w:tcPr>
            <w:tcW w:w="2010" w:type="dxa"/>
            <w:tcMar>
              <w:top w:w="0" w:type="dxa"/>
              <w:left w:w="120" w:type="dxa"/>
              <w:bottom w:w="0" w:type="dxa"/>
              <w:right w:w="120" w:type="dxa"/>
            </w:tcMar>
            <w:hideMark/>
          </w:tcPr>
          <w:p w14:paraId="26B74741" w14:textId="77777777" w:rsidR="00DF6299" w:rsidRPr="00387DA7" w:rsidRDefault="00DF6299" w:rsidP="00483257">
            <w:pPr>
              <w:rPr>
                <w:rFonts w:eastAsia="Calibri"/>
              </w:rPr>
            </w:pPr>
            <w:r w:rsidRPr="00387DA7">
              <w:rPr>
                <w:rFonts w:eastAsia="Calibri"/>
              </w:rPr>
              <w:t>Not reported in the management letter.  Document in the working papers only.</w:t>
            </w:r>
          </w:p>
        </w:tc>
      </w:tr>
    </w:tbl>
    <w:p w14:paraId="763AC56B" w14:textId="77777777" w:rsidR="0061206C" w:rsidRDefault="0061206C" w:rsidP="001B15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4"/>
          <w:u w:val="single"/>
          <w:lang w:eastAsia="ja-JP"/>
        </w:rPr>
      </w:pPr>
    </w:p>
    <w:p w14:paraId="47B4A0F7" w14:textId="77777777" w:rsidR="0069552D" w:rsidRDefault="0069552D" w:rsidP="001B15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4"/>
          <w:u w:val="single"/>
          <w:lang w:eastAsia="ja-JP"/>
        </w:rPr>
      </w:pPr>
    </w:p>
    <w:p w14:paraId="779010C0" w14:textId="77777777" w:rsidR="008F6A36" w:rsidRDefault="00BA6489" w:rsidP="1C4FC6EF">
      <w:pPr>
        <w:rPr>
          <w:b/>
          <w:bCs/>
          <w:sz w:val="24"/>
          <w:szCs w:val="24"/>
          <w:u w:val="single"/>
          <w:lang w:eastAsia="ja-JP"/>
        </w:rPr>
      </w:pPr>
      <w:r w:rsidRPr="576C0827">
        <w:rPr>
          <w:b/>
          <w:bCs/>
          <w:sz w:val="24"/>
          <w:szCs w:val="24"/>
          <w:u w:val="single"/>
          <w:lang w:eastAsia="ja-JP"/>
        </w:rPr>
        <w:t xml:space="preserve">Financial Statement Opinion </w:t>
      </w:r>
      <w:r w:rsidR="00005DFE" w:rsidRPr="576C0827">
        <w:rPr>
          <w:b/>
          <w:bCs/>
          <w:sz w:val="24"/>
          <w:szCs w:val="24"/>
          <w:u w:val="single"/>
          <w:lang w:eastAsia="ja-JP"/>
        </w:rPr>
        <w:t>Modified</w:t>
      </w:r>
      <w:r w:rsidR="008F6A36" w:rsidRPr="576C0827">
        <w:rPr>
          <w:b/>
          <w:bCs/>
          <w:sz w:val="24"/>
          <w:szCs w:val="24"/>
          <w:u w:val="single"/>
          <w:lang w:eastAsia="ja-JP"/>
        </w:rPr>
        <w:t xml:space="preserve"> Paragraph</w:t>
      </w:r>
      <w:r w:rsidR="00984E3D" w:rsidRPr="576C0827">
        <w:rPr>
          <w:b/>
          <w:bCs/>
          <w:sz w:val="24"/>
          <w:szCs w:val="24"/>
          <w:u w:val="single"/>
          <w:lang w:eastAsia="ja-JP"/>
        </w:rPr>
        <w:t xml:space="preserve"> Example</w:t>
      </w:r>
    </w:p>
    <w:p w14:paraId="6CDF7A9A" w14:textId="77777777" w:rsidR="00F47723" w:rsidRDefault="00F47723" w:rsidP="00494CE2">
      <w:pPr>
        <w:rPr>
          <w:sz w:val="24"/>
          <w:lang w:eastAsia="ja-JP"/>
        </w:rPr>
      </w:pPr>
    </w:p>
    <w:p w14:paraId="47BBC605"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i/>
          <w:sz w:val="22"/>
          <w:szCs w:val="22"/>
          <w:lang w:eastAsia="ja-JP"/>
        </w:rPr>
      </w:pPr>
      <w:r w:rsidRPr="00090962">
        <w:rPr>
          <w:i/>
          <w:sz w:val="22"/>
          <w:szCs w:val="22"/>
          <w:lang w:eastAsia="ja-JP"/>
        </w:rPr>
        <w:t>Qualified Opinion</w:t>
      </w:r>
    </w:p>
    <w:p w14:paraId="09A898BE"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p>
    <w:p w14:paraId="23F86C38" w14:textId="7232606D"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In our opinion, except for the effects of the matter described in the Basis for Qualified </w:t>
      </w:r>
      <w:r w:rsidR="00160FF0" w:rsidRPr="00090962">
        <w:rPr>
          <w:sz w:val="22"/>
          <w:szCs w:val="22"/>
          <w:lang w:eastAsia="ja-JP"/>
        </w:rPr>
        <w:t xml:space="preserve">and Unmodified </w:t>
      </w:r>
      <w:r w:rsidRPr="00090962">
        <w:rPr>
          <w:sz w:val="22"/>
          <w:szCs w:val="22"/>
          <w:lang w:eastAsia="ja-JP"/>
        </w:rPr>
        <w:t>Opinion</w:t>
      </w:r>
      <w:r w:rsidR="00160FF0" w:rsidRPr="00090962">
        <w:rPr>
          <w:sz w:val="22"/>
          <w:szCs w:val="22"/>
          <w:lang w:eastAsia="ja-JP"/>
        </w:rPr>
        <w:t>s</w:t>
      </w:r>
      <w:r w:rsidRPr="00090962">
        <w:rPr>
          <w:sz w:val="22"/>
          <w:szCs w:val="22"/>
          <w:lang w:eastAsia="ja-JP"/>
        </w:rPr>
        <w:t xml:space="preserve"> section of our report, the accompanying financial statements referred to above present fairly…</w:t>
      </w:r>
      <w:proofErr w:type="gramStart"/>
      <w:r w:rsidRPr="00090962">
        <w:rPr>
          <w:sz w:val="22"/>
          <w:szCs w:val="22"/>
          <w:lang w:eastAsia="ja-JP"/>
        </w:rPr>
        <w:t>…..</w:t>
      </w:r>
      <w:proofErr w:type="gramEnd"/>
    </w:p>
    <w:p w14:paraId="0C5C66DB"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p>
    <w:p w14:paraId="4FE2901D" w14:textId="0D9A91BC"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r w:rsidRPr="00090962">
        <w:rPr>
          <w:b/>
          <w:sz w:val="22"/>
          <w:szCs w:val="22"/>
          <w:lang w:eastAsia="ja-JP"/>
        </w:rPr>
        <w:t xml:space="preserve">Basis for Qualified </w:t>
      </w:r>
      <w:r w:rsidR="00160FF0" w:rsidRPr="00090962">
        <w:rPr>
          <w:b/>
          <w:sz w:val="22"/>
          <w:szCs w:val="22"/>
          <w:lang w:eastAsia="ja-JP"/>
        </w:rPr>
        <w:t xml:space="preserve">and Unmodified </w:t>
      </w:r>
      <w:r w:rsidRPr="00090962">
        <w:rPr>
          <w:b/>
          <w:sz w:val="22"/>
          <w:szCs w:val="22"/>
          <w:lang w:eastAsia="ja-JP"/>
        </w:rPr>
        <w:t>Opinion</w:t>
      </w:r>
      <w:r w:rsidR="00160FF0" w:rsidRPr="00090962">
        <w:rPr>
          <w:b/>
          <w:sz w:val="22"/>
          <w:szCs w:val="22"/>
          <w:lang w:eastAsia="ja-JP"/>
        </w:rPr>
        <w:t>s</w:t>
      </w:r>
    </w:p>
    <w:p w14:paraId="41BF76FC"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p>
    <w:p w14:paraId="69448234" w14:textId="18635374"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We conducted our audit in accordance with auditing standards generally accepted in the United States of America </w:t>
      </w:r>
      <w:r w:rsidR="00160FF0" w:rsidRPr="00090962">
        <w:rPr>
          <w:sz w:val="22"/>
          <w:szCs w:val="22"/>
          <w:lang w:eastAsia="ja-JP"/>
        </w:rPr>
        <w:t xml:space="preserve">(GAAS) </w:t>
      </w:r>
      <w:r w:rsidRPr="00090962">
        <w:rPr>
          <w:sz w:val="22"/>
          <w:szCs w:val="22"/>
          <w:lang w:eastAsia="ja-JP"/>
        </w:rPr>
        <w:t xml:space="preserve">and the standards </w:t>
      </w:r>
      <w:r w:rsidR="00160FF0" w:rsidRPr="00090962">
        <w:rPr>
          <w:sz w:val="22"/>
          <w:szCs w:val="22"/>
          <w:lang w:eastAsia="ja-JP"/>
        </w:rPr>
        <w:t xml:space="preserve">applicable to financial audits contained </w:t>
      </w:r>
      <w:r w:rsidRPr="00090962">
        <w:rPr>
          <w:sz w:val="22"/>
          <w:szCs w:val="22"/>
          <w:lang w:eastAsia="ja-JP"/>
        </w:rPr>
        <w:t xml:space="preserve">in </w:t>
      </w:r>
      <w:r w:rsidRPr="00090962">
        <w:rPr>
          <w:i/>
          <w:sz w:val="22"/>
          <w:szCs w:val="22"/>
          <w:lang w:eastAsia="ja-JP"/>
        </w:rPr>
        <w:t>Government Auditing Standards</w:t>
      </w:r>
      <w:r w:rsidR="00160FF0" w:rsidRPr="00090962">
        <w:rPr>
          <w:sz w:val="22"/>
          <w:szCs w:val="22"/>
          <w:lang w:eastAsia="ja-JP"/>
        </w:rPr>
        <w:t>, issued by the Comptroller General of the United States</w:t>
      </w:r>
      <w:r w:rsidRPr="00090962">
        <w:rPr>
          <w:sz w:val="22"/>
          <w:szCs w:val="22"/>
          <w:lang w:eastAsia="ja-JP"/>
        </w:rPr>
        <w:t>.  Our responsibilities…….</w:t>
      </w:r>
    </w:p>
    <w:p w14:paraId="0443EADF"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C9628A8"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i/>
          <w:sz w:val="22"/>
          <w:szCs w:val="22"/>
          <w:lang w:eastAsia="ja-JP"/>
        </w:rPr>
      </w:pPr>
      <w:r w:rsidRPr="00090962">
        <w:rPr>
          <w:i/>
          <w:sz w:val="22"/>
          <w:szCs w:val="22"/>
          <w:lang w:eastAsia="ja-JP"/>
        </w:rPr>
        <w:t>Matter Giving Rise to Qualified Opinion</w:t>
      </w:r>
    </w:p>
    <w:p w14:paraId="67A27EFC"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i/>
          <w:sz w:val="22"/>
          <w:szCs w:val="22"/>
          <w:lang w:eastAsia="ja-JP"/>
        </w:rPr>
      </w:pPr>
    </w:p>
    <w:p w14:paraId="5FEE6E19" w14:textId="77777777" w:rsidR="00284BCE" w:rsidRPr="00090962" w:rsidRDefault="00284BCE" w:rsidP="00284BC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549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During 20XX, Any Local School District expended $584,000 from the Bond Retirement Fund to pay employees’ salaries.  Ohio Rev. Code § 5705.10 restricts the use of the Bond Retirement Fund to debt retirement.  Had this amount been properly expended from the General Fund, the effect would have been to decrease disbursements of the Bond Retirement Fund by $584,000 and increase the fund cash balance to $631,675 and to increase disbursements of the General Fund by $584,000 and decrease the fund cash balance to a deficit of $347,000 as of and for the year ended December 31, 20XX.</w:t>
      </w:r>
    </w:p>
    <w:p w14:paraId="5EA2BBF0" w14:textId="00D73962" w:rsidR="00284BCE" w:rsidRPr="00090962" w:rsidRDefault="00284BCE"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0365BD0" w14:textId="77777777" w:rsidR="00D70D0A" w:rsidRPr="00090962" w:rsidRDefault="00D70D0A"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9C306FC" w14:textId="77777777" w:rsidR="00CE4C82" w:rsidRDefault="00CE4C82"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80DFAB4" w14:textId="77777777" w:rsidR="00CE4C82" w:rsidRDefault="00CE4C82"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06CFF6C" w14:textId="19EF9AAF" w:rsidR="00AA6C47" w:rsidRPr="00090962" w:rsidRDefault="00984E3D"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When the table above suggests an opinion modification </w:t>
      </w:r>
      <w:proofErr w:type="gramStart"/>
      <w:r w:rsidRPr="00090962">
        <w:rPr>
          <w:sz w:val="22"/>
          <w:szCs w:val="22"/>
          <w:lang w:eastAsia="ja-JP"/>
        </w:rPr>
        <w:t>use</w:t>
      </w:r>
      <w:proofErr w:type="gramEnd"/>
      <w:r w:rsidRPr="00090962">
        <w:rPr>
          <w:sz w:val="22"/>
          <w:szCs w:val="22"/>
          <w:lang w:eastAsia="ja-JP"/>
        </w:rPr>
        <w:t xml:space="preserve"> language </w:t>
      </w:r>
      <w:proofErr w:type="gramStart"/>
      <w:r w:rsidRPr="00090962">
        <w:rPr>
          <w:sz w:val="22"/>
          <w:szCs w:val="22"/>
          <w:lang w:eastAsia="ja-JP"/>
        </w:rPr>
        <w:t>similar to</w:t>
      </w:r>
      <w:proofErr w:type="gramEnd"/>
      <w:r w:rsidRPr="00090962">
        <w:rPr>
          <w:sz w:val="22"/>
          <w:szCs w:val="22"/>
          <w:lang w:eastAsia="ja-JP"/>
        </w:rPr>
        <w:t xml:space="preserve"> this example </w:t>
      </w:r>
      <w:r w:rsidR="00D70D0A" w:rsidRPr="00090962">
        <w:rPr>
          <w:sz w:val="22"/>
          <w:szCs w:val="22"/>
          <w:lang w:eastAsia="ja-JP"/>
        </w:rPr>
        <w:t xml:space="preserve">(in this case, assume the effect was material to the general and bond retirement fund and that both are major funds). </w:t>
      </w:r>
      <w:r w:rsidR="00A31336" w:rsidRPr="00090962">
        <w:rPr>
          <w:sz w:val="22"/>
          <w:szCs w:val="22"/>
          <w:lang w:eastAsia="ja-JP"/>
        </w:rPr>
        <w:t xml:space="preserve"> </w:t>
      </w:r>
      <w:r w:rsidR="00D70D0A" w:rsidRPr="00090962">
        <w:rPr>
          <w:sz w:val="22"/>
          <w:szCs w:val="22"/>
          <w:lang w:eastAsia="ja-JP"/>
        </w:rPr>
        <w:t>The</w:t>
      </w:r>
      <w:r w:rsidR="008F6A36" w:rsidRPr="00090962">
        <w:rPr>
          <w:sz w:val="22"/>
          <w:szCs w:val="22"/>
          <w:lang w:eastAsia="ja-JP"/>
        </w:rPr>
        <w:t xml:space="preserve"> result </w:t>
      </w:r>
      <w:r w:rsidR="00D70D0A" w:rsidRPr="00090962">
        <w:rPr>
          <w:sz w:val="22"/>
          <w:szCs w:val="22"/>
          <w:lang w:eastAsia="ja-JP"/>
        </w:rPr>
        <w:t>will be</w:t>
      </w:r>
      <w:r w:rsidR="008F6A36" w:rsidRPr="00090962">
        <w:rPr>
          <w:sz w:val="22"/>
          <w:szCs w:val="22"/>
          <w:lang w:eastAsia="ja-JP"/>
        </w:rPr>
        <w:t xml:space="preserve"> either a qualified (“except for”) or adverse opinion.  </w:t>
      </w:r>
      <w:r w:rsidR="008C042D" w:rsidRPr="00090962">
        <w:rPr>
          <w:sz w:val="22"/>
          <w:szCs w:val="22"/>
          <w:lang w:eastAsia="ja-JP"/>
        </w:rPr>
        <w:t>A government can avoid a qualifi</w:t>
      </w:r>
      <w:r w:rsidR="00CF0400" w:rsidRPr="00090962">
        <w:rPr>
          <w:sz w:val="22"/>
          <w:szCs w:val="22"/>
          <w:lang w:eastAsia="ja-JP"/>
        </w:rPr>
        <w:t>ed</w:t>
      </w:r>
      <w:r w:rsidR="008C042D" w:rsidRPr="00090962">
        <w:rPr>
          <w:sz w:val="22"/>
          <w:szCs w:val="22"/>
          <w:lang w:eastAsia="ja-JP"/>
        </w:rPr>
        <w:t xml:space="preserve"> or advers</w:t>
      </w:r>
      <w:r w:rsidR="00CF0400" w:rsidRPr="00090962">
        <w:rPr>
          <w:sz w:val="22"/>
          <w:szCs w:val="22"/>
          <w:lang w:eastAsia="ja-JP"/>
        </w:rPr>
        <w:t>e opinion</w:t>
      </w:r>
      <w:r w:rsidR="008C042D" w:rsidRPr="00090962">
        <w:rPr>
          <w:sz w:val="22"/>
          <w:szCs w:val="22"/>
          <w:lang w:eastAsia="ja-JP"/>
        </w:rPr>
        <w:t xml:space="preserve"> </w:t>
      </w:r>
      <w:r w:rsidR="008F6A36" w:rsidRPr="00090962">
        <w:rPr>
          <w:sz w:val="22"/>
          <w:szCs w:val="22"/>
          <w:lang w:eastAsia="ja-JP"/>
        </w:rPr>
        <w:t xml:space="preserve">only if </w:t>
      </w:r>
      <w:r w:rsidR="008C042D" w:rsidRPr="00090962">
        <w:rPr>
          <w:sz w:val="22"/>
          <w:szCs w:val="22"/>
          <w:lang w:eastAsia="ja-JP"/>
        </w:rPr>
        <w:t xml:space="preserve">they </w:t>
      </w:r>
      <w:r w:rsidR="008F6A36" w:rsidRPr="00090962">
        <w:rPr>
          <w:sz w:val="22"/>
          <w:szCs w:val="22"/>
          <w:lang w:eastAsia="ja-JP"/>
        </w:rPr>
        <w:t>adjust the</w:t>
      </w:r>
      <w:r w:rsidR="003C24B6" w:rsidRPr="00090962">
        <w:rPr>
          <w:sz w:val="22"/>
          <w:szCs w:val="22"/>
          <w:lang w:eastAsia="ja-JP"/>
        </w:rPr>
        <w:t>ir</w:t>
      </w:r>
      <w:r w:rsidR="008F6A36" w:rsidRPr="00090962">
        <w:rPr>
          <w:sz w:val="22"/>
          <w:szCs w:val="22"/>
          <w:lang w:eastAsia="ja-JP"/>
        </w:rPr>
        <w:t xml:space="preserve"> accounting records.  </w:t>
      </w:r>
      <w:r w:rsidR="00F1001B" w:rsidRPr="00090962">
        <w:rPr>
          <w:sz w:val="22"/>
          <w:szCs w:val="22"/>
          <w:lang w:eastAsia="ja-JP"/>
        </w:rPr>
        <w:t xml:space="preserve">Auditors should document evidence that the agreed-to adjustments have been properly posted to the auditee’s accounting records.  </w:t>
      </w:r>
      <w:r w:rsidR="008F6A36" w:rsidRPr="00090962">
        <w:rPr>
          <w:sz w:val="22"/>
          <w:szCs w:val="22"/>
          <w:lang w:eastAsia="ja-JP"/>
        </w:rPr>
        <w:t xml:space="preserve">A mere commitment </w:t>
      </w:r>
      <w:r w:rsidR="00BA6489" w:rsidRPr="00090962">
        <w:rPr>
          <w:sz w:val="22"/>
          <w:szCs w:val="22"/>
          <w:lang w:eastAsia="ja-JP"/>
        </w:rPr>
        <w:t xml:space="preserve">by </w:t>
      </w:r>
      <w:r w:rsidR="008F6A36" w:rsidRPr="00090962">
        <w:rPr>
          <w:sz w:val="22"/>
          <w:szCs w:val="22"/>
          <w:lang w:eastAsia="ja-JP"/>
        </w:rPr>
        <w:t xml:space="preserve">the public office to adjust is insufficient. </w:t>
      </w:r>
      <w:r w:rsidR="00AA6C47" w:rsidRPr="00090962">
        <w:rPr>
          <w:sz w:val="22"/>
          <w:szCs w:val="22"/>
          <w:lang w:eastAsia="ja-JP"/>
        </w:rPr>
        <w:t xml:space="preserve"> That is, the auditee has not agreed to the adjustment until she or he has posted it to the accounting system</w:t>
      </w:r>
      <w:r w:rsidR="0089266A" w:rsidRPr="00090962">
        <w:rPr>
          <w:sz w:val="22"/>
          <w:szCs w:val="22"/>
          <w:lang w:eastAsia="ja-JP"/>
        </w:rPr>
        <w:t xml:space="preserve"> and </w:t>
      </w:r>
      <w:r w:rsidR="006A3437" w:rsidRPr="00090962">
        <w:rPr>
          <w:sz w:val="22"/>
          <w:szCs w:val="22"/>
          <w:lang w:eastAsia="ja-JP"/>
        </w:rPr>
        <w:t xml:space="preserve">auditors </w:t>
      </w:r>
      <w:r w:rsidR="0077104D" w:rsidRPr="00090962">
        <w:rPr>
          <w:sz w:val="22"/>
          <w:szCs w:val="22"/>
          <w:lang w:eastAsia="ja-JP"/>
        </w:rPr>
        <w:t>must obtain evidence the adjustment was made</w:t>
      </w:r>
      <w:r w:rsidR="006A3437" w:rsidRPr="00090962">
        <w:rPr>
          <w:sz w:val="22"/>
          <w:szCs w:val="22"/>
          <w:lang w:eastAsia="ja-JP"/>
        </w:rPr>
        <w:t xml:space="preserve"> to the government’s financial statements and accounting records</w:t>
      </w:r>
      <w:r w:rsidR="00AA6C47" w:rsidRPr="00090962">
        <w:rPr>
          <w:sz w:val="22"/>
          <w:szCs w:val="22"/>
          <w:lang w:eastAsia="ja-JP"/>
        </w:rPr>
        <w:t>.</w:t>
      </w:r>
    </w:p>
    <w:p w14:paraId="608FA94D" w14:textId="77777777" w:rsidR="00AA6C47" w:rsidRPr="00090962" w:rsidRDefault="00AA6C47"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25ECB5D" w14:textId="77777777" w:rsidR="00144C68" w:rsidRPr="00090962" w:rsidRDefault="00144C68"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sz w:val="22"/>
          <w:szCs w:val="22"/>
          <w:lang w:eastAsia="ja-JP"/>
        </w:rPr>
        <w:t xml:space="preserve">Finally, </w:t>
      </w:r>
      <w:r w:rsidR="00C7417D" w:rsidRPr="00090962">
        <w:rPr>
          <w:sz w:val="22"/>
          <w:szCs w:val="22"/>
          <w:lang w:eastAsia="ja-JP"/>
        </w:rPr>
        <w:t>AU</w:t>
      </w:r>
      <w:r w:rsidR="009178A7" w:rsidRPr="00090962">
        <w:rPr>
          <w:sz w:val="22"/>
          <w:szCs w:val="22"/>
          <w:lang w:eastAsia="ja-JP"/>
        </w:rPr>
        <w:t>-C 450.11(b)</w:t>
      </w:r>
      <w:r w:rsidRPr="00090962">
        <w:rPr>
          <w:sz w:val="22"/>
          <w:szCs w:val="22"/>
          <w:lang w:eastAsia="ja-JP"/>
        </w:rPr>
        <w:t xml:space="preserve"> requires auditors to consider the effect of uncorrected prior audit adjustments on the current audit.  Therefore</w:t>
      </w:r>
      <w:r w:rsidR="0056612D" w:rsidRPr="00090962">
        <w:rPr>
          <w:sz w:val="22"/>
          <w:szCs w:val="22"/>
          <w:lang w:eastAsia="ja-JP"/>
        </w:rPr>
        <w:t>,</w:t>
      </w:r>
      <w:r w:rsidRPr="00090962">
        <w:rPr>
          <w:sz w:val="22"/>
          <w:szCs w:val="22"/>
          <w:lang w:eastAsia="ja-JP"/>
        </w:rPr>
        <w:t xml:space="preserve"> auditors should consider whether uncorrected prior findings for adjustment affect the current audit’s financial statements.</w:t>
      </w:r>
      <w:r w:rsidR="00EA1C46" w:rsidRPr="00090962">
        <w:rPr>
          <w:sz w:val="22"/>
          <w:szCs w:val="22"/>
          <w:lang w:eastAsia="ja-JP"/>
        </w:rPr>
        <w:t xml:space="preserve"> </w:t>
      </w:r>
      <w:r w:rsidR="0077104D" w:rsidRPr="00090962">
        <w:rPr>
          <w:sz w:val="22"/>
          <w:szCs w:val="22"/>
          <w:lang w:eastAsia="ja-JP"/>
        </w:rPr>
        <w:t xml:space="preserve"> </w:t>
      </w:r>
    </w:p>
    <w:p w14:paraId="09AC60D7" w14:textId="77777777" w:rsidR="00144C68" w:rsidRDefault="00144C68"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szCs w:val="24"/>
          <w:lang w:eastAsia="ja-JP"/>
        </w:rPr>
      </w:pPr>
    </w:p>
    <w:p w14:paraId="350BD879" w14:textId="77777777" w:rsidR="00C50880" w:rsidRPr="009F157A" w:rsidRDefault="00C50880"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lang w:eastAsia="ja-JP"/>
        </w:rPr>
      </w:pPr>
      <w:r w:rsidRPr="009F157A">
        <w:rPr>
          <w:b/>
          <w:sz w:val="24"/>
          <w:lang w:eastAsia="ja-JP"/>
        </w:rPr>
        <w:t>Finding</w:t>
      </w:r>
      <w:r w:rsidR="00A755AA" w:rsidRPr="009F157A">
        <w:rPr>
          <w:b/>
          <w:sz w:val="24"/>
          <w:lang w:eastAsia="ja-JP"/>
        </w:rPr>
        <w:t>s</w:t>
      </w:r>
      <w:r w:rsidRPr="009F157A">
        <w:rPr>
          <w:b/>
          <w:sz w:val="24"/>
          <w:lang w:eastAsia="ja-JP"/>
        </w:rPr>
        <w:t xml:space="preserve"> for Adjustment Procedures for Independent Public Accountants (IPA)</w:t>
      </w:r>
    </w:p>
    <w:p w14:paraId="227C658D" w14:textId="77777777" w:rsidR="0029589E" w:rsidRPr="009F157A" w:rsidRDefault="0029589E"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lang w:eastAsia="ja-JP"/>
        </w:rPr>
      </w:pPr>
    </w:p>
    <w:p w14:paraId="1950A762" w14:textId="77777777" w:rsidR="00872F80" w:rsidRPr="00090962" w:rsidRDefault="00C50880"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 xml:space="preserve">IPAs </w:t>
      </w:r>
      <w:r w:rsidR="00872F80" w:rsidRPr="00090962">
        <w:rPr>
          <w:sz w:val="22"/>
          <w:szCs w:val="22"/>
          <w:lang w:eastAsia="ja-JP"/>
        </w:rPr>
        <w:t xml:space="preserve">should follow the preceding guidance regarding </w:t>
      </w:r>
      <w:r w:rsidR="00872F80" w:rsidRPr="00090962">
        <w:rPr>
          <w:i/>
          <w:sz w:val="22"/>
          <w:szCs w:val="22"/>
          <w:lang w:eastAsia="ja-JP"/>
        </w:rPr>
        <w:t>Findings for Adjustment</w:t>
      </w:r>
      <w:r w:rsidR="00872F80" w:rsidRPr="00090962">
        <w:rPr>
          <w:sz w:val="22"/>
          <w:szCs w:val="22"/>
          <w:lang w:eastAsia="ja-JP"/>
        </w:rPr>
        <w:t xml:space="preserve"> with the following </w:t>
      </w:r>
      <w:r w:rsidR="004F309B" w:rsidRPr="00090962">
        <w:rPr>
          <w:sz w:val="22"/>
          <w:szCs w:val="22"/>
          <w:lang w:eastAsia="ja-JP"/>
        </w:rPr>
        <w:t>modificatio</w:t>
      </w:r>
      <w:r w:rsidR="00872F80" w:rsidRPr="00090962">
        <w:rPr>
          <w:sz w:val="22"/>
          <w:szCs w:val="22"/>
          <w:lang w:eastAsia="ja-JP"/>
        </w:rPr>
        <w:t>ns.</w:t>
      </w:r>
    </w:p>
    <w:p w14:paraId="46320B91" w14:textId="77777777" w:rsidR="00872F80" w:rsidRPr="00090962" w:rsidRDefault="00872F80"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08F29B46" w14:textId="77777777" w:rsidR="007A5C90" w:rsidRPr="00090962" w:rsidRDefault="005A1D92"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090962">
        <w:rPr>
          <w:sz w:val="22"/>
          <w:szCs w:val="22"/>
          <w:lang w:eastAsia="ja-JP"/>
        </w:rPr>
        <w:t>IPAs should rep</w:t>
      </w:r>
      <w:r w:rsidR="00AA6C47" w:rsidRPr="00090962">
        <w:rPr>
          <w:sz w:val="22"/>
          <w:szCs w:val="22"/>
          <w:lang w:eastAsia="ja-JP"/>
        </w:rPr>
        <w:t xml:space="preserve">ort a noncompliance finding in their GAGAS report for the </w:t>
      </w:r>
      <w:r w:rsidR="00DC14AC" w:rsidRPr="00090962">
        <w:rPr>
          <w:sz w:val="22"/>
          <w:szCs w:val="22"/>
          <w:lang w:eastAsia="ja-JP"/>
        </w:rPr>
        <w:t xml:space="preserve">required </w:t>
      </w:r>
      <w:r w:rsidR="00AA6C47" w:rsidRPr="00090962">
        <w:rPr>
          <w:sz w:val="22"/>
          <w:szCs w:val="22"/>
          <w:lang w:eastAsia="ja-JP"/>
        </w:rPr>
        <w:t xml:space="preserve">matters listed above. </w:t>
      </w:r>
      <w:r w:rsidRPr="00090962">
        <w:rPr>
          <w:sz w:val="22"/>
          <w:szCs w:val="22"/>
          <w:lang w:eastAsia="ja-JP"/>
        </w:rPr>
        <w:t xml:space="preserve"> However, </w:t>
      </w:r>
      <w:r w:rsidR="00AA6C47" w:rsidRPr="00090962">
        <w:rPr>
          <w:sz w:val="22"/>
          <w:szCs w:val="22"/>
          <w:lang w:eastAsia="ja-JP"/>
        </w:rPr>
        <w:t xml:space="preserve">IPAs should not label these as </w:t>
      </w:r>
      <w:r w:rsidR="00AA6C47" w:rsidRPr="00090962">
        <w:rPr>
          <w:i/>
          <w:sz w:val="22"/>
          <w:szCs w:val="22"/>
          <w:lang w:eastAsia="ja-JP"/>
        </w:rPr>
        <w:t>findings for adjustment</w:t>
      </w:r>
      <w:r w:rsidR="00AA6C47" w:rsidRPr="00090962">
        <w:rPr>
          <w:sz w:val="22"/>
          <w:szCs w:val="22"/>
          <w:lang w:eastAsia="ja-JP"/>
        </w:rPr>
        <w:t xml:space="preserve"> and sh</w:t>
      </w:r>
      <w:r w:rsidRPr="00090962">
        <w:rPr>
          <w:sz w:val="22"/>
          <w:szCs w:val="22"/>
          <w:lang w:eastAsia="ja-JP"/>
        </w:rPr>
        <w:t xml:space="preserve">ould not include the </w:t>
      </w:r>
      <w:r w:rsidR="005F55D9" w:rsidRPr="00090962">
        <w:rPr>
          <w:sz w:val="22"/>
          <w:szCs w:val="22"/>
          <w:lang w:eastAsia="ja-JP"/>
        </w:rPr>
        <w:t>“</w:t>
      </w:r>
      <w:r w:rsidRPr="00090962">
        <w:rPr>
          <w:sz w:val="22"/>
          <w:szCs w:val="22"/>
          <w:lang w:eastAsia="ja-JP"/>
        </w:rPr>
        <w:t>finding for adjustment statement</w:t>
      </w:r>
      <w:r w:rsidR="00684F7B" w:rsidRPr="00090962">
        <w:rPr>
          <w:sz w:val="22"/>
          <w:szCs w:val="22"/>
          <w:lang w:eastAsia="ja-JP"/>
        </w:rPr>
        <w:t>”</w:t>
      </w:r>
      <w:r w:rsidR="00E222DD" w:rsidRPr="00090962">
        <w:rPr>
          <w:sz w:val="22"/>
          <w:szCs w:val="22"/>
          <w:lang w:eastAsia="ja-JP"/>
        </w:rPr>
        <w:t xml:space="preserve"> (i.e. </w:t>
      </w:r>
      <w:r w:rsidR="00E222DD" w:rsidRPr="00090962">
        <w:rPr>
          <w:sz w:val="22"/>
          <w:szCs w:val="22"/>
        </w:rPr>
        <w:t>“In accordance with the foregoing facts, we hereby issue a finding for adjustment . . .</w:t>
      </w:r>
      <w:r w:rsidR="00684F7B" w:rsidRPr="00090962">
        <w:rPr>
          <w:sz w:val="22"/>
          <w:szCs w:val="22"/>
        </w:rPr>
        <w:t>”</w:t>
      </w:r>
      <w:r w:rsidR="00E222DD" w:rsidRPr="00090962">
        <w:rPr>
          <w:sz w:val="22"/>
          <w:szCs w:val="22"/>
        </w:rPr>
        <w:t>)</w:t>
      </w:r>
      <w:r w:rsidR="00DC14AC" w:rsidRPr="00090962">
        <w:rPr>
          <w:sz w:val="22"/>
          <w:szCs w:val="22"/>
        </w:rPr>
        <w:t>.</w:t>
      </w:r>
      <w:r w:rsidR="00385439" w:rsidRPr="00090962">
        <w:rPr>
          <w:rStyle w:val="FootnoteReference"/>
          <w:sz w:val="22"/>
          <w:szCs w:val="22"/>
        </w:rPr>
        <w:footnoteReference w:id="12"/>
      </w:r>
      <w:r w:rsidR="007A5C90" w:rsidRPr="00090962">
        <w:rPr>
          <w:sz w:val="22"/>
          <w:szCs w:val="22"/>
          <w:lang w:eastAsia="ja-JP"/>
        </w:rPr>
        <w:t xml:space="preserve"> </w:t>
      </w:r>
      <w:r w:rsidR="0029589E" w:rsidRPr="00090962">
        <w:rPr>
          <w:sz w:val="22"/>
          <w:szCs w:val="22"/>
          <w:lang w:eastAsia="ja-JP"/>
        </w:rPr>
        <w:t xml:space="preserve"> </w:t>
      </w:r>
      <w:r w:rsidR="00377DF7" w:rsidRPr="00090962">
        <w:rPr>
          <w:sz w:val="22"/>
          <w:szCs w:val="22"/>
          <w:lang w:eastAsia="ja-JP"/>
        </w:rPr>
        <w:t>W</w:t>
      </w:r>
      <w:r w:rsidR="007A5C90" w:rsidRPr="00090962">
        <w:rPr>
          <w:sz w:val="22"/>
          <w:szCs w:val="22"/>
          <w:lang w:eastAsia="ja-JP"/>
        </w:rPr>
        <w:t xml:space="preserve">hen </w:t>
      </w:r>
      <w:r w:rsidR="00D64FF1" w:rsidRPr="00090962">
        <w:rPr>
          <w:sz w:val="22"/>
          <w:szCs w:val="22"/>
          <w:lang w:eastAsia="ja-JP"/>
        </w:rPr>
        <w:t xml:space="preserve">the IPA </w:t>
      </w:r>
      <w:r w:rsidR="00341382" w:rsidRPr="00090962">
        <w:rPr>
          <w:sz w:val="22"/>
          <w:szCs w:val="22"/>
          <w:lang w:eastAsia="ja-JP"/>
        </w:rPr>
        <w:t>believes</w:t>
      </w:r>
      <w:r w:rsidR="00D64FF1" w:rsidRPr="00090962">
        <w:rPr>
          <w:sz w:val="22"/>
          <w:szCs w:val="22"/>
          <w:lang w:eastAsia="ja-JP"/>
        </w:rPr>
        <w:t xml:space="preserve"> </w:t>
      </w:r>
      <w:r w:rsidR="007A5C90" w:rsidRPr="00090962">
        <w:rPr>
          <w:sz w:val="22"/>
          <w:szCs w:val="22"/>
          <w:lang w:eastAsia="ja-JP"/>
        </w:rPr>
        <w:t xml:space="preserve">a </w:t>
      </w:r>
      <w:r w:rsidR="00AA6C47" w:rsidRPr="00090962">
        <w:rPr>
          <w:sz w:val="22"/>
          <w:szCs w:val="22"/>
          <w:lang w:eastAsia="ja-JP"/>
        </w:rPr>
        <w:t>f</w:t>
      </w:r>
      <w:r w:rsidR="007A5C90" w:rsidRPr="00090962">
        <w:rPr>
          <w:sz w:val="22"/>
          <w:szCs w:val="22"/>
          <w:lang w:eastAsia="ja-JP"/>
        </w:rPr>
        <w:t xml:space="preserve">inding for </w:t>
      </w:r>
      <w:r w:rsidR="00AA6C47" w:rsidRPr="00090962">
        <w:rPr>
          <w:sz w:val="22"/>
          <w:szCs w:val="22"/>
          <w:lang w:eastAsia="ja-JP"/>
        </w:rPr>
        <w:t>a</w:t>
      </w:r>
      <w:r w:rsidR="007A5C90" w:rsidRPr="00090962">
        <w:rPr>
          <w:sz w:val="22"/>
          <w:szCs w:val="22"/>
          <w:lang w:eastAsia="ja-JP"/>
        </w:rPr>
        <w:t>djustment condition exists and the client does not agree with and does not make the adjustment</w:t>
      </w:r>
      <w:r w:rsidR="009C63E5" w:rsidRPr="00090962">
        <w:rPr>
          <w:sz w:val="22"/>
          <w:szCs w:val="22"/>
          <w:lang w:eastAsia="ja-JP"/>
        </w:rPr>
        <w:t>,</w:t>
      </w:r>
      <w:r w:rsidR="00DC14AC" w:rsidRPr="00090962">
        <w:rPr>
          <w:sz w:val="22"/>
          <w:szCs w:val="22"/>
          <w:lang w:eastAsia="ja-JP"/>
        </w:rPr>
        <w:t xml:space="preserve"> the following procedures apply:</w:t>
      </w:r>
    </w:p>
    <w:p w14:paraId="5E3B8347" w14:textId="77777777" w:rsidR="00C50880" w:rsidRPr="00090962" w:rsidRDefault="00C50880"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C281323" w14:textId="77777777" w:rsidR="00A22925" w:rsidRPr="00090962" w:rsidRDefault="00C50880"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 xml:space="preserve">As soon as the IPA has </w:t>
      </w:r>
      <w:r w:rsidR="00F36AA4" w:rsidRPr="00090962">
        <w:rPr>
          <w:sz w:val="22"/>
          <w:szCs w:val="22"/>
          <w:lang w:eastAsia="ja-JP"/>
        </w:rPr>
        <w:t xml:space="preserve">evidence of a </w:t>
      </w:r>
      <w:r w:rsidRPr="00090962">
        <w:rPr>
          <w:sz w:val="22"/>
          <w:szCs w:val="22"/>
          <w:lang w:eastAsia="ja-JP"/>
        </w:rPr>
        <w:t xml:space="preserve">Finding for Adjustment, the IPA should contact the </w:t>
      </w:r>
      <w:r w:rsidR="00C67349" w:rsidRPr="00090962">
        <w:rPr>
          <w:sz w:val="22"/>
          <w:szCs w:val="22"/>
          <w:lang w:eastAsia="ja-JP"/>
        </w:rPr>
        <w:t>regional c</w:t>
      </w:r>
      <w:r w:rsidR="007655B1" w:rsidRPr="00090962">
        <w:rPr>
          <w:sz w:val="22"/>
          <w:szCs w:val="22"/>
          <w:lang w:eastAsia="ja-JP"/>
        </w:rPr>
        <w:t xml:space="preserve">hief </w:t>
      </w:r>
      <w:r w:rsidR="00C67349" w:rsidRPr="00090962">
        <w:rPr>
          <w:sz w:val="22"/>
          <w:szCs w:val="22"/>
          <w:lang w:eastAsia="ja-JP"/>
        </w:rPr>
        <w:t>a</w:t>
      </w:r>
      <w:r w:rsidR="007655B1" w:rsidRPr="00090962">
        <w:rPr>
          <w:sz w:val="22"/>
          <w:szCs w:val="22"/>
          <w:lang w:eastAsia="ja-JP"/>
        </w:rPr>
        <w:t>uditor</w:t>
      </w:r>
      <w:r w:rsidR="00C67349" w:rsidRPr="00090962">
        <w:rPr>
          <w:sz w:val="22"/>
          <w:szCs w:val="22"/>
          <w:lang w:eastAsia="ja-JP"/>
        </w:rPr>
        <w:t xml:space="preserve">.  </w:t>
      </w:r>
    </w:p>
    <w:p w14:paraId="1872DF1D" w14:textId="77777777" w:rsidR="00C50880" w:rsidRPr="00090962" w:rsidRDefault="00C50880"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9E61442" w14:textId="77777777" w:rsidR="00C50880" w:rsidRPr="00090962" w:rsidRDefault="00C50880"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 xml:space="preserve">The </w:t>
      </w:r>
      <w:r w:rsidR="00AD474E" w:rsidRPr="00090962">
        <w:rPr>
          <w:sz w:val="22"/>
          <w:szCs w:val="22"/>
          <w:lang w:eastAsia="ja-JP"/>
        </w:rPr>
        <w:t xml:space="preserve">IPA should provide the </w:t>
      </w:r>
      <w:r w:rsidR="00C67349" w:rsidRPr="00090962">
        <w:rPr>
          <w:sz w:val="22"/>
          <w:szCs w:val="22"/>
          <w:lang w:eastAsia="ja-JP"/>
        </w:rPr>
        <w:t>regional c</w:t>
      </w:r>
      <w:r w:rsidR="007655B1" w:rsidRPr="00090962">
        <w:rPr>
          <w:sz w:val="22"/>
          <w:szCs w:val="22"/>
          <w:lang w:eastAsia="ja-JP"/>
        </w:rPr>
        <w:t xml:space="preserve">hief </w:t>
      </w:r>
      <w:r w:rsidR="00C67349" w:rsidRPr="00090962">
        <w:rPr>
          <w:sz w:val="22"/>
          <w:szCs w:val="22"/>
          <w:lang w:eastAsia="ja-JP"/>
        </w:rPr>
        <w:t>a</w:t>
      </w:r>
      <w:r w:rsidR="007655B1" w:rsidRPr="00090962">
        <w:rPr>
          <w:sz w:val="22"/>
          <w:szCs w:val="22"/>
          <w:lang w:eastAsia="ja-JP"/>
        </w:rPr>
        <w:t>uditor</w:t>
      </w:r>
      <w:r w:rsidR="00C67349" w:rsidRPr="00090962">
        <w:rPr>
          <w:sz w:val="22"/>
          <w:szCs w:val="22"/>
          <w:lang w:eastAsia="ja-JP"/>
        </w:rPr>
        <w:t xml:space="preserve"> </w:t>
      </w:r>
      <w:r w:rsidRPr="00090962">
        <w:rPr>
          <w:sz w:val="22"/>
          <w:szCs w:val="22"/>
          <w:lang w:eastAsia="ja-JP"/>
        </w:rPr>
        <w:t xml:space="preserve">with all relevant </w:t>
      </w:r>
      <w:proofErr w:type="gramStart"/>
      <w:r w:rsidR="000C1E91" w:rsidRPr="00090962">
        <w:rPr>
          <w:sz w:val="22"/>
          <w:szCs w:val="22"/>
          <w:lang w:eastAsia="ja-JP"/>
        </w:rPr>
        <w:t>factual information</w:t>
      </w:r>
      <w:proofErr w:type="gramEnd"/>
      <w:r w:rsidR="000C1E91" w:rsidRPr="00090962">
        <w:rPr>
          <w:sz w:val="22"/>
          <w:szCs w:val="22"/>
          <w:lang w:eastAsia="ja-JP"/>
        </w:rPr>
        <w:t xml:space="preserve">, including </w:t>
      </w:r>
      <w:r w:rsidRPr="00090962">
        <w:rPr>
          <w:sz w:val="22"/>
          <w:szCs w:val="22"/>
          <w:lang w:eastAsia="ja-JP"/>
        </w:rPr>
        <w:t>supporting documentation for the Finding</w:t>
      </w:r>
      <w:r w:rsidR="00AD474E" w:rsidRPr="00090962">
        <w:rPr>
          <w:sz w:val="22"/>
          <w:szCs w:val="22"/>
          <w:lang w:eastAsia="ja-JP"/>
        </w:rPr>
        <w:t xml:space="preserve">. </w:t>
      </w:r>
    </w:p>
    <w:p w14:paraId="5AA3EEB5" w14:textId="77777777" w:rsidR="000C1E91" w:rsidRPr="00090962" w:rsidRDefault="000C1E91" w:rsidP="007955DE">
      <w:pPr>
        <w:pStyle w:val="HTMLDefinition1"/>
        <w:numPr>
          <w:ilvl w:val="0"/>
          <w:numId w:val="38"/>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090962">
        <w:rPr>
          <w:color w:val="000000"/>
          <w:sz w:val="22"/>
          <w:szCs w:val="22"/>
        </w:rPr>
        <w:t>For example, it is not sufficient to send AOS a testing spreadsheet alone.  IPA's need to also submit copies of the relevant client records that support the IPA's testing spreadsheet.</w:t>
      </w:r>
    </w:p>
    <w:p w14:paraId="5E098193" w14:textId="77777777" w:rsidR="00C72300" w:rsidRPr="00090962" w:rsidRDefault="00C72300" w:rsidP="00467115">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rPr>
          <w:sz w:val="22"/>
          <w:szCs w:val="22"/>
          <w:lang w:eastAsia="ja-JP"/>
        </w:rPr>
      </w:pPr>
    </w:p>
    <w:p w14:paraId="2DBCCCDB" w14:textId="27EE6C82" w:rsidR="000C1E91" w:rsidRPr="00090962" w:rsidRDefault="000C1E91"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T</w:t>
      </w:r>
      <w:r w:rsidR="00C72300" w:rsidRPr="00090962">
        <w:rPr>
          <w:sz w:val="22"/>
          <w:szCs w:val="22"/>
          <w:lang w:eastAsia="ja-JP"/>
        </w:rPr>
        <w:t>he</w:t>
      </w:r>
      <w:r w:rsidRPr="00090962">
        <w:rPr>
          <w:sz w:val="22"/>
          <w:szCs w:val="22"/>
          <w:lang w:eastAsia="ja-JP"/>
        </w:rPr>
        <w:t xml:space="preserve"> regional chief auditor should notify the</w:t>
      </w:r>
      <w:r w:rsidR="00C72300" w:rsidRPr="00090962">
        <w:rPr>
          <w:sz w:val="22"/>
          <w:szCs w:val="22"/>
          <w:lang w:eastAsia="ja-JP"/>
        </w:rPr>
        <w:t xml:space="preserve"> </w:t>
      </w:r>
      <w:r w:rsidR="0082395B" w:rsidRPr="00090962">
        <w:rPr>
          <w:sz w:val="22"/>
          <w:szCs w:val="22"/>
          <w:lang w:eastAsia="ja-JP"/>
        </w:rPr>
        <w:t>Chief</w:t>
      </w:r>
      <w:r w:rsidR="007F0B2F" w:rsidRPr="00090962">
        <w:rPr>
          <w:sz w:val="22"/>
          <w:szCs w:val="22"/>
          <w:lang w:eastAsia="ja-JP"/>
        </w:rPr>
        <w:t xml:space="preserve"> of Quality Assurance</w:t>
      </w:r>
      <w:r w:rsidR="00C72300" w:rsidRPr="00090962">
        <w:rPr>
          <w:sz w:val="22"/>
          <w:szCs w:val="22"/>
          <w:lang w:eastAsia="ja-JP"/>
        </w:rPr>
        <w:t xml:space="preserve"> that a finding for adjustment may be issued</w:t>
      </w:r>
      <w:r w:rsidR="00DD4355" w:rsidRPr="00090962">
        <w:rPr>
          <w:sz w:val="22"/>
          <w:szCs w:val="22"/>
          <w:lang w:eastAsia="ja-JP"/>
        </w:rPr>
        <w:t xml:space="preserve"> via </w:t>
      </w:r>
      <w:hyperlink r:id="rId20" w:history="1">
        <w:r w:rsidR="00F426AA" w:rsidRPr="00090962">
          <w:rPr>
            <w:rStyle w:val="Hyperlink"/>
            <w:sz w:val="22"/>
            <w:szCs w:val="22"/>
            <w:lang w:eastAsia="ja-JP"/>
          </w:rPr>
          <w:t>ipareport@ohioauditor.gov</w:t>
        </w:r>
      </w:hyperlink>
      <w:r w:rsidRPr="00090962">
        <w:rPr>
          <w:sz w:val="22"/>
          <w:szCs w:val="22"/>
          <w:lang w:eastAsia="ja-JP"/>
        </w:rPr>
        <w:t>.  The Center for Audit Excellence will put a hold on the report until the finding is approved.</w:t>
      </w:r>
    </w:p>
    <w:p w14:paraId="3F0BA8FA" w14:textId="77777777" w:rsidR="000C1E91" w:rsidRPr="00090962" w:rsidRDefault="000C1E91" w:rsidP="000C1E91">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3D5E5A3C" w14:textId="1A584C5E" w:rsidR="00C50880" w:rsidRPr="00090962" w:rsidRDefault="000C1E91"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T</w:t>
      </w:r>
      <w:r w:rsidR="00C72300" w:rsidRPr="00090962">
        <w:rPr>
          <w:sz w:val="22"/>
          <w:szCs w:val="22"/>
          <w:lang w:eastAsia="ja-JP"/>
        </w:rPr>
        <w:t xml:space="preserve">he regional </w:t>
      </w:r>
      <w:r w:rsidR="00896946" w:rsidRPr="00090962">
        <w:rPr>
          <w:sz w:val="22"/>
          <w:szCs w:val="22"/>
          <w:lang w:eastAsia="ja-JP"/>
        </w:rPr>
        <w:t>Chief A</w:t>
      </w:r>
      <w:r w:rsidR="007655B1" w:rsidRPr="00090962">
        <w:rPr>
          <w:sz w:val="22"/>
          <w:szCs w:val="22"/>
          <w:lang w:eastAsia="ja-JP"/>
        </w:rPr>
        <w:t>uditor</w:t>
      </w:r>
      <w:r w:rsidR="0029589E" w:rsidRPr="00090962">
        <w:rPr>
          <w:sz w:val="22"/>
          <w:szCs w:val="22"/>
          <w:lang w:eastAsia="ja-JP"/>
        </w:rPr>
        <w:t xml:space="preserve"> or</w:t>
      </w:r>
      <w:r w:rsidR="00C50880" w:rsidRPr="00090962">
        <w:rPr>
          <w:sz w:val="22"/>
          <w:szCs w:val="22"/>
          <w:lang w:eastAsia="ja-JP"/>
        </w:rPr>
        <w:t xml:space="preserve"> designee will</w:t>
      </w:r>
      <w:r w:rsidR="0038024D" w:rsidRPr="00090962">
        <w:rPr>
          <w:sz w:val="22"/>
          <w:szCs w:val="22"/>
          <w:lang w:eastAsia="ja-JP"/>
        </w:rPr>
        <w:t xml:space="preserve"> </w:t>
      </w:r>
      <w:r w:rsidR="00C50880" w:rsidRPr="00090962">
        <w:rPr>
          <w:sz w:val="22"/>
          <w:szCs w:val="22"/>
          <w:lang w:eastAsia="ja-JP"/>
        </w:rPr>
        <w:t xml:space="preserve">prepare a preliminary Finding, </w:t>
      </w:r>
      <w:r w:rsidRPr="00090962">
        <w:rPr>
          <w:sz w:val="22"/>
          <w:szCs w:val="22"/>
          <w:lang w:eastAsia="ja-JP"/>
        </w:rPr>
        <w:t xml:space="preserve">along with any supportive documentation, </w:t>
      </w:r>
      <w:r w:rsidR="00C50880" w:rsidRPr="00090962">
        <w:rPr>
          <w:sz w:val="22"/>
          <w:szCs w:val="22"/>
          <w:lang w:eastAsia="ja-JP"/>
        </w:rPr>
        <w:t xml:space="preserve">and submit it to the </w:t>
      </w:r>
      <w:r w:rsidRPr="00090962">
        <w:rPr>
          <w:sz w:val="22"/>
          <w:szCs w:val="22"/>
          <w:lang w:eastAsia="ja-JP"/>
        </w:rPr>
        <w:t xml:space="preserve">AOS Legal Division </w:t>
      </w:r>
      <w:proofErr w:type="gramStart"/>
      <w:r w:rsidRPr="00B838E2">
        <w:rPr>
          <w:strike/>
          <w:sz w:val="22"/>
          <w:szCs w:val="22"/>
          <w:lang w:eastAsia="ja-JP"/>
        </w:rPr>
        <w:t>and also</w:t>
      </w:r>
      <w:proofErr w:type="gramEnd"/>
      <w:r w:rsidRPr="00B838E2">
        <w:rPr>
          <w:strike/>
          <w:sz w:val="22"/>
          <w:szCs w:val="22"/>
          <w:lang w:eastAsia="ja-JP"/>
        </w:rPr>
        <w:t xml:space="preserve"> the </w:t>
      </w:r>
      <w:r w:rsidR="00896946" w:rsidRPr="00B838E2">
        <w:rPr>
          <w:strike/>
          <w:sz w:val="22"/>
          <w:szCs w:val="22"/>
          <w:lang w:eastAsia="ja-JP"/>
        </w:rPr>
        <w:t>Center for Audit Excellen</w:t>
      </w:r>
      <w:r w:rsidR="00A91965" w:rsidRPr="00B838E2">
        <w:rPr>
          <w:strike/>
          <w:sz w:val="22"/>
          <w:szCs w:val="22"/>
          <w:lang w:eastAsia="ja-JP"/>
        </w:rPr>
        <w:t>ce</w:t>
      </w:r>
      <w:r w:rsidR="00896946" w:rsidRPr="00090962">
        <w:rPr>
          <w:sz w:val="22"/>
          <w:szCs w:val="22"/>
          <w:lang w:eastAsia="ja-JP"/>
        </w:rPr>
        <w:t xml:space="preserve"> </w:t>
      </w:r>
      <w:r w:rsidRPr="00090962">
        <w:rPr>
          <w:sz w:val="22"/>
          <w:szCs w:val="22"/>
          <w:lang w:eastAsia="ja-JP"/>
        </w:rPr>
        <w:t xml:space="preserve">via the IPA specialty in </w:t>
      </w:r>
      <w:r w:rsidRPr="00951A42">
        <w:rPr>
          <w:strike/>
          <w:sz w:val="22"/>
          <w:szCs w:val="22"/>
          <w:lang w:eastAsia="ja-JP"/>
        </w:rPr>
        <w:t>Spiceworks</w:t>
      </w:r>
      <w:r w:rsidR="00951A42">
        <w:rPr>
          <w:sz w:val="22"/>
          <w:szCs w:val="22"/>
          <w:lang w:eastAsia="ja-JP"/>
        </w:rPr>
        <w:t xml:space="preserve"> </w:t>
      </w:r>
      <w:r w:rsidR="00951A42" w:rsidRPr="00951A42">
        <w:rPr>
          <w:sz w:val="22"/>
          <w:szCs w:val="22"/>
          <w:u w:val="wave"/>
          <w:lang w:eastAsia="ja-JP"/>
        </w:rPr>
        <w:t>HighQ</w:t>
      </w:r>
      <w:r w:rsidR="00B838E2">
        <w:rPr>
          <w:sz w:val="22"/>
          <w:szCs w:val="22"/>
          <w:u w:val="wave"/>
          <w:lang w:eastAsia="ja-JP"/>
        </w:rPr>
        <w:t xml:space="preserve">, </w:t>
      </w:r>
      <w:proofErr w:type="gramStart"/>
      <w:r w:rsidR="00B838E2" w:rsidRPr="00C44C30">
        <w:rPr>
          <w:sz w:val="22"/>
          <w:szCs w:val="22"/>
          <w:u w:val="wave"/>
          <w:lang w:eastAsia="ja-JP"/>
        </w:rPr>
        <w:t>and also</w:t>
      </w:r>
      <w:proofErr w:type="gramEnd"/>
      <w:r w:rsidR="00B838E2" w:rsidRPr="00C44C30">
        <w:rPr>
          <w:sz w:val="22"/>
          <w:szCs w:val="22"/>
          <w:u w:val="wave"/>
          <w:lang w:eastAsia="ja-JP"/>
        </w:rPr>
        <w:t xml:space="preserve"> the Center for Audit Excellence</w:t>
      </w:r>
      <w:r w:rsidRPr="00C44C30">
        <w:rPr>
          <w:sz w:val="22"/>
          <w:szCs w:val="22"/>
          <w:u w:val="wave"/>
          <w:lang w:eastAsia="ja-JP"/>
        </w:rPr>
        <w:t xml:space="preserve"> </w:t>
      </w:r>
      <w:r w:rsidR="00C44C30" w:rsidRPr="00C44C30">
        <w:rPr>
          <w:sz w:val="22"/>
          <w:szCs w:val="22"/>
          <w:u w:val="wave"/>
          <w:lang w:eastAsia="ja-JP"/>
        </w:rPr>
        <w:t>in Happy</w:t>
      </w:r>
      <w:r w:rsidR="00FE68A4">
        <w:rPr>
          <w:sz w:val="22"/>
          <w:szCs w:val="22"/>
          <w:u w:val="wave"/>
          <w:lang w:eastAsia="ja-JP"/>
        </w:rPr>
        <w:t xml:space="preserve"> </w:t>
      </w:r>
      <w:r w:rsidR="00C44C30" w:rsidRPr="00C44C30">
        <w:rPr>
          <w:sz w:val="22"/>
          <w:szCs w:val="22"/>
          <w:u w:val="wave"/>
          <w:lang w:eastAsia="ja-JP"/>
        </w:rPr>
        <w:t>Fox,</w:t>
      </w:r>
      <w:r w:rsidR="00C44C30">
        <w:rPr>
          <w:sz w:val="22"/>
          <w:szCs w:val="22"/>
          <w:lang w:eastAsia="ja-JP"/>
        </w:rPr>
        <w:t xml:space="preserve"> </w:t>
      </w:r>
      <w:r w:rsidRPr="00090962">
        <w:rPr>
          <w:sz w:val="22"/>
          <w:szCs w:val="22"/>
          <w:lang w:eastAsia="ja-JP"/>
        </w:rPr>
        <w:t xml:space="preserve">for consultation. </w:t>
      </w:r>
    </w:p>
    <w:p w14:paraId="67B87A59" w14:textId="77777777" w:rsidR="00A22925" w:rsidRPr="00090962" w:rsidRDefault="00A22925"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B3A9E45" w14:textId="77777777" w:rsidR="00C50880" w:rsidRPr="00090962" w:rsidRDefault="00C50880"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 xml:space="preserve">The Legal Division </w:t>
      </w:r>
      <w:r w:rsidR="00712AEC" w:rsidRPr="00090962">
        <w:rPr>
          <w:sz w:val="22"/>
          <w:szCs w:val="22"/>
          <w:lang w:eastAsia="ja-JP"/>
        </w:rPr>
        <w:t xml:space="preserve">and the Center for Audit Excellence </w:t>
      </w:r>
      <w:r w:rsidRPr="00090962">
        <w:rPr>
          <w:sz w:val="22"/>
          <w:szCs w:val="22"/>
          <w:lang w:eastAsia="ja-JP"/>
        </w:rPr>
        <w:t xml:space="preserve">will review the proposed Finding and may ask the </w:t>
      </w:r>
      <w:r w:rsidR="00C67349" w:rsidRPr="00090962">
        <w:rPr>
          <w:sz w:val="22"/>
          <w:szCs w:val="22"/>
          <w:lang w:eastAsia="ja-JP"/>
        </w:rPr>
        <w:t>chief a</w:t>
      </w:r>
      <w:r w:rsidR="007655B1" w:rsidRPr="00090962">
        <w:rPr>
          <w:sz w:val="22"/>
          <w:szCs w:val="22"/>
          <w:lang w:eastAsia="ja-JP"/>
        </w:rPr>
        <w:t>uditor</w:t>
      </w:r>
      <w:r w:rsidRPr="00090962">
        <w:rPr>
          <w:sz w:val="22"/>
          <w:szCs w:val="22"/>
          <w:lang w:eastAsia="ja-JP"/>
        </w:rPr>
        <w:t xml:space="preserve"> or the IPA for additional information. </w:t>
      </w:r>
    </w:p>
    <w:p w14:paraId="02D6932A" w14:textId="77777777" w:rsidR="00C50880" w:rsidRPr="00090962" w:rsidRDefault="00C50880"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CD85A6A" w14:textId="48003112" w:rsidR="00CF7FFE" w:rsidRPr="00090962" w:rsidRDefault="00C50880" w:rsidP="00712AEC">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 xml:space="preserve">After the Legal Division </w:t>
      </w:r>
      <w:r w:rsidR="00DD4355" w:rsidRPr="00090962">
        <w:rPr>
          <w:sz w:val="22"/>
          <w:szCs w:val="22"/>
          <w:lang w:eastAsia="ja-JP"/>
        </w:rPr>
        <w:t xml:space="preserve">and the Center for Audit Excellence </w:t>
      </w:r>
      <w:r w:rsidRPr="00090962">
        <w:rPr>
          <w:sz w:val="22"/>
          <w:szCs w:val="22"/>
          <w:lang w:eastAsia="ja-JP"/>
        </w:rPr>
        <w:t>ha</w:t>
      </w:r>
      <w:r w:rsidR="00712AEC" w:rsidRPr="00090962">
        <w:rPr>
          <w:sz w:val="22"/>
          <w:szCs w:val="22"/>
          <w:lang w:eastAsia="ja-JP"/>
        </w:rPr>
        <w:t>ve</w:t>
      </w:r>
      <w:r w:rsidRPr="00090962">
        <w:rPr>
          <w:sz w:val="22"/>
          <w:szCs w:val="22"/>
          <w:lang w:eastAsia="ja-JP"/>
        </w:rPr>
        <w:t xml:space="preserve"> approved the Finding, the </w:t>
      </w:r>
      <w:r w:rsidR="007237DE" w:rsidRPr="00090962">
        <w:rPr>
          <w:sz w:val="22"/>
          <w:szCs w:val="22"/>
          <w:lang w:eastAsia="ja-JP"/>
        </w:rPr>
        <w:t xml:space="preserve">regional </w:t>
      </w:r>
      <w:r w:rsidR="0003204B" w:rsidRPr="00090962">
        <w:rPr>
          <w:sz w:val="22"/>
          <w:szCs w:val="22"/>
          <w:lang w:eastAsia="ja-JP"/>
        </w:rPr>
        <w:t>chief a</w:t>
      </w:r>
      <w:r w:rsidR="007655B1" w:rsidRPr="00090962">
        <w:rPr>
          <w:sz w:val="22"/>
          <w:szCs w:val="22"/>
          <w:lang w:eastAsia="ja-JP"/>
        </w:rPr>
        <w:t>uditor</w:t>
      </w:r>
      <w:r w:rsidR="0029589E" w:rsidRPr="00090962">
        <w:rPr>
          <w:sz w:val="22"/>
          <w:szCs w:val="22"/>
          <w:lang w:eastAsia="ja-JP"/>
        </w:rPr>
        <w:t xml:space="preserve"> or</w:t>
      </w:r>
      <w:r w:rsidRPr="00090962">
        <w:rPr>
          <w:sz w:val="22"/>
          <w:szCs w:val="22"/>
          <w:lang w:eastAsia="ja-JP"/>
        </w:rPr>
        <w:t xml:space="preserve"> designee </w:t>
      </w:r>
      <w:proofErr w:type="gramStart"/>
      <w:r w:rsidRPr="00090962">
        <w:rPr>
          <w:sz w:val="22"/>
          <w:szCs w:val="22"/>
          <w:lang w:eastAsia="ja-JP"/>
        </w:rPr>
        <w:t>will</w:t>
      </w:r>
      <w:proofErr w:type="gramEnd"/>
      <w:r w:rsidR="00EC5B48">
        <w:rPr>
          <w:sz w:val="22"/>
          <w:szCs w:val="22"/>
          <w:lang w:eastAsia="ja-JP"/>
        </w:rPr>
        <w:t xml:space="preserve"> </w:t>
      </w:r>
      <w:r w:rsidR="00EC5B48" w:rsidRPr="00EC5B48">
        <w:rPr>
          <w:sz w:val="22"/>
          <w:szCs w:val="22"/>
          <w:u w:val="wave"/>
          <w:lang w:eastAsia="ja-JP"/>
        </w:rPr>
        <w:t>e-mail</w:t>
      </w:r>
      <w:r w:rsidRPr="00090962">
        <w:rPr>
          <w:sz w:val="22"/>
          <w:szCs w:val="22"/>
          <w:lang w:eastAsia="ja-JP"/>
        </w:rPr>
        <w:t xml:space="preserve"> </w:t>
      </w:r>
      <w:r w:rsidRPr="00EC5B48">
        <w:rPr>
          <w:strike/>
          <w:sz w:val="22"/>
          <w:szCs w:val="22"/>
          <w:lang w:eastAsia="ja-JP"/>
        </w:rPr>
        <w:t>send</w:t>
      </w:r>
      <w:r w:rsidRPr="00090962">
        <w:rPr>
          <w:sz w:val="22"/>
          <w:szCs w:val="22"/>
          <w:lang w:eastAsia="ja-JP"/>
        </w:rPr>
        <w:t xml:space="preserve"> the proposed Finding for Adjustment to all applicable parties.  </w:t>
      </w:r>
    </w:p>
    <w:p w14:paraId="1311A281" w14:textId="77777777" w:rsidR="00CF7FFE" w:rsidRPr="00090962" w:rsidRDefault="00CF7FFE" w:rsidP="00CF7FFE">
      <w:pPr>
        <w:pStyle w:val="ListParagraph"/>
        <w:rPr>
          <w:sz w:val="22"/>
          <w:szCs w:val="22"/>
          <w:lang w:eastAsia="ja-JP"/>
        </w:rPr>
      </w:pPr>
    </w:p>
    <w:p w14:paraId="2693DAFF" w14:textId="77777777" w:rsidR="00C50880" w:rsidRPr="00090962" w:rsidRDefault="00C50880" w:rsidP="00712AEC">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The</w:t>
      </w:r>
      <w:r w:rsidR="00CF7FFE" w:rsidRPr="00090962">
        <w:rPr>
          <w:sz w:val="22"/>
          <w:szCs w:val="22"/>
          <w:lang w:eastAsia="ja-JP"/>
        </w:rPr>
        <w:t xml:space="preserve"> applicable</w:t>
      </w:r>
      <w:r w:rsidR="00AD474E" w:rsidRPr="00090962">
        <w:rPr>
          <w:sz w:val="22"/>
          <w:szCs w:val="22"/>
          <w:lang w:eastAsia="ja-JP"/>
        </w:rPr>
        <w:t xml:space="preserve"> parties </w:t>
      </w:r>
      <w:r w:rsidR="00CF7FFE" w:rsidRPr="00090962">
        <w:rPr>
          <w:sz w:val="22"/>
          <w:szCs w:val="22"/>
          <w:lang w:eastAsia="ja-JP"/>
        </w:rPr>
        <w:t xml:space="preserve">are </w:t>
      </w:r>
      <w:r w:rsidR="00AD474E" w:rsidRPr="00090962">
        <w:rPr>
          <w:sz w:val="22"/>
          <w:szCs w:val="22"/>
          <w:lang w:eastAsia="ja-JP"/>
        </w:rPr>
        <w:t xml:space="preserve">normally </w:t>
      </w:r>
      <w:r w:rsidR="00CF7FFE" w:rsidRPr="00090962">
        <w:rPr>
          <w:sz w:val="22"/>
          <w:szCs w:val="22"/>
          <w:lang w:eastAsia="ja-JP"/>
        </w:rPr>
        <w:t>given</w:t>
      </w:r>
      <w:r w:rsidR="00AD474E" w:rsidRPr="00090962">
        <w:rPr>
          <w:sz w:val="22"/>
          <w:szCs w:val="22"/>
          <w:lang w:eastAsia="ja-JP"/>
        </w:rPr>
        <w:t xml:space="preserve"> </w:t>
      </w:r>
      <w:r w:rsidRPr="00090962">
        <w:rPr>
          <w:sz w:val="22"/>
          <w:szCs w:val="22"/>
          <w:lang w:eastAsia="ja-JP"/>
        </w:rPr>
        <w:t>five days to respond.  If the</w:t>
      </w:r>
      <w:r w:rsidR="00CF7FFE" w:rsidRPr="00090962">
        <w:rPr>
          <w:sz w:val="22"/>
          <w:szCs w:val="22"/>
          <w:lang w:eastAsia="ja-JP"/>
        </w:rPr>
        <w:t>y respond</w:t>
      </w:r>
      <w:r w:rsidRPr="00090962">
        <w:rPr>
          <w:sz w:val="22"/>
          <w:szCs w:val="22"/>
          <w:lang w:eastAsia="ja-JP"/>
        </w:rPr>
        <w:t xml:space="preserve">, the </w:t>
      </w:r>
      <w:r w:rsidR="00513E2A" w:rsidRPr="00090962">
        <w:rPr>
          <w:sz w:val="22"/>
          <w:szCs w:val="22"/>
          <w:lang w:eastAsia="ja-JP"/>
        </w:rPr>
        <w:t xml:space="preserve">regional </w:t>
      </w:r>
      <w:r w:rsidR="0003204B" w:rsidRPr="00090962">
        <w:rPr>
          <w:sz w:val="22"/>
          <w:szCs w:val="22"/>
          <w:lang w:eastAsia="ja-JP"/>
        </w:rPr>
        <w:t>c</w:t>
      </w:r>
      <w:r w:rsidR="007655B1" w:rsidRPr="00090962">
        <w:rPr>
          <w:sz w:val="22"/>
          <w:szCs w:val="22"/>
          <w:lang w:eastAsia="ja-JP"/>
        </w:rPr>
        <w:t xml:space="preserve">hief </w:t>
      </w:r>
      <w:r w:rsidR="0003204B" w:rsidRPr="00090962">
        <w:rPr>
          <w:sz w:val="22"/>
          <w:szCs w:val="22"/>
          <w:lang w:eastAsia="ja-JP"/>
        </w:rPr>
        <w:t>a</w:t>
      </w:r>
      <w:r w:rsidR="007655B1" w:rsidRPr="00090962">
        <w:rPr>
          <w:sz w:val="22"/>
          <w:szCs w:val="22"/>
          <w:lang w:eastAsia="ja-JP"/>
        </w:rPr>
        <w:t>uditor</w:t>
      </w:r>
      <w:r w:rsidRPr="00090962">
        <w:rPr>
          <w:sz w:val="22"/>
          <w:szCs w:val="22"/>
          <w:lang w:eastAsia="ja-JP"/>
        </w:rPr>
        <w:t xml:space="preserve"> </w:t>
      </w:r>
      <w:r w:rsidR="00712AEC" w:rsidRPr="00090962">
        <w:rPr>
          <w:sz w:val="22"/>
          <w:szCs w:val="22"/>
          <w:lang w:eastAsia="ja-JP"/>
        </w:rPr>
        <w:t xml:space="preserve">should </w:t>
      </w:r>
      <w:r w:rsidRPr="00090962">
        <w:rPr>
          <w:sz w:val="22"/>
          <w:szCs w:val="22"/>
          <w:lang w:eastAsia="ja-JP"/>
        </w:rPr>
        <w:t>evaluate the response and decide whether the Finding should be withdrawn or modified.</w:t>
      </w:r>
    </w:p>
    <w:p w14:paraId="114541F4" w14:textId="77777777" w:rsidR="00C50880" w:rsidRDefault="00C50880"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596E8BD" w14:textId="77777777" w:rsidR="00CE4C82" w:rsidRPr="00090962" w:rsidRDefault="00CE4C82"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8FFF4E6" w14:textId="1E87654E" w:rsidR="00C50880" w:rsidRPr="00090962" w:rsidRDefault="00C50880" w:rsidP="00DB4DA9">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090962">
        <w:rPr>
          <w:sz w:val="22"/>
          <w:szCs w:val="22"/>
          <w:lang w:eastAsia="ja-JP"/>
        </w:rPr>
        <w:t xml:space="preserve">The </w:t>
      </w:r>
      <w:r w:rsidR="0003204B" w:rsidRPr="00090962">
        <w:rPr>
          <w:sz w:val="22"/>
          <w:szCs w:val="22"/>
          <w:lang w:eastAsia="ja-JP"/>
        </w:rPr>
        <w:t xml:space="preserve">regional chief auditor must send a copy of </w:t>
      </w:r>
      <w:r w:rsidR="00712AEC" w:rsidRPr="00090962">
        <w:rPr>
          <w:sz w:val="22"/>
          <w:szCs w:val="22"/>
          <w:lang w:eastAsia="ja-JP"/>
        </w:rPr>
        <w:t xml:space="preserve">AOS Legal Division’s </w:t>
      </w:r>
      <w:r w:rsidR="0003204B" w:rsidRPr="00090962">
        <w:rPr>
          <w:sz w:val="22"/>
          <w:szCs w:val="22"/>
          <w:lang w:eastAsia="ja-JP"/>
        </w:rPr>
        <w:t xml:space="preserve">approved finding to the </w:t>
      </w:r>
      <w:r w:rsidR="0082395B" w:rsidRPr="00090962">
        <w:rPr>
          <w:sz w:val="22"/>
          <w:szCs w:val="22"/>
          <w:lang w:eastAsia="ja-JP"/>
        </w:rPr>
        <w:t>Chief</w:t>
      </w:r>
      <w:r w:rsidR="007F0B2F" w:rsidRPr="00090962">
        <w:rPr>
          <w:sz w:val="22"/>
          <w:szCs w:val="22"/>
          <w:lang w:eastAsia="ja-JP"/>
        </w:rPr>
        <w:t xml:space="preserve"> of Quality Assurance</w:t>
      </w:r>
      <w:r w:rsidR="0029589E" w:rsidRPr="00090962">
        <w:rPr>
          <w:sz w:val="22"/>
          <w:szCs w:val="22"/>
          <w:lang w:eastAsia="ja-JP"/>
        </w:rPr>
        <w:t xml:space="preserve"> or</w:t>
      </w:r>
      <w:r w:rsidR="009F157A" w:rsidRPr="00090962">
        <w:rPr>
          <w:sz w:val="22"/>
          <w:szCs w:val="22"/>
          <w:lang w:eastAsia="ja-JP"/>
        </w:rPr>
        <w:t xml:space="preserve"> designee,</w:t>
      </w:r>
      <w:r w:rsidRPr="00090962">
        <w:rPr>
          <w:sz w:val="22"/>
          <w:szCs w:val="22"/>
          <w:lang w:eastAsia="ja-JP"/>
        </w:rPr>
        <w:t xml:space="preserve"> </w:t>
      </w:r>
      <w:r w:rsidR="00DD4355" w:rsidRPr="00090962">
        <w:rPr>
          <w:sz w:val="22"/>
          <w:szCs w:val="22"/>
          <w:lang w:eastAsia="ja-JP"/>
        </w:rPr>
        <w:t xml:space="preserve">through </w:t>
      </w:r>
      <w:hyperlink r:id="rId21">
        <w:r w:rsidR="00F426AA" w:rsidRPr="00090962">
          <w:rPr>
            <w:rStyle w:val="Hyperlink"/>
            <w:sz w:val="22"/>
            <w:szCs w:val="22"/>
            <w:lang w:eastAsia="ja-JP"/>
          </w:rPr>
          <w:t>ipareport@ohioauditor.gov</w:t>
        </w:r>
      </w:hyperlink>
      <w:r w:rsidR="00F631E1" w:rsidRPr="00090962">
        <w:rPr>
          <w:sz w:val="22"/>
          <w:szCs w:val="22"/>
          <w:lang w:eastAsia="ja-JP"/>
        </w:rPr>
        <w:t>,</w:t>
      </w:r>
      <w:r w:rsidRPr="00090962">
        <w:rPr>
          <w:sz w:val="22"/>
          <w:szCs w:val="22"/>
          <w:lang w:eastAsia="ja-JP"/>
        </w:rPr>
        <w:t xml:space="preserve"> </w:t>
      </w:r>
      <w:r w:rsidR="0003204B" w:rsidRPr="00090962">
        <w:rPr>
          <w:sz w:val="22"/>
          <w:szCs w:val="22"/>
          <w:lang w:eastAsia="ja-JP"/>
        </w:rPr>
        <w:t>for inclusion with</w:t>
      </w:r>
      <w:r w:rsidRPr="00090962">
        <w:rPr>
          <w:sz w:val="22"/>
          <w:szCs w:val="22"/>
          <w:lang w:eastAsia="ja-JP"/>
        </w:rPr>
        <w:t xml:space="preserve"> the Acceptance Letter</w:t>
      </w:r>
      <w:r w:rsidR="00C72300" w:rsidRPr="00090962">
        <w:rPr>
          <w:sz w:val="22"/>
          <w:szCs w:val="22"/>
          <w:lang w:eastAsia="ja-JP"/>
        </w:rPr>
        <w:t>.</w:t>
      </w:r>
      <w:r w:rsidR="0006291B" w:rsidRPr="00090962">
        <w:rPr>
          <w:sz w:val="22"/>
          <w:szCs w:val="22"/>
          <w:lang w:eastAsia="ja-JP"/>
        </w:rPr>
        <w:t xml:space="preserve"> </w:t>
      </w:r>
      <w:r w:rsidR="00CF7FFE" w:rsidRPr="00090962">
        <w:rPr>
          <w:sz w:val="22"/>
          <w:szCs w:val="22"/>
          <w:lang w:eastAsia="ja-JP"/>
        </w:rPr>
        <w:t xml:space="preserve"> The Auditor of State will describe material, unadjusted Findings for Adjustment in the Acceptance Letter we include in </w:t>
      </w:r>
      <w:proofErr w:type="gramStart"/>
      <w:r w:rsidR="00CF7FFE" w:rsidRPr="00090962">
        <w:rPr>
          <w:sz w:val="22"/>
          <w:szCs w:val="22"/>
          <w:lang w:eastAsia="ja-JP"/>
        </w:rPr>
        <w:t>the front</w:t>
      </w:r>
      <w:proofErr w:type="gramEnd"/>
      <w:r w:rsidR="00CF7FFE" w:rsidRPr="00090962">
        <w:rPr>
          <w:sz w:val="22"/>
          <w:szCs w:val="22"/>
          <w:lang w:eastAsia="ja-JP"/>
        </w:rPr>
        <w:t xml:space="preserve"> of each report.  </w:t>
      </w:r>
      <w:r w:rsidR="00C72300" w:rsidRPr="00090962">
        <w:rPr>
          <w:sz w:val="22"/>
          <w:szCs w:val="22"/>
          <w:lang w:eastAsia="ja-JP"/>
        </w:rPr>
        <w:t xml:space="preserve">The </w:t>
      </w:r>
      <w:r w:rsidR="0082395B" w:rsidRPr="00090962">
        <w:rPr>
          <w:sz w:val="22"/>
          <w:szCs w:val="22"/>
          <w:lang w:eastAsia="ja-JP"/>
        </w:rPr>
        <w:t>Chief</w:t>
      </w:r>
      <w:r w:rsidR="007F0B2F" w:rsidRPr="00090962">
        <w:rPr>
          <w:sz w:val="22"/>
          <w:szCs w:val="22"/>
          <w:lang w:eastAsia="ja-JP"/>
        </w:rPr>
        <w:t xml:space="preserve"> of Quality Assurance</w:t>
      </w:r>
      <w:r w:rsidR="0029589E" w:rsidRPr="00090962">
        <w:rPr>
          <w:sz w:val="22"/>
          <w:szCs w:val="22"/>
          <w:lang w:eastAsia="ja-JP"/>
        </w:rPr>
        <w:t>, or</w:t>
      </w:r>
      <w:r w:rsidR="00C72300" w:rsidRPr="00090962">
        <w:rPr>
          <w:sz w:val="22"/>
          <w:szCs w:val="22"/>
          <w:lang w:eastAsia="ja-JP"/>
        </w:rPr>
        <w:t xml:space="preserve"> </w:t>
      </w:r>
      <w:proofErr w:type="gramStart"/>
      <w:r w:rsidR="00C72300" w:rsidRPr="00090962">
        <w:rPr>
          <w:sz w:val="22"/>
          <w:szCs w:val="22"/>
          <w:lang w:eastAsia="ja-JP"/>
        </w:rPr>
        <w:t>designee</w:t>
      </w:r>
      <w:proofErr w:type="gramEnd"/>
      <w:r w:rsidR="00F631E1" w:rsidRPr="00090962">
        <w:rPr>
          <w:sz w:val="22"/>
          <w:szCs w:val="22"/>
          <w:lang w:eastAsia="ja-JP"/>
        </w:rPr>
        <w:t>,</w:t>
      </w:r>
      <w:r w:rsidR="00C72300" w:rsidRPr="00090962">
        <w:rPr>
          <w:sz w:val="22"/>
          <w:szCs w:val="22"/>
          <w:lang w:eastAsia="ja-JP"/>
        </w:rPr>
        <w:t xml:space="preserve"> </w:t>
      </w:r>
      <w:r w:rsidRPr="00090962">
        <w:rPr>
          <w:sz w:val="22"/>
          <w:szCs w:val="22"/>
          <w:lang w:eastAsia="ja-JP"/>
        </w:rPr>
        <w:t>certifies the report.</w:t>
      </w:r>
    </w:p>
    <w:p w14:paraId="7E62EB6D" w14:textId="77777777" w:rsidR="00BB61AB" w:rsidRPr="009F157A" w:rsidRDefault="00BB61AB" w:rsidP="00DB4DA9">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4"/>
          <w:szCs w:val="24"/>
          <w:lang w:eastAsia="ja-JP"/>
        </w:rPr>
      </w:pPr>
    </w:p>
    <w:p w14:paraId="33EEA691" w14:textId="77777777" w:rsidR="00BB61AB" w:rsidRPr="009F157A" w:rsidRDefault="00BB61AB" w:rsidP="00467115">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rPr>
          <w:sz w:val="24"/>
          <w:lang w:eastAsia="ja-JP"/>
        </w:rPr>
      </w:pPr>
    </w:p>
    <w:p w14:paraId="15A01BD5" w14:textId="140960DB" w:rsidR="001E3E45" w:rsidRPr="0054050D" w:rsidRDefault="001E3E45" w:rsidP="005166A8">
      <w:pPr>
        <w:pStyle w:val="Title"/>
        <w:ind w:left="0"/>
        <w:rPr>
          <w:sz w:val="24"/>
          <w:szCs w:val="24"/>
        </w:rPr>
      </w:pPr>
      <w:bookmarkStart w:id="23" w:name="_Toc214431128"/>
      <w:r w:rsidRPr="0054050D">
        <w:rPr>
          <w:sz w:val="24"/>
          <w:szCs w:val="24"/>
        </w:rPr>
        <w:t>Findings for Recovery</w:t>
      </w:r>
      <w:r w:rsidR="000D7C7B" w:rsidRPr="0054050D">
        <w:rPr>
          <w:sz w:val="24"/>
          <w:szCs w:val="24"/>
          <w:vertAlign w:val="superscript"/>
        </w:rPr>
        <w:fldChar w:fldCharType="begin"/>
      </w:r>
      <w:r w:rsidR="000D7C7B" w:rsidRPr="0054050D">
        <w:rPr>
          <w:sz w:val="24"/>
          <w:szCs w:val="24"/>
          <w:vertAlign w:val="superscript"/>
        </w:rPr>
        <w:instrText xml:space="preserve"> NOTEREF _Ref116381897 \h  \* MERGEFORMAT </w:instrText>
      </w:r>
      <w:r w:rsidR="000D7C7B" w:rsidRPr="0054050D">
        <w:rPr>
          <w:sz w:val="24"/>
          <w:szCs w:val="24"/>
          <w:vertAlign w:val="superscript"/>
        </w:rPr>
      </w:r>
      <w:r w:rsidR="000D7C7B" w:rsidRPr="0054050D">
        <w:rPr>
          <w:sz w:val="24"/>
          <w:szCs w:val="24"/>
          <w:vertAlign w:val="superscript"/>
        </w:rPr>
        <w:fldChar w:fldCharType="separate"/>
      </w:r>
      <w:r w:rsidR="00251314">
        <w:rPr>
          <w:sz w:val="24"/>
          <w:szCs w:val="24"/>
          <w:vertAlign w:val="superscript"/>
        </w:rPr>
        <w:t>26</w:t>
      </w:r>
      <w:bookmarkEnd w:id="23"/>
      <w:r w:rsidR="000D7C7B" w:rsidRPr="0054050D">
        <w:rPr>
          <w:sz w:val="24"/>
          <w:szCs w:val="24"/>
          <w:vertAlign w:val="superscript"/>
        </w:rPr>
        <w:fldChar w:fldCharType="end"/>
      </w:r>
    </w:p>
    <w:p w14:paraId="656F2379" w14:textId="77777777" w:rsidR="008F6A36" w:rsidRPr="008313E8" w:rsidRDefault="008F6A36"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firstLine="720"/>
        <w:rPr>
          <w:sz w:val="28"/>
          <w:szCs w:val="28"/>
          <w:lang w:eastAsia="ja-JP"/>
        </w:rPr>
      </w:pPr>
    </w:p>
    <w:p w14:paraId="73B0CEF7" w14:textId="7F57D89D" w:rsidR="008F6A36" w:rsidRPr="00387DA7" w:rsidRDefault="00A54D0A" w:rsidP="3670125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Ohio Rev. </w:t>
      </w:r>
      <w:r w:rsidR="00FD3963" w:rsidRPr="00387DA7">
        <w:rPr>
          <w:sz w:val="22"/>
          <w:szCs w:val="22"/>
          <w:lang w:eastAsia="ja-JP"/>
        </w:rPr>
        <w:t xml:space="preserve">Code </w:t>
      </w:r>
      <w:r w:rsidR="009B4BF1" w:rsidRPr="00387DA7">
        <w:rPr>
          <w:sz w:val="22"/>
          <w:szCs w:val="22"/>
          <w:lang w:eastAsia="ja-JP"/>
        </w:rPr>
        <w:t>§ 1</w:t>
      </w:r>
      <w:r w:rsidRPr="00387DA7">
        <w:rPr>
          <w:sz w:val="22"/>
          <w:szCs w:val="22"/>
          <w:lang w:eastAsia="ja-JP"/>
        </w:rPr>
        <w:t xml:space="preserve">17.28 authorizes the Auditor of State to report a </w:t>
      </w:r>
      <w:r w:rsidR="002F4D5C" w:rsidRPr="00387DA7">
        <w:rPr>
          <w:i/>
          <w:iCs/>
          <w:sz w:val="22"/>
          <w:szCs w:val="22"/>
          <w:lang w:eastAsia="ja-JP"/>
        </w:rPr>
        <w:t>Finding for R</w:t>
      </w:r>
      <w:r w:rsidR="008F6A36" w:rsidRPr="00387DA7">
        <w:rPr>
          <w:i/>
          <w:iCs/>
          <w:sz w:val="22"/>
          <w:szCs w:val="22"/>
          <w:lang w:eastAsia="ja-JP"/>
        </w:rPr>
        <w:t>ecovery</w:t>
      </w:r>
      <w:r w:rsidR="008F6A36" w:rsidRPr="00387DA7">
        <w:rPr>
          <w:sz w:val="22"/>
          <w:szCs w:val="22"/>
          <w:lang w:eastAsia="ja-JP"/>
        </w:rPr>
        <w:t xml:space="preserve"> </w:t>
      </w:r>
      <w:r w:rsidRPr="00387DA7">
        <w:rPr>
          <w:sz w:val="22"/>
          <w:szCs w:val="22"/>
          <w:lang w:eastAsia="ja-JP"/>
        </w:rPr>
        <w:t xml:space="preserve">in audit reports </w:t>
      </w:r>
      <w:r w:rsidR="00665876" w:rsidRPr="00387DA7">
        <w:rPr>
          <w:sz w:val="22"/>
          <w:szCs w:val="22"/>
          <w:lang w:eastAsia="ja-JP"/>
        </w:rPr>
        <w:t xml:space="preserve">when </w:t>
      </w:r>
      <w:r w:rsidR="008F6A36" w:rsidRPr="00387DA7">
        <w:rPr>
          <w:sz w:val="22"/>
          <w:szCs w:val="22"/>
          <w:lang w:eastAsia="ja-JP"/>
        </w:rPr>
        <w:t xml:space="preserve">legal action may be appropriate to recover public money or property.  </w:t>
      </w:r>
      <w:r w:rsidR="00FB11F5" w:rsidRPr="00387DA7">
        <w:rPr>
          <w:sz w:val="22"/>
          <w:szCs w:val="22"/>
          <w:lang w:eastAsia="ja-JP"/>
        </w:rPr>
        <w:t>I</w:t>
      </w:r>
      <w:r w:rsidR="00AC1293" w:rsidRPr="00387DA7">
        <w:rPr>
          <w:sz w:val="22"/>
          <w:szCs w:val="22"/>
          <w:lang w:eastAsia="ja-JP"/>
        </w:rPr>
        <w:t>t is the policy of the Au</w:t>
      </w:r>
      <w:r w:rsidR="002F4D5C" w:rsidRPr="00387DA7">
        <w:rPr>
          <w:sz w:val="22"/>
          <w:szCs w:val="22"/>
          <w:lang w:eastAsia="ja-JP"/>
        </w:rPr>
        <w:t>ditor of State to issue a Finding for R</w:t>
      </w:r>
      <w:r w:rsidR="00AC1293" w:rsidRPr="00387DA7">
        <w:rPr>
          <w:sz w:val="22"/>
          <w:szCs w:val="22"/>
          <w:lang w:eastAsia="ja-JP"/>
        </w:rPr>
        <w:t xml:space="preserve">ecovery </w:t>
      </w:r>
      <w:r w:rsidR="00F92762" w:rsidRPr="00387DA7">
        <w:rPr>
          <w:sz w:val="22"/>
          <w:szCs w:val="22"/>
          <w:lang w:eastAsia="ja-JP"/>
        </w:rPr>
        <w:t xml:space="preserve">for the exact </w:t>
      </w:r>
      <w:r w:rsidR="002F4D5C" w:rsidRPr="00387DA7">
        <w:rPr>
          <w:sz w:val="22"/>
          <w:szCs w:val="22"/>
          <w:lang w:eastAsia="ja-JP"/>
        </w:rPr>
        <w:t>dollar</w:t>
      </w:r>
      <w:r w:rsidR="00F92762" w:rsidRPr="00387DA7">
        <w:rPr>
          <w:sz w:val="22"/>
          <w:szCs w:val="22"/>
          <w:lang w:eastAsia="ja-JP"/>
        </w:rPr>
        <w:t>/cent</w:t>
      </w:r>
      <w:r w:rsidR="002F4D5C" w:rsidRPr="00387DA7">
        <w:rPr>
          <w:sz w:val="22"/>
          <w:szCs w:val="22"/>
          <w:lang w:eastAsia="ja-JP"/>
        </w:rPr>
        <w:t>s.</w:t>
      </w:r>
      <w:r w:rsidR="001D6424" w:rsidRPr="00387DA7">
        <w:rPr>
          <w:sz w:val="22"/>
          <w:szCs w:val="22"/>
          <w:lang w:eastAsia="ja-JP"/>
        </w:rPr>
        <w:t xml:space="preserve">  </w:t>
      </w:r>
    </w:p>
    <w:p w14:paraId="6100DD27"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9311215" w14:textId="56C5F9C8" w:rsidR="008F6A36" w:rsidRPr="00387DA7" w:rsidRDefault="00727BC3"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Ohio Rev. </w:t>
      </w:r>
      <w:r w:rsidR="00FD3963" w:rsidRPr="00387DA7">
        <w:rPr>
          <w:sz w:val="22"/>
          <w:szCs w:val="22"/>
          <w:lang w:eastAsia="ja-JP"/>
        </w:rPr>
        <w:t xml:space="preserve">Code </w:t>
      </w:r>
      <w:r w:rsidR="009B4BF1" w:rsidRPr="00387DA7">
        <w:rPr>
          <w:sz w:val="22"/>
          <w:szCs w:val="22"/>
          <w:lang w:eastAsia="ja-JP"/>
        </w:rPr>
        <w:t>§ 1</w:t>
      </w:r>
      <w:r w:rsidR="0029589E" w:rsidRPr="00387DA7">
        <w:rPr>
          <w:sz w:val="22"/>
          <w:szCs w:val="22"/>
          <w:lang w:eastAsia="ja-JP"/>
        </w:rPr>
        <w:t>17.01</w:t>
      </w:r>
      <w:r w:rsidRPr="00387DA7">
        <w:rPr>
          <w:sz w:val="22"/>
          <w:szCs w:val="22"/>
          <w:lang w:eastAsia="ja-JP"/>
        </w:rPr>
        <w:t xml:space="preserve">(C) defines </w:t>
      </w:r>
      <w:r w:rsidRPr="00387DA7">
        <w:rPr>
          <w:i/>
          <w:sz w:val="22"/>
          <w:szCs w:val="22"/>
          <w:lang w:eastAsia="ja-JP"/>
        </w:rPr>
        <w:t>p</w:t>
      </w:r>
      <w:r w:rsidR="008F6A36" w:rsidRPr="00387DA7">
        <w:rPr>
          <w:i/>
          <w:sz w:val="22"/>
          <w:szCs w:val="22"/>
          <w:lang w:eastAsia="ja-JP"/>
        </w:rPr>
        <w:t>ublic money</w:t>
      </w:r>
      <w:r w:rsidRPr="00387DA7">
        <w:rPr>
          <w:sz w:val="22"/>
          <w:szCs w:val="22"/>
          <w:lang w:eastAsia="ja-JP"/>
        </w:rPr>
        <w:t xml:space="preserve"> </w:t>
      </w:r>
      <w:r w:rsidR="008F6A36" w:rsidRPr="00387DA7">
        <w:rPr>
          <w:sz w:val="22"/>
          <w:szCs w:val="22"/>
          <w:lang w:eastAsia="ja-JP"/>
        </w:rPr>
        <w:t xml:space="preserve">as "any money received, collected by, or due a public official under color of office, as well as any money collected by any individual on behalf of a public office or as a purported representative or agent of </w:t>
      </w:r>
      <w:r w:rsidR="00B778B7" w:rsidRPr="00387DA7">
        <w:rPr>
          <w:sz w:val="22"/>
          <w:szCs w:val="22"/>
          <w:lang w:eastAsia="ja-JP"/>
        </w:rPr>
        <w:t>the</w:t>
      </w:r>
      <w:r w:rsidR="008F6A36" w:rsidRPr="00387DA7">
        <w:rPr>
          <w:sz w:val="22"/>
          <w:szCs w:val="22"/>
          <w:lang w:eastAsia="ja-JP"/>
        </w:rPr>
        <w:t xml:space="preserve"> public office."   </w:t>
      </w:r>
    </w:p>
    <w:p w14:paraId="6A8FA590"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3CF81EC" w14:textId="6B5F04F1" w:rsidR="008F6A36" w:rsidRPr="00387DA7" w:rsidRDefault="00626557"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Under Ohio Rev. Code </w:t>
      </w:r>
      <w:r w:rsidR="009B4BF1" w:rsidRPr="00387DA7">
        <w:rPr>
          <w:sz w:val="22"/>
          <w:szCs w:val="22"/>
          <w:lang w:eastAsia="ja-JP"/>
        </w:rPr>
        <w:t>§ 9</w:t>
      </w:r>
      <w:r w:rsidRPr="00387DA7">
        <w:rPr>
          <w:sz w:val="22"/>
          <w:szCs w:val="22"/>
          <w:lang w:eastAsia="ja-JP"/>
        </w:rPr>
        <w:t>.24</w:t>
      </w:r>
      <w:r w:rsidR="00D7105B" w:rsidRPr="00387DA7">
        <w:rPr>
          <w:sz w:val="22"/>
          <w:szCs w:val="22"/>
          <w:lang w:eastAsia="ja-JP"/>
        </w:rPr>
        <w:t>(H)(3)</w:t>
      </w:r>
      <w:r w:rsidRPr="00387DA7">
        <w:rPr>
          <w:sz w:val="22"/>
          <w:szCs w:val="22"/>
          <w:lang w:eastAsia="ja-JP"/>
        </w:rPr>
        <w:t xml:space="preserve"> and </w:t>
      </w:r>
      <w:r w:rsidR="009B4BF1" w:rsidRPr="00387DA7">
        <w:rPr>
          <w:sz w:val="22"/>
          <w:szCs w:val="22"/>
          <w:lang w:eastAsia="ja-JP"/>
        </w:rPr>
        <w:t>§ 1</w:t>
      </w:r>
      <w:r w:rsidRPr="00387DA7">
        <w:rPr>
          <w:sz w:val="22"/>
          <w:szCs w:val="22"/>
          <w:lang w:eastAsia="ja-JP"/>
        </w:rPr>
        <w:t xml:space="preserve">17.28, </w:t>
      </w:r>
      <w:r w:rsidR="002F4D5C" w:rsidRPr="00387DA7">
        <w:rPr>
          <w:sz w:val="22"/>
          <w:szCs w:val="22"/>
          <w:lang w:eastAsia="ja-JP"/>
        </w:rPr>
        <w:t>a Finding for R</w:t>
      </w:r>
      <w:r w:rsidR="008F6A36" w:rsidRPr="00387DA7">
        <w:rPr>
          <w:sz w:val="22"/>
          <w:szCs w:val="22"/>
          <w:lang w:eastAsia="ja-JP"/>
        </w:rPr>
        <w:t>ecovery may exist</w:t>
      </w:r>
      <w:r w:rsidR="00042E14" w:rsidRPr="00387DA7">
        <w:rPr>
          <w:sz w:val="22"/>
          <w:szCs w:val="22"/>
          <w:lang w:eastAsia="ja-JP"/>
        </w:rPr>
        <w:t xml:space="preserve"> when</w:t>
      </w:r>
      <w:r w:rsidR="00C360FF" w:rsidRPr="00387DA7">
        <w:rPr>
          <w:sz w:val="22"/>
          <w:szCs w:val="22"/>
          <w:lang w:eastAsia="ja-JP"/>
        </w:rPr>
        <w:t>:</w:t>
      </w:r>
    </w:p>
    <w:p w14:paraId="6AB7F0D5"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lang w:eastAsia="ja-JP"/>
        </w:rPr>
      </w:pPr>
    </w:p>
    <w:p w14:paraId="2D9EFAC4" w14:textId="77777777" w:rsidR="008F6A36" w:rsidRPr="00387DA7" w:rsidRDefault="00042E14" w:rsidP="00DB4DA9">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710" w:hanging="990"/>
        <w:jc w:val="both"/>
        <w:rPr>
          <w:sz w:val="22"/>
          <w:szCs w:val="22"/>
          <w:lang w:eastAsia="ja-JP"/>
        </w:rPr>
      </w:pPr>
      <w:r w:rsidRPr="00387DA7">
        <w:rPr>
          <w:sz w:val="22"/>
          <w:szCs w:val="22"/>
          <w:lang w:eastAsia="ja-JP"/>
        </w:rPr>
        <w:t>P</w:t>
      </w:r>
      <w:r w:rsidR="008F6A36" w:rsidRPr="00387DA7">
        <w:rPr>
          <w:sz w:val="22"/>
          <w:szCs w:val="22"/>
          <w:lang w:eastAsia="ja-JP"/>
        </w:rPr>
        <w:t xml:space="preserve">ublic money has been illegally </w:t>
      </w:r>
      <w:proofErr w:type="gramStart"/>
      <w:r w:rsidR="008F6A36" w:rsidRPr="00387DA7">
        <w:rPr>
          <w:sz w:val="22"/>
          <w:szCs w:val="22"/>
          <w:lang w:eastAsia="ja-JP"/>
        </w:rPr>
        <w:t>expended;</w:t>
      </w:r>
      <w:proofErr w:type="gramEnd"/>
    </w:p>
    <w:p w14:paraId="4706ED72"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lang w:eastAsia="ja-JP"/>
        </w:rPr>
      </w:pPr>
    </w:p>
    <w:p w14:paraId="6FD009C0" w14:textId="77777777" w:rsidR="008F6A36" w:rsidRPr="00387DA7" w:rsidRDefault="00042E14" w:rsidP="00DB4DA9">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710" w:hanging="990"/>
        <w:jc w:val="both"/>
        <w:rPr>
          <w:sz w:val="22"/>
          <w:szCs w:val="22"/>
          <w:lang w:eastAsia="ja-JP"/>
        </w:rPr>
      </w:pPr>
      <w:r w:rsidRPr="00387DA7">
        <w:rPr>
          <w:sz w:val="22"/>
          <w:szCs w:val="22"/>
          <w:lang w:eastAsia="ja-JP"/>
        </w:rPr>
        <w:t>P</w:t>
      </w:r>
      <w:r w:rsidR="008F6A36" w:rsidRPr="00387DA7">
        <w:rPr>
          <w:sz w:val="22"/>
          <w:szCs w:val="22"/>
          <w:lang w:eastAsia="ja-JP"/>
        </w:rPr>
        <w:t xml:space="preserve">ublic money that has been collected has not been accounted </w:t>
      </w:r>
      <w:proofErr w:type="gramStart"/>
      <w:r w:rsidR="008F6A36" w:rsidRPr="00387DA7">
        <w:rPr>
          <w:sz w:val="22"/>
          <w:szCs w:val="22"/>
          <w:lang w:eastAsia="ja-JP"/>
        </w:rPr>
        <w:t>for;</w:t>
      </w:r>
      <w:proofErr w:type="gramEnd"/>
    </w:p>
    <w:p w14:paraId="1B12F4B4"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440"/>
        <w:jc w:val="both"/>
        <w:rPr>
          <w:sz w:val="22"/>
          <w:szCs w:val="22"/>
          <w:lang w:eastAsia="ja-JP"/>
        </w:rPr>
      </w:pPr>
    </w:p>
    <w:p w14:paraId="41424ADF" w14:textId="77777777" w:rsidR="008F6A36" w:rsidRPr="00387DA7" w:rsidRDefault="00042E14" w:rsidP="00DB4DA9">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710" w:hanging="990"/>
        <w:jc w:val="both"/>
        <w:rPr>
          <w:sz w:val="22"/>
          <w:szCs w:val="22"/>
          <w:lang w:eastAsia="ja-JP"/>
        </w:rPr>
      </w:pPr>
      <w:r w:rsidRPr="00387DA7">
        <w:rPr>
          <w:sz w:val="22"/>
          <w:szCs w:val="22"/>
          <w:lang w:eastAsia="ja-JP"/>
        </w:rPr>
        <w:t>P</w:t>
      </w:r>
      <w:r w:rsidR="008F6A36" w:rsidRPr="00387DA7">
        <w:rPr>
          <w:sz w:val="22"/>
          <w:szCs w:val="22"/>
          <w:lang w:eastAsia="ja-JP"/>
        </w:rPr>
        <w:t xml:space="preserve">ublic money that is due has not been collected; </w:t>
      </w:r>
      <w:r w:rsidR="00D54255" w:rsidRPr="00387DA7">
        <w:rPr>
          <w:sz w:val="22"/>
          <w:szCs w:val="22"/>
          <w:lang w:eastAsia="ja-JP"/>
        </w:rPr>
        <w:t>or when</w:t>
      </w:r>
    </w:p>
    <w:p w14:paraId="273F30AB"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440"/>
        <w:jc w:val="both"/>
        <w:rPr>
          <w:sz w:val="22"/>
          <w:szCs w:val="22"/>
          <w:lang w:eastAsia="ja-JP"/>
        </w:rPr>
      </w:pPr>
    </w:p>
    <w:p w14:paraId="3E3AD9ED" w14:textId="77777777" w:rsidR="008F6A36" w:rsidRPr="00387DA7" w:rsidRDefault="00042E14" w:rsidP="00DB4DA9">
      <w:pPr>
        <w:pStyle w:val="HTMLDefinition1"/>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710" w:hanging="990"/>
        <w:jc w:val="both"/>
        <w:rPr>
          <w:sz w:val="22"/>
          <w:szCs w:val="22"/>
          <w:lang w:eastAsia="ja-JP"/>
        </w:rPr>
      </w:pPr>
      <w:r w:rsidRPr="00387DA7">
        <w:rPr>
          <w:sz w:val="22"/>
          <w:szCs w:val="22"/>
          <w:lang w:eastAsia="ja-JP"/>
        </w:rPr>
        <w:t>P</w:t>
      </w:r>
      <w:r w:rsidR="008F6A36" w:rsidRPr="00387DA7">
        <w:rPr>
          <w:sz w:val="22"/>
          <w:szCs w:val="22"/>
          <w:lang w:eastAsia="ja-JP"/>
        </w:rPr>
        <w:t>ublic property has been converted or misappropriated.</w:t>
      </w:r>
    </w:p>
    <w:p w14:paraId="72C72FB6"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jc w:val="both"/>
        <w:rPr>
          <w:sz w:val="22"/>
          <w:szCs w:val="22"/>
          <w:lang w:eastAsia="ja-JP"/>
        </w:rPr>
      </w:pPr>
    </w:p>
    <w:p w14:paraId="5E7E586B"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Each of these is discussed below.</w:t>
      </w:r>
    </w:p>
    <w:p w14:paraId="3012F217"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61DE2170"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2"/>
          <w:szCs w:val="22"/>
          <w:lang w:eastAsia="ja-JP"/>
        </w:rPr>
      </w:pPr>
      <w:r w:rsidRPr="00387DA7">
        <w:rPr>
          <w:b/>
          <w:sz w:val="22"/>
          <w:szCs w:val="22"/>
          <w:lang w:eastAsia="ja-JP"/>
        </w:rPr>
        <w:t>1. Illegal Expenditure</w:t>
      </w:r>
    </w:p>
    <w:p w14:paraId="21B5B1A9"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26D706B" w14:textId="1D96FE6D"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 </w:t>
      </w:r>
      <w:r w:rsidR="002F4D5C" w:rsidRPr="00387DA7">
        <w:rPr>
          <w:sz w:val="22"/>
          <w:szCs w:val="22"/>
          <w:lang w:eastAsia="ja-JP"/>
        </w:rPr>
        <w:t>Finding for R</w:t>
      </w:r>
      <w:r w:rsidRPr="00387DA7">
        <w:rPr>
          <w:sz w:val="22"/>
          <w:szCs w:val="22"/>
          <w:lang w:eastAsia="ja-JP"/>
        </w:rPr>
        <w:t>ecovery for an illegal expenditure may be made only where the auditor</w:t>
      </w:r>
      <w:r w:rsidR="00C360FF" w:rsidRPr="00387DA7">
        <w:rPr>
          <w:sz w:val="22"/>
          <w:szCs w:val="22"/>
          <w:lang w:eastAsia="ja-JP"/>
        </w:rPr>
        <w:t xml:space="preserve"> (after consultation and advice from the Legal Division)</w:t>
      </w:r>
      <w:r w:rsidRPr="00387DA7">
        <w:rPr>
          <w:sz w:val="22"/>
          <w:szCs w:val="22"/>
          <w:lang w:eastAsia="ja-JP"/>
        </w:rPr>
        <w:t xml:space="preserve"> has concluded that the public office does not possess the legal authority for the expenditure in question.  This generally may occur where </w:t>
      </w:r>
      <w:r w:rsidR="00C360FF" w:rsidRPr="00387DA7">
        <w:rPr>
          <w:sz w:val="22"/>
          <w:szCs w:val="22"/>
          <w:lang w:eastAsia="ja-JP"/>
        </w:rPr>
        <w:t xml:space="preserve">the government either has </w:t>
      </w:r>
      <w:r w:rsidRPr="00387DA7">
        <w:rPr>
          <w:sz w:val="22"/>
          <w:szCs w:val="22"/>
          <w:lang w:eastAsia="ja-JP"/>
        </w:rPr>
        <w:t>no statutory authority (or the</w:t>
      </w:r>
      <w:r w:rsidR="00BE194D" w:rsidRPr="00387DA7">
        <w:rPr>
          <w:sz w:val="22"/>
          <w:szCs w:val="22"/>
          <w:lang w:eastAsia="ja-JP"/>
        </w:rPr>
        <w:t xml:space="preserve"> government exceeded the</w:t>
      </w:r>
      <w:r w:rsidRPr="00387DA7">
        <w:rPr>
          <w:sz w:val="22"/>
          <w:szCs w:val="22"/>
          <w:lang w:eastAsia="ja-JP"/>
        </w:rPr>
        <w:t xml:space="preserve"> authority</w:t>
      </w:r>
      <w:r w:rsidR="00BE194D" w:rsidRPr="00387DA7">
        <w:rPr>
          <w:sz w:val="22"/>
          <w:szCs w:val="22"/>
          <w:lang w:eastAsia="ja-JP"/>
        </w:rPr>
        <w:t xml:space="preserve"> statute provides</w:t>
      </w:r>
      <w:r w:rsidRPr="00387DA7">
        <w:rPr>
          <w:sz w:val="22"/>
          <w:szCs w:val="22"/>
          <w:lang w:eastAsia="ja-JP"/>
        </w:rPr>
        <w:t xml:space="preserve">) for the expenditure or there is no </w:t>
      </w:r>
      <w:r w:rsidR="008313E8" w:rsidRPr="00387DA7">
        <w:rPr>
          <w:i/>
          <w:sz w:val="22"/>
          <w:szCs w:val="22"/>
          <w:lang w:eastAsia="ja-JP"/>
        </w:rPr>
        <w:t xml:space="preserve">proper </w:t>
      </w:r>
      <w:r w:rsidRPr="00387DA7">
        <w:rPr>
          <w:i/>
          <w:sz w:val="22"/>
          <w:szCs w:val="22"/>
          <w:lang w:eastAsia="ja-JP"/>
        </w:rPr>
        <w:t>public purpose</w:t>
      </w:r>
      <w:r w:rsidRPr="00387DA7">
        <w:rPr>
          <w:sz w:val="22"/>
          <w:szCs w:val="22"/>
          <w:lang w:eastAsia="ja-JP"/>
        </w:rPr>
        <w:t xml:space="preserve"> for the </w:t>
      </w:r>
      <w:r w:rsidR="00F90A70" w:rsidRPr="00387DA7">
        <w:rPr>
          <w:sz w:val="22"/>
          <w:szCs w:val="22"/>
        </w:rPr>
        <w:t xml:space="preserve">expenditure. </w:t>
      </w:r>
      <w:r w:rsidR="00101FE1" w:rsidRPr="00387DA7">
        <w:rPr>
          <w:sz w:val="22"/>
          <w:szCs w:val="22"/>
          <w:lang w:eastAsia="ja-JP"/>
        </w:rPr>
        <w:t>When an illegal expenditure relates to a theft of cash, auditors should normally use the Public Property Converted or Misappropriated category for a Finding for Recovery.</w:t>
      </w:r>
    </w:p>
    <w:p w14:paraId="4B7E9269" w14:textId="77777777" w:rsidR="008316DF" w:rsidRPr="00387DA7" w:rsidRDefault="008316DF"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1C3A24E" w14:textId="44421A02" w:rsidR="001B1569"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Governmental units other than </w:t>
      </w:r>
      <w:r w:rsidR="007664B9" w:rsidRPr="00387DA7">
        <w:rPr>
          <w:sz w:val="22"/>
          <w:szCs w:val="22"/>
          <w:lang w:eastAsia="ja-JP"/>
        </w:rPr>
        <w:t>charter municipal corporations</w:t>
      </w:r>
      <w:r w:rsidR="008313E8" w:rsidRPr="00387DA7">
        <w:rPr>
          <w:sz w:val="22"/>
          <w:szCs w:val="22"/>
          <w:lang w:eastAsia="ja-JP"/>
        </w:rPr>
        <w:t xml:space="preserve"> </w:t>
      </w:r>
      <w:r w:rsidRPr="00387DA7">
        <w:rPr>
          <w:sz w:val="22"/>
          <w:szCs w:val="22"/>
          <w:lang w:eastAsia="ja-JP"/>
        </w:rPr>
        <w:t xml:space="preserve">generally possess only the authority expressly granted by statute or necessarily implied to carry out an express statutory function.  Thus, a governmental entity such as a </w:t>
      </w:r>
      <w:r w:rsidR="008313E8" w:rsidRPr="00387DA7">
        <w:rPr>
          <w:sz w:val="22"/>
          <w:szCs w:val="22"/>
          <w:lang w:eastAsia="ja-JP"/>
        </w:rPr>
        <w:t xml:space="preserve">school district or </w:t>
      </w:r>
      <w:r w:rsidRPr="00387DA7">
        <w:rPr>
          <w:sz w:val="22"/>
          <w:szCs w:val="22"/>
          <w:lang w:eastAsia="ja-JP"/>
        </w:rPr>
        <w:t xml:space="preserve">township may act only where a statutory grant of authority exists and, if </w:t>
      </w:r>
      <w:proofErr w:type="gramStart"/>
      <w:r w:rsidRPr="00387DA7">
        <w:rPr>
          <w:sz w:val="22"/>
          <w:szCs w:val="22"/>
          <w:lang w:eastAsia="ja-JP"/>
        </w:rPr>
        <w:t>any</w:t>
      </w:r>
      <w:proofErr w:type="gramEnd"/>
      <w:r w:rsidRPr="00387DA7">
        <w:rPr>
          <w:sz w:val="22"/>
          <w:szCs w:val="22"/>
          <w:lang w:eastAsia="ja-JP"/>
        </w:rPr>
        <w:t xml:space="preserve"> doubt </w:t>
      </w:r>
      <w:r w:rsidR="00CC7B5B" w:rsidRPr="00387DA7">
        <w:rPr>
          <w:sz w:val="22"/>
          <w:szCs w:val="22"/>
          <w:lang w:eastAsia="ja-JP"/>
        </w:rPr>
        <w:t>that</w:t>
      </w:r>
      <w:r w:rsidRPr="00387DA7">
        <w:rPr>
          <w:sz w:val="22"/>
          <w:szCs w:val="22"/>
          <w:lang w:eastAsia="ja-JP"/>
        </w:rPr>
        <w:t xml:space="preserve"> the authority exists, it must be resolved against the expenditure of publ</w:t>
      </w:r>
      <w:r w:rsidR="002F4D5C" w:rsidRPr="00387DA7">
        <w:rPr>
          <w:sz w:val="22"/>
          <w:szCs w:val="22"/>
          <w:lang w:eastAsia="ja-JP"/>
        </w:rPr>
        <w:t xml:space="preserve">ic monies.  If the basis for </w:t>
      </w:r>
      <w:proofErr w:type="gramStart"/>
      <w:r w:rsidR="002F4D5C" w:rsidRPr="00387DA7">
        <w:rPr>
          <w:sz w:val="22"/>
          <w:szCs w:val="22"/>
          <w:lang w:eastAsia="ja-JP"/>
        </w:rPr>
        <w:t>a Finding</w:t>
      </w:r>
      <w:proofErr w:type="gramEnd"/>
      <w:r w:rsidR="002F4D5C" w:rsidRPr="00387DA7">
        <w:rPr>
          <w:sz w:val="22"/>
          <w:szCs w:val="22"/>
          <w:lang w:eastAsia="ja-JP"/>
        </w:rPr>
        <w:t xml:space="preserve"> for R</w:t>
      </w:r>
      <w:r w:rsidRPr="00387DA7">
        <w:rPr>
          <w:sz w:val="22"/>
          <w:szCs w:val="22"/>
          <w:lang w:eastAsia="ja-JP"/>
        </w:rPr>
        <w:t xml:space="preserve">ecovery is that the governing body exceeded its statutory authority, a citation to a court decision containing a general description of the limited authority of the governmental unit is sufficient. </w:t>
      </w:r>
      <w:r w:rsidR="00C360FF" w:rsidRPr="00387DA7">
        <w:rPr>
          <w:sz w:val="22"/>
          <w:szCs w:val="22"/>
          <w:lang w:eastAsia="ja-JP"/>
        </w:rPr>
        <w:t xml:space="preserve"> </w:t>
      </w:r>
    </w:p>
    <w:p w14:paraId="59367435" w14:textId="77777777" w:rsidR="001B1569" w:rsidRPr="00387DA7" w:rsidRDefault="001B1569"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rPr>
          <w:sz w:val="22"/>
          <w:szCs w:val="22"/>
          <w:lang w:eastAsia="ja-JP"/>
        </w:rPr>
      </w:pPr>
    </w:p>
    <w:p w14:paraId="19150859" w14:textId="77777777" w:rsidR="008F6A36" w:rsidRPr="00387DA7" w:rsidRDefault="009770E2" w:rsidP="003B59D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i/>
          <w:sz w:val="22"/>
          <w:szCs w:val="22"/>
          <w:lang w:eastAsia="ja-JP"/>
        </w:rPr>
      </w:pPr>
      <w:r w:rsidRPr="00387DA7">
        <w:rPr>
          <w:b/>
          <w:i/>
          <w:sz w:val="22"/>
          <w:szCs w:val="22"/>
          <w:lang w:eastAsia="ja-JP"/>
        </w:rPr>
        <w:t>Proper Public Purpose</w:t>
      </w:r>
    </w:p>
    <w:p w14:paraId="56EDF1CF"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rPr>
          <w:sz w:val="22"/>
          <w:szCs w:val="22"/>
          <w:lang w:eastAsia="ja-JP"/>
        </w:rPr>
      </w:pPr>
    </w:p>
    <w:p w14:paraId="016263E0"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Governmental entities, without regard to their specific nature, may not expend</w:t>
      </w:r>
      <w:r w:rsidR="008313E8" w:rsidRPr="00387DA7">
        <w:rPr>
          <w:sz w:val="22"/>
          <w:szCs w:val="22"/>
          <w:lang w:eastAsia="ja-JP"/>
        </w:rPr>
        <w:t xml:space="preserve"> </w:t>
      </w:r>
      <w:r w:rsidRPr="00387DA7">
        <w:rPr>
          <w:sz w:val="22"/>
          <w:szCs w:val="22"/>
          <w:lang w:eastAsia="ja-JP"/>
        </w:rPr>
        <w:t xml:space="preserve">public monies unless they are for a </w:t>
      </w:r>
      <w:r w:rsidR="006A5F5B" w:rsidRPr="00387DA7">
        <w:rPr>
          <w:sz w:val="22"/>
          <w:szCs w:val="22"/>
          <w:lang w:eastAsia="ja-JP"/>
        </w:rPr>
        <w:t xml:space="preserve">proper (i.e. </w:t>
      </w:r>
      <w:r w:rsidRPr="00387DA7">
        <w:rPr>
          <w:sz w:val="22"/>
          <w:szCs w:val="22"/>
          <w:lang w:eastAsia="ja-JP"/>
        </w:rPr>
        <w:t>valid</w:t>
      </w:r>
      <w:r w:rsidR="006A5F5B" w:rsidRPr="00387DA7">
        <w:rPr>
          <w:sz w:val="22"/>
          <w:szCs w:val="22"/>
          <w:lang w:eastAsia="ja-JP"/>
        </w:rPr>
        <w:t>)</w:t>
      </w:r>
      <w:r w:rsidRPr="00387DA7">
        <w:rPr>
          <w:sz w:val="22"/>
          <w:szCs w:val="22"/>
          <w:lang w:eastAsia="ja-JP"/>
        </w:rPr>
        <w:t xml:space="preserve"> public purpose.  </w:t>
      </w:r>
    </w:p>
    <w:p w14:paraId="369E3B67"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F59ACA4" w14:textId="3C508568" w:rsidR="007D216D"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u w:val="single"/>
          <w:lang w:eastAsia="ja-JP"/>
        </w:rPr>
        <w:t>State ex rel. McClure v. Hagerman</w:t>
      </w:r>
      <w:r w:rsidRPr="00387DA7">
        <w:rPr>
          <w:sz w:val="22"/>
          <w:szCs w:val="22"/>
          <w:lang w:eastAsia="ja-JP"/>
        </w:rPr>
        <w:t>, 155 Ohio St.</w:t>
      </w:r>
      <w:r w:rsidR="000879A8" w:rsidRPr="00387DA7">
        <w:rPr>
          <w:sz w:val="22"/>
          <w:szCs w:val="22"/>
          <w:lang w:eastAsia="ja-JP"/>
        </w:rPr>
        <w:t xml:space="preserve"> 320</w:t>
      </w:r>
      <w:r w:rsidR="00B778B7" w:rsidRPr="00387DA7">
        <w:rPr>
          <w:sz w:val="22"/>
          <w:szCs w:val="22"/>
          <w:lang w:eastAsia="ja-JP"/>
        </w:rPr>
        <w:t xml:space="preserve"> (1951)</w:t>
      </w:r>
      <w:r w:rsidRPr="00387DA7">
        <w:rPr>
          <w:sz w:val="22"/>
          <w:szCs w:val="22"/>
          <w:lang w:eastAsia="ja-JP"/>
        </w:rPr>
        <w:t xml:space="preserve">, provides that governmental </w:t>
      </w:r>
      <w:r w:rsidR="006A5F5B" w:rsidRPr="00387DA7">
        <w:rPr>
          <w:sz w:val="22"/>
          <w:szCs w:val="22"/>
          <w:lang w:eastAsia="ja-JP"/>
        </w:rPr>
        <w:t xml:space="preserve">expenditures </w:t>
      </w:r>
      <w:r w:rsidRPr="00387DA7">
        <w:rPr>
          <w:sz w:val="22"/>
          <w:szCs w:val="22"/>
          <w:lang w:eastAsia="ja-JP"/>
        </w:rPr>
        <w:t>should serve a public purpose.</w:t>
      </w:r>
      <w:r w:rsidR="007D216D" w:rsidRPr="00387DA7">
        <w:rPr>
          <w:sz w:val="22"/>
          <w:szCs w:val="22"/>
          <w:lang w:eastAsia="ja-JP"/>
        </w:rPr>
        <w:t xml:space="preserve">  In</w:t>
      </w:r>
      <w:r w:rsidRPr="00387DA7">
        <w:rPr>
          <w:sz w:val="22"/>
          <w:szCs w:val="22"/>
          <w:lang w:eastAsia="ja-JP"/>
        </w:rPr>
        <w:t xml:space="preserve"> </w:t>
      </w:r>
      <w:r w:rsidRPr="00387DA7">
        <w:rPr>
          <w:sz w:val="22"/>
          <w:szCs w:val="22"/>
          <w:u w:val="single"/>
          <w:lang w:eastAsia="ja-JP"/>
        </w:rPr>
        <w:t>McClure</w:t>
      </w:r>
      <w:r w:rsidR="007D216D" w:rsidRPr="00387DA7">
        <w:rPr>
          <w:sz w:val="22"/>
          <w:szCs w:val="22"/>
          <w:lang w:eastAsia="ja-JP"/>
        </w:rPr>
        <w:t>, the Ohio Supreme Court offered the following guidelines to determine a public purpose:</w:t>
      </w:r>
    </w:p>
    <w:p w14:paraId="5E410D28" w14:textId="77777777" w:rsidR="003404B9" w:rsidRPr="00387DA7" w:rsidRDefault="003404B9"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0A2A1DC" w14:textId="77777777" w:rsidR="008F6A36" w:rsidRPr="00387DA7" w:rsidRDefault="007D216D" w:rsidP="00DB4DA9">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Whether the expenditure is for or promotes </w:t>
      </w:r>
      <w:proofErr w:type="gramStart"/>
      <w:r w:rsidRPr="00387DA7">
        <w:rPr>
          <w:sz w:val="22"/>
          <w:szCs w:val="22"/>
          <w:lang w:eastAsia="ja-JP"/>
        </w:rPr>
        <w:t>the public</w:t>
      </w:r>
      <w:proofErr w:type="gramEnd"/>
      <w:r w:rsidRPr="00387DA7">
        <w:rPr>
          <w:sz w:val="22"/>
          <w:szCs w:val="22"/>
          <w:lang w:eastAsia="ja-JP"/>
        </w:rPr>
        <w:t xml:space="preserve"> health, safety, morals or general </w:t>
      </w:r>
      <w:proofErr w:type="gramStart"/>
      <w:r w:rsidRPr="00387DA7">
        <w:rPr>
          <w:sz w:val="22"/>
          <w:szCs w:val="22"/>
          <w:lang w:eastAsia="ja-JP"/>
        </w:rPr>
        <w:t>welfare;</w:t>
      </w:r>
      <w:proofErr w:type="gramEnd"/>
    </w:p>
    <w:p w14:paraId="7A281EBB" w14:textId="77777777" w:rsidR="007D216D" w:rsidRPr="00387DA7" w:rsidRDefault="007D216D" w:rsidP="00DB4DA9">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Whether the primary objective is to promote a public purpose, although it may incidentally advance a private </w:t>
      </w:r>
      <w:proofErr w:type="gramStart"/>
      <w:r w:rsidRPr="00387DA7">
        <w:rPr>
          <w:sz w:val="22"/>
          <w:szCs w:val="22"/>
          <w:lang w:eastAsia="ja-JP"/>
        </w:rPr>
        <w:t>interest;</w:t>
      </w:r>
      <w:proofErr w:type="gramEnd"/>
    </w:p>
    <w:p w14:paraId="702FD368" w14:textId="77777777" w:rsidR="007D216D" w:rsidRPr="00387DA7" w:rsidRDefault="007D216D" w:rsidP="00DB4DA9">
      <w:pPr>
        <w:numPr>
          <w:ilvl w:val="0"/>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If there has been a prospective legislative determination of a proper public purpose.</w:t>
      </w:r>
    </w:p>
    <w:p w14:paraId="75CE42AD" w14:textId="77777777" w:rsidR="00991FF1" w:rsidRPr="00387DA7" w:rsidRDefault="00991FF1"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4E0D778" w14:textId="384D32F8" w:rsidR="00991FF1" w:rsidRPr="00387DA7" w:rsidRDefault="00F631E1"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i/>
          <w:sz w:val="22"/>
          <w:szCs w:val="22"/>
          <w:lang w:eastAsia="ja-JP"/>
        </w:rPr>
      </w:pPr>
      <w:r w:rsidRPr="00387DA7">
        <w:rPr>
          <w:sz w:val="22"/>
          <w:szCs w:val="22"/>
          <w:lang w:eastAsia="ja-JP"/>
        </w:rPr>
        <w:t xml:space="preserve">See </w:t>
      </w:r>
      <w:hyperlink r:id="rId22" w:history="1">
        <w:r w:rsidRPr="00387DA7">
          <w:rPr>
            <w:rStyle w:val="Hyperlink"/>
            <w:sz w:val="22"/>
            <w:szCs w:val="22"/>
            <w:lang w:eastAsia="ja-JP"/>
          </w:rPr>
          <w:t>AOS Bulletins</w:t>
        </w:r>
      </w:hyperlink>
      <w:r w:rsidRPr="00387DA7">
        <w:rPr>
          <w:sz w:val="22"/>
          <w:szCs w:val="22"/>
          <w:lang w:eastAsia="ja-JP"/>
        </w:rPr>
        <w:t xml:space="preserve"> 2014-002, 2014-003, 2004-002, and 2003-005 for further guidance regarding </w:t>
      </w:r>
      <w:r w:rsidRPr="00387DA7">
        <w:rPr>
          <w:i/>
          <w:sz w:val="22"/>
          <w:szCs w:val="22"/>
          <w:lang w:eastAsia="ja-JP"/>
        </w:rPr>
        <w:t>proper public purpose.</w:t>
      </w:r>
    </w:p>
    <w:p w14:paraId="40B6CA5F" w14:textId="77777777" w:rsidR="00991FF1" w:rsidRPr="00387DA7" w:rsidRDefault="00991FF1"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F7E65B2"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courts will not substitute their </w:t>
      </w:r>
      <w:r w:rsidR="000879A8" w:rsidRPr="00387DA7">
        <w:rPr>
          <w:sz w:val="22"/>
          <w:szCs w:val="22"/>
          <w:lang w:eastAsia="ja-JP"/>
        </w:rPr>
        <w:t>judgment</w:t>
      </w:r>
      <w:r w:rsidRPr="00387DA7">
        <w:rPr>
          <w:sz w:val="22"/>
          <w:szCs w:val="22"/>
          <w:lang w:eastAsia="ja-JP"/>
        </w:rPr>
        <w:t xml:space="preserve"> for that of the authorities unless the latter's exercise of </w:t>
      </w:r>
      <w:r w:rsidR="000879A8" w:rsidRPr="00387DA7">
        <w:rPr>
          <w:sz w:val="22"/>
          <w:szCs w:val="22"/>
          <w:lang w:eastAsia="ja-JP"/>
        </w:rPr>
        <w:t>judgment</w:t>
      </w:r>
      <w:r w:rsidRPr="00387DA7">
        <w:rPr>
          <w:sz w:val="22"/>
          <w:szCs w:val="22"/>
          <w:lang w:eastAsia="ja-JP"/>
        </w:rPr>
        <w:t xml:space="preserve"> or discretion is shown to have been unquestionably abused.</w:t>
      </w:r>
    </w:p>
    <w:p w14:paraId="6F102691"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9A47EC3" w14:textId="58D14724" w:rsidR="008F6A36" w:rsidRPr="00387DA7" w:rsidRDefault="00F631E1"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In general, if the principal benefit is for the public, an expenditure is not invalid merely because a private party derives an incidental benefit.  A public officer’s determination that a contemplated expenditure serves a valid public purpose is generally not subject to question unless this determination is "palpably and manifestly arbitrary and incorrect."  (Except for limited exceptions made for agricultural societies and other public offices purchasing alcohol only for resale, disbursing public money for </w:t>
      </w:r>
      <w:bookmarkStart w:id="24" w:name="_Ref376946765"/>
      <w:r w:rsidRPr="00387DA7">
        <w:rPr>
          <w:sz w:val="22"/>
          <w:szCs w:val="22"/>
          <w:lang w:eastAsia="ja-JP"/>
        </w:rPr>
        <w:t xml:space="preserve">alcohol </w:t>
      </w:r>
      <w:bookmarkEnd w:id="24"/>
      <w:r w:rsidR="002F4D5C" w:rsidRPr="00387DA7">
        <w:rPr>
          <w:sz w:val="22"/>
          <w:szCs w:val="22"/>
          <w:lang w:eastAsia="ja-JP"/>
        </w:rPr>
        <w:t>will result in a Finding for R</w:t>
      </w:r>
      <w:r w:rsidRPr="00387DA7">
        <w:rPr>
          <w:sz w:val="22"/>
          <w:szCs w:val="22"/>
          <w:lang w:eastAsia="ja-JP"/>
        </w:rPr>
        <w:t xml:space="preserve">ecovery, per </w:t>
      </w:r>
      <w:r w:rsidR="00EC4589" w:rsidRPr="00387DA7">
        <w:rPr>
          <w:sz w:val="22"/>
          <w:szCs w:val="22"/>
          <w:lang w:eastAsia="ja-JP"/>
        </w:rPr>
        <w:t xml:space="preserve">AOS </w:t>
      </w:r>
      <w:r w:rsidRPr="00387DA7">
        <w:rPr>
          <w:sz w:val="22"/>
          <w:szCs w:val="22"/>
          <w:lang w:eastAsia="ja-JP"/>
        </w:rPr>
        <w:t>Bulletins 2014-002 and 2014-003</w:t>
      </w:r>
      <w:r w:rsidRPr="00387DA7">
        <w:rPr>
          <w:rStyle w:val="FootnoteReference"/>
          <w:sz w:val="22"/>
          <w:szCs w:val="22"/>
          <w:lang w:eastAsia="ja-JP"/>
        </w:rPr>
        <w:footnoteReference w:id="13"/>
      </w:r>
      <w:r w:rsidR="009D12DF" w:rsidRPr="00387DA7">
        <w:rPr>
          <w:sz w:val="22"/>
          <w:szCs w:val="22"/>
          <w:lang w:eastAsia="ja-JP"/>
        </w:rPr>
        <w:t>.</w:t>
      </w:r>
      <w:r w:rsidR="008923E8" w:rsidRPr="00387DA7">
        <w:rPr>
          <w:sz w:val="22"/>
          <w:szCs w:val="22"/>
          <w:lang w:eastAsia="ja-JP"/>
        </w:rPr>
        <w:t>)</w:t>
      </w:r>
    </w:p>
    <w:p w14:paraId="169FE2DF"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ECF4B4C" w14:textId="77777777" w:rsidR="008F6A36" w:rsidRPr="00387DA7" w:rsidRDefault="008F6A36" w:rsidP="004326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Before the discretionary determination of the governing body that a given expenditure serves a public purpose may be overruled, the auditor </w:t>
      </w:r>
      <w:r w:rsidR="008923E8" w:rsidRPr="00387DA7">
        <w:rPr>
          <w:sz w:val="22"/>
          <w:szCs w:val="22"/>
          <w:lang w:eastAsia="ja-JP"/>
        </w:rPr>
        <w:t xml:space="preserve">must consult with the Legal Division </w:t>
      </w:r>
      <w:r w:rsidR="00324AA0" w:rsidRPr="00387DA7">
        <w:rPr>
          <w:sz w:val="22"/>
          <w:szCs w:val="22"/>
          <w:lang w:eastAsia="ja-JP"/>
        </w:rPr>
        <w:t xml:space="preserve">and </w:t>
      </w:r>
      <w:r w:rsidRPr="00387DA7">
        <w:rPr>
          <w:sz w:val="22"/>
          <w:szCs w:val="22"/>
          <w:lang w:eastAsia="ja-JP"/>
        </w:rPr>
        <w:t>cit</w:t>
      </w:r>
      <w:r w:rsidR="00D54255" w:rsidRPr="00387DA7">
        <w:rPr>
          <w:sz w:val="22"/>
          <w:szCs w:val="22"/>
          <w:lang w:eastAsia="ja-JP"/>
        </w:rPr>
        <w:t>e</w:t>
      </w:r>
      <w:r w:rsidRPr="00387DA7">
        <w:rPr>
          <w:sz w:val="22"/>
          <w:szCs w:val="22"/>
          <w:lang w:eastAsia="ja-JP"/>
        </w:rPr>
        <w:t xml:space="preserve"> a specific prohibition against the class of expenditure in question or must have </w:t>
      </w:r>
      <w:r w:rsidR="008923E8" w:rsidRPr="00387DA7">
        <w:rPr>
          <w:sz w:val="22"/>
          <w:szCs w:val="22"/>
          <w:lang w:eastAsia="ja-JP"/>
        </w:rPr>
        <w:t xml:space="preserve">facts to support </w:t>
      </w:r>
      <w:r w:rsidRPr="00387DA7">
        <w:rPr>
          <w:sz w:val="22"/>
          <w:szCs w:val="22"/>
          <w:lang w:eastAsia="ja-JP"/>
        </w:rPr>
        <w:t>a conclusion that the local determination was "</w:t>
      </w:r>
      <w:r w:rsidR="00F8477F" w:rsidRPr="00387DA7">
        <w:rPr>
          <w:sz w:val="22"/>
          <w:szCs w:val="22"/>
          <w:lang w:eastAsia="ja-JP"/>
        </w:rPr>
        <w:t>palpably</w:t>
      </w:r>
      <w:r w:rsidRPr="00387DA7">
        <w:rPr>
          <w:sz w:val="22"/>
          <w:szCs w:val="22"/>
          <w:lang w:eastAsia="ja-JP"/>
        </w:rPr>
        <w:t xml:space="preserve"> and manifestly arbitrary and incorrect."</w:t>
      </w:r>
    </w:p>
    <w:p w14:paraId="4188649F" w14:textId="77777777" w:rsidR="00137043" w:rsidRPr="00387DA7" w:rsidRDefault="00137043" w:rsidP="0043264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8890294" w14:textId="1B996921"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While auditing expenditures, the auditor should scan or perform other analytical procedures looking for unusual or nonrecurring items and determine the reasonableness of designations of public purpose.  Any questionable items can be discussed with </w:t>
      </w:r>
      <w:r w:rsidR="008D5497" w:rsidRPr="00387DA7">
        <w:rPr>
          <w:sz w:val="22"/>
          <w:szCs w:val="22"/>
          <w:lang w:eastAsia="ja-JP"/>
        </w:rPr>
        <w:t xml:space="preserve">the </w:t>
      </w:r>
      <w:r w:rsidRPr="00387DA7">
        <w:rPr>
          <w:sz w:val="22"/>
          <w:szCs w:val="22"/>
          <w:lang w:eastAsia="ja-JP"/>
        </w:rPr>
        <w:t xml:space="preserve">appropriate regional </w:t>
      </w:r>
      <w:r w:rsidR="008923E8" w:rsidRPr="00387DA7">
        <w:rPr>
          <w:sz w:val="22"/>
          <w:szCs w:val="22"/>
          <w:lang w:eastAsia="ja-JP"/>
        </w:rPr>
        <w:t>chief a</w:t>
      </w:r>
      <w:r w:rsidR="007655B1" w:rsidRPr="00387DA7">
        <w:rPr>
          <w:sz w:val="22"/>
          <w:szCs w:val="22"/>
          <w:lang w:eastAsia="ja-JP"/>
        </w:rPr>
        <w:t>uditor</w:t>
      </w:r>
      <w:r w:rsidR="008923E8" w:rsidRPr="00387DA7">
        <w:rPr>
          <w:sz w:val="22"/>
          <w:szCs w:val="22"/>
          <w:lang w:eastAsia="ja-JP"/>
        </w:rPr>
        <w:t>, who should consult with the Legal Division</w:t>
      </w:r>
      <w:r w:rsidR="00DA50C3" w:rsidRPr="00387DA7">
        <w:rPr>
          <w:sz w:val="22"/>
          <w:szCs w:val="22"/>
          <w:lang w:eastAsia="ja-JP"/>
        </w:rPr>
        <w:t>.</w:t>
      </w:r>
      <w:r w:rsidR="009B4BF1" w:rsidRPr="00387DA7">
        <w:rPr>
          <w:sz w:val="22"/>
          <w:szCs w:val="22"/>
          <w:lang w:eastAsia="ja-JP"/>
        </w:rPr>
        <w:t xml:space="preserve">  In some instances, where a public office has </w:t>
      </w:r>
      <w:r w:rsidR="00CA25D2" w:rsidRPr="001D2DFD">
        <w:rPr>
          <w:strike/>
          <w:sz w:val="22"/>
          <w:szCs w:val="22"/>
          <w:lang w:eastAsia="ja-JP"/>
        </w:rPr>
        <w:t>paid</w:t>
      </w:r>
      <w:r w:rsidR="00CA25D2" w:rsidRPr="00387DA7">
        <w:rPr>
          <w:sz w:val="22"/>
          <w:szCs w:val="22"/>
          <w:lang w:eastAsia="ja-JP"/>
        </w:rPr>
        <w:t xml:space="preserve"> </w:t>
      </w:r>
      <w:r w:rsidR="007E0A28" w:rsidRPr="001D2DFD">
        <w:rPr>
          <w:sz w:val="22"/>
          <w:szCs w:val="22"/>
          <w:u w:val="wave"/>
          <w:lang w:eastAsia="ja-JP"/>
        </w:rPr>
        <w:t>a pattern of paying</w:t>
      </w:r>
      <w:r w:rsidR="007E0A28" w:rsidRPr="00387DA7">
        <w:rPr>
          <w:sz w:val="22"/>
          <w:szCs w:val="22"/>
          <w:lang w:eastAsia="ja-JP"/>
        </w:rPr>
        <w:t xml:space="preserve"> </w:t>
      </w:r>
      <w:r w:rsidR="009B4BF1" w:rsidRPr="00387DA7">
        <w:rPr>
          <w:sz w:val="22"/>
          <w:szCs w:val="22"/>
          <w:lang w:eastAsia="ja-JP"/>
        </w:rPr>
        <w:t xml:space="preserve">late fees, penalties, and/or interest </w:t>
      </w:r>
      <w:r w:rsidR="005E3E8E" w:rsidRPr="00387DA7">
        <w:rPr>
          <w:sz w:val="22"/>
          <w:szCs w:val="22"/>
          <w:lang w:eastAsia="ja-JP"/>
        </w:rPr>
        <w:t xml:space="preserve">charges </w:t>
      </w:r>
      <w:r w:rsidR="009B4BF1" w:rsidRPr="00387DA7">
        <w:rPr>
          <w:sz w:val="22"/>
          <w:szCs w:val="22"/>
          <w:lang w:eastAsia="ja-JP"/>
        </w:rPr>
        <w:t xml:space="preserve">because of a public officer’s </w:t>
      </w:r>
      <w:r w:rsidR="009B4BF1" w:rsidRPr="00387DA7">
        <w:rPr>
          <w:i/>
          <w:iCs/>
          <w:sz w:val="22"/>
          <w:szCs w:val="22"/>
          <w:lang w:eastAsia="ja-JP"/>
        </w:rPr>
        <w:t>gross negligence</w:t>
      </w:r>
      <w:r w:rsidR="005226EE" w:rsidRPr="001D2DFD">
        <w:rPr>
          <w:rStyle w:val="FootnoteReference"/>
          <w:i/>
          <w:iCs/>
          <w:sz w:val="22"/>
          <w:szCs w:val="22"/>
          <w:u w:val="wave"/>
          <w:lang w:eastAsia="ja-JP"/>
        </w:rPr>
        <w:footnoteReference w:id="14"/>
      </w:r>
      <w:r w:rsidR="009B4BF1" w:rsidRPr="001D2DFD">
        <w:rPr>
          <w:sz w:val="22"/>
          <w:szCs w:val="22"/>
          <w:u w:val="wave"/>
          <w:lang w:eastAsia="ja-JP"/>
        </w:rPr>
        <w:t xml:space="preserve"> </w:t>
      </w:r>
      <w:r w:rsidR="009B4BF1" w:rsidRPr="00387DA7">
        <w:rPr>
          <w:sz w:val="22"/>
          <w:szCs w:val="22"/>
          <w:lang w:eastAsia="ja-JP"/>
        </w:rPr>
        <w:t xml:space="preserve">by failing to properly remit, the </w:t>
      </w:r>
      <w:proofErr w:type="gramStart"/>
      <w:r w:rsidR="009B4BF1" w:rsidRPr="00387DA7">
        <w:rPr>
          <w:sz w:val="22"/>
          <w:szCs w:val="22"/>
          <w:lang w:eastAsia="ja-JP"/>
        </w:rPr>
        <w:t>amount</w:t>
      </w:r>
      <w:proofErr w:type="gramEnd"/>
      <w:r w:rsidR="009B4BF1" w:rsidRPr="00387DA7">
        <w:rPr>
          <w:sz w:val="22"/>
          <w:szCs w:val="22"/>
          <w:lang w:eastAsia="ja-JP"/>
        </w:rPr>
        <w:t xml:space="preserve"> of penalties, etc. may be determined to not serve a proper publ</w:t>
      </w:r>
      <w:r w:rsidR="002F4D5C" w:rsidRPr="00387DA7">
        <w:rPr>
          <w:sz w:val="22"/>
          <w:szCs w:val="22"/>
          <w:lang w:eastAsia="ja-JP"/>
        </w:rPr>
        <w:t>ic purpose and may result in a Finding for R</w:t>
      </w:r>
      <w:r w:rsidR="009B4BF1" w:rsidRPr="00387DA7">
        <w:rPr>
          <w:sz w:val="22"/>
          <w:szCs w:val="22"/>
          <w:lang w:eastAsia="ja-JP"/>
        </w:rPr>
        <w:t xml:space="preserve">ecovery. </w:t>
      </w:r>
      <w:r w:rsidR="005D1B8B" w:rsidRPr="00387DA7">
        <w:rPr>
          <w:sz w:val="22"/>
          <w:szCs w:val="22"/>
          <w:lang w:eastAsia="ja-JP"/>
        </w:rPr>
        <w:t xml:space="preserve"> </w:t>
      </w:r>
      <w:r w:rsidR="009B4BF1" w:rsidRPr="00387DA7">
        <w:rPr>
          <w:sz w:val="22"/>
          <w:szCs w:val="22"/>
          <w:lang w:eastAsia="ja-JP"/>
        </w:rPr>
        <w:t xml:space="preserve">Some factors to be considered in </w:t>
      </w:r>
      <w:r w:rsidR="002F4D5C" w:rsidRPr="00387DA7">
        <w:rPr>
          <w:sz w:val="22"/>
          <w:szCs w:val="22"/>
          <w:lang w:eastAsia="ja-JP"/>
        </w:rPr>
        <w:t xml:space="preserve">determining whether </w:t>
      </w:r>
      <w:r w:rsidR="00B21D33" w:rsidRPr="00387DA7">
        <w:rPr>
          <w:sz w:val="22"/>
          <w:szCs w:val="22"/>
          <w:lang w:eastAsia="ja-JP"/>
        </w:rPr>
        <w:t>gross negligence has occurred</w:t>
      </w:r>
      <w:r w:rsidR="009B4BF1" w:rsidRPr="00387DA7">
        <w:rPr>
          <w:sz w:val="22"/>
          <w:szCs w:val="22"/>
          <w:lang w:eastAsia="ja-JP"/>
        </w:rPr>
        <w:t xml:space="preserve"> </w:t>
      </w:r>
      <w:proofErr w:type="gramStart"/>
      <w:r w:rsidR="009B4BF1" w:rsidRPr="00387DA7">
        <w:rPr>
          <w:sz w:val="22"/>
          <w:szCs w:val="22"/>
          <w:lang w:eastAsia="ja-JP"/>
        </w:rPr>
        <w:t>include:</w:t>
      </w:r>
      <w:proofErr w:type="gramEnd"/>
      <w:r w:rsidR="009B4BF1" w:rsidRPr="00387DA7">
        <w:rPr>
          <w:sz w:val="22"/>
          <w:szCs w:val="22"/>
          <w:lang w:eastAsia="ja-JP"/>
        </w:rPr>
        <w:t xml:space="preserve"> total amount, length of time withheld amounts are not remitted, repetition</w:t>
      </w:r>
      <w:r w:rsidR="00B21D33" w:rsidRPr="00387DA7">
        <w:rPr>
          <w:sz w:val="22"/>
          <w:szCs w:val="22"/>
          <w:lang w:eastAsia="ja-JP"/>
        </w:rPr>
        <w:t xml:space="preserve">, </w:t>
      </w:r>
      <w:r w:rsidR="000C4D1F" w:rsidRPr="00387DA7">
        <w:rPr>
          <w:sz w:val="22"/>
          <w:szCs w:val="22"/>
          <w:lang w:eastAsia="ja-JP"/>
        </w:rPr>
        <w:t xml:space="preserve">extenuating circumstances, if it was the result of a prior fiscal officer, </w:t>
      </w:r>
      <w:r w:rsidR="00B21D33" w:rsidRPr="00387DA7">
        <w:rPr>
          <w:sz w:val="22"/>
          <w:szCs w:val="22"/>
          <w:lang w:eastAsia="ja-JP"/>
        </w:rPr>
        <w:t>and reason for the failure to remit</w:t>
      </w:r>
      <w:r w:rsidR="009B4BF1" w:rsidRPr="00387DA7">
        <w:rPr>
          <w:sz w:val="22"/>
          <w:szCs w:val="22"/>
          <w:lang w:eastAsia="ja-JP"/>
        </w:rPr>
        <w:t>.</w:t>
      </w:r>
      <w:r w:rsidR="005D1B8B" w:rsidRPr="00387DA7">
        <w:rPr>
          <w:sz w:val="22"/>
          <w:szCs w:val="22"/>
          <w:lang w:eastAsia="ja-JP"/>
        </w:rPr>
        <w:t xml:space="preserve"> </w:t>
      </w:r>
      <w:r w:rsidR="009B4BF1" w:rsidRPr="00387DA7">
        <w:rPr>
          <w:sz w:val="22"/>
          <w:szCs w:val="22"/>
          <w:lang w:eastAsia="ja-JP"/>
        </w:rPr>
        <w:t xml:space="preserve"> The actual withheld amounts not yet remitted may result in a referral to the appropriate ag</w:t>
      </w:r>
      <w:r w:rsidR="002F4D5C" w:rsidRPr="00387DA7">
        <w:rPr>
          <w:sz w:val="22"/>
          <w:szCs w:val="22"/>
          <w:lang w:eastAsia="ja-JP"/>
        </w:rPr>
        <w:t>ency, but will not result in a Finding for R</w:t>
      </w:r>
      <w:r w:rsidR="009B4BF1" w:rsidRPr="00387DA7">
        <w:rPr>
          <w:sz w:val="22"/>
          <w:szCs w:val="22"/>
          <w:lang w:eastAsia="ja-JP"/>
        </w:rPr>
        <w:t>ecovery</w:t>
      </w:r>
      <w:r w:rsidR="00752513" w:rsidRPr="00387DA7">
        <w:rPr>
          <w:sz w:val="22"/>
          <w:szCs w:val="22"/>
        </w:rPr>
        <w:t>, unless specifically included in a restitution order as described later.</w:t>
      </w:r>
    </w:p>
    <w:p w14:paraId="1D0EE15E" w14:textId="77777777" w:rsidR="00A94CC3" w:rsidRPr="00387DA7" w:rsidRDefault="00A94CC3"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5EE8A63E"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2"/>
          <w:szCs w:val="22"/>
          <w:lang w:eastAsia="ja-JP"/>
        </w:rPr>
      </w:pPr>
      <w:r w:rsidRPr="00387DA7">
        <w:rPr>
          <w:b/>
          <w:sz w:val="22"/>
          <w:szCs w:val="22"/>
          <w:lang w:eastAsia="ja-JP"/>
        </w:rPr>
        <w:t xml:space="preserve">2. Collected </w:t>
      </w:r>
      <w:r w:rsidR="009E462B" w:rsidRPr="00387DA7">
        <w:rPr>
          <w:b/>
          <w:sz w:val="22"/>
          <w:szCs w:val="22"/>
          <w:lang w:eastAsia="ja-JP"/>
        </w:rPr>
        <w:t>but</w:t>
      </w:r>
      <w:r w:rsidRPr="00387DA7">
        <w:rPr>
          <w:b/>
          <w:sz w:val="22"/>
          <w:szCs w:val="22"/>
          <w:lang w:eastAsia="ja-JP"/>
        </w:rPr>
        <w:t xml:space="preserve"> Unaccounted For</w:t>
      </w:r>
    </w:p>
    <w:p w14:paraId="1E3E8339"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71FB5D60" w14:textId="05E51710" w:rsidR="00E86103" w:rsidRPr="00387DA7" w:rsidRDefault="002F4D5C" w:rsidP="00243EC1">
      <w:pPr>
        <w:pStyle w:val="BodyText"/>
        <w:ind w:right="-54"/>
        <w:jc w:val="both"/>
        <w:rPr>
          <w:sz w:val="22"/>
          <w:szCs w:val="22"/>
        </w:rPr>
      </w:pPr>
      <w:r w:rsidRPr="00387DA7">
        <w:rPr>
          <w:sz w:val="22"/>
          <w:szCs w:val="22"/>
          <w:lang w:eastAsia="ja-JP"/>
        </w:rPr>
        <w:t>A Finding for R</w:t>
      </w:r>
      <w:r w:rsidR="008F6A36" w:rsidRPr="00387DA7">
        <w:rPr>
          <w:sz w:val="22"/>
          <w:szCs w:val="22"/>
          <w:lang w:eastAsia="ja-JP"/>
        </w:rPr>
        <w:t>ecovery for public money collected but unaccounted for</w:t>
      </w:r>
      <w:r w:rsidR="008610B6" w:rsidRPr="00387DA7">
        <w:rPr>
          <w:sz w:val="22"/>
          <w:szCs w:val="22"/>
          <w:lang w:eastAsia="ja-JP"/>
        </w:rPr>
        <w:t>,</w:t>
      </w:r>
      <w:r w:rsidR="008F6A36" w:rsidRPr="00387DA7">
        <w:rPr>
          <w:sz w:val="22"/>
          <w:szCs w:val="22"/>
          <w:lang w:eastAsia="ja-JP"/>
        </w:rPr>
        <w:t xml:space="preserve"> should be made where the auditor</w:t>
      </w:r>
      <w:r w:rsidR="00E54CD2" w:rsidRPr="00387DA7">
        <w:rPr>
          <w:sz w:val="22"/>
          <w:szCs w:val="22"/>
          <w:lang w:eastAsia="ja-JP"/>
        </w:rPr>
        <w:t>, after consultation with and advice from the Legal Division,</w:t>
      </w:r>
      <w:r w:rsidR="008F6A36" w:rsidRPr="00387DA7">
        <w:rPr>
          <w:sz w:val="22"/>
          <w:szCs w:val="22"/>
          <w:lang w:eastAsia="ja-JP"/>
        </w:rPr>
        <w:t xml:space="preserve"> concludes that public money, as defined in Ohio Rev. </w:t>
      </w:r>
      <w:r w:rsidR="00FD3963" w:rsidRPr="00387DA7">
        <w:rPr>
          <w:sz w:val="22"/>
          <w:szCs w:val="22"/>
          <w:lang w:eastAsia="ja-JP"/>
        </w:rPr>
        <w:t xml:space="preserve">Code </w:t>
      </w:r>
      <w:r w:rsidR="009B4BF1" w:rsidRPr="00387DA7">
        <w:rPr>
          <w:sz w:val="22"/>
          <w:szCs w:val="22"/>
          <w:lang w:eastAsia="ja-JP"/>
        </w:rPr>
        <w:t>§ 1</w:t>
      </w:r>
      <w:r w:rsidR="008F6A36" w:rsidRPr="00387DA7">
        <w:rPr>
          <w:sz w:val="22"/>
          <w:szCs w:val="22"/>
          <w:lang w:eastAsia="ja-JP"/>
        </w:rPr>
        <w:t xml:space="preserve">17.01, has been received by the public office, but cannot be adequately accounted for by authorized disbursements of </w:t>
      </w:r>
      <w:r w:rsidR="00E86103" w:rsidRPr="00387DA7">
        <w:rPr>
          <w:sz w:val="22"/>
          <w:szCs w:val="22"/>
        </w:rPr>
        <w:t xml:space="preserve">public </w:t>
      </w:r>
      <w:r w:rsidR="0028373D" w:rsidRPr="00387DA7">
        <w:rPr>
          <w:sz w:val="22"/>
          <w:szCs w:val="22"/>
        </w:rPr>
        <w:t>mon</w:t>
      </w:r>
      <w:r w:rsidR="00A517CF" w:rsidRPr="00387DA7">
        <w:rPr>
          <w:sz w:val="22"/>
          <w:szCs w:val="22"/>
        </w:rPr>
        <w:t>ie</w:t>
      </w:r>
      <w:r w:rsidR="0028373D" w:rsidRPr="00387DA7">
        <w:rPr>
          <w:sz w:val="22"/>
          <w:szCs w:val="22"/>
        </w:rPr>
        <w:t>s</w:t>
      </w:r>
      <w:r w:rsidR="00E86103" w:rsidRPr="00387DA7">
        <w:rPr>
          <w:sz w:val="22"/>
          <w:szCs w:val="22"/>
        </w:rPr>
        <w:t>. When the missing collections relate to a theft of cash, auditors should normally use the Public Property Converted or Misappropriated category for a Finding for</w:t>
      </w:r>
      <w:r w:rsidR="00E86103" w:rsidRPr="00387DA7">
        <w:rPr>
          <w:spacing w:val="-2"/>
          <w:sz w:val="22"/>
          <w:szCs w:val="22"/>
        </w:rPr>
        <w:t xml:space="preserve"> </w:t>
      </w:r>
      <w:r w:rsidR="00E86103" w:rsidRPr="00387DA7">
        <w:rPr>
          <w:sz w:val="22"/>
          <w:szCs w:val="22"/>
        </w:rPr>
        <w:t>Recovery.</w:t>
      </w:r>
    </w:p>
    <w:p w14:paraId="3F91124B" w14:textId="533A1F7D" w:rsidR="0045572C" w:rsidRPr="00387DA7" w:rsidRDefault="0045572C"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B779D0A" w14:textId="57139902"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A mere unidentified shortage of public mon</w:t>
      </w:r>
      <w:r w:rsidR="002A557C" w:rsidRPr="00387DA7">
        <w:rPr>
          <w:sz w:val="22"/>
          <w:szCs w:val="22"/>
          <w:lang w:eastAsia="ja-JP"/>
        </w:rPr>
        <w:t>i</w:t>
      </w:r>
      <w:r w:rsidRPr="00387DA7">
        <w:rPr>
          <w:sz w:val="22"/>
          <w:szCs w:val="22"/>
          <w:lang w:eastAsia="ja-JP"/>
        </w:rPr>
        <w:t xml:space="preserve">es is </w:t>
      </w:r>
      <w:r w:rsidR="008610B6" w:rsidRPr="00387DA7">
        <w:rPr>
          <w:sz w:val="22"/>
          <w:szCs w:val="22"/>
          <w:lang w:eastAsia="ja-JP"/>
        </w:rPr>
        <w:t xml:space="preserve">a </w:t>
      </w:r>
      <w:r w:rsidR="002F4D5C" w:rsidRPr="00387DA7">
        <w:rPr>
          <w:sz w:val="22"/>
          <w:szCs w:val="22"/>
          <w:lang w:eastAsia="ja-JP"/>
        </w:rPr>
        <w:t>sufficient basis for a Finding for R</w:t>
      </w:r>
      <w:r w:rsidRPr="00387DA7">
        <w:rPr>
          <w:sz w:val="22"/>
          <w:szCs w:val="22"/>
          <w:lang w:eastAsia="ja-JP"/>
        </w:rPr>
        <w:t>ecovery, as</w:t>
      </w:r>
      <w:r w:rsidR="00657CCF" w:rsidRPr="00387DA7">
        <w:rPr>
          <w:sz w:val="22"/>
          <w:szCs w:val="22"/>
          <w:lang w:eastAsia="ja-JP"/>
        </w:rPr>
        <w:t xml:space="preserve"> certain</w:t>
      </w:r>
      <w:r w:rsidRPr="00387DA7">
        <w:rPr>
          <w:sz w:val="22"/>
          <w:szCs w:val="22"/>
          <w:lang w:eastAsia="ja-JP"/>
        </w:rPr>
        <w:t xml:space="preserve"> public officials</w:t>
      </w:r>
      <w:r w:rsidR="00657CCF" w:rsidRPr="00387DA7">
        <w:rPr>
          <w:sz w:val="22"/>
          <w:szCs w:val="22"/>
          <w:lang w:eastAsia="ja-JP"/>
        </w:rPr>
        <w:t xml:space="preserve"> may be</w:t>
      </w:r>
      <w:r w:rsidRPr="00387DA7">
        <w:rPr>
          <w:sz w:val="22"/>
          <w:szCs w:val="22"/>
          <w:lang w:eastAsia="ja-JP"/>
        </w:rPr>
        <w:t xml:space="preserve"> </w:t>
      </w:r>
      <w:r w:rsidRPr="00387DA7">
        <w:rPr>
          <w:i/>
          <w:sz w:val="22"/>
          <w:szCs w:val="22"/>
          <w:lang w:eastAsia="ja-JP"/>
        </w:rPr>
        <w:t>strictly liable</w:t>
      </w:r>
      <w:r w:rsidR="00D54255" w:rsidRPr="00387DA7">
        <w:rPr>
          <w:rStyle w:val="FootnoteReference"/>
          <w:i/>
          <w:sz w:val="22"/>
          <w:szCs w:val="22"/>
          <w:lang w:eastAsia="ja-JP"/>
        </w:rPr>
        <w:footnoteReference w:id="15"/>
      </w:r>
      <w:r w:rsidRPr="00387DA7">
        <w:rPr>
          <w:sz w:val="22"/>
          <w:szCs w:val="22"/>
          <w:lang w:eastAsia="ja-JP"/>
        </w:rPr>
        <w:t>.</w:t>
      </w:r>
    </w:p>
    <w:p w14:paraId="76D061A5" w14:textId="77777777" w:rsidR="0045572C" w:rsidRPr="00387DA7" w:rsidRDefault="0045572C"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33EEF0D" w14:textId="77777777" w:rsidR="0045572C" w:rsidRPr="00387DA7" w:rsidRDefault="0045572C" w:rsidP="00DB4DA9">
      <w:pPr>
        <w:jc w:val="both"/>
        <w:rPr>
          <w:sz w:val="22"/>
          <w:szCs w:val="22"/>
        </w:rPr>
      </w:pPr>
      <w:bookmarkStart w:id="25" w:name="OLE_LINK3"/>
      <w:bookmarkStart w:id="26" w:name="OLE_LINK4"/>
      <w:r w:rsidRPr="00387DA7">
        <w:rPr>
          <w:sz w:val="22"/>
          <w:szCs w:val="22"/>
          <w:lang w:eastAsia="ja-JP"/>
        </w:rPr>
        <w:t>However, the Auditor of State’s office recognizes that even the most honest employees make errors in recording cash. Therefore, the Auditor of State will not issue FFRs for insignificant cash shortages a cashier reports to management as part of their reconciliation process, if the government’s management monitors overages and shortages and suitably follows up on patterns of shortages. Conversely, we may report shortages as FFRs if a government's controls are not in place or are inadequate.</w:t>
      </w:r>
    </w:p>
    <w:bookmarkEnd w:id="25"/>
    <w:bookmarkEnd w:id="26"/>
    <w:p w14:paraId="7A721F80" w14:textId="27546837" w:rsidR="007D4430" w:rsidRPr="00387DA7" w:rsidRDefault="007D4430">
      <w:pPr>
        <w:rPr>
          <w:b/>
          <w:sz w:val="22"/>
          <w:szCs w:val="22"/>
          <w:lang w:eastAsia="ja-JP"/>
        </w:rPr>
      </w:pPr>
    </w:p>
    <w:p w14:paraId="26A41D9B" w14:textId="0C0D6F43"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r w:rsidRPr="00387DA7">
        <w:rPr>
          <w:b/>
          <w:sz w:val="22"/>
          <w:szCs w:val="22"/>
          <w:lang w:eastAsia="ja-JP"/>
        </w:rPr>
        <w:t xml:space="preserve">3. Due </w:t>
      </w:r>
      <w:r w:rsidR="009E462B" w:rsidRPr="00387DA7">
        <w:rPr>
          <w:b/>
          <w:sz w:val="22"/>
          <w:szCs w:val="22"/>
          <w:lang w:eastAsia="ja-JP"/>
        </w:rPr>
        <w:t>but</w:t>
      </w:r>
      <w:r w:rsidRPr="00387DA7">
        <w:rPr>
          <w:b/>
          <w:sz w:val="22"/>
          <w:szCs w:val="22"/>
          <w:lang w:eastAsia="ja-JP"/>
        </w:rPr>
        <w:t xml:space="preserve"> Not Collected</w:t>
      </w:r>
    </w:p>
    <w:p w14:paraId="01108B52"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rPr>
          <w:sz w:val="22"/>
          <w:szCs w:val="22"/>
          <w:lang w:eastAsia="ja-JP"/>
        </w:rPr>
      </w:pPr>
    </w:p>
    <w:p w14:paraId="72BD6B41" w14:textId="39C5193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Public money that is due</w:t>
      </w:r>
      <w:r w:rsidR="000A4128" w:rsidRPr="00387DA7">
        <w:rPr>
          <w:sz w:val="22"/>
          <w:szCs w:val="22"/>
          <w:lang w:eastAsia="ja-JP"/>
        </w:rPr>
        <w:t xml:space="preserve"> to</w:t>
      </w:r>
      <w:r w:rsidRPr="00387DA7">
        <w:rPr>
          <w:sz w:val="22"/>
          <w:szCs w:val="22"/>
          <w:lang w:eastAsia="ja-JP"/>
        </w:rPr>
        <w:t xml:space="preserve"> a public </w:t>
      </w:r>
      <w:proofErr w:type="gramStart"/>
      <w:r w:rsidRPr="00387DA7">
        <w:rPr>
          <w:sz w:val="22"/>
          <w:szCs w:val="22"/>
          <w:lang w:eastAsia="ja-JP"/>
        </w:rPr>
        <w:t>office</w:t>
      </w:r>
      <w:proofErr w:type="gramEnd"/>
      <w:r w:rsidRPr="00387DA7">
        <w:rPr>
          <w:sz w:val="22"/>
          <w:szCs w:val="22"/>
          <w:lang w:eastAsia="ja-JP"/>
        </w:rPr>
        <w:t xml:space="preserve"> but which has not yet been collected may also be subject </w:t>
      </w:r>
      <w:r w:rsidR="00196954" w:rsidRPr="00387DA7">
        <w:rPr>
          <w:sz w:val="22"/>
          <w:szCs w:val="22"/>
          <w:lang w:eastAsia="ja-JP"/>
        </w:rPr>
        <w:t>to</w:t>
      </w:r>
      <w:r w:rsidRPr="00387DA7">
        <w:rPr>
          <w:sz w:val="22"/>
          <w:szCs w:val="22"/>
          <w:lang w:eastAsia="ja-JP"/>
        </w:rPr>
        <w:t xml:space="preserve"> a </w:t>
      </w:r>
      <w:r w:rsidR="002F4D5C" w:rsidRPr="00387DA7">
        <w:rPr>
          <w:sz w:val="22"/>
          <w:szCs w:val="22"/>
          <w:lang w:eastAsia="ja-JP"/>
        </w:rPr>
        <w:t>Finding for Recovery</w:t>
      </w:r>
      <w:r w:rsidRPr="00387DA7">
        <w:rPr>
          <w:sz w:val="22"/>
          <w:szCs w:val="22"/>
          <w:lang w:eastAsia="ja-JP"/>
        </w:rPr>
        <w:t>.  Money may become due</w:t>
      </w:r>
      <w:r w:rsidR="000A4128" w:rsidRPr="00387DA7">
        <w:rPr>
          <w:sz w:val="22"/>
          <w:szCs w:val="22"/>
          <w:lang w:eastAsia="ja-JP"/>
        </w:rPr>
        <w:t xml:space="preserve"> to</w:t>
      </w:r>
      <w:r w:rsidRPr="00387DA7">
        <w:rPr>
          <w:sz w:val="22"/>
          <w:szCs w:val="22"/>
          <w:lang w:eastAsia="ja-JP"/>
        </w:rPr>
        <w:t xml:space="preserve"> the public office by operation of statute, by contract, or by court order.  The decision as to whether a particular obligation is sufficiently overdue to justify the issuance of a </w:t>
      </w:r>
      <w:r w:rsidR="002F4D5C" w:rsidRPr="00387DA7">
        <w:rPr>
          <w:sz w:val="22"/>
          <w:szCs w:val="22"/>
          <w:lang w:eastAsia="ja-JP"/>
        </w:rPr>
        <w:t>Finding for Recovery</w:t>
      </w:r>
      <w:r w:rsidRPr="00387DA7">
        <w:rPr>
          <w:sz w:val="22"/>
          <w:szCs w:val="22"/>
          <w:lang w:eastAsia="ja-JP"/>
        </w:rPr>
        <w:t xml:space="preserve"> requires judgment based upon th</w:t>
      </w:r>
      <w:r w:rsidR="00106B53" w:rsidRPr="00387DA7">
        <w:rPr>
          <w:sz w:val="22"/>
          <w:szCs w:val="22"/>
          <w:lang w:eastAsia="ja-JP"/>
        </w:rPr>
        <w:t>e facts of an individual audit.  Auditors should consult with and seek advice from the Legal Division</w:t>
      </w:r>
      <w:r w:rsidR="005C5C01" w:rsidRPr="00387DA7">
        <w:rPr>
          <w:sz w:val="22"/>
          <w:szCs w:val="22"/>
          <w:lang w:eastAsia="ja-JP"/>
        </w:rPr>
        <w:t xml:space="preserve"> </w:t>
      </w:r>
      <w:r w:rsidR="00891A2A" w:rsidRPr="00387DA7">
        <w:rPr>
          <w:sz w:val="22"/>
          <w:szCs w:val="22"/>
          <w:lang w:eastAsia="ja-JP"/>
        </w:rPr>
        <w:t xml:space="preserve">and the Center for Audit Excellence prior to </w:t>
      </w:r>
      <w:r w:rsidR="006F6513" w:rsidRPr="00387DA7">
        <w:rPr>
          <w:sz w:val="22"/>
          <w:szCs w:val="22"/>
          <w:lang w:eastAsia="ja-JP"/>
        </w:rPr>
        <w:t>pursuing</w:t>
      </w:r>
      <w:r w:rsidR="00891A2A" w:rsidRPr="00387DA7">
        <w:rPr>
          <w:sz w:val="22"/>
          <w:szCs w:val="22"/>
          <w:lang w:eastAsia="ja-JP"/>
        </w:rPr>
        <w:t xml:space="preserve"> the </w:t>
      </w:r>
      <w:r w:rsidR="002F4D5C" w:rsidRPr="00387DA7">
        <w:rPr>
          <w:sz w:val="22"/>
          <w:szCs w:val="22"/>
          <w:lang w:eastAsia="ja-JP"/>
        </w:rPr>
        <w:t>Finding for Recovery</w:t>
      </w:r>
      <w:r w:rsidR="00891A2A" w:rsidRPr="00387DA7">
        <w:rPr>
          <w:sz w:val="22"/>
          <w:szCs w:val="22"/>
          <w:lang w:eastAsia="ja-JP"/>
        </w:rPr>
        <w:t>.</w:t>
      </w:r>
      <w:r w:rsidR="00E93A92" w:rsidRPr="00387DA7">
        <w:rPr>
          <w:sz w:val="22"/>
          <w:szCs w:val="22"/>
          <w:lang w:eastAsia="ja-JP"/>
        </w:rPr>
        <w:t xml:space="preserve"> </w:t>
      </w:r>
      <w:r w:rsidR="005C5C01" w:rsidRPr="00387DA7">
        <w:rPr>
          <w:sz w:val="22"/>
          <w:szCs w:val="22"/>
          <w:lang w:eastAsia="ja-JP"/>
        </w:rPr>
        <w:t xml:space="preserve"> </w:t>
      </w:r>
      <w:r w:rsidRPr="00387DA7">
        <w:rPr>
          <w:sz w:val="22"/>
          <w:szCs w:val="22"/>
          <w:lang w:eastAsia="ja-JP"/>
        </w:rPr>
        <w:t xml:space="preserve">In general, amounts are to be considered overdue and a proper subject for a </w:t>
      </w:r>
      <w:r w:rsidR="002F4D5C" w:rsidRPr="00387DA7">
        <w:rPr>
          <w:sz w:val="22"/>
          <w:szCs w:val="22"/>
          <w:lang w:eastAsia="ja-JP"/>
        </w:rPr>
        <w:t>Finding for Recovery</w:t>
      </w:r>
      <w:r w:rsidRPr="00387DA7">
        <w:rPr>
          <w:sz w:val="22"/>
          <w:szCs w:val="22"/>
          <w:lang w:eastAsia="ja-JP"/>
        </w:rPr>
        <w:t xml:space="preserve"> if they have been outstanding </w:t>
      </w:r>
      <w:proofErr w:type="gramStart"/>
      <w:r w:rsidRPr="00387DA7">
        <w:rPr>
          <w:sz w:val="22"/>
          <w:szCs w:val="22"/>
          <w:lang w:eastAsia="ja-JP"/>
        </w:rPr>
        <w:t>in excess of</w:t>
      </w:r>
      <w:proofErr w:type="gramEnd"/>
      <w:r w:rsidRPr="00387DA7">
        <w:rPr>
          <w:sz w:val="22"/>
          <w:szCs w:val="22"/>
          <w:lang w:eastAsia="ja-JP"/>
        </w:rPr>
        <w:t xml:space="preserve"> one year</w:t>
      </w:r>
      <w:r w:rsidR="00106B53" w:rsidRPr="00387DA7">
        <w:rPr>
          <w:sz w:val="22"/>
          <w:szCs w:val="22"/>
          <w:lang w:eastAsia="ja-JP"/>
        </w:rPr>
        <w:t xml:space="preserve"> </w:t>
      </w:r>
      <w:r w:rsidRPr="00387DA7">
        <w:rPr>
          <w:sz w:val="22"/>
          <w:szCs w:val="22"/>
          <w:lang w:eastAsia="ja-JP"/>
        </w:rPr>
        <w:t>and are not the subject of either a statutory collection process or ongoing collection efforts by the client.</w:t>
      </w:r>
    </w:p>
    <w:p w14:paraId="67C88BBB"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3A578B3" w14:textId="2D0C5D4E"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Findings for recovery for public money due but not collected are normally identified in the audit of the public office to which the mon</w:t>
      </w:r>
      <w:r w:rsidR="002A557C" w:rsidRPr="00387DA7">
        <w:rPr>
          <w:sz w:val="22"/>
          <w:szCs w:val="22"/>
          <w:lang w:eastAsia="ja-JP"/>
        </w:rPr>
        <w:t>ies</w:t>
      </w:r>
      <w:r w:rsidRPr="00387DA7">
        <w:rPr>
          <w:sz w:val="22"/>
          <w:szCs w:val="22"/>
          <w:lang w:eastAsia="ja-JP"/>
        </w:rPr>
        <w:t xml:space="preserve"> are due.  In some circumstances, however, the information necessary to identify the obligation is available only in the records of the obligor.  Where such circumstances exist, a </w:t>
      </w:r>
      <w:r w:rsidR="002F4D5C" w:rsidRPr="00387DA7">
        <w:rPr>
          <w:sz w:val="22"/>
          <w:szCs w:val="22"/>
          <w:lang w:eastAsia="ja-JP"/>
        </w:rPr>
        <w:t>Finding for Recovery</w:t>
      </w:r>
      <w:r w:rsidRPr="00387DA7">
        <w:rPr>
          <w:sz w:val="22"/>
          <w:szCs w:val="22"/>
          <w:lang w:eastAsia="ja-JP"/>
        </w:rPr>
        <w:t xml:space="preserve"> </w:t>
      </w:r>
      <w:r w:rsidR="00535DEE" w:rsidRPr="00387DA7">
        <w:rPr>
          <w:sz w:val="22"/>
          <w:szCs w:val="22"/>
          <w:lang w:eastAsia="ja-JP"/>
        </w:rPr>
        <w:t>may be</w:t>
      </w:r>
      <w:r w:rsidRPr="00387DA7">
        <w:rPr>
          <w:sz w:val="22"/>
          <w:szCs w:val="22"/>
          <w:lang w:eastAsia="ja-JP"/>
        </w:rPr>
        <w:t xml:space="preserve"> issued in the audit report of the obligor and in favor of the obligee.  For example, if a village is not collecting statutory fees for remittance to the State, a </w:t>
      </w:r>
      <w:r w:rsidR="002F4D5C" w:rsidRPr="00387DA7">
        <w:rPr>
          <w:sz w:val="22"/>
          <w:szCs w:val="22"/>
          <w:lang w:eastAsia="ja-JP"/>
        </w:rPr>
        <w:t>Finding for Recovery</w:t>
      </w:r>
      <w:r w:rsidRPr="00387DA7">
        <w:rPr>
          <w:sz w:val="22"/>
          <w:szCs w:val="22"/>
          <w:lang w:eastAsia="ja-JP"/>
        </w:rPr>
        <w:t xml:space="preserve"> for the amounts in question </w:t>
      </w:r>
      <w:r w:rsidR="00BD176C" w:rsidRPr="00387DA7">
        <w:rPr>
          <w:sz w:val="22"/>
          <w:szCs w:val="22"/>
          <w:lang w:eastAsia="ja-JP"/>
        </w:rPr>
        <w:t xml:space="preserve">may </w:t>
      </w:r>
      <w:r w:rsidRPr="00387DA7">
        <w:rPr>
          <w:sz w:val="22"/>
          <w:szCs w:val="22"/>
          <w:lang w:eastAsia="ja-JP"/>
        </w:rPr>
        <w:t xml:space="preserve">be issued against the village and in favor of the State in the </w:t>
      </w:r>
      <w:r w:rsidR="00106B53" w:rsidRPr="00387DA7">
        <w:rPr>
          <w:sz w:val="22"/>
          <w:szCs w:val="22"/>
          <w:lang w:eastAsia="ja-JP"/>
        </w:rPr>
        <w:t xml:space="preserve">village’s </w:t>
      </w:r>
      <w:r w:rsidRPr="00387DA7">
        <w:rPr>
          <w:sz w:val="22"/>
          <w:szCs w:val="22"/>
          <w:lang w:eastAsia="ja-JP"/>
        </w:rPr>
        <w:t>audit report</w:t>
      </w:r>
      <w:r w:rsidR="008316DF" w:rsidRPr="00387DA7">
        <w:rPr>
          <w:sz w:val="22"/>
          <w:szCs w:val="22"/>
          <w:lang w:eastAsia="ja-JP"/>
        </w:rPr>
        <w:t>.</w:t>
      </w:r>
      <w:r w:rsidR="006A4BF3" w:rsidRPr="006A4BF3">
        <w:rPr>
          <w:rStyle w:val="FootnoteReference"/>
          <w:sz w:val="22"/>
          <w:szCs w:val="22"/>
          <w:u w:val="wave"/>
          <w:lang w:eastAsia="ja-JP"/>
        </w:rPr>
        <w:footnoteReference w:id="16"/>
      </w:r>
    </w:p>
    <w:p w14:paraId="4E1436DB" w14:textId="77777777" w:rsidR="008316DF" w:rsidRPr="00387DA7" w:rsidRDefault="008316DF"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8894280"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The citation justifying the findings for recovery for public money due but not collected should include not only statutes</w:t>
      </w:r>
      <w:r w:rsidR="00144C68" w:rsidRPr="00387DA7">
        <w:rPr>
          <w:sz w:val="22"/>
          <w:szCs w:val="22"/>
          <w:lang w:eastAsia="ja-JP"/>
        </w:rPr>
        <w:t xml:space="preserve"> or</w:t>
      </w:r>
      <w:r w:rsidRPr="00387DA7">
        <w:rPr>
          <w:sz w:val="22"/>
          <w:szCs w:val="22"/>
          <w:lang w:eastAsia="ja-JP"/>
        </w:rPr>
        <w:t xml:space="preserve"> regulations, but also the document </w:t>
      </w:r>
      <w:proofErr w:type="gramStart"/>
      <w:r w:rsidRPr="00387DA7">
        <w:rPr>
          <w:sz w:val="22"/>
          <w:szCs w:val="22"/>
          <w:lang w:eastAsia="ja-JP"/>
        </w:rPr>
        <w:t>evidencing</w:t>
      </w:r>
      <w:proofErr w:type="gramEnd"/>
      <w:r w:rsidRPr="00387DA7">
        <w:rPr>
          <w:sz w:val="22"/>
          <w:szCs w:val="22"/>
          <w:lang w:eastAsia="ja-JP"/>
        </w:rPr>
        <w:t xml:space="preserve"> the underlying obligation.  </w:t>
      </w:r>
    </w:p>
    <w:p w14:paraId="6ACECA49" w14:textId="77777777" w:rsidR="00867965" w:rsidRDefault="00867965" w:rsidP="00867965">
      <w:pPr>
        <w:rPr>
          <w:sz w:val="24"/>
          <w:lang w:eastAsia="ja-JP"/>
        </w:rPr>
      </w:pPr>
    </w:p>
    <w:p w14:paraId="749B6E2A" w14:textId="7E890D43" w:rsidR="008F6A36" w:rsidRPr="00867965" w:rsidRDefault="008F6A36" w:rsidP="00867965">
      <w:pPr>
        <w:rPr>
          <w:sz w:val="24"/>
          <w:lang w:eastAsia="ja-JP"/>
        </w:rPr>
      </w:pPr>
      <w:r w:rsidRPr="00387DA7">
        <w:rPr>
          <w:b/>
          <w:sz w:val="22"/>
          <w:szCs w:val="22"/>
          <w:lang w:eastAsia="ja-JP"/>
        </w:rPr>
        <w:t>4. Public Property Converted or Misappropriated</w:t>
      </w:r>
    </w:p>
    <w:p w14:paraId="09DE47AF"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2F70B2F5" w14:textId="6A0E881F"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 </w:t>
      </w:r>
      <w:r w:rsidR="002F4D5C" w:rsidRPr="00387DA7">
        <w:rPr>
          <w:sz w:val="22"/>
          <w:szCs w:val="22"/>
          <w:lang w:eastAsia="ja-JP"/>
        </w:rPr>
        <w:t>Finding for Recovery</w:t>
      </w:r>
      <w:r w:rsidRPr="00387DA7">
        <w:rPr>
          <w:sz w:val="22"/>
          <w:szCs w:val="22"/>
          <w:lang w:eastAsia="ja-JP"/>
        </w:rPr>
        <w:t xml:space="preserve"> for public property converted or misappropriated should be issued only if the auditor has substantial evidence that a theft has occurred.  This would include</w:t>
      </w:r>
      <w:r w:rsidR="00712AEC" w:rsidRPr="00387DA7">
        <w:rPr>
          <w:sz w:val="22"/>
          <w:szCs w:val="22"/>
          <w:lang w:eastAsia="ja-JP"/>
        </w:rPr>
        <w:t xml:space="preserve"> theft of cash or other property.  Also</w:t>
      </w:r>
      <w:r w:rsidR="00DF0E27" w:rsidRPr="00387DA7">
        <w:rPr>
          <w:sz w:val="22"/>
          <w:szCs w:val="22"/>
          <w:lang w:eastAsia="ja-JP"/>
        </w:rPr>
        <w:t>,</w:t>
      </w:r>
      <w:r w:rsidR="00712AEC" w:rsidRPr="00387DA7">
        <w:rPr>
          <w:sz w:val="22"/>
          <w:szCs w:val="22"/>
          <w:lang w:eastAsia="ja-JP"/>
        </w:rPr>
        <w:t xml:space="preserve"> the auditor must be able</w:t>
      </w:r>
      <w:r w:rsidRPr="00387DA7">
        <w:rPr>
          <w:sz w:val="22"/>
          <w:szCs w:val="22"/>
          <w:lang w:eastAsia="ja-JP"/>
        </w:rPr>
        <w:t xml:space="preserve"> to identify the individual responsible for the loss.  Before any </w:t>
      </w:r>
      <w:r w:rsidR="002F4D5C" w:rsidRPr="00387DA7">
        <w:rPr>
          <w:sz w:val="22"/>
          <w:szCs w:val="22"/>
          <w:lang w:eastAsia="ja-JP"/>
        </w:rPr>
        <w:t>Finding for Recovery</w:t>
      </w:r>
      <w:r w:rsidRPr="00387DA7">
        <w:rPr>
          <w:sz w:val="22"/>
          <w:szCs w:val="22"/>
          <w:lang w:eastAsia="ja-JP"/>
        </w:rPr>
        <w:t xml:space="preserve"> of this type </w:t>
      </w:r>
      <w:r w:rsidR="008D5497" w:rsidRPr="00387DA7">
        <w:rPr>
          <w:sz w:val="22"/>
          <w:szCs w:val="22"/>
          <w:lang w:eastAsia="ja-JP"/>
        </w:rPr>
        <w:t xml:space="preserve">can </w:t>
      </w:r>
      <w:r w:rsidRPr="00387DA7">
        <w:rPr>
          <w:sz w:val="22"/>
          <w:szCs w:val="22"/>
          <w:lang w:eastAsia="ja-JP"/>
        </w:rPr>
        <w:t xml:space="preserve">be issued, it is essential that the advice of legal counsel be obtained.  If such circumstances arise </w:t>
      </w:r>
      <w:r w:rsidR="003D5685" w:rsidRPr="00387DA7">
        <w:rPr>
          <w:sz w:val="22"/>
          <w:szCs w:val="22"/>
          <w:lang w:eastAsia="ja-JP"/>
        </w:rPr>
        <w:t xml:space="preserve">during </w:t>
      </w:r>
      <w:r w:rsidRPr="00387DA7">
        <w:rPr>
          <w:sz w:val="22"/>
          <w:szCs w:val="22"/>
          <w:lang w:eastAsia="ja-JP"/>
        </w:rPr>
        <w:t xml:space="preserve">an audit, </w:t>
      </w:r>
      <w:r w:rsidR="00712AEC" w:rsidRPr="00387DA7">
        <w:rPr>
          <w:sz w:val="22"/>
          <w:szCs w:val="22"/>
          <w:lang w:eastAsia="ja-JP"/>
        </w:rPr>
        <w:t xml:space="preserve">consult </w:t>
      </w:r>
      <w:r w:rsidR="0080154B" w:rsidRPr="00387DA7">
        <w:rPr>
          <w:sz w:val="22"/>
          <w:szCs w:val="22"/>
          <w:lang w:eastAsia="ja-JP"/>
        </w:rPr>
        <w:t xml:space="preserve">the AOS </w:t>
      </w:r>
      <w:r w:rsidR="00AB3C28" w:rsidRPr="00387DA7">
        <w:rPr>
          <w:sz w:val="22"/>
          <w:szCs w:val="22"/>
          <w:lang w:eastAsia="ja-JP"/>
        </w:rPr>
        <w:t>L</w:t>
      </w:r>
      <w:r w:rsidRPr="00387DA7">
        <w:rPr>
          <w:sz w:val="22"/>
          <w:szCs w:val="22"/>
          <w:lang w:eastAsia="ja-JP"/>
        </w:rPr>
        <w:t xml:space="preserve">egal </w:t>
      </w:r>
      <w:r w:rsidR="00AB3C28" w:rsidRPr="00387DA7">
        <w:rPr>
          <w:sz w:val="22"/>
          <w:szCs w:val="22"/>
          <w:lang w:eastAsia="ja-JP"/>
        </w:rPr>
        <w:t>Division</w:t>
      </w:r>
      <w:r w:rsidRPr="00387DA7">
        <w:rPr>
          <w:sz w:val="22"/>
          <w:szCs w:val="22"/>
          <w:lang w:eastAsia="ja-JP"/>
        </w:rPr>
        <w:t xml:space="preserve"> </w:t>
      </w:r>
      <w:r w:rsidR="00712AEC" w:rsidRPr="00387DA7">
        <w:rPr>
          <w:sz w:val="22"/>
          <w:szCs w:val="22"/>
          <w:lang w:eastAsia="ja-JP"/>
        </w:rPr>
        <w:t>and prepare a</w:t>
      </w:r>
      <w:r w:rsidR="00CC7B5B" w:rsidRPr="00387DA7">
        <w:rPr>
          <w:sz w:val="22"/>
          <w:szCs w:val="22"/>
          <w:lang w:eastAsia="ja-JP"/>
        </w:rPr>
        <w:t xml:space="preserve"> Noteworthy Memorandum </w:t>
      </w:r>
      <w:r w:rsidR="00712AEC" w:rsidRPr="00387DA7">
        <w:rPr>
          <w:sz w:val="22"/>
          <w:szCs w:val="22"/>
          <w:lang w:eastAsia="ja-JP"/>
        </w:rPr>
        <w:t xml:space="preserve">that includes </w:t>
      </w:r>
      <w:r w:rsidR="00CC7B5B" w:rsidRPr="00387DA7">
        <w:rPr>
          <w:sz w:val="22"/>
          <w:szCs w:val="22"/>
          <w:lang w:eastAsia="ja-JP"/>
        </w:rPr>
        <w:t xml:space="preserve">referral to the AOS </w:t>
      </w:r>
      <w:r w:rsidR="000D17C6" w:rsidRPr="00387DA7">
        <w:rPr>
          <w:sz w:val="22"/>
          <w:szCs w:val="22"/>
          <w:lang w:eastAsia="ja-JP"/>
        </w:rPr>
        <w:t>Special Investigations Unit</w:t>
      </w:r>
      <w:r w:rsidR="0033114F" w:rsidRPr="00387DA7">
        <w:rPr>
          <w:sz w:val="22"/>
          <w:szCs w:val="22"/>
          <w:lang w:eastAsia="ja-JP"/>
        </w:rPr>
        <w:t xml:space="preserve"> (SIU)</w:t>
      </w:r>
      <w:r w:rsidR="00CC7B5B" w:rsidRPr="00387DA7">
        <w:rPr>
          <w:sz w:val="22"/>
          <w:szCs w:val="22"/>
          <w:lang w:eastAsia="ja-JP"/>
        </w:rPr>
        <w:t xml:space="preserve"> for further investigation</w:t>
      </w:r>
      <w:r w:rsidRPr="00387DA7">
        <w:rPr>
          <w:sz w:val="22"/>
          <w:szCs w:val="22"/>
          <w:lang w:eastAsia="ja-JP"/>
        </w:rPr>
        <w:t>.</w:t>
      </w:r>
      <w:r w:rsidR="0038459D" w:rsidRPr="00387DA7">
        <w:rPr>
          <w:sz w:val="22"/>
          <w:szCs w:val="22"/>
          <w:lang w:eastAsia="ja-JP"/>
        </w:rPr>
        <w:t xml:space="preserve">  </w:t>
      </w:r>
      <w:r w:rsidR="0038459D" w:rsidRPr="00387DA7">
        <w:rPr>
          <w:sz w:val="22"/>
          <w:szCs w:val="22"/>
        </w:rPr>
        <w:t xml:space="preserve">This </w:t>
      </w:r>
      <w:proofErr w:type="gramStart"/>
      <w:r w:rsidR="0038459D" w:rsidRPr="00387DA7">
        <w:rPr>
          <w:sz w:val="22"/>
          <w:szCs w:val="22"/>
        </w:rPr>
        <w:t>finding type</w:t>
      </w:r>
      <w:proofErr w:type="gramEnd"/>
      <w:r w:rsidR="0038459D" w:rsidRPr="00387DA7">
        <w:rPr>
          <w:sz w:val="22"/>
          <w:szCs w:val="22"/>
        </w:rPr>
        <w:t xml:space="preserve"> should be used for all FFRs related to court cases pursued by SIU and/or other law enforcement agencies.</w:t>
      </w:r>
    </w:p>
    <w:p w14:paraId="118E2531"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5358785" w14:textId="5F7BE78A" w:rsidR="008F6A36" w:rsidRPr="00387DA7" w:rsidRDefault="00FE3580"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rPr>
        <w:t>As it relates to theft of property, in</w:t>
      </w:r>
      <w:r w:rsidRPr="00387DA7">
        <w:rPr>
          <w:sz w:val="22"/>
          <w:szCs w:val="22"/>
          <w:lang w:eastAsia="ja-JP"/>
        </w:rPr>
        <w:t xml:space="preserve"> </w:t>
      </w:r>
      <w:r w:rsidR="008F6A36" w:rsidRPr="00387DA7">
        <w:rPr>
          <w:sz w:val="22"/>
          <w:szCs w:val="22"/>
          <w:lang w:eastAsia="ja-JP"/>
        </w:rPr>
        <w:t xml:space="preserve">most instances, the auditor </w:t>
      </w:r>
      <w:r w:rsidR="003D5685" w:rsidRPr="00387DA7">
        <w:rPr>
          <w:sz w:val="22"/>
          <w:szCs w:val="22"/>
          <w:lang w:eastAsia="ja-JP"/>
        </w:rPr>
        <w:t xml:space="preserve">can </w:t>
      </w:r>
      <w:r w:rsidR="008F6A36" w:rsidRPr="00387DA7">
        <w:rPr>
          <w:sz w:val="22"/>
          <w:szCs w:val="22"/>
          <w:lang w:eastAsia="ja-JP"/>
        </w:rPr>
        <w:t>only demonstrate that certain property was acquired by the client</w:t>
      </w:r>
      <w:r w:rsidR="003D5685" w:rsidRPr="00387DA7">
        <w:rPr>
          <w:sz w:val="22"/>
          <w:szCs w:val="22"/>
          <w:lang w:eastAsia="ja-JP"/>
        </w:rPr>
        <w:t>,</w:t>
      </w:r>
      <w:r w:rsidR="008F6A36" w:rsidRPr="00387DA7">
        <w:rPr>
          <w:sz w:val="22"/>
          <w:szCs w:val="22"/>
          <w:lang w:eastAsia="ja-JP"/>
        </w:rPr>
        <w:t xml:space="preserve"> and at the time of the audit it cannot be located.  Under such circumstances, a </w:t>
      </w:r>
      <w:r w:rsidR="002F4D5C" w:rsidRPr="00387DA7">
        <w:rPr>
          <w:sz w:val="22"/>
          <w:szCs w:val="22"/>
          <w:lang w:eastAsia="ja-JP"/>
        </w:rPr>
        <w:t>Finding for Recovery</w:t>
      </w:r>
      <w:r w:rsidR="008F6A36" w:rsidRPr="00387DA7">
        <w:rPr>
          <w:sz w:val="22"/>
          <w:szCs w:val="22"/>
          <w:lang w:eastAsia="ja-JP"/>
        </w:rPr>
        <w:t xml:space="preserve"> may not be </w:t>
      </w:r>
      <w:r w:rsidR="00C755DF" w:rsidRPr="00387DA7">
        <w:rPr>
          <w:sz w:val="22"/>
          <w:szCs w:val="22"/>
          <w:lang w:eastAsia="ja-JP"/>
        </w:rPr>
        <w:t>appropriate</w:t>
      </w:r>
      <w:r w:rsidR="008F6A36" w:rsidRPr="00387DA7">
        <w:rPr>
          <w:sz w:val="22"/>
          <w:szCs w:val="22"/>
          <w:lang w:eastAsia="ja-JP"/>
        </w:rPr>
        <w:t xml:space="preserve">.  </w:t>
      </w:r>
      <w:r w:rsidR="00CC7B5B" w:rsidRPr="00387DA7">
        <w:rPr>
          <w:sz w:val="22"/>
          <w:szCs w:val="22"/>
          <w:lang w:eastAsia="ja-JP"/>
        </w:rPr>
        <w:t>Audit staff should consult with the AOS Legal Division if a</w:t>
      </w:r>
      <w:r w:rsidR="008F6A36" w:rsidRPr="00387DA7">
        <w:rPr>
          <w:sz w:val="22"/>
          <w:szCs w:val="22"/>
          <w:lang w:eastAsia="ja-JP"/>
        </w:rPr>
        <w:t xml:space="preserve"> noncompliance citation </w:t>
      </w:r>
      <w:r w:rsidR="00CC7B5B" w:rsidRPr="00387DA7">
        <w:rPr>
          <w:sz w:val="22"/>
          <w:szCs w:val="22"/>
          <w:lang w:eastAsia="ja-JP"/>
        </w:rPr>
        <w:t>may</w:t>
      </w:r>
      <w:r w:rsidR="008F6A36" w:rsidRPr="00387DA7">
        <w:rPr>
          <w:sz w:val="22"/>
          <w:szCs w:val="22"/>
          <w:lang w:eastAsia="ja-JP"/>
        </w:rPr>
        <w:t xml:space="preserve"> be issued instead, citing Ohio Rev. </w:t>
      </w:r>
      <w:r w:rsidR="00FD3963" w:rsidRPr="00387DA7">
        <w:rPr>
          <w:sz w:val="22"/>
          <w:szCs w:val="22"/>
          <w:lang w:eastAsia="ja-JP"/>
        </w:rPr>
        <w:t xml:space="preserve">Code </w:t>
      </w:r>
      <w:r w:rsidR="009B4BF1" w:rsidRPr="00387DA7">
        <w:rPr>
          <w:sz w:val="22"/>
          <w:szCs w:val="22"/>
          <w:lang w:eastAsia="ja-JP"/>
        </w:rPr>
        <w:t>§ 1</w:t>
      </w:r>
      <w:r w:rsidR="008F6A36" w:rsidRPr="00387DA7">
        <w:rPr>
          <w:sz w:val="22"/>
          <w:szCs w:val="22"/>
          <w:lang w:eastAsia="ja-JP"/>
        </w:rPr>
        <w:t>17.28, stating the relevant facts, and indicating that the property may have been converted or misappropriated.</w:t>
      </w:r>
    </w:p>
    <w:p w14:paraId="419CAE11" w14:textId="77777777" w:rsidR="00134DF6" w:rsidRPr="00387DA7" w:rsidRDefault="00134DF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2CE9738" w14:textId="48303AD4" w:rsidR="00DC7264" w:rsidRPr="00387DA7" w:rsidRDefault="00DC7264" w:rsidP="00DB4DA9">
      <w:pPr>
        <w:jc w:val="both"/>
        <w:rPr>
          <w:sz w:val="22"/>
          <w:szCs w:val="22"/>
          <w:lang w:eastAsia="ja-JP"/>
        </w:rPr>
      </w:pPr>
      <w:r w:rsidRPr="00387DA7">
        <w:rPr>
          <w:b/>
          <w:i/>
          <w:sz w:val="22"/>
          <w:szCs w:val="22"/>
          <w:lang w:eastAsia="ja-JP"/>
        </w:rPr>
        <w:t>N</w:t>
      </w:r>
      <w:r w:rsidR="004A5305" w:rsidRPr="00387DA7">
        <w:rPr>
          <w:b/>
          <w:i/>
          <w:sz w:val="22"/>
          <w:szCs w:val="22"/>
          <w:lang w:eastAsia="ja-JP"/>
        </w:rPr>
        <w:t>ote</w:t>
      </w:r>
      <w:r w:rsidRPr="00387DA7">
        <w:rPr>
          <w:b/>
          <w:sz w:val="22"/>
          <w:szCs w:val="22"/>
          <w:lang w:eastAsia="ja-JP"/>
        </w:rPr>
        <w:t>:</w:t>
      </w:r>
      <w:r w:rsidRPr="00387DA7">
        <w:rPr>
          <w:sz w:val="22"/>
          <w:szCs w:val="22"/>
          <w:lang w:eastAsia="ja-JP"/>
        </w:rPr>
        <w:t xml:space="preserve"> </w:t>
      </w:r>
      <w:r w:rsidR="00031EDC" w:rsidRPr="00387DA7">
        <w:rPr>
          <w:sz w:val="22"/>
          <w:szCs w:val="22"/>
          <w:lang w:eastAsia="ja-JP"/>
        </w:rPr>
        <w:t>Generally, no contract</w:t>
      </w:r>
      <w:r w:rsidR="00F252D5" w:rsidRPr="00387DA7">
        <w:rPr>
          <w:sz w:val="22"/>
          <w:szCs w:val="22"/>
          <w:lang w:eastAsia="ja-JP"/>
        </w:rPr>
        <w:t xml:space="preserve"> (</w:t>
      </w:r>
      <w:r w:rsidR="00C0519E" w:rsidRPr="00387DA7">
        <w:rPr>
          <w:sz w:val="22"/>
          <w:szCs w:val="22"/>
          <w:lang w:eastAsia="ja-JP"/>
        </w:rPr>
        <w:t xml:space="preserve">including </w:t>
      </w:r>
      <w:r w:rsidR="00F252D5" w:rsidRPr="00387DA7">
        <w:rPr>
          <w:sz w:val="22"/>
          <w:szCs w:val="22"/>
          <w:lang w:eastAsia="ja-JP"/>
        </w:rPr>
        <w:t>an acquisition subject to Ohio Revised Code competitive bidding requirements) may</w:t>
      </w:r>
      <w:r w:rsidR="00031EDC" w:rsidRPr="00387DA7">
        <w:rPr>
          <w:sz w:val="22"/>
          <w:szCs w:val="22"/>
          <w:lang w:eastAsia="ja-JP"/>
        </w:rPr>
        <w:t xml:space="preserve"> be awarded to a person or entity against whom a </w:t>
      </w:r>
      <w:r w:rsidR="002F4D5C" w:rsidRPr="00387DA7">
        <w:rPr>
          <w:sz w:val="22"/>
          <w:szCs w:val="22"/>
          <w:lang w:eastAsia="ja-JP"/>
        </w:rPr>
        <w:t>Finding for Recovery</w:t>
      </w:r>
      <w:r w:rsidR="00031EDC" w:rsidRPr="00387DA7">
        <w:rPr>
          <w:sz w:val="22"/>
          <w:szCs w:val="22"/>
          <w:lang w:eastAsia="ja-JP"/>
        </w:rPr>
        <w:t xml:space="preserve"> has been made if this finding is unresolved (</w:t>
      </w:r>
      <w:r w:rsidR="002F22F2" w:rsidRPr="00387DA7">
        <w:rPr>
          <w:sz w:val="22"/>
          <w:szCs w:val="22"/>
          <w:lang w:eastAsia="ja-JP"/>
        </w:rPr>
        <w:t xml:space="preserve">per </w:t>
      </w:r>
      <w:r w:rsidR="00031EDC" w:rsidRPr="00387DA7">
        <w:rPr>
          <w:sz w:val="22"/>
          <w:szCs w:val="22"/>
          <w:lang w:eastAsia="ja-JP"/>
        </w:rPr>
        <w:t xml:space="preserve">Ohio Rev. </w:t>
      </w:r>
      <w:r w:rsidR="00FD3963" w:rsidRPr="00387DA7">
        <w:rPr>
          <w:sz w:val="22"/>
          <w:szCs w:val="22"/>
          <w:lang w:eastAsia="ja-JP"/>
        </w:rPr>
        <w:t xml:space="preserve">Code </w:t>
      </w:r>
      <w:r w:rsidR="009B4BF1" w:rsidRPr="00387DA7">
        <w:rPr>
          <w:sz w:val="22"/>
          <w:szCs w:val="22"/>
          <w:lang w:eastAsia="ja-JP"/>
        </w:rPr>
        <w:t>§ 9.24</w:t>
      </w:r>
      <w:r w:rsidR="00031EDC" w:rsidRPr="00387DA7">
        <w:rPr>
          <w:sz w:val="22"/>
          <w:szCs w:val="22"/>
          <w:lang w:eastAsia="ja-JP"/>
        </w:rPr>
        <w:t xml:space="preserve">(A)).  </w:t>
      </w:r>
      <w:r w:rsidRPr="00387DA7">
        <w:rPr>
          <w:sz w:val="22"/>
          <w:szCs w:val="22"/>
          <w:lang w:eastAsia="ja-JP"/>
        </w:rPr>
        <w:t xml:space="preserve">Ohio Rev. </w:t>
      </w:r>
      <w:r w:rsidR="00FD3963" w:rsidRPr="00387DA7">
        <w:rPr>
          <w:sz w:val="22"/>
          <w:szCs w:val="22"/>
          <w:lang w:eastAsia="ja-JP"/>
        </w:rPr>
        <w:t xml:space="preserve">Code </w:t>
      </w:r>
      <w:r w:rsidR="009B4BF1" w:rsidRPr="00387DA7">
        <w:rPr>
          <w:sz w:val="22"/>
          <w:szCs w:val="22"/>
          <w:lang w:eastAsia="ja-JP"/>
        </w:rPr>
        <w:t>§ 9.24</w:t>
      </w:r>
      <w:r w:rsidRPr="00387DA7">
        <w:rPr>
          <w:sz w:val="22"/>
          <w:szCs w:val="22"/>
          <w:lang w:eastAsia="ja-JP"/>
        </w:rPr>
        <w:t xml:space="preserve">(D) requires the Auditor of State to maintain a database, accessible to the public, listing </w:t>
      </w:r>
      <w:proofErr w:type="gramStart"/>
      <w:r w:rsidRPr="00387DA7">
        <w:rPr>
          <w:sz w:val="22"/>
          <w:szCs w:val="22"/>
          <w:lang w:eastAsia="ja-JP"/>
        </w:rPr>
        <w:t>persons</w:t>
      </w:r>
      <w:proofErr w:type="gramEnd"/>
      <w:r w:rsidRPr="00387DA7">
        <w:rPr>
          <w:sz w:val="22"/>
          <w:szCs w:val="22"/>
          <w:lang w:eastAsia="ja-JP"/>
        </w:rPr>
        <w:t xml:space="preserve"> against whom an unresolved </w:t>
      </w:r>
      <w:r w:rsidR="002F4D5C" w:rsidRPr="00387DA7">
        <w:rPr>
          <w:sz w:val="22"/>
          <w:szCs w:val="22"/>
          <w:lang w:eastAsia="ja-JP"/>
        </w:rPr>
        <w:t>Finding for Recovery</w:t>
      </w:r>
      <w:r w:rsidRPr="00387DA7">
        <w:rPr>
          <w:sz w:val="22"/>
          <w:szCs w:val="22"/>
          <w:lang w:eastAsia="ja-JP"/>
        </w:rPr>
        <w:t xml:space="preserve"> has been issued, and the amount of the money identified in the unresolved </w:t>
      </w:r>
      <w:r w:rsidR="002F4D5C" w:rsidRPr="00387DA7">
        <w:rPr>
          <w:sz w:val="22"/>
          <w:szCs w:val="22"/>
          <w:lang w:eastAsia="ja-JP"/>
        </w:rPr>
        <w:t>Finding for Recovery</w:t>
      </w:r>
      <w:r w:rsidRPr="00387DA7">
        <w:rPr>
          <w:sz w:val="22"/>
          <w:szCs w:val="22"/>
          <w:lang w:eastAsia="ja-JP"/>
        </w:rPr>
        <w:t xml:space="preserve">.  The Auditor of State currently has this database operational and </w:t>
      </w:r>
      <w:r w:rsidR="001B632F" w:rsidRPr="00387DA7">
        <w:rPr>
          <w:sz w:val="22"/>
          <w:szCs w:val="22"/>
          <w:lang w:eastAsia="ja-JP"/>
        </w:rPr>
        <w:t xml:space="preserve">updates </w:t>
      </w:r>
      <w:r w:rsidRPr="00387DA7">
        <w:rPr>
          <w:sz w:val="22"/>
          <w:szCs w:val="22"/>
          <w:lang w:eastAsia="ja-JP"/>
        </w:rPr>
        <w:t xml:space="preserve">the database periodically in accordance with Ohio Rev. </w:t>
      </w:r>
      <w:r w:rsidR="00FD3963" w:rsidRPr="00387DA7">
        <w:rPr>
          <w:sz w:val="22"/>
          <w:szCs w:val="22"/>
          <w:lang w:eastAsia="ja-JP"/>
        </w:rPr>
        <w:t xml:space="preserve">Code </w:t>
      </w:r>
      <w:r w:rsidR="009B4BF1" w:rsidRPr="00387DA7">
        <w:rPr>
          <w:sz w:val="22"/>
          <w:szCs w:val="22"/>
          <w:lang w:eastAsia="ja-JP"/>
        </w:rPr>
        <w:t>§ 9.24</w:t>
      </w:r>
      <w:r w:rsidRPr="00387DA7">
        <w:rPr>
          <w:sz w:val="22"/>
          <w:szCs w:val="22"/>
          <w:lang w:eastAsia="ja-JP"/>
        </w:rPr>
        <w:t>(D).</w:t>
      </w:r>
      <w:r w:rsidR="00E424F5" w:rsidRPr="00387DA7">
        <w:rPr>
          <w:sz w:val="22"/>
          <w:szCs w:val="22"/>
          <w:lang w:eastAsia="ja-JP"/>
        </w:rPr>
        <w:t xml:space="preserve">  </w:t>
      </w:r>
      <w:hyperlink r:id="rId23" w:history="1">
        <w:r w:rsidR="00E424F5" w:rsidRPr="00387DA7">
          <w:rPr>
            <w:rStyle w:val="Hyperlink"/>
            <w:sz w:val="22"/>
            <w:szCs w:val="22"/>
            <w:lang w:eastAsia="ja-JP"/>
          </w:rPr>
          <w:t>AOS Bulletin</w:t>
        </w:r>
        <w:r w:rsidR="00AF5C40" w:rsidRPr="00387DA7">
          <w:rPr>
            <w:rStyle w:val="Hyperlink"/>
            <w:sz w:val="22"/>
            <w:szCs w:val="22"/>
            <w:lang w:eastAsia="ja-JP"/>
          </w:rPr>
          <w:t>s</w:t>
        </w:r>
        <w:r w:rsidR="00E424F5" w:rsidRPr="00387DA7">
          <w:rPr>
            <w:rStyle w:val="Hyperlink"/>
            <w:sz w:val="22"/>
            <w:szCs w:val="22"/>
            <w:lang w:eastAsia="ja-JP"/>
          </w:rPr>
          <w:t xml:space="preserve"> </w:t>
        </w:r>
        <w:r w:rsidR="00AF5C40" w:rsidRPr="00387DA7">
          <w:rPr>
            <w:rStyle w:val="Hyperlink"/>
            <w:sz w:val="22"/>
            <w:szCs w:val="22"/>
            <w:lang w:eastAsia="ja-JP"/>
          </w:rPr>
          <w:t xml:space="preserve">2003-009 and </w:t>
        </w:r>
        <w:r w:rsidR="00E424F5" w:rsidRPr="00387DA7">
          <w:rPr>
            <w:rStyle w:val="Hyperlink"/>
            <w:sz w:val="22"/>
            <w:szCs w:val="22"/>
            <w:lang w:eastAsia="ja-JP"/>
          </w:rPr>
          <w:t>2004-006</w:t>
        </w:r>
      </w:hyperlink>
      <w:r w:rsidR="00E424F5" w:rsidRPr="00387DA7">
        <w:rPr>
          <w:sz w:val="22"/>
          <w:szCs w:val="22"/>
          <w:lang w:eastAsia="ja-JP"/>
        </w:rPr>
        <w:t xml:space="preserve"> </w:t>
      </w:r>
      <w:r w:rsidR="00974970" w:rsidRPr="00387DA7">
        <w:rPr>
          <w:sz w:val="22"/>
          <w:szCs w:val="22"/>
          <w:lang w:eastAsia="ja-JP"/>
        </w:rPr>
        <w:t>provide</w:t>
      </w:r>
      <w:r w:rsidR="00E424F5" w:rsidRPr="00387DA7">
        <w:rPr>
          <w:sz w:val="22"/>
          <w:szCs w:val="22"/>
          <w:lang w:eastAsia="ja-JP"/>
        </w:rPr>
        <w:t xml:space="preserve"> further guidance</w:t>
      </w:r>
      <w:r w:rsidR="00974970" w:rsidRPr="00387DA7">
        <w:rPr>
          <w:sz w:val="22"/>
          <w:szCs w:val="22"/>
          <w:lang w:eastAsia="ja-JP"/>
        </w:rPr>
        <w:t xml:space="preserve"> regarding this law</w:t>
      </w:r>
      <w:r w:rsidR="00F252D5" w:rsidRPr="00387DA7">
        <w:rPr>
          <w:sz w:val="22"/>
          <w:szCs w:val="22"/>
          <w:lang w:eastAsia="ja-JP"/>
        </w:rPr>
        <w:t>.</w:t>
      </w:r>
      <w:r w:rsidR="00E424F5" w:rsidRPr="00387DA7">
        <w:rPr>
          <w:sz w:val="22"/>
          <w:szCs w:val="22"/>
          <w:lang w:eastAsia="ja-JP"/>
        </w:rPr>
        <w:t xml:space="preserve"> </w:t>
      </w:r>
    </w:p>
    <w:p w14:paraId="4EAA37C5" w14:textId="26612F26" w:rsidR="00713C05" w:rsidRPr="00387DA7" w:rsidRDefault="00713C05">
      <w:pPr>
        <w:rPr>
          <w:b/>
          <w:sz w:val="22"/>
          <w:szCs w:val="22"/>
        </w:rPr>
      </w:pPr>
    </w:p>
    <w:p w14:paraId="77AAF9EA" w14:textId="77777777" w:rsidR="00CE4C82" w:rsidRDefault="00CE4C82" w:rsidP="00DE359D">
      <w:pPr>
        <w:rPr>
          <w:b/>
          <w:sz w:val="22"/>
          <w:szCs w:val="22"/>
        </w:rPr>
      </w:pPr>
    </w:p>
    <w:p w14:paraId="2C9D8703" w14:textId="71CA444C" w:rsidR="00A53400" w:rsidRPr="00387DA7" w:rsidRDefault="00A53400" w:rsidP="00DE359D">
      <w:pPr>
        <w:rPr>
          <w:b/>
          <w:sz w:val="22"/>
          <w:szCs w:val="22"/>
        </w:rPr>
      </w:pPr>
      <w:r w:rsidRPr="00387DA7">
        <w:rPr>
          <w:b/>
          <w:sz w:val="22"/>
          <w:szCs w:val="22"/>
        </w:rPr>
        <w:t>Issuing Findings for Recovery Before and/or After the Audit Period</w:t>
      </w:r>
    </w:p>
    <w:p w14:paraId="32515AB4" w14:textId="77777777" w:rsidR="00A53400" w:rsidRPr="00387DA7" w:rsidRDefault="00A53400" w:rsidP="00A53400">
      <w:pPr>
        <w:rPr>
          <w:sz w:val="22"/>
          <w:szCs w:val="22"/>
        </w:rPr>
      </w:pPr>
    </w:p>
    <w:p w14:paraId="76117258" w14:textId="77777777" w:rsidR="00A53400" w:rsidRPr="00387DA7" w:rsidRDefault="00CF2E40" w:rsidP="00DB4DA9">
      <w:pPr>
        <w:jc w:val="both"/>
        <w:rPr>
          <w:sz w:val="22"/>
          <w:szCs w:val="22"/>
        </w:rPr>
      </w:pPr>
      <w:r w:rsidRPr="00387DA7">
        <w:rPr>
          <w:sz w:val="22"/>
          <w:szCs w:val="22"/>
        </w:rPr>
        <w:t>Audit reports and opinion letters issued by the Auditor of State are often seen as “closing the books” on a particular audit period.  As with litigation, public policy demands finality of judgment in audit work.</w:t>
      </w:r>
    </w:p>
    <w:p w14:paraId="165C9AB3" w14:textId="77777777" w:rsidR="00CF2E40" w:rsidRPr="00387DA7" w:rsidRDefault="00CF2E40" w:rsidP="00DB4DA9">
      <w:pPr>
        <w:jc w:val="both"/>
        <w:rPr>
          <w:sz w:val="22"/>
          <w:szCs w:val="22"/>
        </w:rPr>
      </w:pPr>
    </w:p>
    <w:p w14:paraId="6CD1569A" w14:textId="68F2E0AA" w:rsidR="00CF2E40" w:rsidRPr="00387DA7" w:rsidRDefault="00CF2E40" w:rsidP="005C290A">
      <w:pPr>
        <w:jc w:val="both"/>
        <w:rPr>
          <w:sz w:val="22"/>
          <w:szCs w:val="22"/>
        </w:rPr>
      </w:pPr>
      <w:r w:rsidRPr="00387DA7">
        <w:rPr>
          <w:sz w:val="22"/>
          <w:szCs w:val="22"/>
        </w:rPr>
        <w:t xml:space="preserve">In addition, governments typically operate on current revenue, and a </w:t>
      </w:r>
      <w:r w:rsidR="002F4D5C" w:rsidRPr="00387DA7">
        <w:rPr>
          <w:sz w:val="22"/>
          <w:szCs w:val="22"/>
        </w:rPr>
        <w:t>Finding for Recovery</w:t>
      </w:r>
      <w:r w:rsidRPr="00387DA7">
        <w:rPr>
          <w:sz w:val="22"/>
          <w:szCs w:val="22"/>
        </w:rPr>
        <w:t xml:space="preserve"> for a long-past audit period may impact current needs and operations.  </w:t>
      </w:r>
    </w:p>
    <w:p w14:paraId="35F43DD8" w14:textId="77777777" w:rsidR="00CF2E40" w:rsidRPr="00387DA7" w:rsidRDefault="00CF2E40" w:rsidP="00DB4DA9">
      <w:pPr>
        <w:jc w:val="both"/>
        <w:rPr>
          <w:sz w:val="22"/>
          <w:szCs w:val="22"/>
        </w:rPr>
      </w:pPr>
    </w:p>
    <w:p w14:paraId="75F55085" w14:textId="32C62259" w:rsidR="00CF2E40" w:rsidRPr="00387DA7" w:rsidRDefault="00CF2E40" w:rsidP="00DB4DA9">
      <w:pPr>
        <w:jc w:val="both"/>
        <w:rPr>
          <w:sz w:val="22"/>
          <w:szCs w:val="22"/>
        </w:rPr>
      </w:pPr>
      <w:r w:rsidRPr="00387DA7">
        <w:rPr>
          <w:sz w:val="22"/>
          <w:szCs w:val="22"/>
        </w:rPr>
        <w:t>Accordingly, finding</w:t>
      </w:r>
      <w:r w:rsidR="008E6EA8" w:rsidRPr="00387DA7">
        <w:rPr>
          <w:sz w:val="22"/>
          <w:szCs w:val="22"/>
        </w:rPr>
        <w:t>s</w:t>
      </w:r>
      <w:r w:rsidRPr="00387DA7">
        <w:rPr>
          <w:sz w:val="22"/>
          <w:szCs w:val="22"/>
        </w:rPr>
        <w:t xml:space="preserve"> for recovery will generally not </w:t>
      </w:r>
      <w:r w:rsidR="008E6EA8" w:rsidRPr="00387DA7">
        <w:rPr>
          <w:sz w:val="22"/>
          <w:szCs w:val="22"/>
        </w:rPr>
        <w:t xml:space="preserve">be </w:t>
      </w:r>
      <w:r w:rsidRPr="00387DA7">
        <w:rPr>
          <w:sz w:val="22"/>
          <w:szCs w:val="22"/>
        </w:rPr>
        <w:t>issue</w:t>
      </w:r>
      <w:r w:rsidR="008E6EA8" w:rsidRPr="00387DA7">
        <w:rPr>
          <w:sz w:val="22"/>
          <w:szCs w:val="22"/>
        </w:rPr>
        <w:t>d</w:t>
      </w:r>
      <w:r w:rsidRPr="00387DA7">
        <w:rPr>
          <w:sz w:val="22"/>
          <w:szCs w:val="22"/>
        </w:rPr>
        <w:t xml:space="preserve"> for past audit periods absent a finding of fraud, deception or conceal</w:t>
      </w:r>
      <w:r w:rsidR="00D61038" w:rsidRPr="00387DA7">
        <w:rPr>
          <w:sz w:val="22"/>
          <w:szCs w:val="22"/>
        </w:rPr>
        <w:t>ment, or other deliberate wrong</w:t>
      </w:r>
      <w:r w:rsidRPr="00387DA7">
        <w:rPr>
          <w:sz w:val="22"/>
          <w:szCs w:val="22"/>
        </w:rPr>
        <w:t>doing.  The following factors should be considered in making such a determination:</w:t>
      </w:r>
    </w:p>
    <w:p w14:paraId="5F1F0257" w14:textId="6B5D3591" w:rsidR="00A53400" w:rsidRPr="00387DA7" w:rsidRDefault="00A53400" w:rsidP="00A66E45">
      <w:pPr>
        <w:pStyle w:val="ListParagraph"/>
        <w:numPr>
          <w:ilvl w:val="0"/>
          <w:numId w:val="6"/>
        </w:numPr>
        <w:spacing w:after="200" w:line="276" w:lineRule="auto"/>
        <w:jc w:val="both"/>
        <w:rPr>
          <w:sz w:val="22"/>
          <w:szCs w:val="22"/>
        </w:rPr>
      </w:pPr>
      <w:r w:rsidRPr="00387DA7">
        <w:rPr>
          <w:sz w:val="22"/>
          <w:szCs w:val="22"/>
        </w:rPr>
        <w:t>Suspected or known fraud</w:t>
      </w:r>
      <w:r w:rsidR="00922D71" w:rsidRPr="00387DA7">
        <w:rPr>
          <w:sz w:val="22"/>
          <w:szCs w:val="22"/>
        </w:rPr>
        <w:t>.</w:t>
      </w:r>
    </w:p>
    <w:p w14:paraId="43A99F8B" w14:textId="71DCEAA4"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 xml:space="preserve">Significant fraud risk factors that are associated with the current </w:t>
      </w:r>
      <w:r w:rsidR="002F4D5C" w:rsidRPr="00387DA7">
        <w:rPr>
          <w:sz w:val="22"/>
          <w:szCs w:val="22"/>
        </w:rPr>
        <w:t>Finding for Recovery</w:t>
      </w:r>
      <w:r w:rsidR="00922D71" w:rsidRPr="00387DA7">
        <w:rPr>
          <w:sz w:val="22"/>
          <w:szCs w:val="22"/>
        </w:rPr>
        <w:t>.</w:t>
      </w:r>
    </w:p>
    <w:p w14:paraId="5D5A6C77" w14:textId="4322963B"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 xml:space="preserve">The magnitude of the </w:t>
      </w:r>
      <w:r w:rsidR="002F4D5C" w:rsidRPr="00387DA7">
        <w:rPr>
          <w:sz w:val="22"/>
          <w:szCs w:val="22"/>
        </w:rPr>
        <w:t>Finding for Recovery</w:t>
      </w:r>
      <w:r w:rsidR="00922D71" w:rsidRPr="00387DA7">
        <w:rPr>
          <w:sz w:val="22"/>
          <w:szCs w:val="22"/>
        </w:rPr>
        <w:t>.</w:t>
      </w:r>
    </w:p>
    <w:p w14:paraId="70FFEA51" w14:textId="20EA2AA1"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 xml:space="preserve">Judgment as to whether the </w:t>
      </w:r>
      <w:r w:rsidR="002F4D5C" w:rsidRPr="00387DA7">
        <w:rPr>
          <w:sz w:val="22"/>
          <w:szCs w:val="22"/>
        </w:rPr>
        <w:t>Finding for Recovery</w:t>
      </w:r>
      <w:r w:rsidRPr="00387DA7">
        <w:rPr>
          <w:sz w:val="22"/>
          <w:szCs w:val="22"/>
        </w:rPr>
        <w:t xml:space="preserve"> was an error or deliberate</w:t>
      </w:r>
      <w:r w:rsidR="00922D71" w:rsidRPr="00387DA7">
        <w:rPr>
          <w:sz w:val="22"/>
          <w:szCs w:val="22"/>
        </w:rPr>
        <w:t>.</w:t>
      </w:r>
    </w:p>
    <w:p w14:paraId="24CD2482" w14:textId="1D0E5294"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Appropriate client requests – careful consideration needs to be given on the type of request, the timing of the request, the purpose of the request, and the documentation given to substantiate the request</w:t>
      </w:r>
      <w:r w:rsidR="00E414FA" w:rsidRPr="00387DA7">
        <w:rPr>
          <w:sz w:val="22"/>
          <w:szCs w:val="22"/>
        </w:rPr>
        <w:t>.</w:t>
      </w:r>
      <w:r w:rsidRPr="00387DA7">
        <w:rPr>
          <w:sz w:val="22"/>
          <w:szCs w:val="22"/>
        </w:rPr>
        <w:t xml:space="preserve"> </w:t>
      </w:r>
    </w:p>
    <w:p w14:paraId="6CFE4519" w14:textId="25481D3A"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 xml:space="preserve">If requested by </w:t>
      </w:r>
      <w:r w:rsidR="00853C19" w:rsidRPr="00387DA7">
        <w:rPr>
          <w:sz w:val="22"/>
          <w:szCs w:val="22"/>
        </w:rPr>
        <w:t xml:space="preserve">the </w:t>
      </w:r>
      <w:r w:rsidR="00535669" w:rsidRPr="00387DA7">
        <w:rPr>
          <w:sz w:val="22"/>
          <w:szCs w:val="22"/>
        </w:rPr>
        <w:t xml:space="preserve">SIU </w:t>
      </w:r>
      <w:r w:rsidRPr="00387DA7">
        <w:rPr>
          <w:sz w:val="22"/>
          <w:szCs w:val="22"/>
        </w:rPr>
        <w:t>to review issues that arise outside the audit period</w:t>
      </w:r>
      <w:r w:rsidR="00A431B4" w:rsidRPr="00387DA7">
        <w:rPr>
          <w:sz w:val="22"/>
          <w:szCs w:val="22"/>
        </w:rPr>
        <w:t>.</w:t>
      </w:r>
    </w:p>
    <w:p w14:paraId="71ADC0EC" w14:textId="5A95F5A3"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The governing authority’s involvement in the circumstances surrounding the issue, and its ability to correct the issue on its own</w:t>
      </w:r>
      <w:r w:rsidR="00A431B4" w:rsidRPr="00387DA7">
        <w:rPr>
          <w:sz w:val="22"/>
          <w:szCs w:val="22"/>
        </w:rPr>
        <w:t>.</w:t>
      </w:r>
    </w:p>
    <w:p w14:paraId="31CF0CDB" w14:textId="77777777" w:rsidR="00A53400" w:rsidRPr="00387DA7" w:rsidRDefault="00A53400" w:rsidP="00A66E45">
      <w:pPr>
        <w:pStyle w:val="ListParagraph"/>
        <w:numPr>
          <w:ilvl w:val="0"/>
          <w:numId w:val="5"/>
        </w:numPr>
        <w:spacing w:after="200" w:line="276" w:lineRule="auto"/>
        <w:jc w:val="both"/>
        <w:rPr>
          <w:sz w:val="22"/>
          <w:szCs w:val="22"/>
        </w:rPr>
      </w:pPr>
      <w:r w:rsidRPr="00387DA7">
        <w:rPr>
          <w:sz w:val="22"/>
          <w:szCs w:val="22"/>
        </w:rPr>
        <w:t xml:space="preserve">The impact of information that has come to the auditor’s attention involving transactions </w:t>
      </w:r>
      <w:proofErr w:type="gramStart"/>
      <w:r w:rsidRPr="00387DA7">
        <w:rPr>
          <w:sz w:val="22"/>
          <w:szCs w:val="22"/>
        </w:rPr>
        <w:t>subsequent to</w:t>
      </w:r>
      <w:proofErr w:type="gramEnd"/>
      <w:r w:rsidRPr="00387DA7">
        <w:rPr>
          <w:sz w:val="22"/>
          <w:szCs w:val="22"/>
        </w:rPr>
        <w:t xml:space="preserve"> the audit period on the entity’s financial condition and whether prudence dictates review of the transactions prior to the next audit.</w:t>
      </w:r>
    </w:p>
    <w:p w14:paraId="6F2CEF6B" w14:textId="7993A6DB" w:rsidR="00A53400" w:rsidRPr="00387DA7" w:rsidRDefault="00853C19" w:rsidP="00125374">
      <w:pPr>
        <w:pStyle w:val="BodyText"/>
        <w:spacing w:before="204"/>
        <w:ind w:right="36"/>
        <w:jc w:val="both"/>
        <w:rPr>
          <w:sz w:val="22"/>
          <w:szCs w:val="22"/>
        </w:rPr>
      </w:pPr>
      <w:r w:rsidRPr="00387DA7">
        <w:rPr>
          <w:sz w:val="22"/>
          <w:szCs w:val="22"/>
        </w:rPr>
        <w:t>Since there</w:t>
      </w:r>
      <w:r w:rsidR="00A53400" w:rsidRPr="00387DA7">
        <w:rPr>
          <w:sz w:val="22"/>
          <w:szCs w:val="22"/>
        </w:rPr>
        <w:t xml:space="preserve"> are numerous variables</w:t>
      </w:r>
      <w:r w:rsidRPr="00387DA7">
        <w:rPr>
          <w:sz w:val="22"/>
          <w:szCs w:val="22"/>
        </w:rPr>
        <w:t xml:space="preserve"> affecting this determination</w:t>
      </w:r>
      <w:r w:rsidR="00A53400" w:rsidRPr="00387DA7">
        <w:rPr>
          <w:sz w:val="22"/>
          <w:szCs w:val="22"/>
        </w:rPr>
        <w:t xml:space="preserve"> that will be </w:t>
      </w:r>
      <w:r w:rsidRPr="00387DA7">
        <w:rPr>
          <w:sz w:val="22"/>
          <w:szCs w:val="22"/>
        </w:rPr>
        <w:t>unique</w:t>
      </w:r>
      <w:r w:rsidR="00A53400" w:rsidRPr="00387DA7">
        <w:rPr>
          <w:sz w:val="22"/>
          <w:szCs w:val="22"/>
        </w:rPr>
        <w:t xml:space="preserve"> to each </w:t>
      </w:r>
      <w:r w:rsidR="002F4D5C" w:rsidRPr="00387DA7">
        <w:rPr>
          <w:sz w:val="22"/>
          <w:szCs w:val="22"/>
        </w:rPr>
        <w:t>Finding for Recovery</w:t>
      </w:r>
      <w:r w:rsidRPr="00387DA7">
        <w:rPr>
          <w:sz w:val="22"/>
          <w:szCs w:val="22"/>
        </w:rPr>
        <w:t>,</w:t>
      </w:r>
      <w:r w:rsidR="00A53400" w:rsidRPr="00387DA7">
        <w:rPr>
          <w:sz w:val="22"/>
          <w:szCs w:val="22"/>
        </w:rPr>
        <w:t xml:space="preserve"> the</w:t>
      </w:r>
      <w:r w:rsidRPr="00387DA7">
        <w:rPr>
          <w:sz w:val="22"/>
          <w:szCs w:val="22"/>
        </w:rPr>
        <w:t xml:space="preserve"> regional</w:t>
      </w:r>
      <w:r w:rsidR="00A53400" w:rsidRPr="00387DA7">
        <w:rPr>
          <w:sz w:val="22"/>
          <w:szCs w:val="22"/>
        </w:rPr>
        <w:t xml:space="preserve"> Chief Auditor</w:t>
      </w:r>
      <w:r w:rsidRPr="00387DA7">
        <w:rPr>
          <w:sz w:val="22"/>
          <w:szCs w:val="22"/>
        </w:rPr>
        <w:t xml:space="preserve"> should consult with the Chief Deputy Auditor </w:t>
      </w:r>
      <w:r w:rsidR="0029589E" w:rsidRPr="00387DA7">
        <w:rPr>
          <w:sz w:val="22"/>
          <w:szCs w:val="22"/>
        </w:rPr>
        <w:t>or</w:t>
      </w:r>
      <w:r w:rsidR="002902F6" w:rsidRPr="00387DA7">
        <w:rPr>
          <w:sz w:val="22"/>
          <w:szCs w:val="22"/>
        </w:rPr>
        <w:t xml:space="preserve"> designee </w:t>
      </w:r>
      <w:r w:rsidRPr="00387DA7">
        <w:rPr>
          <w:i/>
          <w:sz w:val="22"/>
          <w:szCs w:val="22"/>
        </w:rPr>
        <w:t>prior to testing outside of the audit period</w:t>
      </w:r>
      <w:r w:rsidRPr="00387DA7">
        <w:rPr>
          <w:sz w:val="22"/>
          <w:szCs w:val="22"/>
        </w:rPr>
        <w:t xml:space="preserve"> to pursue a </w:t>
      </w:r>
      <w:r w:rsidR="002F4D5C" w:rsidRPr="00387DA7">
        <w:rPr>
          <w:sz w:val="22"/>
          <w:szCs w:val="22"/>
        </w:rPr>
        <w:t>Finding for Recovery</w:t>
      </w:r>
      <w:r w:rsidR="00D94CFE" w:rsidRPr="00387DA7">
        <w:rPr>
          <w:sz w:val="22"/>
          <w:szCs w:val="22"/>
        </w:rPr>
        <w:t>.  However, SIU FFRs will always align with the determined special audit scope and do not require special approval regarding the audit period, other than approval by the Chief Forensic Auditor</w:t>
      </w:r>
      <w:r w:rsidR="00D04C43" w:rsidRPr="00387DA7">
        <w:rPr>
          <w:sz w:val="22"/>
          <w:szCs w:val="22"/>
        </w:rPr>
        <w:t>,</w:t>
      </w:r>
      <w:r w:rsidR="005C291E" w:rsidRPr="00387DA7">
        <w:rPr>
          <w:sz w:val="22"/>
          <w:szCs w:val="22"/>
        </w:rPr>
        <w:t xml:space="preserve"> or </w:t>
      </w:r>
      <w:proofErr w:type="gramStart"/>
      <w:r w:rsidR="005C291E" w:rsidRPr="00387DA7">
        <w:rPr>
          <w:sz w:val="22"/>
          <w:szCs w:val="22"/>
        </w:rPr>
        <w:t>designee</w:t>
      </w:r>
      <w:proofErr w:type="gramEnd"/>
      <w:r w:rsidR="00D94CFE" w:rsidRPr="00387DA7">
        <w:rPr>
          <w:sz w:val="22"/>
          <w:szCs w:val="22"/>
        </w:rPr>
        <w:t>.</w:t>
      </w:r>
      <w:r w:rsidRPr="00387DA7">
        <w:rPr>
          <w:sz w:val="22"/>
          <w:szCs w:val="22"/>
        </w:rPr>
        <w:t xml:space="preserve">  </w:t>
      </w:r>
      <w:r w:rsidR="00A53400" w:rsidRPr="00387DA7">
        <w:rPr>
          <w:sz w:val="22"/>
          <w:szCs w:val="22"/>
        </w:rPr>
        <w:t xml:space="preserve"> </w:t>
      </w:r>
    </w:p>
    <w:p w14:paraId="29E9CF1D" w14:textId="77777777" w:rsidR="0069552D" w:rsidRPr="00387DA7" w:rsidRDefault="0069552D"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2"/>
          <w:szCs w:val="22"/>
          <w:lang w:eastAsia="ja-JP"/>
        </w:rPr>
      </w:pPr>
    </w:p>
    <w:p w14:paraId="2947E939" w14:textId="56C3F8CA" w:rsidR="00CB60F1" w:rsidRDefault="00CB60F1">
      <w:pPr>
        <w:rPr>
          <w:b/>
          <w:sz w:val="22"/>
          <w:szCs w:val="22"/>
          <w:lang w:eastAsia="ja-JP"/>
        </w:rPr>
      </w:pPr>
      <w:r>
        <w:rPr>
          <w:b/>
          <w:sz w:val="22"/>
          <w:szCs w:val="22"/>
          <w:lang w:eastAsia="ja-JP"/>
        </w:rPr>
        <w:br w:type="page"/>
      </w:r>
    </w:p>
    <w:p w14:paraId="71898F72" w14:textId="77777777" w:rsidR="008F6A36" w:rsidRPr="002F22F2" w:rsidRDefault="009C32ED" w:rsidP="00776C23">
      <w:pPr>
        <w:pStyle w:val="Title"/>
        <w:ind w:left="0"/>
      </w:pPr>
      <w:bookmarkStart w:id="27" w:name="_Toc214431129"/>
      <w:r w:rsidRPr="002F22F2">
        <w:t>Additional</w:t>
      </w:r>
      <w:r w:rsidR="008F6A36" w:rsidRPr="002F22F2">
        <w:t xml:space="preserve"> Policies </w:t>
      </w:r>
      <w:r w:rsidRPr="002F22F2">
        <w:t>for</w:t>
      </w:r>
      <w:r w:rsidR="008F6A36" w:rsidRPr="002F22F2">
        <w:t xml:space="preserve"> Findings for Recovery</w:t>
      </w:r>
      <w:r w:rsidR="00443104" w:rsidRPr="002F22F2">
        <w:t xml:space="preserve"> for</w:t>
      </w:r>
      <w:r w:rsidR="00837B73">
        <w:t xml:space="preserve"> </w:t>
      </w:r>
      <w:r w:rsidR="008F6A36" w:rsidRPr="002F22F2">
        <w:t>Auditor of State</w:t>
      </w:r>
      <w:r w:rsidR="004A1914">
        <w:t xml:space="preserve"> Audits</w:t>
      </w:r>
      <w:bookmarkEnd w:id="27"/>
    </w:p>
    <w:p w14:paraId="455100AD" w14:textId="77777777" w:rsidR="00712AEC" w:rsidRDefault="00712AEC" w:rsidP="00712A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4"/>
          <w:lang w:eastAsia="ja-JP"/>
        </w:rPr>
      </w:pPr>
    </w:p>
    <w:p w14:paraId="35FB5FD3" w14:textId="77777777" w:rsidR="00B973A0" w:rsidRPr="00387DA7" w:rsidRDefault="005A5A73" w:rsidP="00B973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u w:val="single"/>
          <w:lang w:eastAsia="ja-JP"/>
        </w:rPr>
      </w:pPr>
      <w:r w:rsidRPr="00387DA7">
        <w:rPr>
          <w:sz w:val="22"/>
          <w:szCs w:val="22"/>
          <w:lang w:eastAsia="ja-JP"/>
        </w:rPr>
        <w:t xml:space="preserve">All potential Findings for Recovery, </w:t>
      </w:r>
      <w:r w:rsidR="00C6250E" w:rsidRPr="00387DA7">
        <w:rPr>
          <w:sz w:val="22"/>
          <w:szCs w:val="22"/>
          <w:lang w:eastAsia="ja-JP"/>
        </w:rPr>
        <w:t xml:space="preserve">regardless of the amount, </w:t>
      </w:r>
      <w:r w:rsidR="00712AEC" w:rsidRPr="00387DA7">
        <w:rPr>
          <w:sz w:val="22"/>
          <w:szCs w:val="22"/>
          <w:lang w:eastAsia="ja-JP"/>
        </w:rPr>
        <w:t xml:space="preserve">are required to be reviewed by the AOS Legal Division and the Center for Audit Excellence.  </w:t>
      </w:r>
      <w:r w:rsidR="00101FE1" w:rsidRPr="00387DA7">
        <w:rPr>
          <w:sz w:val="22"/>
          <w:szCs w:val="22"/>
          <w:lang w:eastAsia="ja-JP"/>
        </w:rPr>
        <w:t>Auditors should also refer to the</w:t>
      </w:r>
      <w:r w:rsidR="00712AEC" w:rsidRPr="00387DA7">
        <w:rPr>
          <w:sz w:val="22"/>
          <w:szCs w:val="22"/>
          <w:lang w:eastAsia="ja-JP"/>
        </w:rPr>
        <w:t xml:space="preserve"> </w:t>
      </w:r>
      <w:r w:rsidR="00F60300" w:rsidRPr="00387DA7">
        <w:rPr>
          <w:color w:val="2B579A"/>
          <w:sz w:val="22"/>
          <w:szCs w:val="22"/>
          <w:shd w:val="clear" w:color="auto" w:fill="E6E6E6"/>
          <w:lang w:eastAsia="ja-JP"/>
        </w:rPr>
        <w:fldChar w:fldCharType="begin"/>
      </w:r>
      <w:r w:rsidR="00F60300" w:rsidRPr="00387DA7">
        <w:rPr>
          <w:sz w:val="22"/>
          <w:szCs w:val="22"/>
          <w:lang w:eastAsia="ja-JP"/>
        </w:rPr>
        <w:instrText xml:space="preserve"> REF Additional_Considerations \h </w:instrText>
      </w:r>
      <w:r w:rsidR="00387DA7">
        <w:rPr>
          <w:color w:val="2B579A"/>
          <w:sz w:val="22"/>
          <w:szCs w:val="22"/>
          <w:shd w:val="clear" w:color="auto" w:fill="E6E6E6"/>
          <w:lang w:eastAsia="ja-JP"/>
        </w:rPr>
        <w:instrText xml:space="preserve"> \* MERGEFORMAT </w:instrText>
      </w:r>
      <w:r w:rsidR="00F60300" w:rsidRPr="00387DA7">
        <w:rPr>
          <w:color w:val="2B579A"/>
          <w:sz w:val="22"/>
          <w:szCs w:val="22"/>
          <w:shd w:val="clear" w:color="auto" w:fill="E6E6E6"/>
          <w:lang w:eastAsia="ja-JP"/>
        </w:rPr>
      </w:r>
      <w:r w:rsidR="00F60300" w:rsidRPr="00387DA7">
        <w:rPr>
          <w:color w:val="2B579A"/>
          <w:sz w:val="22"/>
          <w:szCs w:val="22"/>
          <w:shd w:val="clear" w:color="auto" w:fill="E6E6E6"/>
          <w:lang w:eastAsia="ja-JP"/>
        </w:rPr>
        <w:fldChar w:fldCharType="separate"/>
      </w:r>
      <w:r w:rsidR="00B973A0" w:rsidRPr="00B973A0">
        <w:rPr>
          <w:b/>
          <w:bCs/>
          <w:sz w:val="22"/>
          <w:szCs w:val="22"/>
          <w:u w:val="single"/>
          <w:lang w:eastAsia="ja-JP"/>
        </w:rPr>
        <w:t>Additional Considerations</w:t>
      </w:r>
    </w:p>
    <w:p w14:paraId="4F93B4DA" w14:textId="10013570" w:rsidR="00712AEC" w:rsidRPr="00387DA7" w:rsidRDefault="00F60300" w:rsidP="3A29D0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color w:val="2B579A"/>
          <w:sz w:val="22"/>
          <w:szCs w:val="22"/>
          <w:shd w:val="clear" w:color="auto" w:fill="E6E6E6"/>
          <w:lang w:eastAsia="ja-JP"/>
        </w:rPr>
        <w:fldChar w:fldCharType="end"/>
      </w:r>
      <w:r w:rsidR="00D75CF8" w:rsidRPr="00387DA7">
        <w:rPr>
          <w:color w:val="2B579A"/>
          <w:sz w:val="22"/>
          <w:szCs w:val="22"/>
          <w:lang w:eastAsia="ja-JP"/>
        </w:rPr>
        <w:t xml:space="preserve"> </w:t>
      </w:r>
      <w:r w:rsidRPr="00387DA7">
        <w:rPr>
          <w:sz w:val="22"/>
          <w:szCs w:val="22"/>
          <w:lang w:eastAsia="ja-JP"/>
        </w:rPr>
        <w:t>S</w:t>
      </w:r>
      <w:r w:rsidR="00712AEC" w:rsidRPr="00387DA7">
        <w:rPr>
          <w:sz w:val="22"/>
          <w:szCs w:val="22"/>
          <w:lang w:eastAsia="ja-JP"/>
        </w:rPr>
        <w:t>ection</w:t>
      </w:r>
      <w:r w:rsidRPr="00387DA7">
        <w:rPr>
          <w:sz w:val="22"/>
          <w:szCs w:val="22"/>
          <w:lang w:eastAsia="ja-JP"/>
        </w:rPr>
        <w:t>.</w:t>
      </w:r>
      <w:r w:rsidR="00E1553C" w:rsidRPr="00387DA7">
        <w:rPr>
          <w:sz w:val="22"/>
          <w:szCs w:val="22"/>
          <w:lang w:eastAsia="ja-JP"/>
        </w:rPr>
        <w:t xml:space="preserve">  A flowchart summarizing the Findings for Recovery process for Auditor of State Audits without SIU involvement is located </w:t>
      </w:r>
      <w:r w:rsidR="00791FA7" w:rsidRPr="00387DA7">
        <w:rPr>
          <w:sz w:val="22"/>
          <w:szCs w:val="22"/>
          <w:lang w:eastAsia="ja-JP"/>
        </w:rPr>
        <w:t xml:space="preserve">on the </w:t>
      </w:r>
      <w:hyperlink r:id="rId24" w:history="1">
        <w:r w:rsidR="00791FA7" w:rsidRPr="00387DA7">
          <w:rPr>
            <w:rStyle w:val="Hyperlink"/>
            <w:sz w:val="22"/>
            <w:szCs w:val="22"/>
            <w:lang w:eastAsia="ja-JP"/>
          </w:rPr>
          <w:t>OCS Intranet page</w:t>
        </w:r>
      </w:hyperlink>
      <w:r w:rsidR="00791FA7" w:rsidRPr="00387DA7">
        <w:rPr>
          <w:sz w:val="22"/>
          <w:szCs w:val="22"/>
          <w:lang w:eastAsia="ja-JP"/>
        </w:rPr>
        <w:t>.</w:t>
      </w:r>
    </w:p>
    <w:p w14:paraId="708DFE63" w14:textId="5767D1EB" w:rsidR="008F6A36" w:rsidRPr="00387DA7" w:rsidRDefault="008F6A36" w:rsidP="00A5340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62ABC8E6" w14:textId="594A5EA6" w:rsidR="00A00D89" w:rsidRPr="00F30E5A" w:rsidRDefault="00A00D89" w:rsidP="00A00D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F30E5A">
        <w:rPr>
          <w:sz w:val="22"/>
          <w:szCs w:val="22"/>
          <w:lang w:eastAsia="ja-JP"/>
        </w:rPr>
        <w:t xml:space="preserve">If the </w:t>
      </w:r>
      <w:r w:rsidR="009C3934" w:rsidRPr="00F30E5A">
        <w:rPr>
          <w:sz w:val="22"/>
          <w:szCs w:val="22"/>
          <w:lang w:eastAsia="ja-JP"/>
        </w:rPr>
        <w:t xml:space="preserve">SIU identifies </w:t>
      </w:r>
      <w:r w:rsidRPr="00F30E5A">
        <w:rPr>
          <w:sz w:val="22"/>
          <w:szCs w:val="22"/>
          <w:lang w:eastAsia="ja-JP"/>
        </w:rPr>
        <w:t xml:space="preserve">a finding for recovery while conducting special audit </w:t>
      </w:r>
      <w:r w:rsidR="003E07EA" w:rsidRPr="00F30E5A">
        <w:rPr>
          <w:sz w:val="22"/>
          <w:szCs w:val="22"/>
        </w:rPr>
        <w:t xml:space="preserve">testing </w:t>
      </w:r>
      <w:r w:rsidR="003E07EA" w:rsidRPr="00F30E5A">
        <w:rPr>
          <w:sz w:val="22"/>
          <w:szCs w:val="22"/>
          <w:u w:val="wave"/>
        </w:rPr>
        <w:t>or preliminary audit and investigation testing is substantively complete and concludes an FFR is likely</w:t>
      </w:r>
      <w:r w:rsidR="001E3884" w:rsidRPr="001E3884">
        <w:rPr>
          <w:sz w:val="22"/>
          <w:szCs w:val="22"/>
        </w:rPr>
        <w:t>:</w:t>
      </w:r>
    </w:p>
    <w:p w14:paraId="3EED3797" w14:textId="69DACFD1" w:rsidR="00B37698" w:rsidRPr="00387DA7" w:rsidRDefault="00B37698" w:rsidP="00882967">
      <w:pPr>
        <w:pStyle w:val="ListParagraph"/>
        <w:widowControl w:val="0"/>
        <w:numPr>
          <w:ilvl w:val="0"/>
          <w:numId w:val="46"/>
        </w:numPr>
        <w:tabs>
          <w:tab w:val="left" w:pos="912"/>
        </w:tabs>
        <w:autoSpaceDE w:val="0"/>
        <w:autoSpaceDN w:val="0"/>
        <w:ind w:right="36"/>
        <w:jc w:val="both"/>
        <w:rPr>
          <w:sz w:val="22"/>
          <w:szCs w:val="22"/>
        </w:rPr>
      </w:pPr>
      <w:r w:rsidRPr="00387DA7">
        <w:rPr>
          <w:sz w:val="22"/>
          <w:szCs w:val="22"/>
        </w:rPr>
        <w:t>The FFR will be issued as part of a special audit report and will not be included in the financial audit</w:t>
      </w:r>
      <w:r w:rsidR="004B4A35" w:rsidRPr="004B4A35">
        <w:rPr>
          <w:sz w:val="24"/>
          <w:u w:val="wave"/>
        </w:rPr>
        <w:t>, unless the FFR results from a preliminary audit and investigation</w:t>
      </w:r>
      <w:r w:rsidR="004B4A35" w:rsidRPr="00387DA7">
        <w:rPr>
          <w:sz w:val="22"/>
          <w:szCs w:val="22"/>
        </w:rPr>
        <w:t xml:space="preserve"> </w:t>
      </w:r>
      <w:r w:rsidRPr="00387DA7">
        <w:rPr>
          <w:sz w:val="22"/>
          <w:szCs w:val="22"/>
        </w:rPr>
        <w:t>(Note: SIU will consult with Region if FFR has potential material impact to the financial audit).</w:t>
      </w:r>
    </w:p>
    <w:p w14:paraId="73471AE2" w14:textId="447B955C" w:rsidR="00A00D89" w:rsidRPr="00387DA7" w:rsidRDefault="000D17C6" w:rsidP="007955DE">
      <w:pPr>
        <w:pStyle w:val="ListParagraph"/>
        <w:numPr>
          <w:ilvl w:val="0"/>
          <w:numId w:val="4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SIU</w:t>
      </w:r>
      <w:r w:rsidR="00A00D89" w:rsidRPr="00387DA7">
        <w:rPr>
          <w:sz w:val="22"/>
          <w:szCs w:val="22"/>
          <w:lang w:eastAsia="ja-JP"/>
        </w:rPr>
        <w:t xml:space="preserve"> will be responsible for ensuring the </w:t>
      </w:r>
      <w:r w:rsidR="00A00D89" w:rsidRPr="005554D5">
        <w:rPr>
          <w:sz w:val="22"/>
          <w:szCs w:val="22"/>
          <w:lang w:eastAsia="ja-JP"/>
        </w:rPr>
        <w:t xml:space="preserve">required </w:t>
      </w:r>
      <w:r w:rsidR="005554D5" w:rsidRPr="005554D5">
        <w:rPr>
          <w:sz w:val="22"/>
          <w:szCs w:val="22"/>
        </w:rPr>
        <w:t xml:space="preserve">CFAE and Legal consultations </w:t>
      </w:r>
      <w:r w:rsidR="00A00D89" w:rsidRPr="005554D5">
        <w:rPr>
          <w:sz w:val="22"/>
          <w:szCs w:val="22"/>
          <w:lang w:eastAsia="ja-JP"/>
        </w:rPr>
        <w:t>are obtained</w:t>
      </w:r>
      <w:r w:rsidR="00A00D89" w:rsidRPr="00387DA7">
        <w:rPr>
          <w:sz w:val="22"/>
          <w:szCs w:val="22"/>
          <w:lang w:eastAsia="ja-JP"/>
        </w:rPr>
        <w:t>, and</w:t>
      </w:r>
    </w:p>
    <w:p w14:paraId="582B4ADE" w14:textId="77777777" w:rsidR="001D567B" w:rsidRPr="00387DA7" w:rsidRDefault="000D17C6" w:rsidP="007955DE">
      <w:pPr>
        <w:pStyle w:val="ListParagraph"/>
        <w:numPr>
          <w:ilvl w:val="0"/>
          <w:numId w:val="4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SIU</w:t>
      </w:r>
      <w:r w:rsidR="00A00D89" w:rsidRPr="00387DA7">
        <w:rPr>
          <w:sz w:val="22"/>
          <w:szCs w:val="22"/>
          <w:lang w:eastAsia="ja-JP"/>
        </w:rPr>
        <w:t xml:space="preserve"> will prepare and send the </w:t>
      </w:r>
      <w:r w:rsidR="00A00D89" w:rsidRPr="00387DA7">
        <w:rPr>
          <w:i/>
          <w:sz w:val="22"/>
          <w:szCs w:val="22"/>
          <w:lang w:eastAsia="ja-JP"/>
        </w:rPr>
        <w:t>Notice of Proposed Finding for Recovery</w:t>
      </w:r>
      <w:r w:rsidR="00A00D89" w:rsidRPr="00387DA7">
        <w:rPr>
          <w:sz w:val="22"/>
          <w:szCs w:val="22"/>
          <w:lang w:eastAsia="ja-JP"/>
        </w:rPr>
        <w:t>.</w:t>
      </w:r>
    </w:p>
    <w:p w14:paraId="09DF4F8F" w14:textId="61AFE197" w:rsidR="00A00D89" w:rsidRPr="00387DA7" w:rsidRDefault="001D567B" w:rsidP="1C216256">
      <w:pPr>
        <w:pStyle w:val="ListParagraph"/>
        <w:numPr>
          <w:ilvl w:val="1"/>
          <w:numId w:val="46"/>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In appropriate situations, SIU may base a Finding for Recovery upon a court’s restitution order.  Ohio Rev. Code §</w:t>
      </w:r>
      <w:r w:rsidR="00E26CB3" w:rsidRPr="00387DA7">
        <w:rPr>
          <w:sz w:val="22"/>
          <w:szCs w:val="22"/>
          <w:lang w:eastAsia="ja-JP"/>
        </w:rPr>
        <w:t xml:space="preserve"> </w:t>
      </w:r>
      <w:r w:rsidRPr="00387DA7">
        <w:rPr>
          <w:sz w:val="22"/>
          <w:szCs w:val="22"/>
          <w:lang w:eastAsia="ja-JP"/>
        </w:rPr>
        <w:t>2929.18 empowers Ohio courts to order a defendant to pay monetary restitution to a crime victim.  Ohio courts</w:t>
      </w:r>
      <w:r w:rsidR="00FB72E2" w:rsidRPr="00387DA7">
        <w:rPr>
          <w:sz w:val="22"/>
          <w:szCs w:val="22"/>
          <w:lang w:eastAsia="ja-JP"/>
        </w:rPr>
        <w:t>, pursuant to Ohio Rev. Code § 2921.41(C)(2)(ii),</w:t>
      </w:r>
      <w:r w:rsidRPr="00387DA7">
        <w:rPr>
          <w:sz w:val="22"/>
          <w:szCs w:val="22"/>
          <w:lang w:eastAsia="ja-JP"/>
        </w:rPr>
        <w:t xml:space="preserve"> order defendants found guilty of theft in office against a public office to pay restitution to a public office</w:t>
      </w:r>
      <w:r w:rsidR="00FB72E2" w:rsidRPr="00387DA7">
        <w:rPr>
          <w:sz w:val="22"/>
          <w:szCs w:val="22"/>
          <w:lang w:eastAsia="ja-JP"/>
        </w:rPr>
        <w:t>, while restitution is sometimes ordered for other criminal acts</w:t>
      </w:r>
      <w:r w:rsidRPr="00387DA7">
        <w:rPr>
          <w:sz w:val="22"/>
          <w:szCs w:val="22"/>
          <w:lang w:eastAsia="ja-JP"/>
        </w:rPr>
        <w:t xml:space="preserve">.  </w:t>
      </w:r>
      <w:r w:rsidR="00902CE1" w:rsidRPr="00387DA7">
        <w:rPr>
          <w:sz w:val="22"/>
          <w:szCs w:val="22"/>
          <w:lang w:eastAsia="ja-JP"/>
        </w:rPr>
        <w:t xml:space="preserve">Absent a plea agreement, Ohio law requires that a restitution order will include the costs of auditing the public entity who suffered loss </w:t>
      </w:r>
      <w:proofErr w:type="gramStart"/>
      <w:r w:rsidR="00902CE1" w:rsidRPr="00387DA7">
        <w:rPr>
          <w:sz w:val="22"/>
          <w:szCs w:val="22"/>
          <w:lang w:eastAsia="ja-JP"/>
        </w:rPr>
        <w:t>as a result of</w:t>
      </w:r>
      <w:proofErr w:type="gramEnd"/>
      <w:r w:rsidR="00902CE1" w:rsidRPr="00387DA7">
        <w:rPr>
          <w:sz w:val="22"/>
          <w:szCs w:val="22"/>
          <w:lang w:eastAsia="ja-JP"/>
        </w:rPr>
        <w:t xml:space="preserve"> theft in office.  </w:t>
      </w:r>
      <w:r w:rsidRPr="00387DA7">
        <w:rPr>
          <w:sz w:val="22"/>
          <w:szCs w:val="22"/>
          <w:lang w:eastAsia="ja-JP"/>
        </w:rPr>
        <w:t>A court’s restitution order has a “res judicata” or final judgment effect.  A court’s order of restitution, therefore, is a valid basis upon which AOS may issue a Finding for Recovery for the purpose of reimbursing a public office for public property that the defendant converted or misa</w:t>
      </w:r>
      <w:r w:rsidR="006F52C7" w:rsidRPr="00387DA7">
        <w:rPr>
          <w:sz w:val="22"/>
          <w:szCs w:val="22"/>
          <w:lang w:eastAsia="ja-JP"/>
        </w:rPr>
        <w:t xml:space="preserve">ppropriated.  </w:t>
      </w:r>
      <w:r w:rsidR="002C2908" w:rsidRPr="00387DA7">
        <w:rPr>
          <w:sz w:val="22"/>
          <w:szCs w:val="22"/>
          <w:lang w:eastAsia="ja-JP"/>
        </w:rPr>
        <w:t xml:space="preserve">The Finding for Recovery should agree to the restitution amount for all amounts payable to a public entity, including audit costs.  </w:t>
      </w:r>
      <w:r w:rsidRPr="00387DA7">
        <w:rPr>
          <w:sz w:val="22"/>
          <w:szCs w:val="22"/>
          <w:lang w:eastAsia="ja-JP"/>
        </w:rPr>
        <w:t xml:space="preserve">Additionally, AOS will send only a Final Notice of Finding to the defendant since the court’s Order is final.  AOS does not need to send a Proposed Notice of Finding since the defendant’s due process rights were protected (i.e., the defendant had the chance to produce evidence or otherwise respond in court before the restitution order was issued). AOS will modify the </w:t>
      </w:r>
      <w:r w:rsidR="00256436" w:rsidRPr="00387DA7">
        <w:rPr>
          <w:sz w:val="22"/>
          <w:szCs w:val="22"/>
        </w:rPr>
        <w:t xml:space="preserve">Sample Notice of Finding </w:t>
      </w:r>
      <w:r w:rsidRPr="00387DA7">
        <w:rPr>
          <w:sz w:val="22"/>
          <w:szCs w:val="22"/>
          <w:lang w:eastAsia="ja-JP"/>
        </w:rPr>
        <w:t>to include the date, unpaid restitution amount, a brief description of the trial court’s finding, and a reference</w:t>
      </w:r>
      <w:r w:rsidR="000C6967" w:rsidRPr="00387DA7">
        <w:rPr>
          <w:sz w:val="22"/>
          <w:szCs w:val="22"/>
          <w:lang w:eastAsia="ja-JP"/>
        </w:rPr>
        <w:t xml:space="preserve"> to</w:t>
      </w:r>
      <w:r w:rsidRPr="00387DA7">
        <w:rPr>
          <w:sz w:val="22"/>
          <w:szCs w:val="22"/>
          <w:lang w:eastAsia="ja-JP"/>
        </w:rPr>
        <w:t xml:space="preserve"> the date of the court’s journal </w:t>
      </w:r>
      <w:r w:rsidR="00C6250E" w:rsidRPr="00387DA7">
        <w:rPr>
          <w:sz w:val="22"/>
          <w:szCs w:val="22"/>
          <w:lang w:eastAsia="ja-JP"/>
        </w:rPr>
        <w:t>entry</w:t>
      </w:r>
      <w:r w:rsidRPr="00387DA7">
        <w:rPr>
          <w:sz w:val="22"/>
          <w:szCs w:val="22"/>
          <w:lang w:eastAsia="ja-JP"/>
        </w:rPr>
        <w:t>.</w:t>
      </w:r>
      <w:r w:rsidR="0047094A" w:rsidRPr="00387DA7">
        <w:rPr>
          <w:sz w:val="22"/>
          <w:szCs w:val="22"/>
          <w:lang w:eastAsia="ja-JP"/>
        </w:rPr>
        <w:t xml:space="preserve">  If AOS has identified findings </w:t>
      </w:r>
      <w:proofErr w:type="gramStart"/>
      <w:r w:rsidR="0047094A" w:rsidRPr="00387DA7">
        <w:rPr>
          <w:sz w:val="22"/>
          <w:szCs w:val="22"/>
          <w:lang w:eastAsia="ja-JP"/>
        </w:rPr>
        <w:t>in excess of</w:t>
      </w:r>
      <w:proofErr w:type="gramEnd"/>
      <w:r w:rsidR="0047094A" w:rsidRPr="00387DA7">
        <w:rPr>
          <w:sz w:val="22"/>
          <w:szCs w:val="22"/>
          <w:lang w:eastAsia="ja-JP"/>
        </w:rPr>
        <w:t xml:space="preserve"> the court’s Order, a Notice of Proposed Finding is required to be sent.</w:t>
      </w:r>
    </w:p>
    <w:p w14:paraId="56FBD360" w14:textId="77777777" w:rsidR="00A00D89" w:rsidRPr="00387DA7" w:rsidRDefault="00A00D89" w:rsidP="00A00D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5E8ED15" w14:textId="7F2AADC4" w:rsidR="00A00D89" w:rsidRPr="00387DA7" w:rsidRDefault="235602C6" w:rsidP="1C21625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In instances where the region has been requested to</w:t>
      </w:r>
      <w:r w:rsidR="00100615" w:rsidRPr="00387DA7">
        <w:rPr>
          <w:sz w:val="22"/>
          <w:szCs w:val="22"/>
          <w:lang w:eastAsia="ja-JP"/>
        </w:rPr>
        <w:t xml:space="preserve"> </w:t>
      </w:r>
      <w:r w:rsidR="00100615" w:rsidRPr="00387DA7">
        <w:rPr>
          <w:spacing w:val="-11"/>
          <w:sz w:val="22"/>
          <w:szCs w:val="22"/>
        </w:rPr>
        <w:t>monitor a court case because the case is being conducted outside of an SIU special audit</w:t>
      </w:r>
      <w:r w:rsidRPr="00387DA7">
        <w:rPr>
          <w:sz w:val="22"/>
          <w:szCs w:val="22"/>
          <w:lang w:eastAsia="ja-JP"/>
        </w:rPr>
        <w:t xml:space="preserve"> </w:t>
      </w:r>
      <w:r w:rsidR="007955DE" w:rsidRPr="00387DA7">
        <w:rPr>
          <w:sz w:val="22"/>
          <w:szCs w:val="22"/>
          <w:lang w:eastAsia="ja-JP"/>
        </w:rPr>
        <w:t xml:space="preserve">or when a preliminary </w:t>
      </w:r>
      <w:r w:rsidR="00987ED6" w:rsidRPr="00387DA7">
        <w:rPr>
          <w:sz w:val="22"/>
          <w:szCs w:val="22"/>
          <w:lang w:eastAsia="ja-JP"/>
        </w:rPr>
        <w:t xml:space="preserve">audit and </w:t>
      </w:r>
      <w:r w:rsidR="007955DE" w:rsidRPr="00387DA7">
        <w:rPr>
          <w:sz w:val="22"/>
          <w:szCs w:val="22"/>
          <w:lang w:eastAsia="ja-JP"/>
        </w:rPr>
        <w:t>investigation</w:t>
      </w:r>
      <w:r w:rsidR="00FB72E2" w:rsidRPr="00387DA7">
        <w:rPr>
          <w:sz w:val="22"/>
          <w:szCs w:val="22"/>
          <w:lang w:eastAsia="ja-JP"/>
        </w:rPr>
        <w:t>, with no criminal conviction,</w:t>
      </w:r>
      <w:r w:rsidR="007955DE" w:rsidRPr="00387DA7">
        <w:rPr>
          <w:sz w:val="22"/>
          <w:szCs w:val="22"/>
          <w:lang w:eastAsia="ja-JP"/>
        </w:rPr>
        <w:t xml:space="preserve"> conducted by SIU results only in a referral to </w:t>
      </w:r>
      <w:r w:rsidR="007955DE" w:rsidRPr="00C703AD">
        <w:rPr>
          <w:sz w:val="22"/>
          <w:szCs w:val="22"/>
          <w:lang w:eastAsia="ja-JP"/>
        </w:rPr>
        <w:t xml:space="preserve">the </w:t>
      </w:r>
      <w:r w:rsidR="00C703AD" w:rsidRPr="00C703AD">
        <w:rPr>
          <w:sz w:val="22"/>
          <w:szCs w:val="22"/>
        </w:rPr>
        <w:t>region</w:t>
      </w:r>
      <w:r w:rsidR="00C703AD" w:rsidRPr="00FB7E43">
        <w:rPr>
          <w:rStyle w:val="FootnoteReference"/>
          <w:u w:val="wave"/>
        </w:rPr>
        <w:footnoteReference w:id="17"/>
      </w:r>
      <w:r w:rsidR="007955DE" w:rsidRPr="00387DA7">
        <w:rPr>
          <w:sz w:val="22"/>
          <w:szCs w:val="22"/>
          <w:lang w:eastAsia="ja-JP"/>
        </w:rPr>
        <w:t xml:space="preserve"> </w:t>
      </w:r>
      <w:r w:rsidR="00A40931" w:rsidRPr="00A40931">
        <w:rPr>
          <w:strike/>
          <w:sz w:val="22"/>
          <w:szCs w:val="22"/>
          <w:lang w:eastAsia="ja-JP"/>
        </w:rPr>
        <w:t>f</w:t>
      </w:r>
      <w:r w:rsidR="007955DE" w:rsidRPr="00A40931">
        <w:rPr>
          <w:strike/>
          <w:sz w:val="22"/>
          <w:szCs w:val="22"/>
          <w:lang w:eastAsia="ja-JP"/>
        </w:rPr>
        <w:t>or a potential Finding for Recovery</w:t>
      </w:r>
      <w:r w:rsidRPr="00387DA7">
        <w:rPr>
          <w:sz w:val="22"/>
          <w:szCs w:val="22"/>
          <w:lang w:eastAsia="ja-JP"/>
        </w:rPr>
        <w:t>:</w:t>
      </w:r>
    </w:p>
    <w:p w14:paraId="23DC04FD" w14:textId="1E12FCA6" w:rsidR="00A00D89" w:rsidRPr="00387DA7" w:rsidRDefault="00A00D89" w:rsidP="007955DE">
      <w:pPr>
        <w:pStyle w:val="ListParagraph"/>
        <w:numPr>
          <w:ilvl w:val="0"/>
          <w:numId w:val="4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Regional auditors will </w:t>
      </w:r>
      <w:r w:rsidR="000D0C0E" w:rsidRPr="00387DA7">
        <w:rPr>
          <w:sz w:val="22"/>
          <w:szCs w:val="22"/>
          <w:lang w:eastAsia="ja-JP"/>
        </w:rPr>
        <w:t>be</w:t>
      </w:r>
      <w:r w:rsidRPr="00387DA7">
        <w:rPr>
          <w:sz w:val="22"/>
          <w:szCs w:val="22"/>
          <w:lang w:eastAsia="ja-JP"/>
        </w:rPr>
        <w:t xml:space="preserve"> responsible for ensuring the required CFAE and Legal consultations are obtained</w:t>
      </w:r>
      <w:r w:rsidR="00C67E62">
        <w:rPr>
          <w:sz w:val="22"/>
          <w:szCs w:val="22"/>
          <w:lang w:eastAsia="ja-JP"/>
        </w:rPr>
        <w:t xml:space="preserve"> </w:t>
      </w:r>
      <w:r w:rsidR="00C67E62" w:rsidRPr="00C67E62">
        <w:rPr>
          <w:sz w:val="22"/>
          <w:szCs w:val="22"/>
          <w:u w:val="wave"/>
        </w:rPr>
        <w:t>if a potential Finding for Recovery is identified</w:t>
      </w:r>
      <w:r w:rsidRPr="00C67E62">
        <w:rPr>
          <w:sz w:val="22"/>
          <w:szCs w:val="22"/>
          <w:lang w:eastAsia="ja-JP"/>
        </w:rPr>
        <w:t>,</w:t>
      </w:r>
      <w:r w:rsidRPr="00387DA7">
        <w:rPr>
          <w:sz w:val="22"/>
          <w:szCs w:val="22"/>
          <w:lang w:eastAsia="ja-JP"/>
        </w:rPr>
        <w:t xml:space="preserve"> and</w:t>
      </w:r>
    </w:p>
    <w:p w14:paraId="4AB826E4" w14:textId="453EDA52" w:rsidR="00A00D89" w:rsidRPr="00387DA7" w:rsidRDefault="00A00D89" w:rsidP="007955DE">
      <w:pPr>
        <w:pStyle w:val="ListParagraph"/>
        <w:numPr>
          <w:ilvl w:val="0"/>
          <w:numId w:val="4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Regional auditors will also prepare and send the </w:t>
      </w:r>
      <w:r w:rsidRPr="00387DA7">
        <w:rPr>
          <w:i/>
          <w:sz w:val="22"/>
          <w:szCs w:val="22"/>
          <w:lang w:eastAsia="ja-JP"/>
        </w:rPr>
        <w:t>Notice of Proposed</w:t>
      </w:r>
      <w:r w:rsidR="001D567B" w:rsidRPr="00387DA7">
        <w:rPr>
          <w:i/>
          <w:sz w:val="22"/>
          <w:szCs w:val="22"/>
          <w:lang w:eastAsia="ja-JP"/>
        </w:rPr>
        <w:t>/Final</w:t>
      </w:r>
      <w:r w:rsidRPr="00387DA7">
        <w:rPr>
          <w:i/>
          <w:sz w:val="22"/>
          <w:szCs w:val="22"/>
          <w:lang w:eastAsia="ja-JP"/>
        </w:rPr>
        <w:t xml:space="preserve"> Finding for Recovery</w:t>
      </w:r>
      <w:r w:rsidRPr="00387DA7">
        <w:rPr>
          <w:sz w:val="22"/>
          <w:szCs w:val="22"/>
          <w:lang w:eastAsia="ja-JP"/>
        </w:rPr>
        <w:t>.</w:t>
      </w:r>
      <w:r w:rsidR="00D634BC" w:rsidRPr="00387DA7">
        <w:rPr>
          <w:sz w:val="22"/>
          <w:szCs w:val="22"/>
          <w:lang w:eastAsia="ja-JP"/>
        </w:rPr>
        <w:t xml:space="preserve">  </w:t>
      </w:r>
    </w:p>
    <w:p w14:paraId="79C48F1B" w14:textId="74C58E61" w:rsidR="001D567B" w:rsidRPr="00387DA7" w:rsidRDefault="001D567B" w:rsidP="007955DE">
      <w:pPr>
        <w:pStyle w:val="ListParagraph"/>
        <w:numPr>
          <w:ilvl w:val="0"/>
          <w:numId w:val="4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roofErr w:type="gramStart"/>
      <w:r w:rsidRPr="00387DA7">
        <w:rPr>
          <w:sz w:val="22"/>
          <w:szCs w:val="22"/>
          <w:lang w:eastAsia="ja-JP"/>
        </w:rPr>
        <w:t>In the event that</w:t>
      </w:r>
      <w:proofErr w:type="gramEnd"/>
      <w:r w:rsidRPr="00387DA7">
        <w:rPr>
          <w:sz w:val="22"/>
          <w:szCs w:val="22"/>
          <w:lang w:eastAsia="ja-JP"/>
        </w:rPr>
        <w:t xml:space="preserve"> a Finding for Recovery is based solely upon a court’s Order of restitution, the region will send only a Final Notice of Finding to the defendant since the court’s Order is final.  </w:t>
      </w:r>
      <w:r w:rsidR="00BE1294" w:rsidRPr="00387DA7">
        <w:rPr>
          <w:sz w:val="22"/>
          <w:szCs w:val="22"/>
          <w:lang w:eastAsia="ja-JP"/>
        </w:rPr>
        <w:t xml:space="preserve">The Finding for Recovery should agree to the restitution amount for all amounts payable to a public entity, including audit costs.  </w:t>
      </w:r>
      <w:r w:rsidRPr="00387DA7">
        <w:rPr>
          <w:sz w:val="22"/>
          <w:szCs w:val="22"/>
          <w:lang w:eastAsia="ja-JP"/>
        </w:rPr>
        <w:t xml:space="preserve">AOS does not need to send a Proposed Notice of Finding since the defendant’s due process rights were protected (i.e., the defendant had the chance to produce evidence or otherwise respond in court before the restitution order was issued). </w:t>
      </w:r>
      <w:r w:rsidR="006F52C7" w:rsidRPr="00387DA7">
        <w:rPr>
          <w:sz w:val="22"/>
          <w:szCs w:val="22"/>
          <w:lang w:eastAsia="ja-JP"/>
        </w:rPr>
        <w:t xml:space="preserve"> </w:t>
      </w:r>
      <w:r w:rsidRPr="00387DA7">
        <w:rPr>
          <w:sz w:val="22"/>
          <w:szCs w:val="22"/>
          <w:lang w:eastAsia="ja-JP"/>
        </w:rPr>
        <w:t xml:space="preserve">AOS will modify the </w:t>
      </w:r>
      <w:r w:rsidR="00DF3086" w:rsidRPr="00387DA7">
        <w:rPr>
          <w:sz w:val="22"/>
          <w:szCs w:val="22"/>
        </w:rPr>
        <w:t xml:space="preserve">Sample Notice of Finding </w:t>
      </w:r>
      <w:r w:rsidRPr="00387DA7">
        <w:rPr>
          <w:sz w:val="22"/>
          <w:szCs w:val="22"/>
          <w:lang w:eastAsia="ja-JP"/>
        </w:rPr>
        <w:t xml:space="preserve">to include the date, unpaid restitution amount, a brief description of the trial court’s finding, and a reference </w:t>
      </w:r>
      <w:r w:rsidR="000C6967" w:rsidRPr="00387DA7">
        <w:rPr>
          <w:sz w:val="22"/>
          <w:szCs w:val="22"/>
          <w:lang w:eastAsia="ja-JP"/>
        </w:rPr>
        <w:t xml:space="preserve">to </w:t>
      </w:r>
      <w:r w:rsidRPr="00387DA7">
        <w:rPr>
          <w:sz w:val="22"/>
          <w:szCs w:val="22"/>
          <w:lang w:eastAsia="ja-JP"/>
        </w:rPr>
        <w:t>the date of the court’s journal entry.</w:t>
      </w:r>
    </w:p>
    <w:p w14:paraId="622248A7" w14:textId="77777777" w:rsidR="00D634BC" w:rsidRPr="00387DA7" w:rsidRDefault="00D634BC" w:rsidP="00A00D89">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DFE0139" w14:textId="77777777" w:rsidR="00A00D89" w:rsidRPr="00387DA7" w:rsidRDefault="00A00D89" w:rsidP="00A00D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r w:rsidRPr="00387DA7">
        <w:rPr>
          <w:sz w:val="22"/>
          <w:szCs w:val="22"/>
          <w:lang w:eastAsia="ja-JP"/>
        </w:rPr>
        <w:t>Finding for Recovery Process:</w:t>
      </w:r>
    </w:p>
    <w:p w14:paraId="12650B16" w14:textId="19149226" w:rsidR="00712AEC" w:rsidRPr="00387DA7" w:rsidRDefault="008F6A36" w:rsidP="007955DE">
      <w:pPr>
        <w:pStyle w:val="ListParagraph"/>
        <w:numPr>
          <w:ilvl w:val="0"/>
          <w:numId w:val="38"/>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lang w:eastAsia="ja-JP"/>
        </w:rPr>
      </w:pPr>
      <w:r w:rsidRPr="00387DA7">
        <w:rPr>
          <w:sz w:val="22"/>
          <w:szCs w:val="22"/>
          <w:lang w:eastAsia="ja-JP"/>
        </w:rPr>
        <w:t xml:space="preserve">If the auditor preliminarily determines </w:t>
      </w:r>
      <w:r w:rsidR="002F22F2" w:rsidRPr="00387DA7">
        <w:rPr>
          <w:sz w:val="22"/>
          <w:szCs w:val="22"/>
          <w:lang w:eastAsia="ja-JP"/>
        </w:rPr>
        <w:t xml:space="preserve">to issue </w:t>
      </w:r>
      <w:r w:rsidR="002F4D5C" w:rsidRPr="00387DA7">
        <w:rPr>
          <w:sz w:val="22"/>
          <w:szCs w:val="22"/>
          <w:lang w:eastAsia="ja-JP"/>
        </w:rPr>
        <w:t>a Finding for R</w:t>
      </w:r>
      <w:r w:rsidRPr="00387DA7">
        <w:rPr>
          <w:sz w:val="22"/>
          <w:szCs w:val="22"/>
          <w:lang w:eastAsia="ja-JP"/>
        </w:rPr>
        <w:t xml:space="preserve">ecovery, the auditor </w:t>
      </w:r>
      <w:r w:rsidR="000A4128" w:rsidRPr="00387DA7">
        <w:rPr>
          <w:sz w:val="22"/>
          <w:szCs w:val="22"/>
          <w:lang w:eastAsia="ja-JP"/>
        </w:rPr>
        <w:t xml:space="preserve">should send a summary of the proposed finding </w:t>
      </w:r>
      <w:r w:rsidRPr="00387DA7">
        <w:rPr>
          <w:sz w:val="22"/>
          <w:szCs w:val="22"/>
          <w:lang w:eastAsia="ja-JP"/>
        </w:rPr>
        <w:t xml:space="preserve">along with all </w:t>
      </w:r>
      <w:proofErr w:type="gramStart"/>
      <w:r w:rsidRPr="00387DA7">
        <w:rPr>
          <w:sz w:val="22"/>
          <w:szCs w:val="22"/>
          <w:lang w:eastAsia="ja-JP"/>
        </w:rPr>
        <w:t>factual information</w:t>
      </w:r>
      <w:proofErr w:type="gramEnd"/>
      <w:r w:rsidR="00712AEC" w:rsidRPr="00387DA7">
        <w:rPr>
          <w:sz w:val="22"/>
          <w:szCs w:val="22"/>
          <w:lang w:eastAsia="ja-JP"/>
        </w:rPr>
        <w:t xml:space="preserve">, including supporting documentation </w:t>
      </w:r>
      <w:r w:rsidRPr="00387DA7">
        <w:rPr>
          <w:sz w:val="22"/>
          <w:szCs w:val="22"/>
          <w:lang w:eastAsia="ja-JP"/>
        </w:rPr>
        <w:t>pertinent to the proposed finding, to the</w:t>
      </w:r>
      <w:r w:rsidRPr="00015E32">
        <w:rPr>
          <w:sz w:val="22"/>
          <w:szCs w:val="22"/>
          <w:lang w:eastAsia="ja-JP"/>
        </w:rPr>
        <w:t xml:space="preserve"> </w:t>
      </w:r>
      <w:r w:rsidR="00015E32" w:rsidRPr="00015E32">
        <w:rPr>
          <w:sz w:val="22"/>
          <w:szCs w:val="22"/>
        </w:rPr>
        <w:t xml:space="preserve">Legal Division </w:t>
      </w:r>
      <w:r w:rsidR="00015E32" w:rsidRPr="00865E83">
        <w:rPr>
          <w:strike/>
          <w:sz w:val="22"/>
          <w:szCs w:val="22"/>
        </w:rPr>
        <w:t>and CFAE</w:t>
      </w:r>
      <w:r w:rsidR="00015E32" w:rsidRPr="00015E32">
        <w:rPr>
          <w:sz w:val="22"/>
          <w:szCs w:val="22"/>
        </w:rPr>
        <w:t xml:space="preserve"> </w:t>
      </w:r>
      <w:r w:rsidRPr="00015E32">
        <w:rPr>
          <w:sz w:val="22"/>
          <w:szCs w:val="22"/>
          <w:lang w:eastAsia="ja-JP"/>
        </w:rPr>
        <w:t>for</w:t>
      </w:r>
      <w:r w:rsidRPr="00387DA7">
        <w:rPr>
          <w:sz w:val="22"/>
          <w:szCs w:val="22"/>
          <w:lang w:eastAsia="ja-JP"/>
        </w:rPr>
        <w:t xml:space="preserve"> review.  </w:t>
      </w:r>
      <w:r w:rsidR="00865E83">
        <w:rPr>
          <w:sz w:val="22"/>
          <w:szCs w:val="22"/>
          <w:lang w:eastAsia="ja-JP"/>
        </w:rPr>
        <w:t xml:space="preserve"> </w:t>
      </w:r>
      <w:r w:rsidR="005E0781">
        <w:rPr>
          <w:sz w:val="22"/>
          <w:szCs w:val="22"/>
          <w:u w:val="wave"/>
          <w:lang w:eastAsia="ja-JP"/>
        </w:rPr>
        <w:t xml:space="preserve"> </w:t>
      </w:r>
    </w:p>
    <w:p w14:paraId="49670CDB" w14:textId="77777777" w:rsidR="00712AEC" w:rsidRPr="00387DA7" w:rsidRDefault="008F6A36" w:rsidP="00701DA6">
      <w:pPr>
        <w:pStyle w:val="ListParagraph"/>
        <w:numPr>
          <w:ilvl w:val="1"/>
          <w:numId w:val="48"/>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Legal Division reviews the proposed </w:t>
      </w:r>
      <w:proofErr w:type="gramStart"/>
      <w:r w:rsidRPr="00387DA7">
        <w:rPr>
          <w:sz w:val="22"/>
          <w:szCs w:val="22"/>
          <w:lang w:eastAsia="ja-JP"/>
        </w:rPr>
        <w:t>finding</w:t>
      </w:r>
      <w:proofErr w:type="gramEnd"/>
      <w:r w:rsidR="001F6429" w:rsidRPr="00387DA7">
        <w:rPr>
          <w:sz w:val="22"/>
          <w:szCs w:val="22"/>
          <w:lang w:eastAsia="ja-JP"/>
        </w:rPr>
        <w:t xml:space="preserve"> in the Legal Consultation program folder of the applicable TeamMate project.</w:t>
      </w:r>
      <w:r w:rsidRPr="00387DA7">
        <w:rPr>
          <w:sz w:val="22"/>
          <w:szCs w:val="22"/>
          <w:lang w:eastAsia="ja-JP"/>
        </w:rPr>
        <w:t xml:space="preserve"> </w:t>
      </w:r>
      <w:r w:rsidR="00FA4620" w:rsidRPr="00387DA7">
        <w:rPr>
          <w:sz w:val="22"/>
          <w:szCs w:val="22"/>
          <w:lang w:eastAsia="ja-JP"/>
        </w:rPr>
        <w:t xml:space="preserve"> </w:t>
      </w:r>
    </w:p>
    <w:p w14:paraId="546DA497" w14:textId="575C57E1" w:rsidR="00655557" w:rsidRDefault="001F6429" w:rsidP="00701DA6">
      <w:pPr>
        <w:pStyle w:val="ListParagraph"/>
        <w:numPr>
          <w:ilvl w:val="1"/>
          <w:numId w:val="48"/>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The Legal Division will approve the Proposed Finding as is,</w:t>
      </w:r>
      <w:r w:rsidR="008F6A36" w:rsidRPr="00387DA7">
        <w:rPr>
          <w:sz w:val="22"/>
          <w:szCs w:val="22"/>
          <w:lang w:eastAsia="ja-JP"/>
        </w:rPr>
        <w:t xml:space="preserve"> approve </w:t>
      </w:r>
      <w:r w:rsidRPr="00387DA7">
        <w:rPr>
          <w:sz w:val="22"/>
          <w:szCs w:val="22"/>
          <w:lang w:eastAsia="ja-JP"/>
        </w:rPr>
        <w:t>with modifications</w:t>
      </w:r>
      <w:r w:rsidR="008F6A36" w:rsidRPr="00387DA7">
        <w:rPr>
          <w:sz w:val="22"/>
          <w:szCs w:val="22"/>
          <w:lang w:eastAsia="ja-JP"/>
        </w:rPr>
        <w:t xml:space="preserve">, </w:t>
      </w:r>
      <w:r w:rsidRPr="00387DA7">
        <w:rPr>
          <w:sz w:val="22"/>
          <w:szCs w:val="22"/>
          <w:lang w:eastAsia="ja-JP"/>
        </w:rPr>
        <w:t>disapprove</w:t>
      </w:r>
      <w:r w:rsidR="008F6A36" w:rsidRPr="00387DA7">
        <w:rPr>
          <w:sz w:val="22"/>
          <w:szCs w:val="22"/>
          <w:lang w:eastAsia="ja-JP"/>
        </w:rPr>
        <w:t xml:space="preserve">, or </w:t>
      </w:r>
      <w:r w:rsidRPr="00387DA7">
        <w:rPr>
          <w:sz w:val="22"/>
          <w:szCs w:val="22"/>
          <w:lang w:eastAsia="ja-JP"/>
        </w:rPr>
        <w:t>request</w:t>
      </w:r>
      <w:r w:rsidR="008F6A36" w:rsidRPr="00387DA7">
        <w:rPr>
          <w:sz w:val="22"/>
          <w:szCs w:val="22"/>
          <w:lang w:eastAsia="ja-JP"/>
        </w:rPr>
        <w:t xml:space="preserve"> more information </w:t>
      </w:r>
      <w:r w:rsidRPr="00387DA7">
        <w:rPr>
          <w:sz w:val="22"/>
          <w:szCs w:val="22"/>
          <w:lang w:eastAsia="ja-JP"/>
        </w:rPr>
        <w:t>be submitted by the auditor</w:t>
      </w:r>
      <w:r w:rsidR="008F6A36" w:rsidRPr="00387DA7">
        <w:rPr>
          <w:sz w:val="22"/>
          <w:szCs w:val="22"/>
          <w:lang w:eastAsia="ja-JP"/>
        </w:rPr>
        <w:t xml:space="preserve"> to evaluate the proposed finding. </w:t>
      </w:r>
      <w:r w:rsidR="00C76E09" w:rsidRPr="00387DA7">
        <w:rPr>
          <w:sz w:val="22"/>
          <w:szCs w:val="22"/>
          <w:lang w:eastAsia="ja-JP"/>
        </w:rPr>
        <w:t xml:space="preserve"> </w:t>
      </w:r>
    </w:p>
    <w:p w14:paraId="0E50850F" w14:textId="797DB18F" w:rsidR="00C7712A" w:rsidRDefault="00C7712A" w:rsidP="00B75E13">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E17C6E9" w14:textId="6535EA55" w:rsidR="00B75E13" w:rsidRPr="0012368C" w:rsidRDefault="0012368C" w:rsidP="0012368C">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u w:val="wave"/>
          <w:lang w:eastAsia="ja-JP"/>
        </w:rPr>
      </w:pPr>
      <w:r w:rsidRPr="0012368C">
        <w:rPr>
          <w:sz w:val="22"/>
          <w:szCs w:val="22"/>
          <w:u w:val="wave"/>
          <w:lang w:eastAsia="ja-JP"/>
        </w:rPr>
        <w:t>Regardless of w</w:t>
      </w:r>
      <w:r w:rsidR="002A0A70" w:rsidRPr="0012368C">
        <w:rPr>
          <w:sz w:val="22"/>
          <w:szCs w:val="22"/>
          <w:u w:val="wave"/>
          <w:lang w:eastAsia="ja-JP"/>
        </w:rPr>
        <w:t>hether the Legal Division approves</w:t>
      </w:r>
      <w:r w:rsidRPr="0012368C">
        <w:rPr>
          <w:sz w:val="22"/>
          <w:szCs w:val="22"/>
          <w:u w:val="wave"/>
          <w:lang w:eastAsia="ja-JP"/>
        </w:rPr>
        <w:t xml:space="preserve"> or disapproves the</w:t>
      </w:r>
      <w:r w:rsidR="00BE3D40">
        <w:rPr>
          <w:sz w:val="22"/>
          <w:szCs w:val="22"/>
          <w:u w:val="wave"/>
          <w:lang w:eastAsia="ja-JP"/>
        </w:rPr>
        <w:t xml:space="preserve"> preliminary</w:t>
      </w:r>
      <w:r w:rsidRPr="0012368C">
        <w:rPr>
          <w:sz w:val="22"/>
          <w:szCs w:val="22"/>
          <w:u w:val="wave"/>
          <w:lang w:eastAsia="ja-JP"/>
        </w:rPr>
        <w:t xml:space="preserve"> Finding for Recovery, the auditor should </w:t>
      </w:r>
      <w:r w:rsidR="00146B94">
        <w:rPr>
          <w:sz w:val="22"/>
          <w:szCs w:val="22"/>
          <w:u w:val="wave"/>
          <w:lang w:eastAsia="ja-JP"/>
        </w:rPr>
        <w:t xml:space="preserve">also </w:t>
      </w:r>
      <w:r w:rsidR="00D5028A">
        <w:rPr>
          <w:sz w:val="22"/>
          <w:szCs w:val="22"/>
          <w:u w:val="wave"/>
          <w:lang w:eastAsia="ja-JP"/>
        </w:rPr>
        <w:t>consult with</w:t>
      </w:r>
      <w:r w:rsidR="00146B94">
        <w:rPr>
          <w:sz w:val="22"/>
          <w:szCs w:val="22"/>
          <w:u w:val="wave"/>
          <w:lang w:eastAsia="ja-JP"/>
        </w:rPr>
        <w:t xml:space="preserve"> the Center for Audit Excellence</w:t>
      </w:r>
      <w:r w:rsidR="00F94216">
        <w:rPr>
          <w:sz w:val="22"/>
          <w:szCs w:val="22"/>
          <w:u w:val="wave"/>
          <w:lang w:eastAsia="ja-JP"/>
        </w:rPr>
        <w:t>.</w:t>
      </w:r>
    </w:p>
    <w:p w14:paraId="032DD125" w14:textId="78883448" w:rsidR="00146B94" w:rsidRPr="0073178F" w:rsidRDefault="00146B94" w:rsidP="007955DE">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u w:val="wave"/>
          <w:lang w:eastAsia="ja-JP"/>
        </w:rPr>
      </w:pPr>
      <w:r w:rsidRPr="0073178F">
        <w:rPr>
          <w:sz w:val="22"/>
          <w:szCs w:val="22"/>
          <w:u w:val="wave"/>
          <w:lang w:eastAsia="ja-JP"/>
        </w:rPr>
        <w:t xml:space="preserve">If </w:t>
      </w:r>
      <w:r w:rsidR="008D3A15" w:rsidRPr="0073178F">
        <w:rPr>
          <w:sz w:val="22"/>
          <w:szCs w:val="22"/>
          <w:u w:val="wave"/>
          <w:lang w:eastAsia="ja-JP"/>
        </w:rPr>
        <w:t>disappro</w:t>
      </w:r>
      <w:r w:rsidR="0092441B" w:rsidRPr="0073178F">
        <w:rPr>
          <w:sz w:val="22"/>
          <w:szCs w:val="22"/>
          <w:u w:val="wave"/>
          <w:lang w:eastAsia="ja-JP"/>
        </w:rPr>
        <w:t>ved</w:t>
      </w:r>
      <w:r w:rsidR="0037401F">
        <w:rPr>
          <w:sz w:val="22"/>
          <w:szCs w:val="22"/>
          <w:u w:val="wave"/>
          <w:lang w:eastAsia="ja-JP"/>
        </w:rPr>
        <w:t xml:space="preserve"> by the Legal Division, </w:t>
      </w:r>
      <w:r w:rsidR="00485262">
        <w:rPr>
          <w:sz w:val="22"/>
          <w:szCs w:val="22"/>
          <w:u w:val="wave"/>
          <w:lang w:eastAsia="ja-JP"/>
        </w:rPr>
        <w:t>the Center reviews the</w:t>
      </w:r>
      <w:r w:rsidR="0092441B" w:rsidRPr="0073178F">
        <w:rPr>
          <w:sz w:val="22"/>
          <w:szCs w:val="22"/>
          <w:u w:val="wave"/>
          <w:lang w:eastAsia="ja-JP"/>
        </w:rPr>
        <w:t xml:space="preserve"> </w:t>
      </w:r>
      <w:r w:rsidR="0092441B" w:rsidRPr="006420E6">
        <w:rPr>
          <w:i/>
          <w:iCs/>
          <w:sz w:val="22"/>
          <w:szCs w:val="22"/>
          <w:u w:val="wave"/>
          <w:lang w:eastAsia="ja-JP"/>
        </w:rPr>
        <w:t>summar</w:t>
      </w:r>
      <w:r w:rsidR="008A7458" w:rsidRPr="006420E6">
        <w:rPr>
          <w:i/>
          <w:iCs/>
          <w:sz w:val="22"/>
          <w:szCs w:val="22"/>
          <w:u w:val="wave"/>
          <w:lang w:eastAsia="ja-JP"/>
        </w:rPr>
        <w:t xml:space="preserve">y </w:t>
      </w:r>
      <w:r w:rsidR="008A7458">
        <w:rPr>
          <w:sz w:val="22"/>
          <w:szCs w:val="22"/>
          <w:u w:val="wave"/>
          <w:lang w:eastAsia="ja-JP"/>
        </w:rPr>
        <w:t>of the proposed finding</w:t>
      </w:r>
      <w:r w:rsidR="0092441B" w:rsidRPr="0073178F">
        <w:rPr>
          <w:sz w:val="22"/>
          <w:szCs w:val="22"/>
          <w:u w:val="wave"/>
          <w:lang w:eastAsia="ja-JP"/>
        </w:rPr>
        <w:t xml:space="preserve"> </w:t>
      </w:r>
      <w:r w:rsidR="007018BD">
        <w:rPr>
          <w:sz w:val="22"/>
          <w:szCs w:val="22"/>
          <w:u w:val="wave"/>
          <w:lang w:eastAsia="ja-JP"/>
        </w:rPr>
        <w:t>in the CFAE Consultation program folder in the applicable TeamMate project,</w:t>
      </w:r>
      <w:r w:rsidR="0092441B" w:rsidRPr="0073178F">
        <w:rPr>
          <w:sz w:val="22"/>
          <w:szCs w:val="22"/>
          <w:u w:val="wave"/>
          <w:lang w:eastAsia="ja-JP"/>
        </w:rPr>
        <w:t xml:space="preserve"> </w:t>
      </w:r>
      <w:r w:rsidR="0073178F" w:rsidRPr="0073178F">
        <w:rPr>
          <w:sz w:val="22"/>
          <w:szCs w:val="22"/>
          <w:u w:val="wave"/>
          <w:lang w:eastAsia="ja-JP"/>
        </w:rPr>
        <w:t>to ensure they concur with the determination.</w:t>
      </w:r>
    </w:p>
    <w:p w14:paraId="416DDD84" w14:textId="2EF46235" w:rsidR="00712AEC" w:rsidRPr="00F00EA5" w:rsidRDefault="008A7458" w:rsidP="00F00EA5">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DF79BD">
        <w:rPr>
          <w:sz w:val="22"/>
          <w:szCs w:val="22"/>
          <w:u w:val="wave"/>
          <w:lang w:eastAsia="ja-JP"/>
        </w:rPr>
        <w:t>If approved</w:t>
      </w:r>
      <w:r w:rsidR="0037401F" w:rsidRPr="00DF79BD">
        <w:rPr>
          <w:sz w:val="22"/>
          <w:szCs w:val="22"/>
          <w:u w:val="wave"/>
          <w:lang w:eastAsia="ja-JP"/>
        </w:rPr>
        <w:t xml:space="preserve"> by the Legal Division,</w:t>
      </w:r>
      <w:r w:rsidR="0037401F">
        <w:rPr>
          <w:sz w:val="22"/>
          <w:szCs w:val="22"/>
          <w:lang w:eastAsia="ja-JP"/>
        </w:rPr>
        <w:t xml:space="preserve"> </w:t>
      </w:r>
      <w:r w:rsidR="00DF79BD">
        <w:rPr>
          <w:sz w:val="22"/>
          <w:szCs w:val="22"/>
          <w:lang w:eastAsia="ja-JP"/>
        </w:rPr>
        <w:t>t</w:t>
      </w:r>
      <w:r w:rsidR="00712AEC" w:rsidRPr="00387DA7">
        <w:rPr>
          <w:sz w:val="22"/>
          <w:szCs w:val="22"/>
          <w:lang w:eastAsia="ja-JP"/>
        </w:rPr>
        <w:t xml:space="preserve">he Center reviews the </w:t>
      </w:r>
      <w:r w:rsidR="00712AEC" w:rsidRPr="00F00EA5">
        <w:rPr>
          <w:i/>
          <w:iCs/>
          <w:sz w:val="22"/>
          <w:szCs w:val="22"/>
          <w:lang w:eastAsia="ja-JP"/>
        </w:rPr>
        <w:t>proposed finding</w:t>
      </w:r>
      <w:r w:rsidR="00712AEC" w:rsidRPr="00387DA7">
        <w:rPr>
          <w:sz w:val="22"/>
          <w:szCs w:val="22"/>
          <w:lang w:eastAsia="ja-JP"/>
        </w:rPr>
        <w:t xml:space="preserve"> in the CFAE Consultation program folder of the applicable TeamMate project</w:t>
      </w:r>
      <w:r w:rsidR="00F00EA5">
        <w:rPr>
          <w:sz w:val="22"/>
          <w:szCs w:val="22"/>
          <w:lang w:eastAsia="ja-JP"/>
        </w:rPr>
        <w:t xml:space="preserve">.  </w:t>
      </w:r>
      <w:r w:rsidR="00712AEC" w:rsidRPr="00F00EA5">
        <w:rPr>
          <w:sz w:val="22"/>
          <w:szCs w:val="22"/>
          <w:lang w:eastAsia="ja-JP"/>
        </w:rPr>
        <w:t xml:space="preserve">The Center for Audit Excellence will also approve the finding’s conformance with GAGAS </w:t>
      </w:r>
      <w:r w:rsidR="00F05314" w:rsidRPr="00F00EA5">
        <w:rPr>
          <w:sz w:val="22"/>
          <w:szCs w:val="22"/>
          <w:lang w:eastAsia="ja-JP"/>
        </w:rPr>
        <w:t xml:space="preserve">and any other </w:t>
      </w:r>
      <w:r w:rsidR="00712AEC" w:rsidRPr="00F00EA5">
        <w:rPr>
          <w:sz w:val="22"/>
          <w:szCs w:val="22"/>
          <w:lang w:eastAsia="ja-JP"/>
        </w:rPr>
        <w:t xml:space="preserve">reporting requirements. </w:t>
      </w:r>
    </w:p>
    <w:p w14:paraId="2ED7D823" w14:textId="77777777" w:rsidR="008F6A36" w:rsidRPr="00387DA7" w:rsidRDefault="008F6A36" w:rsidP="00712AEC">
      <w:pPr>
        <w:pStyle w:val="ListParagraph"/>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p>
    <w:p w14:paraId="298B7F9F" w14:textId="26A22AF2" w:rsidR="00712AEC" w:rsidRPr="00387DA7" w:rsidRDefault="008F6A36" w:rsidP="007955DE">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If the </w:t>
      </w:r>
      <w:r w:rsidR="00F252D5" w:rsidRPr="00387DA7">
        <w:rPr>
          <w:sz w:val="22"/>
          <w:szCs w:val="22"/>
          <w:lang w:eastAsia="ja-JP"/>
        </w:rPr>
        <w:t xml:space="preserve">Legal Division </w:t>
      </w:r>
      <w:r w:rsidR="00C76E09" w:rsidRPr="00387DA7">
        <w:rPr>
          <w:sz w:val="22"/>
          <w:szCs w:val="22"/>
          <w:lang w:eastAsia="ja-JP"/>
        </w:rPr>
        <w:t xml:space="preserve">and </w:t>
      </w:r>
      <w:r w:rsidR="00DB5251" w:rsidRPr="00387DA7">
        <w:rPr>
          <w:sz w:val="22"/>
          <w:szCs w:val="22"/>
          <w:lang w:eastAsia="ja-JP"/>
        </w:rPr>
        <w:t>the Center for Audit Excellence</w:t>
      </w:r>
      <w:r w:rsidR="00C76E09" w:rsidRPr="00387DA7">
        <w:rPr>
          <w:sz w:val="22"/>
          <w:szCs w:val="22"/>
          <w:lang w:eastAsia="ja-JP"/>
        </w:rPr>
        <w:t xml:space="preserve"> </w:t>
      </w:r>
      <w:r w:rsidR="00F252D5" w:rsidRPr="00387DA7">
        <w:rPr>
          <w:sz w:val="22"/>
          <w:szCs w:val="22"/>
          <w:lang w:eastAsia="ja-JP"/>
        </w:rPr>
        <w:t xml:space="preserve">approve the </w:t>
      </w:r>
      <w:r w:rsidRPr="00387DA7">
        <w:rPr>
          <w:sz w:val="22"/>
          <w:szCs w:val="22"/>
          <w:lang w:eastAsia="ja-JP"/>
        </w:rPr>
        <w:t xml:space="preserve">proposed finding, the auditor </w:t>
      </w:r>
      <w:r w:rsidR="00E94BF6" w:rsidRPr="00387DA7">
        <w:rPr>
          <w:sz w:val="22"/>
          <w:szCs w:val="22"/>
          <w:lang w:eastAsia="ja-JP"/>
        </w:rPr>
        <w:t>s</w:t>
      </w:r>
      <w:r w:rsidRPr="00387DA7">
        <w:rPr>
          <w:sz w:val="22"/>
          <w:szCs w:val="22"/>
          <w:lang w:eastAsia="ja-JP"/>
        </w:rPr>
        <w:t>hould</w:t>
      </w:r>
      <w:r w:rsidR="00E94BF6" w:rsidRPr="00387DA7">
        <w:rPr>
          <w:sz w:val="22"/>
          <w:szCs w:val="22"/>
          <w:lang w:eastAsia="ja-JP"/>
        </w:rPr>
        <w:t xml:space="preserve"> immediately</w:t>
      </w:r>
      <w:r w:rsidR="002F22F2" w:rsidRPr="00387DA7">
        <w:rPr>
          <w:sz w:val="22"/>
          <w:szCs w:val="22"/>
          <w:lang w:eastAsia="ja-JP"/>
        </w:rPr>
        <w:t xml:space="preserve"> prepare and send a </w:t>
      </w:r>
      <w:r w:rsidRPr="00387DA7">
        <w:rPr>
          <w:i/>
          <w:sz w:val="22"/>
          <w:szCs w:val="22"/>
          <w:lang w:eastAsia="ja-JP"/>
        </w:rPr>
        <w:t>Notice of Proposed Finding for Recovery</w:t>
      </w:r>
      <w:r w:rsidR="00682BC8" w:rsidRPr="00387DA7">
        <w:rPr>
          <w:sz w:val="22"/>
          <w:szCs w:val="22"/>
          <w:lang w:eastAsia="ja-JP"/>
        </w:rPr>
        <w:t xml:space="preserve"> to the Legal Division for review</w:t>
      </w:r>
      <w:r w:rsidRPr="00387DA7">
        <w:rPr>
          <w:sz w:val="22"/>
          <w:szCs w:val="22"/>
          <w:lang w:eastAsia="ja-JP"/>
        </w:rPr>
        <w:t xml:space="preserve"> (</w:t>
      </w:r>
      <w:r w:rsidR="00860F01" w:rsidRPr="00387DA7">
        <w:rPr>
          <w:sz w:val="22"/>
          <w:szCs w:val="22"/>
          <w:lang w:eastAsia="ja-JP"/>
        </w:rPr>
        <w:t xml:space="preserve">AOS auditors can </w:t>
      </w:r>
      <w:r w:rsidR="002E0FFC" w:rsidRPr="00387DA7">
        <w:rPr>
          <w:sz w:val="22"/>
          <w:szCs w:val="22"/>
          <w:lang w:eastAsia="ja-JP"/>
        </w:rPr>
        <w:t>see sample letter on int</w:t>
      </w:r>
      <w:r w:rsidR="00516756" w:rsidRPr="00387DA7">
        <w:rPr>
          <w:sz w:val="22"/>
          <w:szCs w:val="22"/>
          <w:lang w:eastAsia="ja-JP"/>
        </w:rPr>
        <w:t>ra</w:t>
      </w:r>
      <w:r w:rsidR="002E0FFC" w:rsidRPr="00387DA7">
        <w:rPr>
          <w:sz w:val="22"/>
          <w:szCs w:val="22"/>
          <w:lang w:eastAsia="ja-JP"/>
        </w:rPr>
        <w:t>net</w:t>
      </w:r>
      <w:r w:rsidR="004D023D">
        <w:rPr>
          <w:sz w:val="22"/>
          <w:szCs w:val="22"/>
          <w:lang w:eastAsia="ja-JP"/>
        </w:rPr>
        <w:t>)</w:t>
      </w:r>
      <w:r w:rsidRPr="00387DA7">
        <w:rPr>
          <w:sz w:val="22"/>
          <w:szCs w:val="22"/>
          <w:lang w:eastAsia="ja-JP"/>
        </w:rPr>
        <w:t xml:space="preserve">. </w:t>
      </w:r>
    </w:p>
    <w:p w14:paraId="67ABC67C" w14:textId="4BAE8F78" w:rsidR="008F6A36" w:rsidRPr="00387DA7" w:rsidRDefault="001B632F" w:rsidP="00A65664">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T</w:t>
      </w:r>
      <w:r w:rsidR="008F6A36" w:rsidRPr="00387DA7">
        <w:rPr>
          <w:sz w:val="22"/>
          <w:szCs w:val="22"/>
          <w:lang w:eastAsia="ja-JP"/>
        </w:rPr>
        <w:t>his notice provide</w:t>
      </w:r>
      <w:r w:rsidRPr="00387DA7">
        <w:rPr>
          <w:sz w:val="22"/>
          <w:szCs w:val="22"/>
          <w:lang w:eastAsia="ja-JP"/>
        </w:rPr>
        <w:t>s</w:t>
      </w:r>
      <w:r w:rsidR="008F6A36" w:rsidRPr="00387DA7">
        <w:rPr>
          <w:sz w:val="22"/>
          <w:szCs w:val="22"/>
          <w:lang w:eastAsia="ja-JP"/>
        </w:rPr>
        <w:t xml:space="preserve"> the person against whom the finding is contemplated an opportunity to rebut the allegations.  The notice must </w:t>
      </w:r>
      <w:r w:rsidR="00682BC8" w:rsidRPr="00387DA7">
        <w:rPr>
          <w:sz w:val="22"/>
          <w:szCs w:val="22"/>
          <w:lang w:eastAsia="ja-JP"/>
        </w:rPr>
        <w:t>include th</w:t>
      </w:r>
      <w:r w:rsidR="008316DF" w:rsidRPr="00387DA7">
        <w:rPr>
          <w:sz w:val="22"/>
          <w:szCs w:val="22"/>
          <w:lang w:eastAsia="ja-JP"/>
        </w:rPr>
        <w:t>e</w:t>
      </w:r>
      <w:r w:rsidR="00682BC8" w:rsidRPr="00387DA7">
        <w:rPr>
          <w:sz w:val="22"/>
          <w:szCs w:val="22"/>
          <w:lang w:eastAsia="ja-JP"/>
        </w:rPr>
        <w:t xml:space="preserve"> language of the </w:t>
      </w:r>
      <w:r w:rsidR="002F4D5C" w:rsidRPr="00387DA7">
        <w:rPr>
          <w:sz w:val="22"/>
          <w:szCs w:val="22"/>
          <w:lang w:eastAsia="ja-JP"/>
        </w:rPr>
        <w:t>Finding for Recovery</w:t>
      </w:r>
      <w:r w:rsidR="00682BC8" w:rsidRPr="00387DA7">
        <w:rPr>
          <w:sz w:val="22"/>
          <w:szCs w:val="22"/>
          <w:lang w:eastAsia="ja-JP"/>
        </w:rPr>
        <w:t xml:space="preserve"> from the report </w:t>
      </w:r>
      <w:r w:rsidR="008F6A36" w:rsidRPr="00387DA7">
        <w:rPr>
          <w:sz w:val="22"/>
          <w:szCs w:val="22"/>
          <w:lang w:eastAsia="ja-JP"/>
        </w:rPr>
        <w:t>and must be factually specific and detailed enough to allow the person</w:t>
      </w:r>
      <w:r w:rsidR="00B96411" w:rsidRPr="00387DA7">
        <w:rPr>
          <w:sz w:val="22"/>
          <w:szCs w:val="22"/>
          <w:lang w:eastAsia="ja-JP"/>
        </w:rPr>
        <w:t>(</w:t>
      </w:r>
      <w:r w:rsidR="008F6A36" w:rsidRPr="00387DA7">
        <w:rPr>
          <w:sz w:val="22"/>
          <w:szCs w:val="22"/>
          <w:lang w:eastAsia="ja-JP"/>
        </w:rPr>
        <w:t>s</w:t>
      </w:r>
      <w:r w:rsidR="00B96411" w:rsidRPr="00387DA7">
        <w:rPr>
          <w:sz w:val="22"/>
          <w:szCs w:val="22"/>
          <w:lang w:eastAsia="ja-JP"/>
        </w:rPr>
        <w:t>)</w:t>
      </w:r>
      <w:r w:rsidR="008F6A36" w:rsidRPr="00387DA7">
        <w:rPr>
          <w:sz w:val="22"/>
          <w:szCs w:val="22"/>
          <w:lang w:eastAsia="ja-JP"/>
        </w:rPr>
        <w:t xml:space="preserve"> to understand the allegations made against them. </w:t>
      </w:r>
    </w:p>
    <w:p w14:paraId="1281308D" w14:textId="31146DDC" w:rsidR="00712AEC" w:rsidRDefault="008F6A36" w:rsidP="00776C23">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 xml:space="preserve">The notice also must state that the individual has five business days in which to respond in writing to the proposed finding.  That five-day period may be extended in rare circumstances, but only upon approval of the Auditor of State, the </w:t>
      </w:r>
      <w:r w:rsidR="001B632F" w:rsidRPr="00387DA7">
        <w:rPr>
          <w:sz w:val="22"/>
          <w:szCs w:val="22"/>
          <w:lang w:eastAsia="ja-JP"/>
        </w:rPr>
        <w:t>C</w:t>
      </w:r>
      <w:r w:rsidRPr="00387DA7">
        <w:rPr>
          <w:sz w:val="22"/>
          <w:szCs w:val="22"/>
          <w:lang w:eastAsia="ja-JP"/>
        </w:rPr>
        <w:t>hief</w:t>
      </w:r>
      <w:r w:rsidR="001B632F" w:rsidRPr="00387DA7">
        <w:rPr>
          <w:sz w:val="22"/>
          <w:szCs w:val="22"/>
          <w:lang w:eastAsia="ja-JP"/>
        </w:rPr>
        <w:t xml:space="preserve"> Deputy Auditor</w:t>
      </w:r>
      <w:r w:rsidRPr="00387DA7">
        <w:rPr>
          <w:sz w:val="22"/>
          <w:szCs w:val="22"/>
          <w:lang w:eastAsia="ja-JP"/>
        </w:rPr>
        <w:t xml:space="preserve">, the </w:t>
      </w:r>
      <w:r w:rsidR="001B632F" w:rsidRPr="00387DA7">
        <w:rPr>
          <w:sz w:val="22"/>
          <w:szCs w:val="22"/>
          <w:lang w:eastAsia="ja-JP"/>
        </w:rPr>
        <w:t>chief a</w:t>
      </w:r>
      <w:r w:rsidR="007655B1" w:rsidRPr="00387DA7">
        <w:rPr>
          <w:sz w:val="22"/>
          <w:szCs w:val="22"/>
          <w:lang w:eastAsia="ja-JP"/>
        </w:rPr>
        <w:t>uditor</w:t>
      </w:r>
      <w:r w:rsidR="001B632F" w:rsidRPr="00387DA7">
        <w:rPr>
          <w:sz w:val="22"/>
          <w:szCs w:val="22"/>
          <w:lang w:eastAsia="ja-JP"/>
        </w:rPr>
        <w:t xml:space="preserve"> (or equivalent), or </w:t>
      </w:r>
      <w:r w:rsidR="002F22F2" w:rsidRPr="00387DA7">
        <w:rPr>
          <w:sz w:val="22"/>
          <w:szCs w:val="22"/>
          <w:lang w:eastAsia="ja-JP"/>
        </w:rPr>
        <w:t xml:space="preserve">the </w:t>
      </w:r>
      <w:r w:rsidR="001B632F" w:rsidRPr="00387DA7">
        <w:rPr>
          <w:sz w:val="22"/>
          <w:szCs w:val="22"/>
          <w:lang w:eastAsia="ja-JP"/>
        </w:rPr>
        <w:t>L</w:t>
      </w:r>
      <w:r w:rsidRPr="00387DA7">
        <w:rPr>
          <w:sz w:val="22"/>
          <w:szCs w:val="22"/>
          <w:lang w:eastAsia="ja-JP"/>
        </w:rPr>
        <w:t xml:space="preserve">egal </w:t>
      </w:r>
      <w:r w:rsidR="002F22F2" w:rsidRPr="00387DA7">
        <w:rPr>
          <w:sz w:val="22"/>
          <w:szCs w:val="22"/>
          <w:lang w:eastAsia="ja-JP"/>
        </w:rPr>
        <w:t>Division</w:t>
      </w:r>
      <w:r w:rsidRPr="00387DA7">
        <w:rPr>
          <w:sz w:val="22"/>
          <w:szCs w:val="22"/>
          <w:lang w:eastAsia="ja-JP"/>
        </w:rPr>
        <w:t xml:space="preserve">.  </w:t>
      </w:r>
    </w:p>
    <w:p w14:paraId="72E54C80" w14:textId="606ECCE5" w:rsidR="00291BCF" w:rsidRPr="00C00729" w:rsidRDefault="00836EB1" w:rsidP="00776C23">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u w:val="wave"/>
          <w:lang w:eastAsia="ja-JP"/>
        </w:rPr>
      </w:pPr>
      <w:r w:rsidRPr="00C00729">
        <w:rPr>
          <w:sz w:val="22"/>
          <w:szCs w:val="22"/>
          <w:u w:val="wave"/>
          <w:lang w:eastAsia="ja-JP"/>
        </w:rPr>
        <w:t>In addition, the notice must state that the individual may review the working papers on which the Proposed Finding is based</w:t>
      </w:r>
      <w:r w:rsidR="00C00729" w:rsidRPr="00C00729">
        <w:rPr>
          <w:sz w:val="22"/>
          <w:szCs w:val="22"/>
          <w:u w:val="wave"/>
          <w:lang w:eastAsia="ja-JP"/>
        </w:rPr>
        <w:t xml:space="preserve">, however, </w:t>
      </w:r>
      <w:r w:rsidR="00E91A7E">
        <w:rPr>
          <w:sz w:val="22"/>
          <w:szCs w:val="22"/>
          <w:u w:val="wave"/>
          <w:lang w:eastAsia="ja-JP"/>
        </w:rPr>
        <w:t xml:space="preserve">this </w:t>
      </w:r>
      <w:r w:rsidR="00C00729" w:rsidRPr="00C00729">
        <w:rPr>
          <w:sz w:val="22"/>
          <w:szCs w:val="22"/>
          <w:u w:val="wave"/>
          <w:lang w:eastAsia="ja-JP"/>
        </w:rPr>
        <w:t xml:space="preserve">will not result in an extension of the time in which they have to respond.  </w:t>
      </w:r>
    </w:p>
    <w:p w14:paraId="7C116B81" w14:textId="77777777" w:rsidR="002F4D5C" w:rsidRPr="00387DA7" w:rsidRDefault="002F4D5C" w:rsidP="002F4D5C">
      <w:pPr>
        <w:pStyle w:val="ListParagraph"/>
        <w:rPr>
          <w:sz w:val="22"/>
          <w:szCs w:val="22"/>
          <w:lang w:eastAsia="ja-JP"/>
        </w:rPr>
      </w:pPr>
    </w:p>
    <w:p w14:paraId="35F5FF9C" w14:textId="25F5F0D8" w:rsidR="00CF7FFE" w:rsidRPr="00387DA7" w:rsidRDefault="268A84E9" w:rsidP="2ACBBB92">
      <w:pPr>
        <w:pStyle w:val="ListParagraph"/>
        <w:numPr>
          <w:ilvl w:val="0"/>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After the Legal Division has approved the </w:t>
      </w:r>
      <w:r w:rsidRPr="00387DA7">
        <w:rPr>
          <w:i/>
          <w:iCs/>
          <w:sz w:val="22"/>
          <w:szCs w:val="22"/>
          <w:lang w:eastAsia="ja-JP"/>
        </w:rPr>
        <w:t>Notice of Proposed Findings</w:t>
      </w:r>
      <w:r w:rsidRPr="00387DA7">
        <w:rPr>
          <w:sz w:val="22"/>
          <w:szCs w:val="22"/>
          <w:lang w:eastAsia="ja-JP"/>
        </w:rPr>
        <w:t xml:space="preserve"> letters, except for </w:t>
      </w:r>
      <w:r w:rsidR="4B5302CC" w:rsidRPr="00387DA7">
        <w:rPr>
          <w:sz w:val="22"/>
          <w:szCs w:val="22"/>
          <w:lang w:eastAsia="ja-JP"/>
        </w:rPr>
        <w:t>special audits conducted</w:t>
      </w:r>
      <w:r w:rsidR="293D8617" w:rsidRPr="00387DA7">
        <w:rPr>
          <w:sz w:val="22"/>
          <w:szCs w:val="22"/>
          <w:lang w:eastAsia="ja-JP"/>
        </w:rPr>
        <w:t xml:space="preserve"> </w:t>
      </w:r>
      <w:r w:rsidR="4B5302CC" w:rsidRPr="00387DA7">
        <w:rPr>
          <w:sz w:val="22"/>
          <w:szCs w:val="22"/>
          <w:lang w:eastAsia="ja-JP"/>
        </w:rPr>
        <w:t xml:space="preserve">by </w:t>
      </w:r>
      <w:r w:rsidR="3ED8B273" w:rsidRPr="00387DA7">
        <w:rPr>
          <w:sz w:val="22"/>
          <w:szCs w:val="22"/>
          <w:lang w:eastAsia="ja-JP"/>
        </w:rPr>
        <w:t>SIU</w:t>
      </w:r>
      <w:r w:rsidR="4B5302CC" w:rsidRPr="00387DA7">
        <w:rPr>
          <w:sz w:val="22"/>
          <w:szCs w:val="22"/>
          <w:lang w:eastAsia="ja-JP"/>
        </w:rPr>
        <w:t>,</w:t>
      </w:r>
      <w:r w:rsidRPr="00387DA7">
        <w:rPr>
          <w:sz w:val="22"/>
          <w:szCs w:val="22"/>
          <w:lang w:eastAsia="ja-JP"/>
        </w:rPr>
        <w:t xml:space="preserve"> the auditor should send the </w:t>
      </w:r>
      <w:r w:rsidRPr="00387DA7">
        <w:rPr>
          <w:i/>
          <w:iCs/>
          <w:sz w:val="22"/>
          <w:szCs w:val="22"/>
          <w:lang w:eastAsia="ja-JP"/>
        </w:rPr>
        <w:t>Notice of Proposed Findings</w:t>
      </w:r>
      <w:r w:rsidRPr="00387DA7">
        <w:rPr>
          <w:sz w:val="22"/>
          <w:szCs w:val="22"/>
          <w:lang w:eastAsia="ja-JP"/>
        </w:rPr>
        <w:t xml:space="preserve"> to </w:t>
      </w:r>
      <w:proofErr w:type="gramStart"/>
      <w:r w:rsidRPr="00387DA7">
        <w:rPr>
          <w:sz w:val="22"/>
          <w:szCs w:val="22"/>
          <w:lang w:eastAsia="ja-JP"/>
        </w:rPr>
        <w:t>each individual</w:t>
      </w:r>
      <w:proofErr w:type="gramEnd"/>
      <w:r w:rsidRPr="00387DA7">
        <w:rPr>
          <w:sz w:val="22"/>
          <w:szCs w:val="22"/>
          <w:lang w:eastAsia="ja-JP"/>
        </w:rPr>
        <w:t xml:space="preserve"> named in the Finding for Recovery</w:t>
      </w:r>
      <w:r w:rsidR="2D945929" w:rsidRPr="00387DA7">
        <w:rPr>
          <w:sz w:val="22"/>
          <w:szCs w:val="22"/>
          <w:lang w:eastAsia="ja-JP"/>
        </w:rPr>
        <w:t xml:space="preserve"> </w:t>
      </w:r>
      <w:r w:rsidRPr="00387DA7" w:rsidDel="00712AEC">
        <w:rPr>
          <w:sz w:val="22"/>
          <w:szCs w:val="22"/>
          <w:lang w:eastAsia="ja-JP"/>
        </w:rPr>
        <w:t>and</w:t>
      </w:r>
      <w:r w:rsidR="44AB9C1C" w:rsidRPr="00387DA7">
        <w:rPr>
          <w:sz w:val="22"/>
          <w:szCs w:val="22"/>
          <w:lang w:eastAsia="ja-JP"/>
        </w:rPr>
        <w:t xml:space="preserve"> </w:t>
      </w:r>
      <w:r w:rsidRPr="00387DA7" w:rsidDel="009157A3">
        <w:rPr>
          <w:sz w:val="22"/>
          <w:szCs w:val="22"/>
          <w:lang w:eastAsia="ja-JP"/>
        </w:rPr>
        <w:t>the bonding company(</w:t>
      </w:r>
      <w:proofErr w:type="spellStart"/>
      <w:r w:rsidRPr="00387DA7" w:rsidDel="009157A3">
        <w:rPr>
          <w:sz w:val="22"/>
          <w:szCs w:val="22"/>
          <w:lang w:eastAsia="ja-JP"/>
        </w:rPr>
        <w:t>ies</w:t>
      </w:r>
      <w:proofErr w:type="spellEnd"/>
      <w:r w:rsidRPr="00387DA7" w:rsidDel="009157A3">
        <w:rPr>
          <w:sz w:val="22"/>
          <w:szCs w:val="22"/>
          <w:lang w:eastAsia="ja-JP"/>
        </w:rPr>
        <w:t>)</w:t>
      </w:r>
      <w:bookmarkStart w:id="28" w:name="_Ref172784413"/>
      <w:r w:rsidR="00E43217" w:rsidRPr="00387DA7">
        <w:rPr>
          <w:rStyle w:val="FootnoteReference"/>
          <w:sz w:val="22"/>
          <w:szCs w:val="22"/>
          <w:lang w:eastAsia="ja-JP"/>
        </w:rPr>
        <w:footnoteReference w:id="18"/>
      </w:r>
      <w:bookmarkEnd w:id="28"/>
      <w:r w:rsidRPr="00387DA7">
        <w:rPr>
          <w:sz w:val="22"/>
          <w:szCs w:val="22"/>
          <w:lang w:eastAsia="ja-JP"/>
        </w:rPr>
        <w:t xml:space="preserve">. </w:t>
      </w:r>
      <w:r w:rsidR="009B4BF1" w:rsidRPr="00387DA7">
        <w:rPr>
          <w:sz w:val="22"/>
          <w:szCs w:val="22"/>
          <w:lang w:eastAsia="ja-JP"/>
        </w:rPr>
        <w:t xml:space="preserve"> Notice</w:t>
      </w:r>
      <w:r w:rsidR="5225BC42" w:rsidRPr="00387DA7">
        <w:rPr>
          <w:sz w:val="22"/>
          <w:szCs w:val="22"/>
          <w:lang w:eastAsia="ja-JP"/>
        </w:rPr>
        <w:t xml:space="preserve"> </w:t>
      </w:r>
      <w:r w:rsidR="2A97EA14" w:rsidRPr="00387DA7">
        <w:rPr>
          <w:sz w:val="22"/>
          <w:szCs w:val="22"/>
          <w:lang w:eastAsia="ja-JP"/>
        </w:rPr>
        <w:t>should</w:t>
      </w:r>
      <w:r w:rsidR="5225BC42" w:rsidRPr="00387DA7">
        <w:rPr>
          <w:sz w:val="22"/>
          <w:szCs w:val="22"/>
          <w:lang w:eastAsia="ja-JP"/>
        </w:rPr>
        <w:t xml:space="preserve"> be sent</w:t>
      </w:r>
      <w:r w:rsidR="355F370A" w:rsidRPr="00387DA7">
        <w:rPr>
          <w:sz w:val="22"/>
          <w:szCs w:val="22"/>
          <w:lang w:eastAsia="ja-JP"/>
        </w:rPr>
        <w:t xml:space="preserve"> </w:t>
      </w:r>
      <w:r w:rsidR="44C3C291" w:rsidRPr="00387DA7">
        <w:rPr>
          <w:sz w:val="22"/>
          <w:szCs w:val="22"/>
          <w:lang w:eastAsia="ja-JP"/>
        </w:rPr>
        <w:t>via certified mail</w:t>
      </w:r>
      <w:r w:rsidR="5225BC42" w:rsidRPr="00387DA7">
        <w:rPr>
          <w:sz w:val="22"/>
          <w:szCs w:val="22"/>
          <w:lang w:eastAsia="ja-JP"/>
        </w:rPr>
        <w:t xml:space="preserve"> to the individual </w:t>
      </w:r>
      <w:r w:rsidR="399E7DA1" w:rsidRPr="00387DA7">
        <w:rPr>
          <w:sz w:val="22"/>
          <w:szCs w:val="22"/>
          <w:lang w:eastAsia="ja-JP"/>
        </w:rPr>
        <w:t>sufficiently</w:t>
      </w:r>
      <w:r w:rsidR="5225BC42" w:rsidRPr="00387DA7">
        <w:rPr>
          <w:sz w:val="22"/>
          <w:szCs w:val="22"/>
          <w:lang w:eastAsia="ja-JP"/>
        </w:rPr>
        <w:t xml:space="preserve"> in advance of any exit conference so that he or she has time to respond and so that the Auditor of State’s Office has time to withdraw or modify the </w:t>
      </w:r>
      <w:proofErr w:type="gramStart"/>
      <w:r w:rsidR="5225BC42" w:rsidRPr="00387DA7">
        <w:rPr>
          <w:sz w:val="22"/>
          <w:szCs w:val="22"/>
          <w:lang w:eastAsia="ja-JP"/>
        </w:rPr>
        <w:t>finding</w:t>
      </w:r>
      <w:proofErr w:type="gramEnd"/>
      <w:r w:rsidR="5225BC42" w:rsidRPr="00387DA7">
        <w:rPr>
          <w:sz w:val="22"/>
          <w:szCs w:val="22"/>
          <w:lang w:eastAsia="ja-JP"/>
        </w:rPr>
        <w:t xml:space="preserve"> before that conference, if necessary. </w:t>
      </w:r>
    </w:p>
    <w:p w14:paraId="395BE335" w14:textId="0CFB487D" w:rsidR="00712AEC" w:rsidRPr="00387DA7" w:rsidRDefault="5340DC84" w:rsidP="1C216256">
      <w:pPr>
        <w:pStyle w:val="ListParagraph"/>
        <w:numPr>
          <w:ilvl w:val="1"/>
          <w:numId w:val="3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In the case of special audit</w:t>
      </w:r>
      <w:r w:rsidR="5CF51751" w:rsidRPr="00387DA7">
        <w:rPr>
          <w:sz w:val="22"/>
          <w:szCs w:val="22"/>
          <w:lang w:eastAsia="ja-JP"/>
        </w:rPr>
        <w:t xml:space="preserve"> testing</w:t>
      </w:r>
      <w:r w:rsidRPr="00387DA7">
        <w:rPr>
          <w:sz w:val="22"/>
          <w:szCs w:val="22"/>
          <w:lang w:eastAsia="ja-JP"/>
        </w:rPr>
        <w:t>, it may be necessary to delay notice to individuals about proposed findings until law enforcement or prosecuting officials approve release of this information.</w:t>
      </w:r>
      <w:r w:rsidR="4CE6C418" w:rsidRPr="00387DA7">
        <w:rPr>
          <w:sz w:val="22"/>
          <w:szCs w:val="22"/>
          <w:lang w:eastAsia="ja-JP"/>
        </w:rPr>
        <w:t xml:space="preserve">  </w:t>
      </w:r>
      <w:r w:rsidR="00FB72E2" w:rsidRPr="00387DA7">
        <w:rPr>
          <w:sz w:val="22"/>
          <w:szCs w:val="22"/>
          <w:lang w:eastAsia="ja-JP"/>
        </w:rPr>
        <w:t>This decision will be</w:t>
      </w:r>
      <w:r w:rsidR="006A0021" w:rsidRPr="00387DA7">
        <w:rPr>
          <w:sz w:val="22"/>
          <w:szCs w:val="22"/>
          <w:lang w:eastAsia="ja-JP"/>
        </w:rPr>
        <w:t xml:space="preserve"> made</w:t>
      </w:r>
      <w:r w:rsidR="00FB72E2" w:rsidRPr="00387DA7">
        <w:rPr>
          <w:sz w:val="22"/>
          <w:szCs w:val="22"/>
          <w:lang w:eastAsia="ja-JP"/>
        </w:rPr>
        <w:t xml:space="preserve"> by SIU.</w:t>
      </w:r>
      <w:r w:rsidR="00433FCD">
        <w:rPr>
          <w:sz w:val="22"/>
          <w:szCs w:val="22"/>
          <w:lang w:eastAsia="ja-JP"/>
        </w:rPr>
        <w:t xml:space="preserve">  </w:t>
      </w:r>
    </w:p>
    <w:p w14:paraId="15283DE6"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43DB6BA2" w14:textId="1E86FBC8" w:rsidR="00712AEC" w:rsidRPr="00387DA7" w:rsidRDefault="008F6A36" w:rsidP="007955DE">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If the person against whom the finding is contemplated responds within the time allowed with something other than a general denial of responsibility, the auditor should evaluate the response.  </w:t>
      </w:r>
    </w:p>
    <w:p w14:paraId="53BCFFD7" w14:textId="71BCAE15" w:rsidR="00712AEC" w:rsidRPr="00387DA7" w:rsidRDefault="00CC0326" w:rsidP="00776C23">
      <w:pPr>
        <w:pStyle w:val="ListParagraph"/>
        <w:numPr>
          <w:ilvl w:val="1"/>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T</w:t>
      </w:r>
      <w:r w:rsidR="00DD0935" w:rsidRPr="00387DA7">
        <w:rPr>
          <w:sz w:val="22"/>
          <w:szCs w:val="22"/>
          <w:lang w:eastAsia="ja-JP"/>
        </w:rPr>
        <w:t xml:space="preserve">he auditor </w:t>
      </w:r>
      <w:r w:rsidR="00005DFE" w:rsidRPr="00387DA7">
        <w:rPr>
          <w:sz w:val="22"/>
          <w:szCs w:val="22"/>
          <w:lang w:eastAsia="ja-JP"/>
        </w:rPr>
        <w:t>shall</w:t>
      </w:r>
      <w:r w:rsidR="00DD0935" w:rsidRPr="00387DA7">
        <w:rPr>
          <w:sz w:val="22"/>
          <w:szCs w:val="22"/>
          <w:lang w:eastAsia="ja-JP"/>
        </w:rPr>
        <w:t xml:space="preserve"> submit </w:t>
      </w:r>
      <w:r w:rsidRPr="00387DA7">
        <w:rPr>
          <w:sz w:val="22"/>
          <w:szCs w:val="22"/>
          <w:lang w:eastAsia="ja-JP"/>
        </w:rPr>
        <w:t xml:space="preserve">the response </w:t>
      </w:r>
      <w:r w:rsidR="00DD0935" w:rsidRPr="00387DA7">
        <w:rPr>
          <w:sz w:val="22"/>
          <w:szCs w:val="22"/>
          <w:lang w:eastAsia="ja-JP"/>
        </w:rPr>
        <w:t xml:space="preserve">to the Legal Division for consideration.  </w:t>
      </w:r>
    </w:p>
    <w:p w14:paraId="14AFBAB8" w14:textId="77777777" w:rsidR="00712AEC" w:rsidRPr="00387DA7" w:rsidRDefault="00DD0935" w:rsidP="00776C23">
      <w:pPr>
        <w:pStyle w:val="ListParagraph"/>
        <w:numPr>
          <w:ilvl w:val="1"/>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 xml:space="preserve">If </w:t>
      </w:r>
      <w:r w:rsidR="008F6A36" w:rsidRPr="00387DA7">
        <w:rPr>
          <w:sz w:val="22"/>
          <w:szCs w:val="22"/>
          <w:lang w:eastAsia="ja-JP"/>
        </w:rPr>
        <w:t>after th</w:t>
      </w:r>
      <w:r w:rsidR="001B632F" w:rsidRPr="00387DA7">
        <w:rPr>
          <w:sz w:val="22"/>
          <w:szCs w:val="22"/>
          <w:lang w:eastAsia="ja-JP"/>
        </w:rPr>
        <w:t>e</w:t>
      </w:r>
      <w:r w:rsidR="008F6A36" w:rsidRPr="00387DA7">
        <w:rPr>
          <w:sz w:val="22"/>
          <w:szCs w:val="22"/>
          <w:lang w:eastAsia="ja-JP"/>
        </w:rPr>
        <w:t xml:space="preserve"> evaluation</w:t>
      </w:r>
      <w:r w:rsidR="001B632F" w:rsidRPr="00387DA7">
        <w:rPr>
          <w:sz w:val="22"/>
          <w:szCs w:val="22"/>
          <w:lang w:eastAsia="ja-JP"/>
        </w:rPr>
        <w:t>,</w:t>
      </w:r>
      <w:r w:rsidR="008F6A36" w:rsidRPr="00387DA7">
        <w:rPr>
          <w:sz w:val="22"/>
          <w:szCs w:val="22"/>
          <w:lang w:eastAsia="ja-JP"/>
        </w:rPr>
        <w:t xml:space="preserve"> the decision is made to delete the proposed </w:t>
      </w:r>
      <w:proofErr w:type="gramStart"/>
      <w:r w:rsidR="008F6A36" w:rsidRPr="00387DA7">
        <w:rPr>
          <w:sz w:val="22"/>
          <w:szCs w:val="22"/>
          <w:lang w:eastAsia="ja-JP"/>
        </w:rPr>
        <w:t>finding</w:t>
      </w:r>
      <w:proofErr w:type="gramEnd"/>
      <w:r w:rsidR="008F6A36" w:rsidRPr="00387DA7">
        <w:rPr>
          <w:sz w:val="22"/>
          <w:szCs w:val="22"/>
          <w:lang w:eastAsia="ja-JP"/>
        </w:rPr>
        <w:t xml:space="preserve"> from the draft report, the person should be notified of that</w:t>
      </w:r>
      <w:r w:rsidR="00E424F5" w:rsidRPr="00387DA7">
        <w:rPr>
          <w:sz w:val="22"/>
          <w:szCs w:val="22"/>
          <w:lang w:eastAsia="ja-JP"/>
        </w:rPr>
        <w:t xml:space="preserve"> decision.  </w:t>
      </w:r>
    </w:p>
    <w:p w14:paraId="349ACFA1" w14:textId="77777777" w:rsidR="008F6A36" w:rsidRPr="00387DA7" w:rsidRDefault="00E424F5" w:rsidP="00776C23">
      <w:pPr>
        <w:pStyle w:val="ListParagraph"/>
        <w:numPr>
          <w:ilvl w:val="1"/>
          <w:numId w:val="4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jc w:val="both"/>
        <w:rPr>
          <w:sz w:val="22"/>
          <w:szCs w:val="22"/>
          <w:lang w:eastAsia="ja-JP"/>
        </w:rPr>
      </w:pPr>
      <w:r w:rsidRPr="00387DA7">
        <w:rPr>
          <w:sz w:val="22"/>
          <w:szCs w:val="22"/>
          <w:lang w:eastAsia="ja-JP"/>
        </w:rPr>
        <w:t xml:space="preserve">If the decision is </w:t>
      </w:r>
      <w:r w:rsidR="008F6A36" w:rsidRPr="00387DA7">
        <w:rPr>
          <w:sz w:val="22"/>
          <w:szCs w:val="22"/>
          <w:lang w:eastAsia="ja-JP"/>
        </w:rPr>
        <w:t xml:space="preserve">made to retain the </w:t>
      </w:r>
      <w:proofErr w:type="gramStart"/>
      <w:r w:rsidR="008F6A36" w:rsidRPr="00387DA7">
        <w:rPr>
          <w:sz w:val="22"/>
          <w:szCs w:val="22"/>
          <w:lang w:eastAsia="ja-JP"/>
        </w:rPr>
        <w:t>finding</w:t>
      </w:r>
      <w:proofErr w:type="gramEnd"/>
      <w:r w:rsidR="008F6A36" w:rsidRPr="00387DA7">
        <w:rPr>
          <w:sz w:val="22"/>
          <w:szCs w:val="22"/>
          <w:lang w:eastAsia="ja-JP"/>
        </w:rPr>
        <w:t xml:space="preserve">, the individual should be notified of the opportunity to attend the exit conference or to schedule a separate meeting to discuss the </w:t>
      </w:r>
      <w:proofErr w:type="gramStart"/>
      <w:r w:rsidR="008F6A36" w:rsidRPr="00387DA7">
        <w:rPr>
          <w:sz w:val="22"/>
          <w:szCs w:val="22"/>
          <w:lang w:eastAsia="ja-JP"/>
        </w:rPr>
        <w:t>finding</w:t>
      </w:r>
      <w:proofErr w:type="gramEnd"/>
      <w:r w:rsidR="008F6A36" w:rsidRPr="00387DA7">
        <w:rPr>
          <w:sz w:val="22"/>
          <w:szCs w:val="22"/>
          <w:lang w:eastAsia="ja-JP"/>
        </w:rPr>
        <w:t xml:space="preserve">. </w:t>
      </w:r>
      <w:r w:rsidR="00DA50C3" w:rsidRPr="00387DA7">
        <w:rPr>
          <w:sz w:val="22"/>
          <w:szCs w:val="22"/>
          <w:lang w:eastAsia="ja-JP"/>
        </w:rPr>
        <w:t xml:space="preserve"> </w:t>
      </w:r>
    </w:p>
    <w:p w14:paraId="321C2277" w14:textId="77777777" w:rsidR="00613F6F" w:rsidRPr="00387DA7" w:rsidRDefault="00613F6F" w:rsidP="00E46397">
      <w:pPr>
        <w:rPr>
          <w:sz w:val="22"/>
          <w:szCs w:val="22"/>
          <w:lang w:eastAsia="ja-JP"/>
        </w:rPr>
      </w:pPr>
    </w:p>
    <w:p w14:paraId="4659BA4E" w14:textId="135EAB53" w:rsidR="004720C9" w:rsidRPr="00387DA7" w:rsidRDefault="004720C9" w:rsidP="007955DE">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A certified copy of the audit report shall be filed with the officer required by state law, municipal or county charter, or municipal ordinance to act as legal counsel to the officers of the public office. If no officer is required by state law, municipal or county charter, or municipal ordinance to act as legal counsel, a copy shall be filed with the prosecuting attorney of the county within which the fiscal office of the public office is located. [Ohio Rev. Code § 117.27].</w:t>
      </w:r>
      <w:r w:rsidR="00F530CD" w:rsidRPr="00387DA7">
        <w:rPr>
          <w:sz w:val="22"/>
          <w:szCs w:val="22"/>
          <w:lang w:eastAsia="ja-JP"/>
        </w:rPr>
        <w:t xml:space="preserve"> The person receiving the audit report pursuant to Ohio Rev. Code § 117.27 is the person who </w:t>
      </w:r>
      <w:proofErr w:type="gramStart"/>
      <w:r w:rsidR="00F530CD" w:rsidRPr="00387DA7">
        <w:rPr>
          <w:sz w:val="22"/>
          <w:szCs w:val="22"/>
          <w:lang w:eastAsia="ja-JP"/>
        </w:rPr>
        <w:t>is able to</w:t>
      </w:r>
      <w:proofErr w:type="gramEnd"/>
      <w:r w:rsidR="00F530CD" w:rsidRPr="00387DA7">
        <w:rPr>
          <w:sz w:val="22"/>
          <w:szCs w:val="22"/>
          <w:lang w:eastAsia="ja-JP"/>
        </w:rPr>
        <w:t xml:space="preserve"> file a collection action to recover the FFR. This person is not necessarily the same person who acts as the attorney for the entity or proposed FFR debtor as the audit report is ongoing.</w:t>
      </w:r>
    </w:p>
    <w:p w14:paraId="7FE205E1" w14:textId="77777777" w:rsidR="004720C9" w:rsidRPr="00387DA7" w:rsidRDefault="004720C9" w:rsidP="004720C9">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B352DAD" w14:textId="1B7061C4" w:rsidR="00613F6F" w:rsidRPr="00387DA7" w:rsidRDefault="532FA0F8">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Pursuant to Ohio Rev. Code </w:t>
      </w:r>
      <w:r w:rsidR="582CC756" w:rsidRPr="00387DA7">
        <w:rPr>
          <w:sz w:val="22"/>
          <w:szCs w:val="22"/>
          <w:lang w:eastAsia="ja-JP"/>
        </w:rPr>
        <w:t>§</w:t>
      </w:r>
      <w:r w:rsidR="497F46CC" w:rsidRPr="00387DA7">
        <w:rPr>
          <w:sz w:val="22"/>
          <w:szCs w:val="22"/>
          <w:lang w:eastAsia="ja-JP"/>
        </w:rPr>
        <w:t>§</w:t>
      </w:r>
      <w:r w:rsidR="582CC756" w:rsidRPr="00387DA7">
        <w:rPr>
          <w:sz w:val="22"/>
          <w:szCs w:val="22"/>
          <w:lang w:eastAsia="ja-JP"/>
        </w:rPr>
        <w:t xml:space="preserve"> </w:t>
      </w:r>
      <w:r w:rsidR="497F46CC" w:rsidRPr="00387DA7">
        <w:rPr>
          <w:sz w:val="22"/>
          <w:szCs w:val="22"/>
          <w:lang w:eastAsia="ja-JP"/>
        </w:rPr>
        <w:t xml:space="preserve">117.28 and </w:t>
      </w:r>
      <w:r w:rsidR="582CC756" w:rsidRPr="00387DA7">
        <w:rPr>
          <w:sz w:val="22"/>
          <w:szCs w:val="22"/>
          <w:lang w:eastAsia="ja-JP"/>
        </w:rPr>
        <w:t>1</w:t>
      </w:r>
      <w:r w:rsidRPr="00387DA7">
        <w:rPr>
          <w:sz w:val="22"/>
          <w:szCs w:val="22"/>
          <w:lang w:eastAsia="ja-JP"/>
        </w:rPr>
        <w:t xml:space="preserve">17.30, the Attorney General </w:t>
      </w:r>
      <w:r w:rsidR="05B84A7E" w:rsidRPr="00387DA7">
        <w:rPr>
          <w:sz w:val="22"/>
          <w:szCs w:val="22"/>
          <w:lang w:eastAsia="ja-JP"/>
        </w:rPr>
        <w:t xml:space="preserve">may </w:t>
      </w:r>
      <w:r w:rsidR="64811F05" w:rsidRPr="00387DA7">
        <w:rPr>
          <w:sz w:val="22"/>
          <w:szCs w:val="22"/>
          <w:lang w:eastAsia="ja-JP"/>
        </w:rPr>
        <w:t xml:space="preserve">file an action </w:t>
      </w:r>
      <w:r w:rsidRPr="00387DA7">
        <w:rPr>
          <w:sz w:val="22"/>
          <w:szCs w:val="22"/>
          <w:lang w:eastAsia="ja-JP"/>
        </w:rPr>
        <w:t xml:space="preserve">to collect </w:t>
      </w:r>
      <w:r w:rsidR="365F8615" w:rsidRPr="00387DA7">
        <w:rPr>
          <w:sz w:val="22"/>
          <w:szCs w:val="22"/>
          <w:lang w:eastAsia="ja-JP"/>
        </w:rPr>
        <w:t>unpaid Findings for R</w:t>
      </w:r>
      <w:r w:rsidRPr="00387DA7">
        <w:rPr>
          <w:sz w:val="22"/>
          <w:szCs w:val="22"/>
          <w:lang w:eastAsia="ja-JP"/>
        </w:rPr>
        <w:t xml:space="preserve">ecovery issued by the Auditor of State </w:t>
      </w:r>
      <w:r w:rsidR="0CDD8101" w:rsidRPr="00387DA7">
        <w:rPr>
          <w:sz w:val="22"/>
          <w:szCs w:val="22"/>
          <w:lang w:eastAsia="ja-JP"/>
        </w:rPr>
        <w:t>when the authorities who received the audit report fail to file civil action to recover within 120 days.</w:t>
      </w:r>
      <w:r w:rsidR="0D623070" w:rsidRPr="00387DA7">
        <w:rPr>
          <w:sz w:val="22"/>
          <w:szCs w:val="22"/>
          <w:lang w:eastAsia="ja-JP"/>
        </w:rPr>
        <w:t xml:space="preserve"> </w:t>
      </w:r>
    </w:p>
    <w:p w14:paraId="62C4B99D" w14:textId="77777777" w:rsidR="006106EE" w:rsidRPr="00387DA7" w:rsidRDefault="006106EE" w:rsidP="006106EE">
      <w:pPr>
        <w:pStyle w:val="ListParagraph"/>
        <w:rPr>
          <w:sz w:val="22"/>
          <w:szCs w:val="22"/>
          <w:lang w:eastAsia="ja-JP"/>
        </w:rPr>
      </w:pPr>
    </w:p>
    <w:p w14:paraId="422650D7" w14:textId="3414F94F" w:rsidR="00613F6F" w:rsidRPr="00387DA7" w:rsidRDefault="001D567B" w:rsidP="007955DE">
      <w:pPr>
        <w:pStyle w:val="ListParagraph"/>
        <w:numPr>
          <w:ilvl w:val="0"/>
          <w:numId w:val="4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Findings for R</w:t>
      </w:r>
      <w:r w:rsidR="00613F6F" w:rsidRPr="00387DA7">
        <w:rPr>
          <w:sz w:val="22"/>
          <w:szCs w:val="22"/>
          <w:lang w:eastAsia="ja-JP"/>
        </w:rPr>
        <w:t xml:space="preserve">ecovery are collectible within six years of the audit report’s release.  </w:t>
      </w:r>
    </w:p>
    <w:p w14:paraId="52F81FD8" w14:textId="22024985" w:rsidR="009157A3" w:rsidRPr="00387DA7" w:rsidRDefault="009157A3" w:rsidP="00F72ACC">
      <w:pPr>
        <w:tabs>
          <w:tab w:val="left" w:pos="8280"/>
        </w:tabs>
        <w:rPr>
          <w:b/>
          <w:sz w:val="22"/>
          <w:szCs w:val="22"/>
          <w:lang w:eastAsia="ja-JP"/>
        </w:rPr>
      </w:pPr>
    </w:p>
    <w:p w14:paraId="299148F2" w14:textId="1554F8EC" w:rsidR="008F6A36" w:rsidRPr="00387DA7" w:rsidRDefault="00B40AB7"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r w:rsidRPr="00387DA7">
        <w:rPr>
          <w:b/>
          <w:sz w:val="22"/>
          <w:szCs w:val="22"/>
          <w:lang w:eastAsia="ja-JP"/>
        </w:rPr>
        <w:t xml:space="preserve">Exit </w:t>
      </w:r>
      <w:r w:rsidR="008F6A36" w:rsidRPr="00387DA7">
        <w:rPr>
          <w:b/>
          <w:sz w:val="22"/>
          <w:szCs w:val="22"/>
          <w:lang w:eastAsia="ja-JP"/>
        </w:rPr>
        <w:t>Conference Procedures</w:t>
      </w:r>
      <w:r w:rsidR="000F48F1" w:rsidRPr="00387DA7">
        <w:rPr>
          <w:b/>
          <w:sz w:val="22"/>
          <w:szCs w:val="22"/>
          <w:lang w:eastAsia="ja-JP"/>
        </w:rPr>
        <w:t xml:space="preserve"> </w:t>
      </w:r>
    </w:p>
    <w:p w14:paraId="45A82FA6"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038D4EF" w14:textId="4F95A345"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After the individual’s response to the notice is evaluated and a decision is made to delete, retain or modify the </w:t>
      </w:r>
      <w:proofErr w:type="gramStart"/>
      <w:r w:rsidRPr="00387DA7">
        <w:rPr>
          <w:sz w:val="22"/>
          <w:szCs w:val="22"/>
          <w:lang w:eastAsia="ja-JP"/>
        </w:rPr>
        <w:t>finding</w:t>
      </w:r>
      <w:proofErr w:type="gramEnd"/>
      <w:r w:rsidRPr="00387DA7">
        <w:rPr>
          <w:sz w:val="22"/>
          <w:szCs w:val="22"/>
          <w:lang w:eastAsia="ja-JP"/>
        </w:rPr>
        <w:t xml:space="preserve">, the </w:t>
      </w:r>
      <w:r w:rsidR="00B40AB7" w:rsidRPr="00387DA7">
        <w:rPr>
          <w:sz w:val="22"/>
          <w:szCs w:val="22"/>
          <w:lang w:eastAsia="ja-JP"/>
        </w:rPr>
        <w:t xml:space="preserve">exit </w:t>
      </w:r>
      <w:r w:rsidRPr="00387DA7">
        <w:rPr>
          <w:sz w:val="22"/>
          <w:szCs w:val="22"/>
          <w:lang w:eastAsia="ja-JP"/>
        </w:rPr>
        <w:t>conference</w:t>
      </w:r>
      <w:r w:rsidR="00526289" w:rsidRPr="00387DA7">
        <w:rPr>
          <w:sz w:val="22"/>
          <w:szCs w:val="22"/>
          <w:lang w:eastAsia="ja-JP"/>
        </w:rPr>
        <w:t xml:space="preserve"> </w:t>
      </w:r>
      <w:r w:rsidRPr="00387DA7">
        <w:rPr>
          <w:sz w:val="22"/>
          <w:szCs w:val="22"/>
          <w:lang w:eastAsia="ja-JP"/>
        </w:rPr>
        <w:t>may b</w:t>
      </w:r>
      <w:r w:rsidR="00201509" w:rsidRPr="00387DA7">
        <w:rPr>
          <w:sz w:val="22"/>
          <w:szCs w:val="22"/>
          <w:lang w:eastAsia="ja-JP"/>
        </w:rPr>
        <w:t xml:space="preserve">e held.  Under Ohio Rev. Code </w:t>
      </w:r>
      <w:r w:rsidR="009B4BF1" w:rsidRPr="00387DA7">
        <w:rPr>
          <w:sz w:val="22"/>
          <w:szCs w:val="22"/>
          <w:lang w:eastAsia="ja-JP"/>
        </w:rPr>
        <w:t>§ 1</w:t>
      </w:r>
      <w:r w:rsidRPr="00387DA7">
        <w:rPr>
          <w:sz w:val="22"/>
          <w:szCs w:val="22"/>
          <w:lang w:eastAsia="ja-JP"/>
        </w:rPr>
        <w:t>21.22(D)</w:t>
      </w:r>
      <w:r w:rsidR="00B778B7" w:rsidRPr="00387DA7">
        <w:rPr>
          <w:sz w:val="22"/>
          <w:szCs w:val="22"/>
          <w:lang w:eastAsia="ja-JP"/>
        </w:rPr>
        <w:t>(2)</w:t>
      </w:r>
      <w:r w:rsidRPr="00387DA7">
        <w:rPr>
          <w:sz w:val="22"/>
          <w:szCs w:val="22"/>
          <w:lang w:eastAsia="ja-JP"/>
        </w:rPr>
        <w:t>, conferences between auditors and the audited public office are an exception to the “</w:t>
      </w:r>
      <w:r w:rsidR="001B0AE5" w:rsidRPr="00387DA7">
        <w:rPr>
          <w:sz w:val="22"/>
          <w:szCs w:val="22"/>
          <w:lang w:eastAsia="ja-JP"/>
        </w:rPr>
        <w:t>Ohio Open Meetings Act</w:t>
      </w:r>
      <w:r w:rsidRPr="00387DA7">
        <w:rPr>
          <w:sz w:val="22"/>
          <w:szCs w:val="22"/>
          <w:lang w:eastAsia="ja-JP"/>
        </w:rPr>
        <w:t>” requiring meetings of public officials to be in public.  In a</w:t>
      </w:r>
      <w:r w:rsidR="00201509" w:rsidRPr="00387DA7">
        <w:rPr>
          <w:sz w:val="22"/>
          <w:szCs w:val="22"/>
          <w:lang w:eastAsia="ja-JP"/>
        </w:rPr>
        <w:t xml:space="preserve">ddition, under Ohio Rev. Code </w:t>
      </w:r>
      <w:r w:rsidR="009B4BF1" w:rsidRPr="00387DA7">
        <w:rPr>
          <w:sz w:val="22"/>
          <w:szCs w:val="22"/>
          <w:lang w:eastAsia="ja-JP"/>
        </w:rPr>
        <w:t>§ 1</w:t>
      </w:r>
      <w:r w:rsidRPr="00387DA7">
        <w:rPr>
          <w:sz w:val="22"/>
          <w:szCs w:val="22"/>
          <w:lang w:eastAsia="ja-JP"/>
        </w:rPr>
        <w:t xml:space="preserve">17.26, reports </w:t>
      </w:r>
      <w:r w:rsidR="0017223D" w:rsidRPr="00387DA7">
        <w:rPr>
          <w:sz w:val="22"/>
          <w:szCs w:val="22"/>
          <w:lang w:eastAsia="ja-JP"/>
        </w:rPr>
        <w:t>t</w:t>
      </w:r>
      <w:r w:rsidRPr="00387DA7">
        <w:rPr>
          <w:sz w:val="22"/>
          <w:szCs w:val="22"/>
          <w:lang w:eastAsia="ja-JP"/>
        </w:rPr>
        <w:t xml:space="preserve">his Office </w:t>
      </w:r>
      <w:r w:rsidR="0017223D" w:rsidRPr="00387DA7">
        <w:rPr>
          <w:sz w:val="22"/>
          <w:szCs w:val="22"/>
          <w:lang w:eastAsia="ja-JP"/>
        </w:rPr>
        <w:t xml:space="preserve">prepares </w:t>
      </w:r>
      <w:r w:rsidRPr="00387DA7">
        <w:rPr>
          <w:sz w:val="22"/>
          <w:szCs w:val="22"/>
          <w:lang w:eastAsia="ja-JP"/>
        </w:rPr>
        <w:t xml:space="preserve">are not public records until certified copies of </w:t>
      </w:r>
      <w:r w:rsidR="001B0AE5" w:rsidRPr="00387DA7">
        <w:rPr>
          <w:sz w:val="22"/>
          <w:szCs w:val="22"/>
          <w:lang w:eastAsia="ja-JP"/>
        </w:rPr>
        <w:t>the reports</w:t>
      </w:r>
      <w:r w:rsidRPr="00387DA7">
        <w:rPr>
          <w:sz w:val="22"/>
          <w:szCs w:val="22"/>
          <w:lang w:eastAsia="ja-JP"/>
        </w:rPr>
        <w:t xml:space="preserve"> are served upon certain officials of the public office.  To comply with those two confidentiality provisions, this Office has traditionally </w:t>
      </w:r>
      <w:r w:rsidR="0017223D" w:rsidRPr="00387DA7">
        <w:rPr>
          <w:sz w:val="22"/>
          <w:szCs w:val="22"/>
          <w:lang w:eastAsia="ja-JP"/>
        </w:rPr>
        <w:t xml:space="preserve">held </w:t>
      </w:r>
      <w:r w:rsidRPr="00387DA7">
        <w:rPr>
          <w:sz w:val="22"/>
          <w:szCs w:val="22"/>
          <w:lang w:eastAsia="ja-JP"/>
        </w:rPr>
        <w:t xml:space="preserve">that the auditors conducting the </w:t>
      </w:r>
      <w:r w:rsidR="00B40AB7" w:rsidRPr="00387DA7">
        <w:rPr>
          <w:sz w:val="22"/>
          <w:szCs w:val="22"/>
          <w:lang w:eastAsia="ja-JP"/>
        </w:rPr>
        <w:t xml:space="preserve">exit </w:t>
      </w:r>
      <w:r w:rsidRPr="00387DA7">
        <w:rPr>
          <w:sz w:val="22"/>
          <w:szCs w:val="22"/>
          <w:lang w:eastAsia="ja-JP"/>
        </w:rPr>
        <w:t xml:space="preserve">conference have some discretion as to who may </w:t>
      </w:r>
      <w:r w:rsidR="006B2A7F" w:rsidRPr="00387DA7">
        <w:rPr>
          <w:sz w:val="22"/>
          <w:szCs w:val="22"/>
          <w:lang w:eastAsia="ja-JP"/>
        </w:rPr>
        <w:t>attend it</w:t>
      </w:r>
      <w:r w:rsidR="008316DF" w:rsidRPr="00387DA7">
        <w:rPr>
          <w:sz w:val="22"/>
          <w:szCs w:val="22"/>
          <w:lang w:eastAsia="ja-JP"/>
        </w:rPr>
        <w:t>.</w:t>
      </w:r>
      <w:r w:rsidRPr="00387DA7">
        <w:rPr>
          <w:sz w:val="22"/>
          <w:szCs w:val="22"/>
          <w:lang w:eastAsia="ja-JP"/>
        </w:rPr>
        <w:t xml:space="preserve"> For example, auditors would have discretion not to conduct a</w:t>
      </w:r>
      <w:r w:rsidR="002F4D5C" w:rsidRPr="00387DA7">
        <w:rPr>
          <w:sz w:val="22"/>
          <w:szCs w:val="22"/>
          <w:lang w:eastAsia="ja-JP"/>
        </w:rPr>
        <w:t>n</w:t>
      </w:r>
      <w:r w:rsidRPr="00387DA7">
        <w:rPr>
          <w:sz w:val="22"/>
          <w:szCs w:val="22"/>
          <w:lang w:eastAsia="ja-JP"/>
        </w:rPr>
        <w:t xml:space="preserve"> </w:t>
      </w:r>
      <w:r w:rsidR="00B40AB7" w:rsidRPr="00387DA7">
        <w:rPr>
          <w:sz w:val="22"/>
          <w:szCs w:val="22"/>
          <w:lang w:eastAsia="ja-JP"/>
        </w:rPr>
        <w:t xml:space="preserve">exit </w:t>
      </w:r>
      <w:r w:rsidRPr="00387DA7">
        <w:rPr>
          <w:sz w:val="22"/>
          <w:szCs w:val="22"/>
          <w:lang w:eastAsia="ja-JP"/>
        </w:rPr>
        <w:t xml:space="preserve">conference if one of the public officials present invited the media to the conference.  </w:t>
      </w:r>
    </w:p>
    <w:p w14:paraId="7F4DC8A9"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617F48D" w14:textId="48C44708"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If the person against whom the finding is contemplated is a public official or employee who would normally attend a</w:t>
      </w:r>
      <w:r w:rsidR="00244C2E" w:rsidRPr="00387DA7">
        <w:rPr>
          <w:sz w:val="22"/>
          <w:szCs w:val="22"/>
          <w:lang w:eastAsia="ja-JP"/>
        </w:rPr>
        <w:t>n</w:t>
      </w:r>
      <w:r w:rsidRPr="00387DA7">
        <w:rPr>
          <w:sz w:val="22"/>
          <w:szCs w:val="22"/>
          <w:lang w:eastAsia="ja-JP"/>
        </w:rPr>
        <w:t xml:space="preserve"> </w:t>
      </w:r>
      <w:r w:rsidR="00B40AB7" w:rsidRPr="00387DA7">
        <w:rPr>
          <w:sz w:val="22"/>
          <w:szCs w:val="22"/>
          <w:lang w:eastAsia="ja-JP"/>
        </w:rPr>
        <w:t xml:space="preserve">exit </w:t>
      </w:r>
      <w:r w:rsidRPr="00387DA7">
        <w:rPr>
          <w:sz w:val="22"/>
          <w:szCs w:val="22"/>
          <w:lang w:eastAsia="ja-JP"/>
        </w:rPr>
        <w:t xml:space="preserve">conference (for example, the public office’s chief financial officer, the chief executive officer, or the governing board or commission), </w:t>
      </w:r>
      <w:r w:rsidR="002F22F2" w:rsidRPr="00387DA7">
        <w:rPr>
          <w:sz w:val="22"/>
          <w:szCs w:val="22"/>
          <w:lang w:eastAsia="ja-JP"/>
        </w:rPr>
        <w:t>the</w:t>
      </w:r>
      <w:r w:rsidRPr="00387DA7">
        <w:rPr>
          <w:sz w:val="22"/>
          <w:szCs w:val="22"/>
          <w:lang w:eastAsia="ja-JP"/>
        </w:rPr>
        <w:t xml:space="preserve"> proposed finding may be discussed during the conference.  If the person is an official or employee who would not ordinarily be present at a</w:t>
      </w:r>
      <w:r w:rsidR="002F4D5C" w:rsidRPr="00387DA7">
        <w:rPr>
          <w:sz w:val="22"/>
          <w:szCs w:val="22"/>
          <w:lang w:eastAsia="ja-JP"/>
        </w:rPr>
        <w:t>n</w:t>
      </w:r>
      <w:r w:rsidRPr="00387DA7">
        <w:rPr>
          <w:sz w:val="22"/>
          <w:szCs w:val="22"/>
          <w:lang w:eastAsia="ja-JP"/>
        </w:rPr>
        <w:t xml:space="preserve"> </w:t>
      </w:r>
      <w:r w:rsidR="00B40AB7" w:rsidRPr="00387DA7">
        <w:rPr>
          <w:sz w:val="22"/>
          <w:szCs w:val="22"/>
          <w:lang w:eastAsia="ja-JP"/>
        </w:rPr>
        <w:t xml:space="preserve">exit </w:t>
      </w:r>
      <w:r w:rsidR="0005795E" w:rsidRPr="00387DA7">
        <w:rPr>
          <w:sz w:val="22"/>
          <w:szCs w:val="22"/>
          <w:lang w:eastAsia="ja-JP"/>
        </w:rPr>
        <w:t>conference</w:t>
      </w:r>
      <w:r w:rsidRPr="00387DA7">
        <w:rPr>
          <w:sz w:val="22"/>
          <w:szCs w:val="22"/>
          <w:lang w:eastAsia="ja-JP"/>
        </w:rPr>
        <w:t xml:space="preserve"> or the person is not an official or an employee of the public body, a separate meeting may be scheduled to discuss the proposed finding.  In either situation, the person against whom the finding is contemplated may have legal counsel present.  If so, the auditor may request that a lawyer from the Legal Division attend as well.  In this meeting, the person against whom the finding is contemplated and/or his legal counsel may inspect (but not copy) the audit </w:t>
      </w:r>
      <w:r w:rsidR="0005795E" w:rsidRPr="00387DA7">
        <w:rPr>
          <w:sz w:val="22"/>
          <w:szCs w:val="22"/>
          <w:lang w:eastAsia="ja-JP"/>
        </w:rPr>
        <w:t>documentation</w:t>
      </w:r>
      <w:r w:rsidR="0001599D" w:rsidRPr="00387DA7">
        <w:rPr>
          <w:sz w:val="22"/>
          <w:szCs w:val="22"/>
          <w:lang w:eastAsia="ja-JP"/>
        </w:rPr>
        <w:t xml:space="preserve"> related to the finding at issue.</w:t>
      </w:r>
    </w:p>
    <w:p w14:paraId="400DBA7C" w14:textId="6AFDDDBF"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490A46B" w14:textId="71110E2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letter scheduling the </w:t>
      </w:r>
      <w:r w:rsidR="00B40AB7" w:rsidRPr="00387DA7">
        <w:rPr>
          <w:sz w:val="22"/>
          <w:szCs w:val="22"/>
          <w:lang w:eastAsia="ja-JP"/>
        </w:rPr>
        <w:t xml:space="preserve">exit </w:t>
      </w:r>
      <w:r w:rsidRPr="00387DA7">
        <w:rPr>
          <w:sz w:val="22"/>
          <w:szCs w:val="22"/>
          <w:lang w:eastAsia="ja-JP"/>
        </w:rPr>
        <w:t xml:space="preserve">conference should state the public body will have five business days after the conclusion of the conference to respond to the draft report presented.  This period may also be extended upon approval of the Auditor of State, the </w:t>
      </w:r>
      <w:r w:rsidR="000973EE" w:rsidRPr="00387DA7">
        <w:rPr>
          <w:sz w:val="22"/>
          <w:szCs w:val="22"/>
          <w:lang w:eastAsia="ja-JP"/>
        </w:rPr>
        <w:t>C</w:t>
      </w:r>
      <w:r w:rsidRPr="00387DA7">
        <w:rPr>
          <w:sz w:val="22"/>
          <w:szCs w:val="22"/>
          <w:lang w:eastAsia="ja-JP"/>
        </w:rPr>
        <w:t>hief</w:t>
      </w:r>
      <w:r w:rsidR="000973EE" w:rsidRPr="00387DA7">
        <w:rPr>
          <w:sz w:val="22"/>
          <w:szCs w:val="22"/>
          <w:lang w:eastAsia="ja-JP"/>
        </w:rPr>
        <w:t xml:space="preserve"> Deputy Auditor</w:t>
      </w:r>
      <w:r w:rsidRPr="00387DA7">
        <w:rPr>
          <w:sz w:val="22"/>
          <w:szCs w:val="22"/>
          <w:lang w:eastAsia="ja-JP"/>
        </w:rPr>
        <w:t xml:space="preserve">, the </w:t>
      </w:r>
      <w:r w:rsidR="000973EE" w:rsidRPr="00387DA7">
        <w:rPr>
          <w:sz w:val="22"/>
          <w:szCs w:val="22"/>
          <w:lang w:eastAsia="ja-JP"/>
        </w:rPr>
        <w:t>chief a</w:t>
      </w:r>
      <w:r w:rsidR="007655B1" w:rsidRPr="00387DA7">
        <w:rPr>
          <w:sz w:val="22"/>
          <w:szCs w:val="22"/>
          <w:lang w:eastAsia="ja-JP"/>
        </w:rPr>
        <w:t>uditor</w:t>
      </w:r>
      <w:r w:rsidR="004D10FF" w:rsidRPr="00387DA7">
        <w:rPr>
          <w:sz w:val="22"/>
          <w:szCs w:val="22"/>
          <w:lang w:eastAsia="ja-JP"/>
        </w:rPr>
        <w:t xml:space="preserve"> (or equivalent), or </w:t>
      </w:r>
      <w:r w:rsidR="006E7AC1" w:rsidRPr="00387DA7">
        <w:rPr>
          <w:sz w:val="22"/>
          <w:szCs w:val="22"/>
          <w:lang w:eastAsia="ja-JP"/>
        </w:rPr>
        <w:t>the Auditor of State’s Legal Division.</w:t>
      </w:r>
      <w:r w:rsidRPr="00387DA7">
        <w:rPr>
          <w:sz w:val="22"/>
          <w:szCs w:val="22"/>
          <w:lang w:eastAsia="ja-JP"/>
        </w:rPr>
        <w:t xml:space="preserve">  If the </w:t>
      </w:r>
      <w:r w:rsidR="0030516F" w:rsidRPr="00387DA7">
        <w:rPr>
          <w:sz w:val="22"/>
          <w:szCs w:val="22"/>
          <w:lang w:eastAsia="ja-JP"/>
        </w:rPr>
        <w:t xml:space="preserve">public body’s </w:t>
      </w:r>
      <w:r w:rsidRPr="00387DA7">
        <w:rPr>
          <w:sz w:val="22"/>
          <w:szCs w:val="22"/>
          <w:lang w:eastAsia="ja-JP"/>
        </w:rPr>
        <w:t xml:space="preserve">response </w:t>
      </w:r>
      <w:r w:rsidR="0030516F" w:rsidRPr="00387DA7">
        <w:rPr>
          <w:sz w:val="22"/>
          <w:szCs w:val="22"/>
          <w:lang w:eastAsia="ja-JP"/>
        </w:rPr>
        <w:t>a</w:t>
      </w:r>
      <w:r w:rsidRPr="00387DA7">
        <w:rPr>
          <w:sz w:val="22"/>
          <w:szCs w:val="22"/>
          <w:lang w:eastAsia="ja-JP"/>
        </w:rPr>
        <w:t xml:space="preserve">fter the </w:t>
      </w:r>
      <w:r w:rsidR="00B40AB7" w:rsidRPr="00387DA7">
        <w:rPr>
          <w:sz w:val="22"/>
          <w:szCs w:val="22"/>
          <w:lang w:eastAsia="ja-JP"/>
        </w:rPr>
        <w:t xml:space="preserve">exit </w:t>
      </w:r>
      <w:r w:rsidRPr="00387DA7">
        <w:rPr>
          <w:sz w:val="22"/>
          <w:szCs w:val="22"/>
          <w:lang w:eastAsia="ja-JP"/>
        </w:rPr>
        <w:t>conference contains any information question</w:t>
      </w:r>
      <w:r w:rsidR="0030516F" w:rsidRPr="00387DA7">
        <w:rPr>
          <w:sz w:val="22"/>
          <w:szCs w:val="22"/>
          <w:lang w:eastAsia="ja-JP"/>
        </w:rPr>
        <w:t>ing</w:t>
      </w:r>
      <w:r w:rsidRPr="00387DA7">
        <w:rPr>
          <w:sz w:val="22"/>
          <w:szCs w:val="22"/>
          <w:lang w:eastAsia="ja-JP"/>
        </w:rPr>
        <w:t xml:space="preserve"> the validity or the amount of the proposed </w:t>
      </w:r>
      <w:r w:rsidR="002F4D5C" w:rsidRPr="00387DA7">
        <w:rPr>
          <w:sz w:val="22"/>
          <w:szCs w:val="22"/>
          <w:lang w:eastAsia="ja-JP"/>
        </w:rPr>
        <w:t>Finding for Recovery</w:t>
      </w:r>
      <w:r w:rsidRPr="00387DA7">
        <w:rPr>
          <w:sz w:val="22"/>
          <w:szCs w:val="22"/>
          <w:lang w:eastAsia="ja-JP"/>
        </w:rPr>
        <w:t>, the auditor</w:t>
      </w:r>
      <w:r w:rsidR="0030516F" w:rsidRPr="00387DA7">
        <w:rPr>
          <w:sz w:val="22"/>
          <w:szCs w:val="22"/>
          <w:lang w:eastAsia="ja-JP"/>
        </w:rPr>
        <w:t>, in consultation with the Legal Division,</w:t>
      </w:r>
      <w:r w:rsidRPr="00387DA7">
        <w:rPr>
          <w:sz w:val="22"/>
          <w:szCs w:val="22"/>
          <w:lang w:eastAsia="ja-JP"/>
        </w:rPr>
        <w:t xml:space="preserve"> </w:t>
      </w:r>
      <w:r w:rsidR="00005DFE" w:rsidRPr="00387DA7">
        <w:rPr>
          <w:sz w:val="22"/>
          <w:szCs w:val="22"/>
          <w:lang w:eastAsia="ja-JP"/>
        </w:rPr>
        <w:t>shall</w:t>
      </w:r>
      <w:r w:rsidR="00767984" w:rsidRPr="00387DA7">
        <w:rPr>
          <w:sz w:val="22"/>
          <w:szCs w:val="22"/>
          <w:lang w:eastAsia="ja-JP"/>
        </w:rPr>
        <w:t xml:space="preserve"> </w:t>
      </w:r>
      <w:r w:rsidRPr="00387DA7">
        <w:rPr>
          <w:sz w:val="22"/>
          <w:szCs w:val="22"/>
          <w:lang w:eastAsia="ja-JP"/>
        </w:rPr>
        <w:t>evaluate the response and determine whether the finding should be maintained, deleted, or modified.</w:t>
      </w:r>
      <w:r w:rsidR="0030516F" w:rsidRPr="00387DA7">
        <w:rPr>
          <w:sz w:val="22"/>
          <w:szCs w:val="22"/>
          <w:lang w:eastAsia="ja-JP"/>
        </w:rPr>
        <w:t xml:space="preserve">   </w:t>
      </w:r>
    </w:p>
    <w:p w14:paraId="43A2238A" w14:textId="7CCEBEB0" w:rsidR="00713C05" w:rsidRDefault="00713C05">
      <w:pPr>
        <w:rPr>
          <w:b/>
          <w:sz w:val="24"/>
          <w:lang w:eastAsia="ja-JP"/>
        </w:rPr>
      </w:pPr>
    </w:p>
    <w:p w14:paraId="4C008120" w14:textId="027AFF55" w:rsidR="008F6A36" w:rsidRPr="00387DA7" w:rsidRDefault="003B59DF"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b/>
          <w:sz w:val="22"/>
          <w:szCs w:val="22"/>
          <w:lang w:eastAsia="ja-JP"/>
        </w:rPr>
        <w:t xml:space="preserve">Notice of Finding for </w:t>
      </w:r>
      <w:r w:rsidR="008F6A36" w:rsidRPr="00387DA7">
        <w:rPr>
          <w:b/>
          <w:sz w:val="22"/>
          <w:szCs w:val="22"/>
          <w:lang w:eastAsia="ja-JP"/>
        </w:rPr>
        <w:t>Recovery</w:t>
      </w:r>
    </w:p>
    <w:p w14:paraId="4A6683D0" w14:textId="77777777" w:rsidR="00A66E45" w:rsidRPr="00387DA7" w:rsidRDefault="00A66E45"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95F4957" w14:textId="1567429B" w:rsidR="004E634E" w:rsidRPr="00387DA7" w:rsidRDefault="00CC6D19" w:rsidP="5DE376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When an audit report </w:t>
      </w:r>
      <w:r w:rsidR="00DA5A6C" w:rsidRPr="00387DA7">
        <w:rPr>
          <w:sz w:val="22"/>
          <w:szCs w:val="22"/>
          <w:lang w:eastAsia="ja-JP"/>
        </w:rPr>
        <w:t xml:space="preserve">is certified </w:t>
      </w:r>
      <w:r w:rsidR="008F6A36" w:rsidRPr="00387DA7">
        <w:rPr>
          <w:sz w:val="22"/>
          <w:szCs w:val="22"/>
          <w:lang w:eastAsia="ja-JP"/>
        </w:rPr>
        <w:t xml:space="preserve">for release, </w:t>
      </w:r>
      <w:r w:rsidR="00526289" w:rsidRPr="00387DA7">
        <w:rPr>
          <w:sz w:val="22"/>
          <w:szCs w:val="22"/>
          <w:lang w:eastAsia="ja-JP"/>
        </w:rPr>
        <w:t>unless the finding has been repaid</w:t>
      </w:r>
      <w:r w:rsidR="00101FE1" w:rsidRPr="00387DA7">
        <w:rPr>
          <w:sz w:val="22"/>
          <w:szCs w:val="22"/>
          <w:lang w:eastAsia="ja-JP"/>
        </w:rPr>
        <w:t xml:space="preserve"> or resolved</w:t>
      </w:r>
      <w:r w:rsidR="00526289" w:rsidRPr="00387DA7">
        <w:rPr>
          <w:sz w:val="22"/>
          <w:szCs w:val="22"/>
          <w:lang w:eastAsia="ja-JP"/>
        </w:rPr>
        <w:t xml:space="preserve">, </w:t>
      </w:r>
      <w:r w:rsidR="008F6A36" w:rsidRPr="00387DA7">
        <w:rPr>
          <w:sz w:val="22"/>
          <w:szCs w:val="22"/>
          <w:lang w:eastAsia="ja-JP"/>
        </w:rPr>
        <w:t xml:space="preserve">the regional office shall send </w:t>
      </w:r>
      <w:r w:rsidR="0030516F" w:rsidRPr="00387DA7">
        <w:rPr>
          <w:sz w:val="22"/>
          <w:szCs w:val="22"/>
          <w:lang w:eastAsia="ja-JP"/>
        </w:rPr>
        <w:t xml:space="preserve">separate copies of </w:t>
      </w:r>
      <w:r w:rsidR="002F22F2" w:rsidRPr="00387DA7">
        <w:rPr>
          <w:sz w:val="22"/>
          <w:szCs w:val="22"/>
          <w:lang w:eastAsia="ja-JP"/>
        </w:rPr>
        <w:t xml:space="preserve">the approved </w:t>
      </w:r>
      <w:r w:rsidR="008F6A36" w:rsidRPr="00387DA7">
        <w:rPr>
          <w:i/>
          <w:iCs/>
          <w:sz w:val="22"/>
          <w:szCs w:val="22"/>
          <w:lang w:eastAsia="ja-JP"/>
        </w:rPr>
        <w:t>Notice of Finding</w:t>
      </w:r>
      <w:r w:rsidR="0069552D" w:rsidRPr="00387DA7">
        <w:rPr>
          <w:color w:val="2B579A"/>
          <w:sz w:val="22"/>
          <w:szCs w:val="22"/>
          <w:shd w:val="clear" w:color="auto" w:fill="E6E6E6"/>
          <w:vertAlign w:val="superscript"/>
          <w:lang w:eastAsia="ja-JP"/>
        </w:rPr>
        <w:fldChar w:fldCharType="begin"/>
      </w:r>
      <w:r w:rsidR="0069552D" w:rsidRPr="00387DA7">
        <w:rPr>
          <w:sz w:val="22"/>
          <w:szCs w:val="22"/>
          <w:vertAlign w:val="superscript"/>
          <w:lang w:eastAsia="ja-JP"/>
        </w:rPr>
        <w:instrText xml:space="preserve"> NOTEREF _Ref469040924 \h  \* MERGEFORMAT </w:instrText>
      </w:r>
      <w:r w:rsidR="0069552D" w:rsidRPr="00387DA7">
        <w:rPr>
          <w:color w:val="2B579A"/>
          <w:sz w:val="22"/>
          <w:szCs w:val="22"/>
          <w:shd w:val="clear" w:color="auto" w:fill="E6E6E6"/>
          <w:vertAlign w:val="superscript"/>
          <w:lang w:eastAsia="ja-JP"/>
        </w:rPr>
      </w:r>
      <w:r w:rsidR="0069552D" w:rsidRPr="00387DA7">
        <w:rPr>
          <w:color w:val="2B579A"/>
          <w:sz w:val="22"/>
          <w:szCs w:val="22"/>
          <w:shd w:val="clear" w:color="auto" w:fill="E6E6E6"/>
          <w:vertAlign w:val="superscript"/>
          <w:lang w:eastAsia="ja-JP"/>
        </w:rPr>
        <w:fldChar w:fldCharType="separate"/>
      </w:r>
      <w:r w:rsidR="00655897">
        <w:rPr>
          <w:sz w:val="22"/>
          <w:szCs w:val="22"/>
          <w:vertAlign w:val="superscript"/>
          <w:lang w:eastAsia="ja-JP"/>
        </w:rPr>
        <w:t>18</w:t>
      </w:r>
      <w:r w:rsidR="0069552D" w:rsidRPr="00387DA7">
        <w:rPr>
          <w:color w:val="2B579A"/>
          <w:sz w:val="22"/>
          <w:szCs w:val="22"/>
          <w:shd w:val="clear" w:color="auto" w:fill="E6E6E6"/>
          <w:vertAlign w:val="superscript"/>
          <w:lang w:eastAsia="ja-JP"/>
        </w:rPr>
        <w:fldChar w:fldCharType="end"/>
      </w:r>
      <w:r w:rsidR="00424D0D" w:rsidRPr="00387DA7">
        <w:rPr>
          <w:sz w:val="22"/>
          <w:szCs w:val="22"/>
          <w:lang w:eastAsia="ja-JP"/>
        </w:rPr>
        <w:t xml:space="preserve"> </w:t>
      </w:r>
      <w:r w:rsidR="008F6A36" w:rsidRPr="00387DA7">
        <w:rPr>
          <w:sz w:val="22"/>
          <w:szCs w:val="22"/>
          <w:lang w:eastAsia="ja-JP"/>
        </w:rPr>
        <w:t>to</w:t>
      </w:r>
      <w:r w:rsidR="004E634E" w:rsidRPr="00387DA7">
        <w:rPr>
          <w:sz w:val="22"/>
          <w:szCs w:val="22"/>
          <w:lang w:eastAsia="ja-JP"/>
        </w:rPr>
        <w:t xml:space="preserve"> each </w:t>
      </w:r>
      <w:r w:rsidR="008F6A36" w:rsidRPr="00387DA7">
        <w:rPr>
          <w:sz w:val="22"/>
          <w:szCs w:val="22"/>
          <w:lang w:eastAsia="ja-JP"/>
        </w:rPr>
        <w:t xml:space="preserve">individual </w:t>
      </w:r>
      <w:r w:rsidR="0030516F" w:rsidRPr="00387DA7">
        <w:rPr>
          <w:sz w:val="22"/>
          <w:szCs w:val="22"/>
          <w:lang w:eastAsia="ja-JP"/>
        </w:rPr>
        <w:t xml:space="preserve">named in </w:t>
      </w:r>
      <w:r w:rsidR="008F6A36" w:rsidRPr="00387DA7">
        <w:rPr>
          <w:sz w:val="22"/>
          <w:szCs w:val="22"/>
          <w:lang w:eastAsia="ja-JP"/>
        </w:rPr>
        <w:t>the Finding for Recovery</w:t>
      </w:r>
      <w:bookmarkStart w:id="30" w:name="_Ref469040924"/>
      <w:r w:rsidR="008F6A36" w:rsidRPr="00387DA7">
        <w:rPr>
          <w:sz w:val="22"/>
          <w:szCs w:val="22"/>
          <w:vertAlign w:val="superscript"/>
          <w:lang w:eastAsia="ja-JP"/>
        </w:rPr>
        <w:footnoteReference w:id="19"/>
      </w:r>
      <w:bookmarkEnd w:id="30"/>
      <w:r w:rsidR="000877FC" w:rsidRPr="00387DA7">
        <w:rPr>
          <w:sz w:val="22"/>
          <w:szCs w:val="22"/>
          <w:lang w:eastAsia="ja-JP"/>
        </w:rPr>
        <w:t xml:space="preserve"> </w:t>
      </w:r>
      <w:r w:rsidR="009B4BF1" w:rsidRPr="00387DA7">
        <w:rPr>
          <w:sz w:val="22"/>
          <w:szCs w:val="22"/>
          <w:lang w:eastAsia="ja-JP"/>
        </w:rPr>
        <w:t>and the bonding company(ies)</w:t>
      </w:r>
      <w:r w:rsidR="00E21A8E" w:rsidRPr="00387DA7">
        <w:rPr>
          <w:sz w:val="22"/>
          <w:szCs w:val="22"/>
          <w:lang w:eastAsia="ja-JP"/>
        </w:rPr>
        <w:t xml:space="preserve"> and docu</w:t>
      </w:r>
      <w:r w:rsidR="001F13DC" w:rsidRPr="00387DA7">
        <w:rPr>
          <w:sz w:val="22"/>
          <w:szCs w:val="22"/>
          <w:lang w:eastAsia="ja-JP"/>
        </w:rPr>
        <w:t xml:space="preserve">mentation should be maintained </w:t>
      </w:r>
      <w:r w:rsidR="00E21A8E" w:rsidRPr="00387DA7">
        <w:rPr>
          <w:sz w:val="22"/>
          <w:szCs w:val="22"/>
          <w:lang w:eastAsia="ja-JP"/>
        </w:rPr>
        <w:t>f</w:t>
      </w:r>
      <w:r w:rsidR="001F13DC" w:rsidRPr="00387DA7">
        <w:rPr>
          <w:sz w:val="22"/>
          <w:szCs w:val="22"/>
          <w:lang w:eastAsia="ja-JP"/>
        </w:rPr>
        <w:t>or</w:t>
      </w:r>
      <w:r w:rsidR="00E21A8E" w:rsidRPr="00387DA7">
        <w:rPr>
          <w:sz w:val="22"/>
          <w:szCs w:val="22"/>
          <w:lang w:eastAsia="ja-JP"/>
        </w:rPr>
        <w:t xml:space="preserve"> how ‘those charged with governance’ were notified as well</w:t>
      </w:r>
      <w:r w:rsidR="009B4BF1" w:rsidRPr="00387DA7">
        <w:rPr>
          <w:sz w:val="22"/>
          <w:szCs w:val="22"/>
          <w:lang w:eastAsia="ja-JP"/>
        </w:rPr>
        <w:t xml:space="preserve">.  </w:t>
      </w:r>
      <w:r w:rsidR="004613D1" w:rsidRPr="00387DA7">
        <w:rPr>
          <w:sz w:val="22"/>
          <w:szCs w:val="22"/>
          <w:lang w:eastAsia="ja-JP"/>
        </w:rPr>
        <w:t xml:space="preserve">In addition, </w:t>
      </w:r>
      <w:r w:rsidR="008B05C2" w:rsidRPr="00387DA7">
        <w:rPr>
          <w:sz w:val="22"/>
          <w:szCs w:val="22"/>
          <w:lang w:eastAsia="ja-JP"/>
        </w:rPr>
        <w:t xml:space="preserve">the </w:t>
      </w:r>
      <w:r w:rsidR="00767984" w:rsidRPr="00387DA7">
        <w:rPr>
          <w:sz w:val="22"/>
          <w:szCs w:val="22"/>
          <w:lang w:eastAsia="ja-JP"/>
        </w:rPr>
        <w:t xml:space="preserve">Legal Division </w:t>
      </w:r>
      <w:r w:rsidR="008B05C2" w:rsidRPr="00387DA7">
        <w:rPr>
          <w:sz w:val="22"/>
          <w:szCs w:val="22"/>
          <w:lang w:eastAsia="ja-JP"/>
        </w:rPr>
        <w:t xml:space="preserve">shall send </w:t>
      </w:r>
      <w:r w:rsidR="004613D1" w:rsidRPr="00387DA7">
        <w:rPr>
          <w:sz w:val="22"/>
          <w:szCs w:val="22"/>
          <w:lang w:eastAsia="ja-JP"/>
        </w:rPr>
        <w:t>a copy</w:t>
      </w:r>
      <w:r w:rsidR="00A4412F" w:rsidRPr="00387DA7">
        <w:rPr>
          <w:sz w:val="22"/>
          <w:szCs w:val="22"/>
          <w:lang w:eastAsia="ja-JP"/>
        </w:rPr>
        <w:t xml:space="preserve"> </w:t>
      </w:r>
      <w:r w:rsidR="004613D1" w:rsidRPr="00387DA7">
        <w:rPr>
          <w:sz w:val="22"/>
          <w:szCs w:val="22"/>
          <w:lang w:eastAsia="ja-JP"/>
        </w:rPr>
        <w:t xml:space="preserve">of the </w:t>
      </w:r>
      <w:r w:rsidR="004613D1" w:rsidRPr="00387DA7">
        <w:rPr>
          <w:i/>
          <w:iCs/>
          <w:sz w:val="22"/>
          <w:szCs w:val="22"/>
          <w:lang w:eastAsia="ja-JP"/>
        </w:rPr>
        <w:t xml:space="preserve">Letter on Findings for </w:t>
      </w:r>
      <w:r w:rsidR="007D1C76" w:rsidRPr="00387DA7">
        <w:rPr>
          <w:i/>
          <w:iCs/>
          <w:sz w:val="22"/>
          <w:szCs w:val="22"/>
          <w:lang w:eastAsia="ja-JP"/>
        </w:rPr>
        <w:t>Recovery</w:t>
      </w:r>
      <w:r w:rsidR="00A4412F" w:rsidRPr="00387DA7">
        <w:rPr>
          <w:i/>
          <w:iCs/>
          <w:sz w:val="22"/>
          <w:szCs w:val="22"/>
          <w:lang w:eastAsia="ja-JP"/>
        </w:rPr>
        <w:t xml:space="preserve"> </w:t>
      </w:r>
      <w:r w:rsidR="004613D1" w:rsidRPr="00387DA7">
        <w:rPr>
          <w:sz w:val="22"/>
          <w:szCs w:val="22"/>
          <w:lang w:eastAsia="ja-JP"/>
        </w:rPr>
        <w:t>to the entity’s</w:t>
      </w:r>
      <w:r w:rsidR="004A75BB" w:rsidRPr="00387DA7">
        <w:rPr>
          <w:sz w:val="22"/>
          <w:szCs w:val="22"/>
          <w:lang w:eastAsia="ja-JP"/>
        </w:rPr>
        <w:t xml:space="preserve"> </w:t>
      </w:r>
      <w:r w:rsidR="004613D1" w:rsidRPr="00387DA7">
        <w:rPr>
          <w:sz w:val="22"/>
          <w:szCs w:val="22"/>
          <w:lang w:eastAsia="ja-JP"/>
        </w:rPr>
        <w:t>statutory legal counsel</w:t>
      </w:r>
      <w:r w:rsidR="001160A7" w:rsidRPr="00387DA7">
        <w:rPr>
          <w:sz w:val="22"/>
          <w:szCs w:val="22"/>
          <w:lang w:eastAsia="ja-JP"/>
        </w:rPr>
        <w:t xml:space="preserve"> or the County Prosecuting Attorney if the entity does not have statutory legal counsel.  The Legal Division will also notify </w:t>
      </w:r>
      <w:r w:rsidR="00DF7FD6" w:rsidRPr="00387DA7">
        <w:rPr>
          <w:sz w:val="22"/>
          <w:szCs w:val="22"/>
          <w:lang w:eastAsia="ja-JP"/>
        </w:rPr>
        <w:t xml:space="preserve">the Ohio Attorney </w:t>
      </w:r>
      <w:proofErr w:type="gramStart"/>
      <w:r w:rsidR="00DF7FD6" w:rsidRPr="00387DA7">
        <w:rPr>
          <w:sz w:val="22"/>
          <w:szCs w:val="22"/>
          <w:lang w:eastAsia="ja-JP"/>
        </w:rPr>
        <w:t>General</w:t>
      </w:r>
      <w:r w:rsidR="0089266A" w:rsidRPr="00387DA7">
        <w:rPr>
          <w:sz w:val="22"/>
          <w:szCs w:val="22"/>
          <w:lang w:eastAsia="ja-JP"/>
        </w:rPr>
        <w:t>,</w:t>
      </w:r>
      <w:proofErr w:type="gramEnd"/>
      <w:r w:rsidR="0089266A" w:rsidRPr="00387DA7">
        <w:rPr>
          <w:sz w:val="22"/>
          <w:szCs w:val="22"/>
          <w:lang w:eastAsia="ja-JP"/>
        </w:rPr>
        <w:t xml:space="preserve"> wherein associated work papers (in their original format) will </w:t>
      </w:r>
      <w:r w:rsidR="00D95D5B" w:rsidRPr="00387DA7">
        <w:rPr>
          <w:sz w:val="22"/>
          <w:szCs w:val="22"/>
          <w:lang w:eastAsia="ja-JP"/>
        </w:rPr>
        <w:t>be</w:t>
      </w:r>
      <w:r w:rsidR="0089266A" w:rsidRPr="00387DA7">
        <w:rPr>
          <w:sz w:val="22"/>
          <w:szCs w:val="22"/>
          <w:lang w:eastAsia="ja-JP"/>
        </w:rPr>
        <w:t xml:space="preserve"> </w:t>
      </w:r>
      <w:r w:rsidR="00D95D5B" w:rsidRPr="00387DA7">
        <w:rPr>
          <w:sz w:val="22"/>
          <w:szCs w:val="22"/>
          <w:lang w:eastAsia="ja-JP"/>
        </w:rPr>
        <w:t>provided</w:t>
      </w:r>
      <w:r w:rsidR="004613D1" w:rsidRPr="00387DA7">
        <w:rPr>
          <w:sz w:val="22"/>
          <w:szCs w:val="22"/>
          <w:lang w:eastAsia="ja-JP"/>
        </w:rPr>
        <w:t xml:space="preserve">.  </w:t>
      </w:r>
      <w:proofErr w:type="gramStart"/>
      <w:r w:rsidR="00DF7FD6" w:rsidRPr="00387DA7">
        <w:rPr>
          <w:sz w:val="22"/>
          <w:szCs w:val="22"/>
          <w:lang w:eastAsia="ja-JP"/>
        </w:rPr>
        <w:t>The statutory</w:t>
      </w:r>
      <w:proofErr w:type="gramEnd"/>
      <w:r w:rsidR="00DF7FD6" w:rsidRPr="00387DA7">
        <w:rPr>
          <w:sz w:val="22"/>
          <w:szCs w:val="22"/>
          <w:lang w:eastAsia="ja-JP"/>
        </w:rPr>
        <w:t xml:space="preserve"> legal counsel will have one hundred and twenty days to notify the Attorney General whether </w:t>
      </w:r>
      <w:r w:rsidR="004A75BB" w:rsidRPr="00387DA7">
        <w:rPr>
          <w:sz w:val="22"/>
          <w:szCs w:val="22"/>
          <w:lang w:eastAsia="ja-JP"/>
        </w:rPr>
        <w:t>he or she</w:t>
      </w:r>
      <w:r w:rsidR="00DF7FD6" w:rsidRPr="00387DA7">
        <w:rPr>
          <w:sz w:val="22"/>
          <w:szCs w:val="22"/>
          <w:lang w:eastAsia="ja-JP"/>
        </w:rPr>
        <w:t xml:space="preserve"> intend</w:t>
      </w:r>
      <w:r w:rsidR="004A75BB" w:rsidRPr="00387DA7">
        <w:rPr>
          <w:sz w:val="22"/>
          <w:szCs w:val="22"/>
          <w:lang w:eastAsia="ja-JP"/>
        </w:rPr>
        <w:t>s</w:t>
      </w:r>
      <w:r w:rsidR="00DF7FD6" w:rsidRPr="00387DA7">
        <w:rPr>
          <w:sz w:val="22"/>
          <w:szCs w:val="22"/>
          <w:lang w:eastAsia="ja-JP"/>
        </w:rPr>
        <w:t xml:space="preserve"> to take action to collect or not to collect subject to Ohio Rev. Code </w:t>
      </w:r>
      <w:r w:rsidR="009B4BF1" w:rsidRPr="00387DA7">
        <w:rPr>
          <w:sz w:val="22"/>
          <w:szCs w:val="22"/>
          <w:lang w:eastAsia="ja-JP"/>
        </w:rPr>
        <w:t>§ 1</w:t>
      </w:r>
      <w:r w:rsidR="00DF7FD6" w:rsidRPr="00387DA7">
        <w:rPr>
          <w:sz w:val="22"/>
          <w:szCs w:val="22"/>
          <w:lang w:eastAsia="ja-JP"/>
        </w:rPr>
        <w:t xml:space="preserve">17.28. </w:t>
      </w:r>
    </w:p>
    <w:p w14:paraId="4631D77E" w14:textId="77777777" w:rsidR="004E634E" w:rsidRDefault="004E634E"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3E106F84" w14:textId="77777777" w:rsidR="00A94CC3" w:rsidRPr="00387DA7" w:rsidRDefault="00A94CC3" w:rsidP="0049323D">
      <w:pPr>
        <w:jc w:val="both"/>
        <w:rPr>
          <w:sz w:val="22"/>
          <w:szCs w:val="22"/>
        </w:rPr>
      </w:pPr>
    </w:p>
    <w:p w14:paraId="1792FC2D" w14:textId="492DA00F"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2"/>
          <w:szCs w:val="22"/>
          <w:u w:val="single"/>
          <w:lang w:eastAsia="ja-JP"/>
        </w:rPr>
      </w:pPr>
      <w:bookmarkStart w:id="31" w:name="Notice_of_Finding"/>
      <w:bookmarkStart w:id="32" w:name="Additional_Considerations"/>
      <w:r w:rsidRPr="00387DA7">
        <w:rPr>
          <w:b/>
          <w:sz w:val="22"/>
          <w:szCs w:val="22"/>
          <w:u w:val="single"/>
          <w:lang w:eastAsia="ja-JP"/>
        </w:rPr>
        <w:t>Additional Considerations</w:t>
      </w:r>
    </w:p>
    <w:bookmarkEnd w:id="31"/>
    <w:bookmarkEnd w:id="32"/>
    <w:p w14:paraId="7CE104A3" w14:textId="77777777" w:rsidR="008F6A36" w:rsidRPr="00387DA7" w:rsidRDefault="008F6A36" w:rsidP="008C1D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0FF9A4F4" w14:textId="267EBD72" w:rsidR="00CE4C82" w:rsidRDefault="6A035094" w:rsidP="00CE4C82">
      <w:pPr>
        <w:pStyle w:val="ListParagraph"/>
        <w:widowControl w:val="0"/>
        <w:numPr>
          <w:ilvl w:val="0"/>
          <w:numId w:val="1"/>
        </w:numPr>
        <w:tabs>
          <w:tab w:val="clear" w:pos="720"/>
          <w:tab w:val="num" w:pos="360"/>
        </w:tabs>
        <w:autoSpaceDE w:val="0"/>
        <w:autoSpaceDN w:val="0"/>
        <w:ind w:left="270" w:right="36"/>
        <w:jc w:val="both"/>
        <w:rPr>
          <w:sz w:val="22"/>
          <w:szCs w:val="22"/>
        </w:rPr>
      </w:pPr>
      <w:r w:rsidRPr="00387DA7">
        <w:rPr>
          <w:sz w:val="22"/>
          <w:szCs w:val="22"/>
        </w:rPr>
        <w:t xml:space="preserve">The Finding for Recovery should disclose the fund(s) the finding is payable </w:t>
      </w:r>
      <w:proofErr w:type="gramStart"/>
      <w:r w:rsidRPr="00387DA7">
        <w:rPr>
          <w:sz w:val="22"/>
          <w:szCs w:val="22"/>
        </w:rPr>
        <w:t>to</w:t>
      </w:r>
      <w:proofErr w:type="gramEnd"/>
      <w:r w:rsidRPr="00387DA7">
        <w:rPr>
          <w:sz w:val="22"/>
          <w:szCs w:val="22"/>
        </w:rPr>
        <w:t>, if determinable from the audit documentation.  If not determinable, the finding should disclose such and the client will need to prepare/maintain reasonable support regarding the finding repayment allocation.</w:t>
      </w:r>
    </w:p>
    <w:p w14:paraId="16820820" w14:textId="77777777" w:rsidR="00CE4C82" w:rsidRPr="00CE4C82" w:rsidRDefault="00CE4C82" w:rsidP="00CE4C82">
      <w:pPr>
        <w:pStyle w:val="ListParagraph"/>
        <w:widowControl w:val="0"/>
        <w:autoSpaceDE w:val="0"/>
        <w:autoSpaceDN w:val="0"/>
        <w:ind w:left="270" w:right="36"/>
        <w:jc w:val="both"/>
        <w:rPr>
          <w:sz w:val="22"/>
          <w:szCs w:val="22"/>
        </w:rPr>
      </w:pPr>
    </w:p>
    <w:p w14:paraId="182B8508" w14:textId="36493039" w:rsidR="0077131E" w:rsidRPr="00387DA7" w:rsidRDefault="6A035094" w:rsidP="00CE4C82">
      <w:pPr>
        <w:pStyle w:val="ListParagraph"/>
        <w:widowControl w:val="0"/>
        <w:numPr>
          <w:ilvl w:val="0"/>
          <w:numId w:val="1"/>
        </w:numPr>
        <w:tabs>
          <w:tab w:val="left" w:pos="462"/>
        </w:tabs>
        <w:autoSpaceDE w:val="0"/>
        <w:autoSpaceDN w:val="0"/>
        <w:ind w:left="270" w:right="36"/>
        <w:jc w:val="both"/>
        <w:rPr>
          <w:sz w:val="22"/>
          <w:szCs w:val="22"/>
        </w:rPr>
      </w:pPr>
      <w:r w:rsidRPr="00387DA7">
        <w:rPr>
          <w:sz w:val="22"/>
          <w:szCs w:val="22"/>
        </w:rPr>
        <w:t>For any Finding for Recovery repayments</w:t>
      </w:r>
      <w:r w:rsidR="0077131E" w:rsidRPr="00387DA7">
        <w:rPr>
          <w:rStyle w:val="FootnoteReference"/>
          <w:sz w:val="22"/>
          <w:szCs w:val="22"/>
        </w:rPr>
        <w:footnoteReference w:id="20"/>
      </w:r>
      <w:r w:rsidRPr="00387DA7">
        <w:rPr>
          <w:sz w:val="22"/>
          <w:szCs w:val="22"/>
        </w:rPr>
        <w:t>, supporting documentation should be reviewed and verified by the auditor, including proper posting and depositing, and maintained in the working papers.</w:t>
      </w:r>
    </w:p>
    <w:p w14:paraId="66701660" w14:textId="77777777" w:rsidR="0077131E" w:rsidRPr="00387DA7" w:rsidRDefault="0077131E" w:rsidP="00BF6310">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5F7BED8E" w14:textId="3996BA26" w:rsidR="008F6A36" w:rsidRPr="00387DA7" w:rsidRDefault="008F6A36" w:rsidP="00910A9A">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Where a proposed </w:t>
      </w:r>
      <w:r w:rsidR="002F4D5C" w:rsidRPr="00387DA7">
        <w:rPr>
          <w:sz w:val="22"/>
          <w:szCs w:val="22"/>
          <w:lang w:eastAsia="ja-JP"/>
        </w:rPr>
        <w:t>Finding for Recovery</w:t>
      </w:r>
      <w:r w:rsidRPr="00387DA7">
        <w:rPr>
          <w:sz w:val="22"/>
          <w:szCs w:val="22"/>
          <w:lang w:eastAsia="ja-JP"/>
        </w:rPr>
        <w:t xml:space="preserve"> has been paid in whole prior to the completion of the audit, the audit report</w:t>
      </w:r>
      <w:r w:rsidR="005722F3" w:rsidRPr="00387DA7">
        <w:rPr>
          <w:sz w:val="22"/>
          <w:szCs w:val="22"/>
          <w:lang w:eastAsia="ja-JP"/>
        </w:rPr>
        <w:t xml:space="preserve"> </w:t>
      </w:r>
      <w:r w:rsidR="002F22F2" w:rsidRPr="00387DA7">
        <w:rPr>
          <w:sz w:val="22"/>
          <w:szCs w:val="22"/>
          <w:lang w:eastAsia="ja-JP"/>
        </w:rPr>
        <w:t xml:space="preserve">finding </w:t>
      </w:r>
      <w:r w:rsidR="005722F3" w:rsidRPr="00387DA7">
        <w:rPr>
          <w:sz w:val="22"/>
          <w:szCs w:val="22"/>
          <w:lang w:eastAsia="ja-JP"/>
        </w:rPr>
        <w:t>should disclose the repayment</w:t>
      </w:r>
      <w:r w:rsidR="00F72457" w:rsidRPr="00387DA7">
        <w:rPr>
          <w:sz w:val="22"/>
          <w:szCs w:val="22"/>
          <w:lang w:eastAsia="ja-JP"/>
        </w:rPr>
        <w:t xml:space="preserve"> as </w:t>
      </w:r>
      <w:r w:rsidR="008B40AE" w:rsidRPr="00387DA7">
        <w:rPr>
          <w:sz w:val="22"/>
          <w:szCs w:val="22"/>
          <w:lang w:eastAsia="ja-JP"/>
        </w:rPr>
        <w:t>a</w:t>
      </w:r>
      <w:r w:rsidR="00F72457" w:rsidRPr="00387DA7">
        <w:rPr>
          <w:sz w:val="22"/>
          <w:szCs w:val="22"/>
          <w:lang w:eastAsia="ja-JP"/>
        </w:rPr>
        <w:t xml:space="preserve"> “Finding for Recovery Repaid Under Audit.”</w:t>
      </w:r>
    </w:p>
    <w:p w14:paraId="305542AB" w14:textId="78C1FF14" w:rsidR="008C1D2C" w:rsidRPr="00387DA7" w:rsidRDefault="00910A9A" w:rsidP="008C1D2C">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hanging="270"/>
        <w:jc w:val="both"/>
        <w:rPr>
          <w:sz w:val="22"/>
          <w:szCs w:val="22"/>
          <w:lang w:eastAsia="ja-JP"/>
        </w:rPr>
      </w:pPr>
      <w:r w:rsidRPr="00387DA7">
        <w:rPr>
          <w:sz w:val="22"/>
          <w:szCs w:val="22"/>
          <w:lang w:eastAsia="ja-JP"/>
        </w:rPr>
        <w:t>If repaid under audit, the finding is still written, and includes information regarding when the payment was received and how much was repaid</w:t>
      </w:r>
      <w:r w:rsidR="008C1D2C" w:rsidRPr="00387DA7">
        <w:rPr>
          <w:sz w:val="22"/>
          <w:szCs w:val="22"/>
          <w:lang w:eastAsia="ja-JP"/>
        </w:rPr>
        <w:t>.</w:t>
      </w:r>
    </w:p>
    <w:p w14:paraId="51EB6B0B" w14:textId="77777777" w:rsidR="008C1D2C" w:rsidRPr="00387DA7" w:rsidRDefault="008C1D2C" w:rsidP="008C1D2C">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990"/>
        <w:jc w:val="both"/>
        <w:rPr>
          <w:sz w:val="22"/>
          <w:szCs w:val="22"/>
          <w:lang w:eastAsia="ja-JP"/>
        </w:rPr>
      </w:pPr>
    </w:p>
    <w:p w14:paraId="4F76656E" w14:textId="77777777" w:rsidR="00910A9A" w:rsidRPr="00387DA7" w:rsidRDefault="008C1D2C" w:rsidP="00910A9A">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“Resolved” findings include (for example) those already repaid or for which a repayment plan has been approved.  See Ohio Rev. Code </w:t>
      </w:r>
      <w:r w:rsidR="009B4BF1" w:rsidRPr="00387DA7">
        <w:rPr>
          <w:sz w:val="22"/>
          <w:szCs w:val="22"/>
        </w:rPr>
        <w:t>§ 9</w:t>
      </w:r>
      <w:r w:rsidRPr="00387DA7">
        <w:rPr>
          <w:sz w:val="22"/>
          <w:szCs w:val="22"/>
        </w:rPr>
        <w:t>.24(B) for a complete list of resolved findings.</w:t>
      </w:r>
      <w:r w:rsidRPr="00387DA7">
        <w:rPr>
          <w:sz w:val="22"/>
          <w:szCs w:val="22"/>
          <w:lang w:eastAsia="ja-JP"/>
        </w:rPr>
        <w:t xml:space="preserve"> </w:t>
      </w:r>
    </w:p>
    <w:p w14:paraId="0C1DFE09" w14:textId="77777777" w:rsidR="00856C61" w:rsidRPr="00387DA7" w:rsidRDefault="00856C61" w:rsidP="00856C61">
      <w:pPr>
        <w:pStyle w:val="ListParagraph"/>
        <w:rPr>
          <w:sz w:val="22"/>
          <w:szCs w:val="22"/>
          <w:lang w:eastAsia="ja-JP"/>
        </w:rPr>
      </w:pPr>
    </w:p>
    <w:p w14:paraId="75A76746" w14:textId="32D04B53" w:rsidR="00856C61" w:rsidRPr="00387DA7" w:rsidRDefault="6863EFB6" w:rsidP="00910A9A">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Repayment plans require </w:t>
      </w:r>
      <w:r w:rsidR="2EFEFB33" w:rsidRPr="00387DA7">
        <w:rPr>
          <w:sz w:val="22"/>
          <w:szCs w:val="22"/>
          <w:lang w:eastAsia="ja-JP"/>
        </w:rPr>
        <w:t xml:space="preserve">the entity and the party responsible for repayment </w:t>
      </w:r>
      <w:r w:rsidR="291ED840" w:rsidRPr="00387DA7">
        <w:rPr>
          <w:sz w:val="22"/>
          <w:szCs w:val="22"/>
          <w:lang w:eastAsia="ja-JP"/>
        </w:rPr>
        <w:t xml:space="preserve">(e.g. the entity, an employee or vendor) </w:t>
      </w:r>
      <w:r w:rsidR="2EFEFB33" w:rsidRPr="00387DA7">
        <w:rPr>
          <w:sz w:val="22"/>
          <w:szCs w:val="22"/>
          <w:lang w:eastAsia="ja-JP"/>
        </w:rPr>
        <w:t xml:space="preserve">to draft </w:t>
      </w:r>
      <w:r w:rsidRPr="00387DA7">
        <w:rPr>
          <w:sz w:val="22"/>
          <w:szCs w:val="22"/>
          <w:lang w:eastAsia="ja-JP"/>
        </w:rPr>
        <w:t>an agreement</w:t>
      </w:r>
      <w:r w:rsidR="2EFEFB33" w:rsidRPr="00387DA7">
        <w:rPr>
          <w:sz w:val="22"/>
          <w:szCs w:val="22"/>
          <w:lang w:eastAsia="ja-JP"/>
        </w:rPr>
        <w:t>/contract</w:t>
      </w:r>
      <w:r w:rsidRPr="00387DA7">
        <w:rPr>
          <w:sz w:val="22"/>
          <w:szCs w:val="22"/>
          <w:lang w:eastAsia="ja-JP"/>
        </w:rPr>
        <w:t xml:space="preserve">.  The contract between the entity and the </w:t>
      </w:r>
      <w:proofErr w:type="gramStart"/>
      <w:r w:rsidR="291ED840" w:rsidRPr="00387DA7">
        <w:rPr>
          <w:sz w:val="22"/>
          <w:szCs w:val="22"/>
          <w:lang w:eastAsia="ja-JP"/>
        </w:rPr>
        <w:t>responsible party</w:t>
      </w:r>
      <w:proofErr w:type="gramEnd"/>
      <w:r w:rsidR="291ED840" w:rsidRPr="00387DA7">
        <w:rPr>
          <w:sz w:val="22"/>
          <w:szCs w:val="22"/>
          <w:lang w:eastAsia="ja-JP"/>
        </w:rPr>
        <w:t xml:space="preserve"> </w:t>
      </w:r>
      <w:r w:rsidRPr="00387DA7">
        <w:rPr>
          <w:sz w:val="22"/>
          <w:szCs w:val="22"/>
          <w:lang w:eastAsia="ja-JP"/>
        </w:rPr>
        <w:t xml:space="preserve">will be reviewed by the assigned regional </w:t>
      </w:r>
      <w:r w:rsidR="2EFEFB33" w:rsidRPr="00387DA7">
        <w:rPr>
          <w:sz w:val="22"/>
          <w:szCs w:val="22"/>
          <w:lang w:eastAsia="ja-JP"/>
        </w:rPr>
        <w:t xml:space="preserve">AOS </w:t>
      </w:r>
      <w:r w:rsidR="515EC9C5" w:rsidRPr="00387DA7">
        <w:rPr>
          <w:sz w:val="22"/>
          <w:szCs w:val="22"/>
          <w:lang w:eastAsia="ja-JP"/>
        </w:rPr>
        <w:t>attorney</w:t>
      </w:r>
      <w:r w:rsidRPr="00387DA7">
        <w:rPr>
          <w:sz w:val="22"/>
          <w:szCs w:val="22"/>
          <w:lang w:eastAsia="ja-JP"/>
        </w:rPr>
        <w:t xml:space="preserve">. [Ohio Rev. Code </w:t>
      </w:r>
      <w:r w:rsidR="515EC9C5" w:rsidRPr="00387DA7">
        <w:rPr>
          <w:sz w:val="22"/>
          <w:szCs w:val="22"/>
        </w:rPr>
        <w:t>§ 9</w:t>
      </w:r>
      <w:r w:rsidRPr="00387DA7">
        <w:rPr>
          <w:sz w:val="22"/>
          <w:szCs w:val="22"/>
        </w:rPr>
        <w:t>.24(B</w:t>
      </w:r>
      <w:r w:rsidR="515EC9C5" w:rsidRPr="00387DA7">
        <w:rPr>
          <w:sz w:val="22"/>
          <w:szCs w:val="22"/>
        </w:rPr>
        <w:t>)(</w:t>
      </w:r>
      <w:r w:rsidR="00BB0F1D" w:rsidRPr="00387DA7">
        <w:rPr>
          <w:sz w:val="22"/>
          <w:szCs w:val="22"/>
        </w:rPr>
        <w:t>4</w:t>
      </w:r>
      <w:r w:rsidR="515EC9C5" w:rsidRPr="00387DA7">
        <w:rPr>
          <w:sz w:val="22"/>
          <w:szCs w:val="22"/>
        </w:rPr>
        <w:t>)]</w:t>
      </w:r>
      <w:r w:rsidR="332D661A" w:rsidRPr="00387DA7">
        <w:rPr>
          <w:sz w:val="22"/>
          <w:szCs w:val="22"/>
        </w:rPr>
        <w:t xml:space="preserve"> (</w:t>
      </w:r>
      <w:r w:rsidR="1B80C5BB" w:rsidRPr="00387DA7">
        <w:rPr>
          <w:sz w:val="22"/>
          <w:szCs w:val="22"/>
        </w:rPr>
        <w:t>See</w:t>
      </w:r>
      <w:r w:rsidR="008E4B1E" w:rsidRPr="00387DA7">
        <w:rPr>
          <w:sz w:val="22"/>
          <w:szCs w:val="22"/>
        </w:rPr>
        <w:t xml:space="preserve"> </w:t>
      </w:r>
      <w:r w:rsidR="1B80C5BB" w:rsidRPr="00387DA7">
        <w:rPr>
          <w:sz w:val="22"/>
          <w:szCs w:val="22"/>
        </w:rPr>
        <w:t xml:space="preserve">agreement example at </w:t>
      </w:r>
      <w:hyperlink r:id="rId25">
        <w:r w:rsidR="00DD4F5A" w:rsidRPr="00387DA7">
          <w:rPr>
            <w:rStyle w:val="Hyperlink"/>
            <w:sz w:val="22"/>
            <w:szCs w:val="22"/>
          </w:rPr>
          <w:t>https://ohioauditor.gov/ocs/2024/FFR_Repayment_Template.docx</w:t>
        </w:r>
      </w:hyperlink>
      <w:r w:rsidR="5D29D54F" w:rsidRPr="00387DA7">
        <w:rPr>
          <w:sz w:val="22"/>
          <w:szCs w:val="22"/>
        </w:rPr>
        <w:t xml:space="preserve">.  </w:t>
      </w:r>
      <w:r w:rsidR="4A7D75A1" w:rsidRPr="00387DA7">
        <w:rPr>
          <w:sz w:val="22"/>
          <w:szCs w:val="22"/>
        </w:rPr>
        <w:t>A finalized repayment agreement</w:t>
      </w:r>
      <w:r w:rsidR="332D661A" w:rsidRPr="00387DA7">
        <w:rPr>
          <w:sz w:val="22"/>
          <w:szCs w:val="22"/>
        </w:rPr>
        <w:t xml:space="preserve"> would allow the finding to be considered resolved</w:t>
      </w:r>
      <w:r w:rsidR="508994C1" w:rsidRPr="00387DA7">
        <w:rPr>
          <w:sz w:val="22"/>
          <w:szCs w:val="22"/>
        </w:rPr>
        <w:t>.</w:t>
      </w:r>
      <w:r w:rsidR="4D9E0CFB" w:rsidRPr="00387DA7">
        <w:rPr>
          <w:sz w:val="22"/>
          <w:szCs w:val="22"/>
        </w:rPr>
        <w:t xml:space="preserve"> </w:t>
      </w:r>
      <w:r w:rsidR="0A7F3C33" w:rsidRPr="00387DA7">
        <w:rPr>
          <w:sz w:val="22"/>
          <w:szCs w:val="22"/>
        </w:rPr>
        <w:t xml:space="preserve"> A</w:t>
      </w:r>
      <w:r w:rsidR="4D9E0CFB" w:rsidRPr="00387DA7">
        <w:rPr>
          <w:sz w:val="22"/>
          <w:szCs w:val="22"/>
        </w:rPr>
        <w:t xml:space="preserve">uditors should provide </w:t>
      </w:r>
      <w:r w:rsidR="0B17DE14" w:rsidRPr="00387DA7">
        <w:rPr>
          <w:sz w:val="22"/>
          <w:szCs w:val="22"/>
        </w:rPr>
        <w:t>the repayment agreement</w:t>
      </w:r>
      <w:r w:rsidR="4D9E0CFB" w:rsidRPr="00387DA7">
        <w:rPr>
          <w:sz w:val="22"/>
          <w:szCs w:val="22"/>
        </w:rPr>
        <w:t xml:space="preserve"> to clients whenever possible and share the completed plan with </w:t>
      </w:r>
      <w:r w:rsidR="0A7F3C33" w:rsidRPr="00387DA7">
        <w:rPr>
          <w:sz w:val="22"/>
          <w:szCs w:val="22"/>
        </w:rPr>
        <w:t>the AOS attorney</w:t>
      </w:r>
      <w:r w:rsidR="4D9E0CFB" w:rsidRPr="00387DA7">
        <w:rPr>
          <w:sz w:val="22"/>
          <w:szCs w:val="22"/>
        </w:rPr>
        <w:t xml:space="preserve"> when the client finalizes it</w:t>
      </w:r>
      <w:r w:rsidR="66EF774C" w:rsidRPr="00387DA7">
        <w:rPr>
          <w:sz w:val="22"/>
          <w:szCs w:val="22"/>
        </w:rPr>
        <w:t>.</w:t>
      </w:r>
      <w:r w:rsidR="332D661A" w:rsidRPr="00387DA7">
        <w:rPr>
          <w:sz w:val="22"/>
          <w:szCs w:val="22"/>
        </w:rPr>
        <w:t>)</w:t>
      </w:r>
    </w:p>
    <w:p w14:paraId="3231D7A0" w14:textId="77777777" w:rsidR="00856C61" w:rsidRPr="00387DA7" w:rsidRDefault="00856C61" w:rsidP="00856C61">
      <w:pPr>
        <w:pStyle w:val="ListParagraph"/>
        <w:rPr>
          <w:sz w:val="22"/>
          <w:szCs w:val="22"/>
          <w:lang w:eastAsia="ja-JP"/>
        </w:rPr>
      </w:pPr>
    </w:p>
    <w:p w14:paraId="3D29DDE2" w14:textId="7BE68355" w:rsidR="00856C61" w:rsidRPr="00387DA7" w:rsidRDefault="3CCCE429" w:rsidP="2640F47C">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The executed original will be maintained in the audit </w:t>
      </w:r>
      <w:proofErr w:type="gramStart"/>
      <w:r w:rsidRPr="00387DA7">
        <w:rPr>
          <w:sz w:val="22"/>
          <w:szCs w:val="22"/>
          <w:lang w:eastAsia="ja-JP"/>
        </w:rPr>
        <w:t>workpapers</w:t>
      </w:r>
      <w:proofErr w:type="gramEnd"/>
      <w:r w:rsidRPr="00387DA7">
        <w:rPr>
          <w:sz w:val="22"/>
          <w:szCs w:val="22"/>
          <w:lang w:eastAsia="ja-JP"/>
        </w:rPr>
        <w:t xml:space="preserve"> and a copy will be saved in the finding folder</w:t>
      </w:r>
      <w:r w:rsidR="042DDE2F" w:rsidRPr="00387DA7">
        <w:rPr>
          <w:sz w:val="22"/>
          <w:szCs w:val="22"/>
          <w:lang w:eastAsia="ja-JP"/>
        </w:rPr>
        <w:t xml:space="preserve"> on the </w:t>
      </w:r>
      <w:r w:rsidR="75F9CFB4" w:rsidRPr="00387DA7">
        <w:rPr>
          <w:sz w:val="22"/>
          <w:szCs w:val="22"/>
          <w:lang w:eastAsia="ja-JP"/>
        </w:rPr>
        <w:t xml:space="preserve">AOS </w:t>
      </w:r>
      <w:r w:rsidR="042DDE2F" w:rsidRPr="00387DA7">
        <w:rPr>
          <w:sz w:val="22"/>
          <w:szCs w:val="22"/>
          <w:lang w:eastAsia="ja-JP"/>
        </w:rPr>
        <w:t>W:\ drive</w:t>
      </w:r>
      <w:r w:rsidRPr="00387DA7">
        <w:rPr>
          <w:sz w:val="22"/>
          <w:szCs w:val="22"/>
          <w:lang w:eastAsia="ja-JP"/>
        </w:rPr>
        <w:t>.</w:t>
      </w:r>
    </w:p>
    <w:p w14:paraId="0A31E8E4" w14:textId="77777777" w:rsidR="00856C61" w:rsidRPr="00387DA7" w:rsidRDefault="00856C61" w:rsidP="00856C61">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37C038BD" w14:textId="77777777" w:rsidR="00856C61" w:rsidRPr="00387DA7" w:rsidRDefault="00856C61" w:rsidP="00856C61">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The agreement will be reviewed in the following period’s audit to </w:t>
      </w:r>
      <w:r w:rsidR="00D30705" w:rsidRPr="00387DA7">
        <w:rPr>
          <w:sz w:val="22"/>
          <w:szCs w:val="22"/>
          <w:lang w:eastAsia="ja-JP"/>
        </w:rPr>
        <w:t>verify</w:t>
      </w:r>
      <w:r w:rsidRPr="00387DA7">
        <w:rPr>
          <w:sz w:val="22"/>
          <w:szCs w:val="22"/>
          <w:lang w:eastAsia="ja-JP"/>
        </w:rPr>
        <w:t xml:space="preserve"> the prior audit finding has been repaid or if the contractual terms of the repayment agreement are being met </w:t>
      </w:r>
      <w:r w:rsidR="00D30705" w:rsidRPr="00387DA7">
        <w:rPr>
          <w:sz w:val="22"/>
          <w:szCs w:val="22"/>
          <w:lang w:eastAsia="ja-JP"/>
        </w:rPr>
        <w:t>if</w:t>
      </w:r>
      <w:r w:rsidRPr="00387DA7">
        <w:rPr>
          <w:sz w:val="22"/>
          <w:szCs w:val="22"/>
          <w:lang w:eastAsia="ja-JP"/>
        </w:rPr>
        <w:t xml:space="preserve"> the term of the agreement exceeds the audit period.</w:t>
      </w:r>
      <w:r w:rsidR="00D30705" w:rsidRPr="00387DA7">
        <w:rPr>
          <w:sz w:val="22"/>
          <w:szCs w:val="22"/>
          <w:lang w:eastAsia="ja-JP"/>
        </w:rPr>
        <w:t xml:space="preserve">  If the terms of the agreement have not been met, the </w:t>
      </w:r>
      <w:r w:rsidR="00A0688B" w:rsidRPr="00387DA7">
        <w:rPr>
          <w:sz w:val="22"/>
          <w:szCs w:val="22"/>
          <w:lang w:eastAsia="ja-JP"/>
        </w:rPr>
        <w:t xml:space="preserve">AOS </w:t>
      </w:r>
      <w:r w:rsidR="00D30705" w:rsidRPr="00387DA7">
        <w:rPr>
          <w:sz w:val="22"/>
          <w:szCs w:val="22"/>
          <w:lang w:eastAsia="ja-JP"/>
        </w:rPr>
        <w:t>auditor is to immediately contact the regional attorney</w:t>
      </w:r>
      <w:r w:rsidR="00A0688B" w:rsidRPr="00387DA7">
        <w:rPr>
          <w:sz w:val="22"/>
          <w:szCs w:val="22"/>
          <w:lang w:eastAsia="ja-JP"/>
        </w:rPr>
        <w:t>,</w:t>
      </w:r>
      <w:r w:rsidR="00D30705" w:rsidRPr="00387DA7">
        <w:rPr>
          <w:sz w:val="22"/>
          <w:szCs w:val="22"/>
          <w:lang w:eastAsia="ja-JP"/>
        </w:rPr>
        <w:t xml:space="preserve"> who will then bring the matter to the attention of the Attorney General.</w:t>
      </w:r>
      <w:r w:rsidR="00A0688B" w:rsidRPr="00387DA7">
        <w:rPr>
          <w:sz w:val="22"/>
          <w:szCs w:val="22"/>
          <w:lang w:eastAsia="ja-JP"/>
        </w:rPr>
        <w:t xml:space="preserve">  IPA auditors should email the regional chief auditor.</w:t>
      </w:r>
    </w:p>
    <w:p w14:paraId="644D7031" w14:textId="77777777" w:rsidR="00910A9A" w:rsidRPr="00387DA7" w:rsidRDefault="00910A9A" w:rsidP="00910A9A">
      <w:pPr>
        <w:pStyle w:val="ListParagraph"/>
        <w:rPr>
          <w:sz w:val="22"/>
          <w:szCs w:val="22"/>
          <w:lang w:eastAsia="ja-JP"/>
        </w:rPr>
      </w:pPr>
    </w:p>
    <w:p w14:paraId="722D04EF" w14:textId="77777777" w:rsidR="008C2BF4" w:rsidRPr="00387DA7" w:rsidRDefault="00910A9A" w:rsidP="00910A9A">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Findings which have only been</w:t>
      </w:r>
      <w:r w:rsidR="008C1D2C" w:rsidRPr="00387DA7">
        <w:rPr>
          <w:sz w:val="22"/>
          <w:szCs w:val="22"/>
          <w:lang w:eastAsia="ja-JP"/>
        </w:rPr>
        <w:t xml:space="preserve"> partially </w:t>
      </w:r>
      <w:proofErr w:type="gramStart"/>
      <w:r w:rsidR="008C1D2C" w:rsidRPr="00387DA7">
        <w:rPr>
          <w:sz w:val="22"/>
          <w:szCs w:val="22"/>
          <w:lang w:eastAsia="ja-JP"/>
        </w:rPr>
        <w:t>repaid</w:t>
      </w:r>
      <w:proofErr w:type="gramEnd"/>
      <w:r w:rsidR="008C1D2C" w:rsidRPr="00387DA7">
        <w:rPr>
          <w:sz w:val="22"/>
          <w:szCs w:val="22"/>
          <w:lang w:eastAsia="ja-JP"/>
        </w:rPr>
        <w:t xml:space="preserve"> and no payment plan has been approved</w:t>
      </w:r>
      <w:r w:rsidRPr="00387DA7">
        <w:rPr>
          <w:sz w:val="22"/>
          <w:szCs w:val="22"/>
          <w:lang w:eastAsia="ja-JP"/>
        </w:rPr>
        <w:t xml:space="preserve"> are not considered</w:t>
      </w:r>
      <w:r w:rsidR="008C1D2C" w:rsidRPr="00387DA7">
        <w:rPr>
          <w:sz w:val="22"/>
          <w:szCs w:val="22"/>
          <w:lang w:eastAsia="ja-JP"/>
        </w:rPr>
        <w:t xml:space="preserve"> ‘resolved’</w:t>
      </w:r>
      <w:r w:rsidRPr="00387DA7">
        <w:rPr>
          <w:sz w:val="22"/>
          <w:szCs w:val="22"/>
          <w:lang w:eastAsia="ja-JP"/>
        </w:rPr>
        <w:t xml:space="preserve">.  </w:t>
      </w:r>
    </w:p>
    <w:p w14:paraId="09D5F739" w14:textId="5B76A88D" w:rsidR="00910A9A" w:rsidRPr="00387DA7" w:rsidRDefault="00910A9A" w:rsidP="008C2BF4">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0384E4E4" w14:textId="64F7C9F3" w:rsidR="008C2BF4" w:rsidRPr="00387DA7" w:rsidRDefault="008C2BF4" w:rsidP="008C2BF4">
      <w:pPr>
        <w:pStyle w:val="HTMLDefinition1"/>
        <w:numPr>
          <w:ilvl w:val="0"/>
          <w:numId w:val="1"/>
        </w:numPr>
        <w:tabs>
          <w:tab w:val="clear" w:pos="720"/>
          <w:tab w:val="num"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Findings for Recovery and criminal restitution orders are imposed for different purposes, are parallel remedies on two tracks (civil vs. criminal), and have different enforcement mechanisms.  Accordingly, a</w:t>
      </w:r>
      <w:r w:rsidR="00A74170" w:rsidRPr="00387DA7">
        <w:rPr>
          <w:sz w:val="22"/>
          <w:szCs w:val="22"/>
          <w:lang w:eastAsia="ja-JP"/>
        </w:rPr>
        <w:t xml:space="preserve"> finding for recovery</w:t>
      </w:r>
      <w:r w:rsidRPr="00387DA7">
        <w:rPr>
          <w:sz w:val="22"/>
          <w:szCs w:val="22"/>
          <w:lang w:eastAsia="ja-JP"/>
        </w:rPr>
        <w:t xml:space="preserve"> should be issued even if a criminal restitution order is already in place for the same conduct.</w:t>
      </w:r>
    </w:p>
    <w:p w14:paraId="1C4DB4B4" w14:textId="77777777" w:rsidR="008C2BF4" w:rsidRPr="00387DA7" w:rsidRDefault="008C2BF4" w:rsidP="008C2BF4">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6C1A27DE" w14:textId="524A6671" w:rsidR="008C2BF4" w:rsidRPr="00387DA7" w:rsidRDefault="008C2BF4" w:rsidP="008C2BF4">
      <w:pPr>
        <w:pStyle w:val="HTMLDefinition1"/>
        <w:numPr>
          <w:ilvl w:val="1"/>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w:t>
      </w:r>
      <w:r w:rsidR="00A74170" w:rsidRPr="00387DA7">
        <w:rPr>
          <w:sz w:val="22"/>
          <w:szCs w:val="22"/>
          <w:lang w:eastAsia="ja-JP"/>
        </w:rPr>
        <w:t>finding for recovery</w:t>
      </w:r>
      <w:r w:rsidRPr="00387DA7">
        <w:rPr>
          <w:sz w:val="22"/>
          <w:szCs w:val="22"/>
          <w:lang w:eastAsia="ja-JP"/>
        </w:rPr>
        <w:t xml:space="preserve"> may be denoted in the audit report as a “Finding for Recovery Repaid Under Audit” if the restitution order has resulted in 100% of the amount of the </w:t>
      </w:r>
      <w:r w:rsidR="00A74170" w:rsidRPr="00387DA7">
        <w:rPr>
          <w:sz w:val="22"/>
          <w:szCs w:val="22"/>
          <w:lang w:eastAsia="ja-JP"/>
        </w:rPr>
        <w:t>finding for recovery</w:t>
      </w:r>
      <w:r w:rsidRPr="00387DA7">
        <w:rPr>
          <w:sz w:val="22"/>
          <w:szCs w:val="22"/>
          <w:lang w:eastAsia="ja-JP"/>
        </w:rPr>
        <w:t xml:space="preserve"> being repaid to the local public office prior to the completion of the audit.  The </w:t>
      </w:r>
      <w:r w:rsidR="00A74170" w:rsidRPr="00387DA7">
        <w:rPr>
          <w:sz w:val="22"/>
          <w:szCs w:val="22"/>
          <w:lang w:eastAsia="ja-JP"/>
        </w:rPr>
        <w:t>finding for recovery</w:t>
      </w:r>
      <w:r w:rsidRPr="00387DA7">
        <w:rPr>
          <w:sz w:val="22"/>
          <w:szCs w:val="22"/>
          <w:lang w:eastAsia="ja-JP"/>
        </w:rPr>
        <w:t xml:space="preserve"> may be denoted as “resolved” if the restitution order has been incorporated into a contractual agreement between the public office and the debtor pursuant to Ohio Rev. Code </w:t>
      </w:r>
      <w:r w:rsidRPr="00387DA7">
        <w:rPr>
          <w:sz w:val="22"/>
          <w:szCs w:val="22"/>
        </w:rPr>
        <w:t>§ 9.24(B).  The contractual agreement must be submitted to the Attorney General for approval.  AOS should recommend that the public office and the debtor use the template settlement agreement provided by the Attorney General.  If the parties do not want to use the Attorney General’s template and would prefer to draft their own settlement agreement, that agreement must also be submitted to the Attorney General for approval.  Incorporating the terms of the restitution order into the contractual agreement must be done even if the criminal restitution order resulted from an agreed settlement of the criminal case between the Prosecutor and the defendant.</w:t>
      </w:r>
    </w:p>
    <w:p w14:paraId="42785E9E" w14:textId="58CFD508" w:rsidR="008C2BF4" w:rsidRPr="00387DA7" w:rsidRDefault="008C2BF4" w:rsidP="008C2BF4">
      <w:pPr>
        <w:pStyle w:val="HTMLDefinition1"/>
        <w:numPr>
          <w:ilvl w:val="1"/>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If there is no contractual agreement, and only a restitution order, the </w:t>
      </w:r>
      <w:r w:rsidR="00A74170" w:rsidRPr="00387DA7">
        <w:rPr>
          <w:sz w:val="22"/>
          <w:szCs w:val="22"/>
          <w:lang w:eastAsia="ja-JP"/>
        </w:rPr>
        <w:t>finding for recovery</w:t>
      </w:r>
      <w:r w:rsidRPr="00387DA7">
        <w:rPr>
          <w:sz w:val="22"/>
          <w:szCs w:val="22"/>
          <w:lang w:eastAsia="ja-JP"/>
        </w:rPr>
        <w:t xml:space="preserve"> should be issued in the report as an unresolved </w:t>
      </w:r>
      <w:r w:rsidR="00A74170" w:rsidRPr="00387DA7">
        <w:rPr>
          <w:sz w:val="22"/>
          <w:szCs w:val="22"/>
          <w:lang w:eastAsia="ja-JP"/>
        </w:rPr>
        <w:t>finding for recovery</w:t>
      </w:r>
      <w:r w:rsidRPr="00387DA7">
        <w:rPr>
          <w:sz w:val="22"/>
          <w:szCs w:val="22"/>
          <w:lang w:eastAsia="ja-JP"/>
        </w:rPr>
        <w:t>.</w:t>
      </w:r>
    </w:p>
    <w:p w14:paraId="7079FD00" w14:textId="77777777" w:rsidR="00A0688B" w:rsidRPr="00387DA7" w:rsidRDefault="00A0688B" w:rsidP="00A0688B">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12EBEB27" w14:textId="77777777" w:rsidR="00E46397" w:rsidRPr="00387DA7" w:rsidRDefault="00E46397" w:rsidP="00A0688B">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If a Finding for Recovery is resolved prior to sending the </w:t>
      </w:r>
      <w:r w:rsidRPr="00387DA7">
        <w:rPr>
          <w:i/>
          <w:sz w:val="22"/>
          <w:szCs w:val="22"/>
          <w:lang w:eastAsia="ja-JP"/>
        </w:rPr>
        <w:t>Notice of Proposed Finding</w:t>
      </w:r>
      <w:r w:rsidRPr="00387DA7">
        <w:rPr>
          <w:sz w:val="22"/>
          <w:szCs w:val="22"/>
          <w:lang w:eastAsia="ja-JP"/>
        </w:rPr>
        <w:t xml:space="preserve">, do not send the letter. </w:t>
      </w:r>
    </w:p>
    <w:p w14:paraId="7FA8FE45" w14:textId="77777777" w:rsidR="00A0688B" w:rsidRPr="00387DA7" w:rsidRDefault="00A0688B" w:rsidP="00A0688B">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112FABBC" w14:textId="77777777" w:rsidR="00E46397" w:rsidRPr="00387DA7" w:rsidRDefault="00E46397" w:rsidP="00A0688B">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If the Finding for Recovery is resolved after the </w:t>
      </w:r>
      <w:r w:rsidRPr="00387DA7">
        <w:rPr>
          <w:i/>
          <w:sz w:val="22"/>
          <w:szCs w:val="22"/>
          <w:lang w:eastAsia="ja-JP"/>
        </w:rPr>
        <w:t>Notice of Proposed Finding</w:t>
      </w:r>
      <w:r w:rsidRPr="00387DA7">
        <w:rPr>
          <w:sz w:val="22"/>
          <w:szCs w:val="22"/>
          <w:lang w:eastAsia="ja-JP"/>
        </w:rPr>
        <w:t xml:space="preserve"> is issued and prior to the release of the audit report, do not send a </w:t>
      </w:r>
      <w:r w:rsidRPr="00387DA7">
        <w:rPr>
          <w:i/>
          <w:sz w:val="22"/>
          <w:szCs w:val="22"/>
          <w:lang w:eastAsia="ja-JP"/>
        </w:rPr>
        <w:t>Notice of Finding.</w:t>
      </w:r>
    </w:p>
    <w:p w14:paraId="6CDBF8C7" w14:textId="77777777" w:rsidR="00A0688B" w:rsidRPr="00387DA7" w:rsidRDefault="00A0688B" w:rsidP="00A0688B">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4DE3CDF2" w14:textId="1367FABA" w:rsidR="00966CEB" w:rsidRPr="00387DA7" w:rsidRDefault="00E46397" w:rsidP="00966CEB">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If the Finding for Recovery is resolved, the </w:t>
      </w:r>
      <w:r w:rsidRPr="00387DA7">
        <w:rPr>
          <w:i/>
          <w:sz w:val="22"/>
          <w:szCs w:val="22"/>
          <w:lang w:eastAsia="ja-JP"/>
        </w:rPr>
        <w:t>Letter on Findings for Recovery</w:t>
      </w:r>
      <w:r w:rsidRPr="00387DA7">
        <w:rPr>
          <w:sz w:val="22"/>
          <w:szCs w:val="22"/>
          <w:lang w:eastAsia="ja-JP"/>
        </w:rPr>
        <w:t xml:space="preserve"> (addressed to the public office legal counsel) is sent.  </w:t>
      </w:r>
    </w:p>
    <w:p w14:paraId="5F2EF83C" w14:textId="77777777" w:rsidR="00401DD0" w:rsidRPr="00387DA7" w:rsidRDefault="00401DD0" w:rsidP="00401DD0">
      <w:pPr>
        <w:pStyle w:val="ListParagraph"/>
        <w:rPr>
          <w:sz w:val="22"/>
          <w:szCs w:val="22"/>
        </w:rPr>
      </w:pPr>
    </w:p>
    <w:p w14:paraId="12E294FE" w14:textId="7371B204" w:rsidR="00966CEB" w:rsidRPr="00387DA7" w:rsidRDefault="004F5118" w:rsidP="00966CEB">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rPr>
        <w:t xml:space="preserve">Findings for </w:t>
      </w:r>
      <w:r w:rsidR="002A27A7" w:rsidRPr="00387DA7">
        <w:rPr>
          <w:sz w:val="22"/>
          <w:szCs w:val="22"/>
        </w:rPr>
        <w:t>R</w:t>
      </w:r>
      <w:r w:rsidRPr="00387DA7">
        <w:rPr>
          <w:sz w:val="22"/>
          <w:szCs w:val="22"/>
        </w:rPr>
        <w:t xml:space="preserve">ecovery reported in the </w:t>
      </w:r>
      <w:r w:rsidR="00535662" w:rsidRPr="00387DA7">
        <w:rPr>
          <w:sz w:val="22"/>
          <w:szCs w:val="22"/>
        </w:rPr>
        <w:t xml:space="preserve">20XX </w:t>
      </w:r>
      <w:r w:rsidRPr="00387DA7">
        <w:rPr>
          <w:i/>
          <w:iCs/>
          <w:sz w:val="22"/>
          <w:szCs w:val="22"/>
        </w:rPr>
        <w:t xml:space="preserve">Schedule of Findings </w:t>
      </w:r>
      <w:r w:rsidRPr="00387DA7">
        <w:rPr>
          <w:sz w:val="22"/>
          <w:szCs w:val="22"/>
        </w:rPr>
        <w:t>should be appropriately updated if resolved</w:t>
      </w:r>
      <w:r w:rsidR="00BD5FDE" w:rsidRPr="00387DA7">
        <w:rPr>
          <w:rStyle w:val="FootnoteReference"/>
          <w:sz w:val="22"/>
          <w:szCs w:val="22"/>
        </w:rPr>
        <w:footnoteReference w:id="21"/>
      </w:r>
      <w:r w:rsidR="00BD5FDE" w:rsidRPr="00387DA7">
        <w:rPr>
          <w:sz w:val="22"/>
          <w:szCs w:val="22"/>
        </w:rPr>
        <w:t xml:space="preserve"> </w:t>
      </w:r>
      <w:r w:rsidRPr="00387DA7">
        <w:rPr>
          <w:sz w:val="22"/>
          <w:szCs w:val="22"/>
        </w:rPr>
        <w:t>prior to report issuance.</w:t>
      </w:r>
    </w:p>
    <w:p w14:paraId="197A7E9C" w14:textId="77777777" w:rsidR="00966CEB" w:rsidRPr="00387DA7" w:rsidRDefault="00966CEB" w:rsidP="00966CEB">
      <w:pPr>
        <w:pStyle w:val="ListParagraph"/>
        <w:rPr>
          <w:sz w:val="22"/>
          <w:szCs w:val="22"/>
        </w:rPr>
      </w:pPr>
    </w:p>
    <w:p w14:paraId="0B57F234" w14:textId="777C99E0" w:rsidR="00966CEB" w:rsidRPr="00387DA7" w:rsidRDefault="004F5118" w:rsidP="009B7CBA">
      <w:pPr>
        <w:pStyle w:val="HTMLDefinition1"/>
        <w:numPr>
          <w:ilvl w:val="1"/>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rPr>
        <w:t xml:space="preserve">Findings for </w:t>
      </w:r>
      <w:r w:rsidR="001A4709" w:rsidRPr="00387DA7">
        <w:rPr>
          <w:sz w:val="22"/>
          <w:szCs w:val="22"/>
        </w:rPr>
        <w:t>R</w:t>
      </w:r>
      <w:r w:rsidRPr="00387DA7">
        <w:rPr>
          <w:sz w:val="22"/>
          <w:szCs w:val="22"/>
        </w:rPr>
        <w:t xml:space="preserve">ecovery </w:t>
      </w:r>
      <w:r w:rsidR="00D04691" w:rsidRPr="00387DA7">
        <w:rPr>
          <w:sz w:val="22"/>
          <w:szCs w:val="22"/>
        </w:rPr>
        <w:t xml:space="preserve">reported in section 2 of the </w:t>
      </w:r>
      <w:r w:rsidR="00D04691" w:rsidRPr="00387DA7">
        <w:rPr>
          <w:i/>
          <w:sz w:val="22"/>
          <w:szCs w:val="22"/>
        </w:rPr>
        <w:t>Schedule of Findings</w:t>
      </w:r>
      <w:r w:rsidR="00D04691" w:rsidRPr="00387DA7">
        <w:rPr>
          <w:sz w:val="22"/>
          <w:szCs w:val="22"/>
        </w:rPr>
        <w:t xml:space="preserve"> </w:t>
      </w:r>
      <w:r w:rsidRPr="00387DA7">
        <w:rPr>
          <w:sz w:val="22"/>
          <w:szCs w:val="22"/>
        </w:rPr>
        <w:t xml:space="preserve">still </w:t>
      </w:r>
      <w:r w:rsidR="00D138E8" w:rsidRPr="00387DA7">
        <w:rPr>
          <w:sz w:val="22"/>
          <w:szCs w:val="22"/>
        </w:rPr>
        <w:t xml:space="preserve">unpaid or </w:t>
      </w:r>
      <w:r w:rsidRPr="00387DA7">
        <w:rPr>
          <w:sz w:val="22"/>
          <w:szCs w:val="22"/>
        </w:rPr>
        <w:t xml:space="preserve">unresolved in the </w:t>
      </w:r>
      <w:r w:rsidR="00535662" w:rsidRPr="00387DA7">
        <w:rPr>
          <w:sz w:val="22"/>
          <w:szCs w:val="22"/>
        </w:rPr>
        <w:t>20XX+1</w:t>
      </w:r>
      <w:r w:rsidRPr="00387DA7">
        <w:rPr>
          <w:sz w:val="22"/>
          <w:szCs w:val="22"/>
        </w:rPr>
        <w:t xml:space="preserve"> audit period should be summarized on the </w:t>
      </w:r>
      <w:r w:rsidRPr="00387DA7">
        <w:rPr>
          <w:i/>
          <w:iCs/>
          <w:sz w:val="22"/>
          <w:szCs w:val="22"/>
        </w:rPr>
        <w:t>Schedule of Prior Audit Findings</w:t>
      </w:r>
      <w:r w:rsidRPr="00387DA7">
        <w:rPr>
          <w:sz w:val="22"/>
          <w:szCs w:val="22"/>
        </w:rPr>
        <w:t>.</w:t>
      </w:r>
      <w:r w:rsidR="009B7CBA" w:rsidRPr="00387DA7">
        <w:rPr>
          <w:sz w:val="22"/>
          <w:szCs w:val="22"/>
        </w:rPr>
        <w:t xml:space="preserve"> (Note: Findings for Recovery reported in section 4</w:t>
      </w:r>
      <w:r w:rsidR="00DB1A1C" w:rsidRPr="00387DA7">
        <w:rPr>
          <w:sz w:val="22"/>
          <w:szCs w:val="22"/>
        </w:rPr>
        <w:t xml:space="preserve"> in the prior year</w:t>
      </w:r>
      <w:r w:rsidR="009B7CBA" w:rsidRPr="00387DA7">
        <w:rPr>
          <w:sz w:val="22"/>
          <w:szCs w:val="22"/>
        </w:rPr>
        <w:t xml:space="preserve">, </w:t>
      </w:r>
      <w:r w:rsidR="006D6745" w:rsidRPr="00387DA7">
        <w:rPr>
          <w:sz w:val="22"/>
          <w:szCs w:val="22"/>
        </w:rPr>
        <w:t xml:space="preserve">are not reported in the </w:t>
      </w:r>
      <w:r w:rsidR="006D6745" w:rsidRPr="00387DA7">
        <w:rPr>
          <w:i/>
          <w:sz w:val="22"/>
          <w:szCs w:val="22"/>
        </w:rPr>
        <w:t>Schedule of Prior Audit Findings</w:t>
      </w:r>
      <w:r w:rsidR="009B7CBA" w:rsidRPr="00387DA7">
        <w:rPr>
          <w:sz w:val="22"/>
          <w:szCs w:val="22"/>
        </w:rPr>
        <w:t>.)</w:t>
      </w:r>
    </w:p>
    <w:p w14:paraId="47F36BF6" w14:textId="77777777" w:rsidR="00966CEB" w:rsidRPr="00387DA7" w:rsidRDefault="00966CEB" w:rsidP="00966CEB">
      <w:pPr>
        <w:pStyle w:val="ListParagraph"/>
        <w:rPr>
          <w:sz w:val="22"/>
          <w:szCs w:val="22"/>
        </w:rPr>
      </w:pPr>
    </w:p>
    <w:p w14:paraId="6081A99C" w14:textId="2A2C2128" w:rsidR="004F5118" w:rsidRPr="00387DA7" w:rsidRDefault="00966CEB" w:rsidP="00966CEB">
      <w:pPr>
        <w:pStyle w:val="HTMLDefinition1"/>
        <w:numPr>
          <w:ilvl w:val="1"/>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rPr>
        <w:t>If the Finding for R</w:t>
      </w:r>
      <w:r w:rsidR="004F5118" w:rsidRPr="00387DA7">
        <w:rPr>
          <w:sz w:val="22"/>
          <w:szCs w:val="22"/>
        </w:rPr>
        <w:t>ecovery remains unre</w:t>
      </w:r>
      <w:r w:rsidR="00535662" w:rsidRPr="00387DA7">
        <w:rPr>
          <w:sz w:val="22"/>
          <w:szCs w:val="22"/>
        </w:rPr>
        <w:t>solved in 20XX+2</w:t>
      </w:r>
      <w:r w:rsidRPr="00387DA7">
        <w:rPr>
          <w:sz w:val="22"/>
          <w:szCs w:val="22"/>
        </w:rPr>
        <w:t>, it does not need to be included in</w:t>
      </w:r>
      <w:r w:rsidR="004F5118" w:rsidRPr="00387DA7">
        <w:rPr>
          <w:sz w:val="22"/>
          <w:szCs w:val="22"/>
        </w:rPr>
        <w:t xml:space="preserve"> </w:t>
      </w:r>
      <w:r w:rsidR="00535662" w:rsidRPr="00387DA7">
        <w:rPr>
          <w:sz w:val="22"/>
          <w:szCs w:val="22"/>
        </w:rPr>
        <w:t>the 20XX+2 audit</w:t>
      </w:r>
      <w:r w:rsidR="004F5118" w:rsidRPr="00387DA7">
        <w:rPr>
          <w:sz w:val="22"/>
          <w:szCs w:val="22"/>
        </w:rPr>
        <w:t xml:space="preserve"> period’s </w:t>
      </w:r>
      <w:r w:rsidR="004F5118" w:rsidRPr="00387DA7">
        <w:rPr>
          <w:i/>
          <w:iCs/>
          <w:sz w:val="22"/>
          <w:szCs w:val="22"/>
        </w:rPr>
        <w:t>Schedule of Prior Audit Findings</w:t>
      </w:r>
      <w:r w:rsidRPr="00387DA7">
        <w:rPr>
          <w:i/>
          <w:iCs/>
          <w:sz w:val="22"/>
          <w:szCs w:val="22"/>
        </w:rPr>
        <w:t xml:space="preserve"> </w:t>
      </w:r>
      <w:r w:rsidRPr="00387DA7">
        <w:rPr>
          <w:iCs/>
          <w:sz w:val="22"/>
          <w:szCs w:val="22"/>
        </w:rPr>
        <w:t xml:space="preserve">unless there is a material financial </w:t>
      </w:r>
      <w:proofErr w:type="gramStart"/>
      <w:r w:rsidRPr="00387DA7">
        <w:rPr>
          <w:iCs/>
          <w:sz w:val="22"/>
          <w:szCs w:val="22"/>
        </w:rPr>
        <w:t>statement impact</w:t>
      </w:r>
      <w:proofErr w:type="gramEnd"/>
      <w:r w:rsidR="00D138E8" w:rsidRPr="00387DA7">
        <w:rPr>
          <w:iCs/>
          <w:sz w:val="22"/>
          <w:szCs w:val="22"/>
        </w:rPr>
        <w:t xml:space="preserve"> related to </w:t>
      </w:r>
      <w:r w:rsidR="00535662" w:rsidRPr="00387DA7">
        <w:rPr>
          <w:iCs/>
          <w:sz w:val="22"/>
          <w:szCs w:val="22"/>
        </w:rPr>
        <w:t>20XX+2</w:t>
      </w:r>
      <w:r w:rsidR="004F5118" w:rsidRPr="00387DA7">
        <w:rPr>
          <w:sz w:val="22"/>
          <w:szCs w:val="22"/>
        </w:rPr>
        <w:t>.</w:t>
      </w:r>
    </w:p>
    <w:p w14:paraId="4349F85A" w14:textId="70EA9AFC" w:rsidR="002F4D5C" w:rsidRPr="00387DA7" w:rsidRDefault="002F4D5C" w:rsidP="002F4D5C">
      <w:pPr>
        <w:pStyle w:val="HTMLDefinition1"/>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38E6EFE8" w14:textId="77777777" w:rsidR="00706A5C" w:rsidRPr="00387DA7" w:rsidRDefault="00910A9A" w:rsidP="00706A5C">
      <w:pPr>
        <w:pStyle w:val="ListParagraph"/>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Where the amount of the </w:t>
      </w:r>
      <w:r w:rsidR="002F4D5C" w:rsidRPr="00387DA7">
        <w:rPr>
          <w:sz w:val="22"/>
          <w:szCs w:val="22"/>
          <w:lang w:eastAsia="ja-JP"/>
        </w:rPr>
        <w:t>Finding for Recovery</w:t>
      </w:r>
      <w:r w:rsidRPr="00387DA7">
        <w:rPr>
          <w:sz w:val="22"/>
          <w:szCs w:val="22"/>
          <w:lang w:eastAsia="ja-JP"/>
        </w:rPr>
        <w:t xml:space="preserve"> may change prior to the release of the audit report, the auditor should date the amount.  Example:  "As of December 31, 20XX, this amount is $X,XXX."  In these instances, the method of calculating the amount should be stated in the audit report so that the amount can be calculated on the day of repayment.</w:t>
      </w:r>
    </w:p>
    <w:p w14:paraId="4899C1AD" w14:textId="77777777" w:rsidR="00706A5C" w:rsidRPr="00387DA7" w:rsidRDefault="00706A5C" w:rsidP="00706A5C">
      <w:pPr>
        <w:pStyle w:val="ListParagraph"/>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15F2B728" w14:textId="4A861824" w:rsidR="008C13D9" w:rsidRPr="00387DA7" w:rsidRDefault="1386B0FE" w:rsidP="00706A5C">
      <w:pPr>
        <w:pStyle w:val="ListParagraph"/>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The Auditor of State does not generally issue Findings for Recovery where the amount in question aggregates</w:t>
      </w:r>
      <w:r w:rsidR="00CA5BA7" w:rsidRPr="00387DA7">
        <w:rPr>
          <w:rStyle w:val="FootnoteReference"/>
          <w:sz w:val="22"/>
          <w:szCs w:val="22"/>
          <w:lang w:eastAsia="ja-JP"/>
        </w:rPr>
        <w:footnoteReference w:id="22"/>
      </w:r>
      <w:r w:rsidRPr="00387DA7">
        <w:rPr>
          <w:sz w:val="22"/>
          <w:szCs w:val="22"/>
          <w:lang w:eastAsia="ja-JP"/>
        </w:rPr>
        <w:t xml:space="preserve"> less</w:t>
      </w:r>
      <w:r w:rsidR="6EB61B95" w:rsidRPr="00387DA7">
        <w:rPr>
          <w:sz w:val="22"/>
          <w:szCs w:val="22"/>
          <w:lang w:eastAsia="ja-JP"/>
        </w:rPr>
        <w:t xml:space="preserve"> than $500</w:t>
      </w:r>
      <w:r w:rsidRPr="00387DA7">
        <w:rPr>
          <w:sz w:val="22"/>
          <w:szCs w:val="22"/>
          <w:lang w:eastAsia="ja-JP"/>
        </w:rPr>
        <w:t xml:space="preserve">.  However, auditors should consult on all potential findings for recovery, regardless of the amount, with the </w:t>
      </w:r>
      <w:r w:rsidR="2309E0E7" w:rsidRPr="00387DA7">
        <w:rPr>
          <w:sz w:val="22"/>
          <w:szCs w:val="22"/>
          <w:lang w:eastAsia="ja-JP"/>
        </w:rPr>
        <w:t>AOS Legal Division</w:t>
      </w:r>
      <w:r w:rsidRPr="00387DA7">
        <w:rPr>
          <w:sz w:val="22"/>
          <w:szCs w:val="22"/>
          <w:lang w:eastAsia="ja-JP"/>
        </w:rPr>
        <w:t xml:space="preserve"> and the Center for Audit Excellence (prior to pursuing) because in some cases, findings for recovery will be issued for amounts less than $500.  (Example:  </w:t>
      </w:r>
      <w:r w:rsidR="535A02A2" w:rsidRPr="00387DA7">
        <w:rPr>
          <w:sz w:val="22"/>
          <w:szCs w:val="22"/>
          <w:lang w:eastAsia="ja-JP"/>
        </w:rPr>
        <w:t>Theft in</w:t>
      </w:r>
      <w:r w:rsidR="2309E0E7" w:rsidRPr="00387DA7">
        <w:rPr>
          <w:sz w:val="22"/>
          <w:szCs w:val="22"/>
          <w:lang w:eastAsia="ja-JP"/>
        </w:rPr>
        <w:t xml:space="preserve"> office, or</w:t>
      </w:r>
      <w:r w:rsidR="0B794390" w:rsidRPr="00387DA7">
        <w:rPr>
          <w:sz w:val="22"/>
          <w:szCs w:val="22"/>
          <w:lang w:eastAsia="ja-JP"/>
        </w:rPr>
        <w:t xml:space="preserve"> </w:t>
      </w:r>
      <w:r w:rsidRPr="00387DA7">
        <w:rPr>
          <w:sz w:val="22"/>
          <w:szCs w:val="22"/>
          <w:lang w:eastAsia="ja-JP"/>
        </w:rPr>
        <w:t>disbursing public money for alcohol</w:t>
      </w:r>
      <w:r w:rsidR="004A4EF1" w:rsidRPr="00387DA7">
        <w:rPr>
          <w:sz w:val="22"/>
          <w:szCs w:val="22"/>
          <w:lang w:eastAsia="ja-JP"/>
        </w:rPr>
        <w:t>).</w:t>
      </w:r>
      <w:r w:rsidRPr="00387DA7">
        <w:rPr>
          <w:sz w:val="22"/>
          <w:szCs w:val="22"/>
          <w:lang w:eastAsia="ja-JP"/>
        </w:rPr>
        <w:t xml:space="preserve"> All </w:t>
      </w:r>
      <w:r w:rsidR="263F0B57" w:rsidRPr="00387DA7">
        <w:rPr>
          <w:sz w:val="22"/>
          <w:szCs w:val="22"/>
          <w:lang w:eastAsia="ja-JP"/>
        </w:rPr>
        <w:t>Findings for Recovery</w:t>
      </w:r>
      <w:r w:rsidRPr="00387DA7">
        <w:rPr>
          <w:sz w:val="22"/>
          <w:szCs w:val="22"/>
          <w:lang w:eastAsia="ja-JP"/>
        </w:rPr>
        <w:t xml:space="preserve"> are to be reported in the </w:t>
      </w:r>
      <w:r w:rsidR="65413347" w:rsidRPr="00387DA7">
        <w:rPr>
          <w:sz w:val="22"/>
          <w:szCs w:val="22"/>
          <w:lang w:eastAsia="ja-JP"/>
        </w:rPr>
        <w:t xml:space="preserve">audit </w:t>
      </w:r>
      <w:r w:rsidRPr="00387DA7">
        <w:rPr>
          <w:sz w:val="22"/>
          <w:szCs w:val="22"/>
          <w:lang w:eastAsia="ja-JP"/>
        </w:rPr>
        <w:t>report due to their significance</w:t>
      </w:r>
      <w:r w:rsidR="32D1335D" w:rsidRPr="00387DA7">
        <w:rPr>
          <w:sz w:val="22"/>
          <w:szCs w:val="22"/>
          <w:lang w:eastAsia="ja-JP"/>
        </w:rPr>
        <w:t xml:space="preserve">.  </w:t>
      </w:r>
      <w:r w:rsidRPr="00387DA7">
        <w:rPr>
          <w:sz w:val="22"/>
          <w:szCs w:val="22"/>
          <w:lang w:eastAsia="ja-JP"/>
        </w:rPr>
        <w:t xml:space="preserve">Potential </w:t>
      </w:r>
      <w:r w:rsidR="263F0B57" w:rsidRPr="00387DA7">
        <w:rPr>
          <w:sz w:val="22"/>
          <w:szCs w:val="22"/>
          <w:lang w:eastAsia="ja-JP"/>
        </w:rPr>
        <w:t>Findings for Recovery</w:t>
      </w:r>
      <w:r w:rsidRPr="00387DA7">
        <w:rPr>
          <w:sz w:val="22"/>
          <w:szCs w:val="22"/>
          <w:lang w:eastAsia="ja-JP"/>
        </w:rPr>
        <w:t xml:space="preserve"> that are not deemed </w:t>
      </w:r>
      <w:r w:rsidR="263F0B57" w:rsidRPr="00387DA7">
        <w:rPr>
          <w:sz w:val="22"/>
          <w:szCs w:val="22"/>
          <w:lang w:eastAsia="ja-JP"/>
        </w:rPr>
        <w:t>Findings for Recovery</w:t>
      </w:r>
      <w:r w:rsidRPr="00387DA7">
        <w:rPr>
          <w:sz w:val="22"/>
          <w:szCs w:val="22"/>
          <w:lang w:eastAsia="ja-JP"/>
        </w:rPr>
        <w:t xml:space="preserve"> during the consultation process due to falling below the amount threshold </w:t>
      </w:r>
      <w:r w:rsidR="0B818819" w:rsidRPr="00387DA7">
        <w:rPr>
          <w:sz w:val="22"/>
          <w:szCs w:val="22"/>
          <w:lang w:eastAsia="ja-JP"/>
        </w:rPr>
        <w:t>should be evaluated</w:t>
      </w:r>
      <w:r w:rsidR="001E3AC3" w:rsidRPr="00387DA7">
        <w:rPr>
          <w:sz w:val="22"/>
          <w:szCs w:val="22"/>
          <w:lang w:eastAsia="ja-JP"/>
        </w:rPr>
        <w:t xml:space="preserve"> by the auditor to determine</w:t>
      </w:r>
      <w:r w:rsidR="0B818819" w:rsidRPr="00387DA7">
        <w:rPr>
          <w:sz w:val="22"/>
          <w:szCs w:val="22"/>
          <w:lang w:eastAsia="ja-JP"/>
        </w:rPr>
        <w:t xml:space="preserve"> if </w:t>
      </w:r>
      <w:r w:rsidR="001E3AC3" w:rsidRPr="00387DA7">
        <w:rPr>
          <w:sz w:val="22"/>
          <w:szCs w:val="22"/>
          <w:lang w:eastAsia="ja-JP"/>
        </w:rPr>
        <w:t xml:space="preserve">the underlying condition represents </w:t>
      </w:r>
      <w:r w:rsidR="0B818819" w:rsidRPr="00387DA7">
        <w:rPr>
          <w:sz w:val="22"/>
          <w:szCs w:val="22"/>
          <w:lang w:eastAsia="ja-JP"/>
        </w:rPr>
        <w:t>a non-compliance</w:t>
      </w:r>
      <w:r w:rsidR="001E3AC3" w:rsidRPr="00387DA7">
        <w:rPr>
          <w:sz w:val="22"/>
          <w:szCs w:val="22"/>
          <w:lang w:eastAsia="ja-JP"/>
        </w:rPr>
        <w:t xml:space="preserve"> citation</w:t>
      </w:r>
      <w:r w:rsidR="0B818819" w:rsidRPr="00387DA7">
        <w:rPr>
          <w:sz w:val="22"/>
          <w:szCs w:val="22"/>
          <w:lang w:eastAsia="ja-JP"/>
        </w:rPr>
        <w:t xml:space="preserve"> or control </w:t>
      </w:r>
      <w:r w:rsidR="001E3AC3" w:rsidRPr="00387DA7">
        <w:rPr>
          <w:sz w:val="22"/>
          <w:szCs w:val="22"/>
          <w:lang w:eastAsia="ja-JP"/>
        </w:rPr>
        <w:t xml:space="preserve">deficiency </w:t>
      </w:r>
      <w:r w:rsidRPr="00387DA7">
        <w:rPr>
          <w:sz w:val="22"/>
          <w:szCs w:val="22"/>
          <w:lang w:eastAsia="ja-JP"/>
        </w:rPr>
        <w:t xml:space="preserve">(not </w:t>
      </w:r>
      <w:r w:rsidR="263F0B57" w:rsidRPr="00387DA7">
        <w:rPr>
          <w:sz w:val="22"/>
          <w:szCs w:val="22"/>
          <w:lang w:eastAsia="ja-JP"/>
        </w:rPr>
        <w:t>Findings for Recovery</w:t>
      </w:r>
      <w:r w:rsidRPr="00387DA7">
        <w:rPr>
          <w:sz w:val="22"/>
          <w:szCs w:val="22"/>
          <w:lang w:eastAsia="ja-JP"/>
        </w:rPr>
        <w:t>)</w:t>
      </w:r>
      <w:r w:rsidR="001E3AC3" w:rsidRPr="00387DA7">
        <w:rPr>
          <w:sz w:val="22"/>
          <w:szCs w:val="22"/>
          <w:lang w:eastAsia="ja-JP"/>
        </w:rPr>
        <w:t xml:space="preserve"> that warrants the attention of those charged with governance</w:t>
      </w:r>
      <w:r w:rsidRPr="00387DA7">
        <w:rPr>
          <w:sz w:val="22"/>
          <w:szCs w:val="22"/>
          <w:lang w:eastAsia="ja-JP"/>
        </w:rPr>
        <w:t>.</w:t>
      </w:r>
    </w:p>
    <w:p w14:paraId="0152C12C" w14:textId="7B7E4E0B" w:rsidR="376F4444" w:rsidRDefault="376F4444" w:rsidP="00E95C17">
      <w:pPr>
        <w:pStyle w:val="HTMLDefinition1"/>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38A972A2" w14:textId="70F4AA83" w:rsidR="221FF682" w:rsidRPr="00387DA7" w:rsidRDefault="221FF682" w:rsidP="00FC5463">
      <w:pPr>
        <w:pStyle w:val="HTMLDefinition1"/>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For potential FFRs for alcohol purchases, there are different standards for </w:t>
      </w:r>
      <w:r w:rsidR="7B865F89" w:rsidRPr="00387DA7">
        <w:rPr>
          <w:sz w:val="22"/>
          <w:szCs w:val="22"/>
          <w:lang w:eastAsia="ja-JP"/>
        </w:rPr>
        <w:t>agricultural societies and other public offices:</w:t>
      </w:r>
    </w:p>
    <w:p w14:paraId="1CE2AB47" w14:textId="40877205" w:rsidR="00407911" w:rsidRPr="00387DA7" w:rsidRDefault="7B865F89" w:rsidP="00407911">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Agricultural societies: </w:t>
      </w:r>
      <w:r w:rsidR="00CF7268" w:rsidRPr="00387DA7">
        <w:rPr>
          <w:sz w:val="22"/>
          <w:szCs w:val="22"/>
          <w:lang w:eastAsia="ja-JP"/>
        </w:rPr>
        <w:t xml:space="preserve">Per </w:t>
      </w:r>
      <w:hyperlink r:id="rId26" w:history="1">
        <w:r w:rsidR="00CF7268" w:rsidRPr="00387DA7">
          <w:rPr>
            <w:rStyle w:val="Hyperlink"/>
            <w:sz w:val="22"/>
            <w:szCs w:val="22"/>
            <w:lang w:eastAsia="ja-JP"/>
          </w:rPr>
          <w:t>AOS Bulletin</w:t>
        </w:r>
      </w:hyperlink>
      <w:r w:rsidR="00CF7268" w:rsidRPr="00387DA7">
        <w:rPr>
          <w:sz w:val="22"/>
          <w:szCs w:val="22"/>
          <w:lang w:eastAsia="ja-JP"/>
        </w:rPr>
        <w:t xml:space="preserve"> 2003-005, except as updated by AOS Bulletins 2014-002 and 003 and 2013 Op. Att’y. Gen. No. 2013-023</w:t>
      </w:r>
      <w:r w:rsidR="49B0F933" w:rsidRPr="00387DA7">
        <w:rPr>
          <w:sz w:val="22"/>
          <w:szCs w:val="22"/>
          <w:lang w:eastAsia="ja-JP"/>
        </w:rPr>
        <w:t>,</w:t>
      </w:r>
      <w:r w:rsidR="00CF7268" w:rsidRPr="00387DA7">
        <w:rPr>
          <w:sz w:val="22"/>
          <w:szCs w:val="22"/>
          <w:lang w:eastAsia="ja-JP"/>
        </w:rPr>
        <w:t xml:space="preserve"> a county agricultural society (or other public office) may use mon</w:t>
      </w:r>
      <w:r w:rsidR="002A557C" w:rsidRPr="00387DA7">
        <w:rPr>
          <w:sz w:val="22"/>
          <w:szCs w:val="22"/>
          <w:lang w:eastAsia="ja-JP"/>
        </w:rPr>
        <w:t>ie</w:t>
      </w:r>
      <w:r w:rsidR="00CF7268" w:rsidRPr="00387DA7">
        <w:rPr>
          <w:sz w:val="22"/>
          <w:szCs w:val="22"/>
          <w:lang w:eastAsia="ja-JP"/>
        </w:rPr>
        <w:t>s provided by the state, county, or “other sources” to acquire alcoholic beverages and a liquor permit to sell the beverages at an event that is open to the public and conducted on the society’s or county’s fairgrounds and retain the revenue derived from the sales, provided (1) the society’s constitution and bylaws permit the expenditure; (2) the mon</w:t>
      </w:r>
      <w:r w:rsidR="008E210D" w:rsidRPr="00387DA7">
        <w:rPr>
          <w:sz w:val="22"/>
          <w:szCs w:val="22"/>
          <w:lang w:eastAsia="ja-JP"/>
        </w:rPr>
        <w:t>i</w:t>
      </w:r>
      <w:r w:rsidR="00CF7268" w:rsidRPr="00387DA7">
        <w:rPr>
          <w:sz w:val="22"/>
          <w:szCs w:val="22"/>
          <w:lang w:eastAsia="ja-JP"/>
        </w:rPr>
        <w:t xml:space="preserve">es to be expended are not required to be used for other purposes; and (3) the expenditure is reasonable.  Therefore, expenditures for alcohol among agricultural societies meeting these conditions are allowable.)  </w:t>
      </w:r>
    </w:p>
    <w:p w14:paraId="3D9453FD" w14:textId="20AD5442" w:rsidR="00970172" w:rsidRPr="00387DA7" w:rsidRDefault="07EA2B43" w:rsidP="00B15407">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Other public offices: </w:t>
      </w:r>
      <w:r w:rsidR="00FE580E" w:rsidRPr="00387DA7">
        <w:rPr>
          <w:sz w:val="22"/>
          <w:szCs w:val="22"/>
          <w:lang w:eastAsia="ja-JP"/>
        </w:rPr>
        <w:t xml:space="preserve">Per </w:t>
      </w:r>
      <w:r w:rsidR="00407911" w:rsidRPr="00387DA7">
        <w:rPr>
          <w:sz w:val="22"/>
          <w:szCs w:val="22"/>
          <w:lang w:eastAsia="ja-JP"/>
        </w:rPr>
        <w:t>AOS B</w:t>
      </w:r>
      <w:r w:rsidR="00FE580E" w:rsidRPr="00387DA7">
        <w:rPr>
          <w:sz w:val="22"/>
          <w:szCs w:val="22"/>
          <w:lang w:eastAsia="ja-JP"/>
        </w:rPr>
        <w:t>ulletin 2014-003</w:t>
      </w:r>
      <w:r w:rsidR="19252A25" w:rsidRPr="00387DA7">
        <w:rPr>
          <w:sz w:val="22"/>
          <w:szCs w:val="22"/>
          <w:lang w:eastAsia="ja-JP"/>
        </w:rPr>
        <w:t>,</w:t>
      </w:r>
      <w:r w:rsidR="00407911" w:rsidRPr="00387DA7">
        <w:rPr>
          <w:sz w:val="22"/>
          <w:szCs w:val="22"/>
          <w:lang w:eastAsia="ja-JP"/>
        </w:rPr>
        <w:t xml:space="preserve"> </w:t>
      </w:r>
      <w:r w:rsidR="000666B6" w:rsidRPr="00387DA7">
        <w:rPr>
          <w:sz w:val="22"/>
          <w:szCs w:val="22"/>
        </w:rPr>
        <w:t>b</w:t>
      </w:r>
      <w:r w:rsidR="00407911" w:rsidRPr="00387DA7">
        <w:rPr>
          <w:sz w:val="22"/>
          <w:szCs w:val="22"/>
        </w:rPr>
        <w:t xml:space="preserve">ecause the Division of Liquor Control is the State of Ohio’s statutorily designated authority for the regulation of alcohol, due deference will be given to the decisions of the Division in issuing permits. The Auditor of State, therefore, will not issue findings to a political subdivision when the Division of Liquor Control has granted the political subdivision a valid permit to purchase and re‐sell alcoholic beverages […] if the expenditure satisfies </w:t>
      </w:r>
      <w:proofErr w:type="gramStart"/>
      <w:r w:rsidR="00407911" w:rsidRPr="00387DA7">
        <w:rPr>
          <w:sz w:val="22"/>
          <w:szCs w:val="22"/>
        </w:rPr>
        <w:t>all of</w:t>
      </w:r>
      <w:proofErr w:type="gramEnd"/>
      <w:r w:rsidR="00407911" w:rsidRPr="00387DA7">
        <w:rPr>
          <w:sz w:val="22"/>
          <w:szCs w:val="22"/>
        </w:rPr>
        <w:t xml:space="preserve"> the following conditions: </w:t>
      </w:r>
    </w:p>
    <w:p w14:paraId="47F3BD99" w14:textId="2D0AD74A" w:rsidR="00B15407" w:rsidRPr="00387DA7" w:rsidRDefault="00B15407" w:rsidP="007138DB">
      <w:pPr>
        <w:pStyle w:val="HTMLDefinition1"/>
        <w:numPr>
          <w:ilvl w:val="2"/>
          <w:numId w:val="1"/>
        </w:numPr>
        <w:tabs>
          <w:tab w:val="clear" w:pos="2160"/>
          <w:tab w:val="left" w:pos="1080"/>
          <w:tab w:val="num"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1800" w:hanging="180"/>
        <w:jc w:val="both"/>
        <w:rPr>
          <w:sz w:val="22"/>
          <w:szCs w:val="22"/>
          <w:lang w:eastAsia="ja-JP"/>
        </w:rPr>
      </w:pPr>
      <w:r w:rsidRPr="00387DA7">
        <w:rPr>
          <w:sz w:val="22"/>
          <w:szCs w:val="22"/>
          <w:lang w:eastAsia="ja-JP"/>
        </w:rPr>
        <w:t xml:space="preserve">The political subdivision obtained a valid permit from the Ohio Division of Liquor </w:t>
      </w:r>
      <w:proofErr w:type="gramStart"/>
      <w:r w:rsidRPr="00387DA7">
        <w:rPr>
          <w:sz w:val="22"/>
          <w:szCs w:val="22"/>
          <w:lang w:eastAsia="ja-JP"/>
        </w:rPr>
        <w:t>Control</w:t>
      </w:r>
      <w:r w:rsidR="00DB062E" w:rsidRPr="00387DA7">
        <w:rPr>
          <w:sz w:val="22"/>
          <w:szCs w:val="22"/>
          <w:lang w:eastAsia="ja-JP"/>
        </w:rPr>
        <w:t>;</w:t>
      </w:r>
      <w:proofErr w:type="gramEnd"/>
    </w:p>
    <w:p w14:paraId="427D0A9C" w14:textId="77777777" w:rsidR="00407911" w:rsidRPr="00387DA7" w:rsidRDefault="00407911" w:rsidP="00701DA6">
      <w:pPr>
        <w:numPr>
          <w:ilvl w:val="0"/>
          <w:numId w:val="51"/>
        </w:numPr>
        <w:tabs>
          <w:tab w:val="clear" w:pos="720"/>
          <w:tab w:val="num" w:pos="1800"/>
        </w:tabs>
        <w:wordWrap w:val="0"/>
        <w:spacing w:after="100" w:afterAutospacing="1"/>
        <w:ind w:left="1800" w:hanging="180"/>
        <w:jc w:val="both"/>
        <w:rPr>
          <w:sz w:val="22"/>
          <w:szCs w:val="22"/>
        </w:rPr>
      </w:pPr>
      <w:r w:rsidRPr="00387DA7">
        <w:rPr>
          <w:sz w:val="22"/>
          <w:szCs w:val="22"/>
        </w:rPr>
        <w:t xml:space="preserve">The political subdivision complied with the terms of the issued </w:t>
      </w:r>
      <w:proofErr w:type="gramStart"/>
      <w:r w:rsidRPr="00387DA7">
        <w:rPr>
          <w:sz w:val="22"/>
          <w:szCs w:val="22"/>
        </w:rPr>
        <w:t>permit;</w:t>
      </w:r>
      <w:proofErr w:type="gramEnd"/>
    </w:p>
    <w:p w14:paraId="644DDF8D" w14:textId="5D82E28A" w:rsidR="00DB062E" w:rsidRPr="00387DA7" w:rsidRDefault="00DB062E" w:rsidP="00701DA6">
      <w:pPr>
        <w:numPr>
          <w:ilvl w:val="0"/>
          <w:numId w:val="51"/>
        </w:numPr>
        <w:tabs>
          <w:tab w:val="clear" w:pos="720"/>
          <w:tab w:val="num" w:pos="1800"/>
        </w:tabs>
        <w:wordWrap w:val="0"/>
        <w:spacing w:after="100" w:afterAutospacing="1"/>
        <w:ind w:left="1800" w:hanging="180"/>
        <w:jc w:val="both"/>
        <w:rPr>
          <w:sz w:val="22"/>
          <w:szCs w:val="22"/>
        </w:rPr>
      </w:pPr>
      <w:r w:rsidRPr="00387DA7">
        <w:rPr>
          <w:sz w:val="22"/>
          <w:szCs w:val="22"/>
        </w:rPr>
        <w:t xml:space="preserve">The political subdivision purchased </w:t>
      </w:r>
      <w:proofErr w:type="gramStart"/>
      <w:r w:rsidRPr="00387DA7">
        <w:rPr>
          <w:sz w:val="22"/>
          <w:szCs w:val="22"/>
        </w:rPr>
        <w:t>the alcoholic</w:t>
      </w:r>
      <w:proofErr w:type="gramEnd"/>
      <w:r w:rsidRPr="00387DA7">
        <w:rPr>
          <w:sz w:val="22"/>
          <w:szCs w:val="22"/>
        </w:rPr>
        <w:t xml:space="preserve"> beverages solely for resale to</w:t>
      </w:r>
      <w:r w:rsidR="003E2C6D" w:rsidRPr="00387DA7">
        <w:rPr>
          <w:sz w:val="22"/>
          <w:szCs w:val="22"/>
        </w:rPr>
        <w:t xml:space="preserve"> </w:t>
      </w:r>
      <w:r w:rsidRPr="00387DA7">
        <w:rPr>
          <w:sz w:val="22"/>
          <w:szCs w:val="22"/>
        </w:rPr>
        <w:t>the</w:t>
      </w:r>
      <w:r w:rsidR="007138DB" w:rsidRPr="00387DA7">
        <w:rPr>
          <w:sz w:val="22"/>
          <w:szCs w:val="22"/>
        </w:rPr>
        <w:t xml:space="preserve">   </w:t>
      </w:r>
      <w:r w:rsidRPr="00387DA7">
        <w:rPr>
          <w:sz w:val="22"/>
          <w:szCs w:val="22"/>
        </w:rPr>
        <w:t xml:space="preserve"> public</w:t>
      </w:r>
      <w:r w:rsidR="009805F4" w:rsidRPr="00387DA7">
        <w:rPr>
          <w:sz w:val="22"/>
          <w:szCs w:val="22"/>
        </w:rPr>
        <w:t xml:space="preserve">, e.g. at special </w:t>
      </w:r>
      <w:proofErr w:type="gramStart"/>
      <w:r w:rsidR="009805F4" w:rsidRPr="00387DA7">
        <w:rPr>
          <w:sz w:val="22"/>
          <w:szCs w:val="22"/>
        </w:rPr>
        <w:t>events;</w:t>
      </w:r>
      <w:proofErr w:type="gramEnd"/>
    </w:p>
    <w:p w14:paraId="4FED9C5C" w14:textId="77777777" w:rsidR="00407911" w:rsidRPr="00387DA7" w:rsidRDefault="00407911" w:rsidP="00701DA6">
      <w:pPr>
        <w:numPr>
          <w:ilvl w:val="0"/>
          <w:numId w:val="51"/>
        </w:numPr>
        <w:tabs>
          <w:tab w:val="clear" w:pos="720"/>
          <w:tab w:val="num" w:pos="1800"/>
        </w:tabs>
        <w:wordWrap w:val="0"/>
        <w:spacing w:before="100" w:beforeAutospacing="1" w:after="100" w:afterAutospacing="1"/>
        <w:ind w:left="1800" w:hanging="180"/>
        <w:jc w:val="both"/>
        <w:rPr>
          <w:sz w:val="22"/>
          <w:szCs w:val="22"/>
        </w:rPr>
      </w:pPr>
      <w:r w:rsidRPr="00387DA7">
        <w:rPr>
          <w:sz w:val="22"/>
          <w:szCs w:val="22"/>
        </w:rPr>
        <w:t xml:space="preserve">The expenditure is </w:t>
      </w:r>
      <w:proofErr w:type="gramStart"/>
      <w:r w:rsidRPr="00387DA7">
        <w:rPr>
          <w:sz w:val="22"/>
          <w:szCs w:val="22"/>
        </w:rPr>
        <w:t>reasonable;</w:t>
      </w:r>
      <w:proofErr w:type="gramEnd"/>
    </w:p>
    <w:p w14:paraId="199E546F" w14:textId="77777777" w:rsidR="00E95C17" w:rsidRDefault="00407911" w:rsidP="00701DA6">
      <w:pPr>
        <w:numPr>
          <w:ilvl w:val="0"/>
          <w:numId w:val="51"/>
        </w:numPr>
        <w:tabs>
          <w:tab w:val="clear" w:pos="720"/>
          <w:tab w:val="num" w:pos="1800"/>
        </w:tabs>
        <w:wordWrap w:val="0"/>
        <w:ind w:left="1800" w:hanging="180"/>
        <w:jc w:val="both"/>
        <w:rPr>
          <w:sz w:val="22"/>
          <w:szCs w:val="22"/>
        </w:rPr>
      </w:pPr>
      <w:r w:rsidRPr="00387DA7">
        <w:rPr>
          <w:sz w:val="22"/>
          <w:szCs w:val="22"/>
        </w:rPr>
        <w:t>The proceeds are applied as required by any applicable statute or other controlling</w:t>
      </w:r>
      <w:r w:rsidR="002E126C" w:rsidRPr="00387DA7">
        <w:rPr>
          <w:sz w:val="22"/>
          <w:szCs w:val="22"/>
        </w:rPr>
        <w:t xml:space="preserve">      </w:t>
      </w:r>
      <w:r w:rsidRPr="00387DA7">
        <w:rPr>
          <w:sz w:val="22"/>
          <w:szCs w:val="22"/>
        </w:rPr>
        <w:t xml:space="preserve"> law (i.e. municipal charter, municipal ordinance, township resolution, or county</w:t>
      </w:r>
      <w:r w:rsidR="00E95C17">
        <w:rPr>
          <w:sz w:val="22"/>
          <w:szCs w:val="22"/>
        </w:rPr>
        <w:t xml:space="preserve"> </w:t>
      </w:r>
      <w:r w:rsidRPr="00387DA7">
        <w:rPr>
          <w:sz w:val="22"/>
          <w:szCs w:val="22"/>
        </w:rPr>
        <w:t>resolutio</w:t>
      </w:r>
      <w:r w:rsidR="00E95C17">
        <w:rPr>
          <w:sz w:val="22"/>
          <w:szCs w:val="22"/>
        </w:rPr>
        <w:t>n</w:t>
      </w:r>
      <w:r w:rsidRPr="00387DA7">
        <w:rPr>
          <w:sz w:val="22"/>
          <w:szCs w:val="22"/>
        </w:rPr>
        <w:t xml:space="preserve">. </w:t>
      </w:r>
    </w:p>
    <w:p w14:paraId="1B69279D" w14:textId="49994FFC" w:rsidR="008936F9" w:rsidRPr="00E95C17" w:rsidRDefault="00407911" w:rsidP="00E95C17">
      <w:pPr>
        <w:tabs>
          <w:tab w:val="left" w:pos="1800"/>
        </w:tabs>
        <w:wordWrap w:val="0"/>
        <w:ind w:left="1800"/>
        <w:jc w:val="both"/>
        <w:rPr>
          <w:sz w:val="22"/>
          <w:szCs w:val="22"/>
        </w:rPr>
      </w:pPr>
      <w:r w:rsidRPr="00E95C17">
        <w:rPr>
          <w:sz w:val="22"/>
          <w:szCs w:val="22"/>
        </w:rPr>
        <w:t> </w:t>
      </w:r>
    </w:p>
    <w:p w14:paraId="57C7B295" w14:textId="78B4CE1B" w:rsidR="00686EE6" w:rsidRPr="00387DA7" w:rsidRDefault="008936F9" w:rsidP="006C4BE6">
      <w:pPr>
        <w:pStyle w:val="HTMLDefinition1"/>
        <w:numPr>
          <w:ilvl w:val="0"/>
          <w:numId w:val="1"/>
        </w:numPr>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Findings for Recovery are subject to specific documentation requirements.  Any and all supporting documentation relied upon in issuing a </w:t>
      </w:r>
      <w:r w:rsidR="002F4D5C" w:rsidRPr="00387DA7">
        <w:rPr>
          <w:sz w:val="22"/>
          <w:szCs w:val="22"/>
          <w:lang w:eastAsia="ja-JP"/>
        </w:rPr>
        <w:t>Finding for Recovery</w:t>
      </w:r>
      <w:r w:rsidRPr="00387DA7">
        <w:rPr>
          <w:sz w:val="22"/>
          <w:szCs w:val="22"/>
          <w:lang w:eastAsia="ja-JP"/>
        </w:rPr>
        <w:t xml:space="preserve"> is now required to be scanned and maintained</w:t>
      </w:r>
      <w:r w:rsidR="00370FB2" w:rsidRPr="00387DA7">
        <w:rPr>
          <w:sz w:val="22"/>
          <w:szCs w:val="22"/>
          <w:lang w:eastAsia="ja-JP"/>
        </w:rPr>
        <w:t xml:space="preserve"> </w:t>
      </w:r>
      <w:r w:rsidR="00C13288" w:rsidRPr="00387DA7">
        <w:rPr>
          <w:sz w:val="22"/>
          <w:szCs w:val="22"/>
          <w:lang w:eastAsia="ja-JP"/>
        </w:rPr>
        <w:t xml:space="preserve">on the W: drive in the following format (note:  separate folders should be maintained for each </w:t>
      </w:r>
      <w:r w:rsidR="00546E7B" w:rsidRPr="00387DA7">
        <w:rPr>
          <w:sz w:val="22"/>
          <w:szCs w:val="22"/>
          <w:lang w:eastAsia="ja-JP"/>
        </w:rPr>
        <w:t>Finding for Recovery):</w:t>
      </w:r>
      <w:r w:rsidR="00686EE6" w:rsidRPr="00387DA7">
        <w:rPr>
          <w:sz w:val="22"/>
          <w:szCs w:val="22"/>
          <w:lang w:eastAsia="ja-JP"/>
        </w:rPr>
        <w:t xml:space="preserve">  </w:t>
      </w:r>
      <w:r w:rsidR="00686EE6" w:rsidRPr="00387DA7">
        <w:rPr>
          <w:i/>
          <w:iCs/>
          <w:color w:val="000000" w:themeColor="text1"/>
          <w:sz w:val="22"/>
          <w:szCs w:val="22"/>
        </w:rPr>
        <w:t>W:\[Region or Division] Projects\[name] County\[entity type]\[entity name]\[audit period]\Findings\20## ‐ #]\[name of file contents]</w:t>
      </w:r>
      <w:r w:rsidR="00686EE6" w:rsidRPr="00387DA7">
        <w:rPr>
          <w:color w:val="000000" w:themeColor="text1"/>
          <w:sz w:val="22"/>
          <w:szCs w:val="22"/>
        </w:rPr>
        <w:t>.</w:t>
      </w:r>
    </w:p>
    <w:p w14:paraId="557DCFB6" w14:textId="218B28DF" w:rsidR="00546E7B" w:rsidRPr="00387DA7" w:rsidRDefault="008936F9" w:rsidP="00686EE6">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  </w:t>
      </w:r>
    </w:p>
    <w:p w14:paraId="2C2180B6" w14:textId="56966B9C" w:rsidR="008936F9" w:rsidRPr="00387DA7" w:rsidRDefault="008936F9" w:rsidP="00546E7B">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The following are examples of different types of documentation and </w:t>
      </w:r>
      <w:proofErr w:type="gramStart"/>
      <w:r w:rsidRPr="00387DA7">
        <w:rPr>
          <w:sz w:val="22"/>
          <w:szCs w:val="22"/>
          <w:lang w:eastAsia="ja-JP"/>
        </w:rPr>
        <w:t>instruction</w:t>
      </w:r>
      <w:proofErr w:type="gramEnd"/>
      <w:r w:rsidRPr="00387DA7">
        <w:rPr>
          <w:sz w:val="22"/>
          <w:szCs w:val="22"/>
          <w:lang w:eastAsia="ja-JP"/>
        </w:rPr>
        <w:t xml:space="preserve"> on</w:t>
      </w:r>
      <w:r w:rsidR="000C6967" w:rsidRPr="00387DA7">
        <w:rPr>
          <w:sz w:val="22"/>
          <w:szCs w:val="22"/>
          <w:lang w:eastAsia="ja-JP"/>
        </w:rPr>
        <w:t xml:space="preserve"> how to properl</w:t>
      </w:r>
      <w:r w:rsidRPr="00387DA7">
        <w:rPr>
          <w:sz w:val="22"/>
          <w:szCs w:val="22"/>
          <w:lang w:eastAsia="ja-JP"/>
        </w:rPr>
        <w:t>y document/maintain such information:</w:t>
      </w:r>
    </w:p>
    <w:p w14:paraId="4D941E0A" w14:textId="63F6322F" w:rsidR="008936F9" w:rsidRPr="00387DA7" w:rsidRDefault="008936F9" w:rsidP="008936F9">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Bonds and Insurance Policies</w:t>
      </w:r>
      <w:r w:rsidR="00D4549B" w:rsidRPr="00387DA7">
        <w:rPr>
          <w:sz w:val="22"/>
          <w:szCs w:val="22"/>
          <w:u w:val="wave"/>
          <w:vertAlign w:val="superscript"/>
          <w:lang w:eastAsia="ja-JP"/>
        </w:rPr>
        <w:fldChar w:fldCharType="begin"/>
      </w:r>
      <w:r w:rsidR="00D4549B" w:rsidRPr="00387DA7">
        <w:rPr>
          <w:sz w:val="22"/>
          <w:szCs w:val="22"/>
          <w:u w:val="wave"/>
          <w:vertAlign w:val="superscript"/>
          <w:lang w:eastAsia="ja-JP"/>
        </w:rPr>
        <w:instrText xml:space="preserve"> NOTEREF _Ref172784413 \h </w:instrText>
      </w:r>
      <w:r w:rsidR="00374548" w:rsidRPr="00387DA7">
        <w:rPr>
          <w:sz w:val="22"/>
          <w:szCs w:val="22"/>
          <w:u w:val="wave"/>
          <w:vertAlign w:val="superscript"/>
          <w:lang w:eastAsia="ja-JP"/>
        </w:rPr>
        <w:instrText xml:space="preserve"> \* MERGEFORMAT </w:instrText>
      </w:r>
      <w:r w:rsidR="00D4549B" w:rsidRPr="00387DA7">
        <w:rPr>
          <w:sz w:val="22"/>
          <w:szCs w:val="22"/>
          <w:u w:val="wave"/>
          <w:vertAlign w:val="superscript"/>
          <w:lang w:eastAsia="ja-JP"/>
        </w:rPr>
      </w:r>
      <w:r w:rsidR="00D4549B" w:rsidRPr="00387DA7">
        <w:rPr>
          <w:sz w:val="22"/>
          <w:szCs w:val="22"/>
          <w:u w:val="wave"/>
          <w:vertAlign w:val="superscript"/>
          <w:lang w:eastAsia="ja-JP"/>
        </w:rPr>
        <w:fldChar w:fldCharType="separate"/>
      </w:r>
      <w:r w:rsidR="008C76AA">
        <w:rPr>
          <w:sz w:val="22"/>
          <w:szCs w:val="22"/>
          <w:u w:val="wave"/>
          <w:vertAlign w:val="superscript"/>
          <w:lang w:eastAsia="ja-JP"/>
        </w:rPr>
        <w:t>17</w:t>
      </w:r>
      <w:r w:rsidR="00D4549B" w:rsidRPr="00387DA7">
        <w:rPr>
          <w:sz w:val="22"/>
          <w:szCs w:val="22"/>
          <w:u w:val="wave"/>
          <w:vertAlign w:val="superscript"/>
          <w:lang w:eastAsia="ja-JP"/>
        </w:rPr>
        <w:fldChar w:fldCharType="end"/>
      </w:r>
      <w:r w:rsidRPr="00387DA7">
        <w:rPr>
          <w:sz w:val="22"/>
          <w:szCs w:val="22"/>
          <w:lang w:eastAsia="ja-JP"/>
        </w:rPr>
        <w:t>:</w:t>
      </w:r>
    </w:p>
    <w:p w14:paraId="465148C3" w14:textId="47C76D22" w:rsidR="008936F9" w:rsidRPr="00387DA7" w:rsidRDefault="002F4D5C"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Where a Finding for R</w:t>
      </w:r>
      <w:r w:rsidR="008936F9" w:rsidRPr="00387DA7">
        <w:rPr>
          <w:sz w:val="22"/>
          <w:szCs w:val="22"/>
          <w:lang w:eastAsia="ja-JP"/>
        </w:rPr>
        <w:t>ecovery is issued against an individual and that individual is bonded, include a copy of such bond.</w:t>
      </w:r>
    </w:p>
    <w:p w14:paraId="37614698" w14:textId="590E8E1A"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Placing the bond in the permanent file is not sufficient.  It must also be included in the </w:t>
      </w:r>
      <w:r w:rsidR="002F4D5C" w:rsidRPr="00387DA7">
        <w:rPr>
          <w:sz w:val="22"/>
          <w:szCs w:val="22"/>
          <w:lang w:eastAsia="ja-JP"/>
        </w:rPr>
        <w:t>Finding for Recovery</w:t>
      </w:r>
      <w:r w:rsidRPr="00387DA7">
        <w:rPr>
          <w:sz w:val="22"/>
          <w:szCs w:val="22"/>
          <w:lang w:eastAsia="ja-JP"/>
        </w:rPr>
        <w:t xml:space="preserve"> documentation for each specific </w:t>
      </w:r>
      <w:r w:rsidR="002F4D5C" w:rsidRPr="00387DA7">
        <w:rPr>
          <w:sz w:val="22"/>
          <w:szCs w:val="22"/>
          <w:lang w:eastAsia="ja-JP"/>
        </w:rPr>
        <w:t>Finding for Recovery</w:t>
      </w:r>
      <w:r w:rsidRPr="00387DA7">
        <w:rPr>
          <w:sz w:val="22"/>
          <w:szCs w:val="22"/>
          <w:lang w:eastAsia="ja-JP"/>
        </w:rPr>
        <w:t xml:space="preserve"> that names the bonded individual.</w:t>
      </w:r>
    </w:p>
    <w:p w14:paraId="29DE0252" w14:textId="0CADCF23"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Include any bond or insurance policy in existence.</w:t>
      </w:r>
    </w:p>
    <w:p w14:paraId="450BDA1B" w14:textId="77777777" w:rsidR="008936F9" w:rsidRPr="00387DA7" w:rsidRDefault="008936F9" w:rsidP="008936F9">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Administrative/Executive Policies:</w:t>
      </w:r>
    </w:p>
    <w:p w14:paraId="72BB213C" w14:textId="32513030"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When issuing a finding based on policy, ensure you copy that policy and include it in the supporting </w:t>
      </w:r>
      <w:r w:rsidR="002F4D5C" w:rsidRPr="00387DA7">
        <w:rPr>
          <w:sz w:val="22"/>
          <w:szCs w:val="22"/>
          <w:lang w:eastAsia="ja-JP"/>
        </w:rPr>
        <w:t>Finding for Recovery</w:t>
      </w:r>
      <w:r w:rsidRPr="00387DA7">
        <w:rPr>
          <w:sz w:val="22"/>
          <w:szCs w:val="22"/>
          <w:lang w:eastAsia="ja-JP"/>
        </w:rPr>
        <w:t xml:space="preserve"> documentation.</w:t>
      </w:r>
    </w:p>
    <w:p w14:paraId="0FF6FC6D" w14:textId="375011FB"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Placing the policy in the permanent file is not sufficient.</w:t>
      </w:r>
    </w:p>
    <w:p w14:paraId="113E9E5E" w14:textId="77777777" w:rsidR="008936F9" w:rsidRPr="00387DA7" w:rsidRDefault="008936F9" w:rsidP="008936F9">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Summary:</w:t>
      </w:r>
    </w:p>
    <w:p w14:paraId="2A4E3B8A" w14:textId="41B5CF1C"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Summaries are not admissible in court unless </w:t>
      </w:r>
      <w:proofErr w:type="gramStart"/>
      <w:r w:rsidRPr="00387DA7">
        <w:rPr>
          <w:sz w:val="22"/>
          <w:szCs w:val="22"/>
          <w:lang w:eastAsia="ja-JP"/>
        </w:rPr>
        <w:t>each and every</w:t>
      </w:r>
      <w:proofErr w:type="gramEnd"/>
      <w:r w:rsidRPr="00387DA7">
        <w:rPr>
          <w:sz w:val="22"/>
          <w:szCs w:val="22"/>
          <w:lang w:eastAsia="ja-JP"/>
        </w:rPr>
        <w:t xml:space="preserve"> document that makes up the summary is available for inspection.  Any document used to compile a summary should be scanned and placed in the </w:t>
      </w:r>
      <w:r w:rsidR="002F4D5C" w:rsidRPr="00387DA7">
        <w:rPr>
          <w:sz w:val="22"/>
          <w:szCs w:val="22"/>
          <w:lang w:eastAsia="ja-JP"/>
        </w:rPr>
        <w:t>Finding for Recovery</w:t>
      </w:r>
      <w:r w:rsidRPr="00387DA7">
        <w:rPr>
          <w:sz w:val="22"/>
          <w:szCs w:val="22"/>
          <w:lang w:eastAsia="ja-JP"/>
        </w:rPr>
        <w:t xml:space="preserve"> documentation.</w:t>
      </w:r>
    </w:p>
    <w:p w14:paraId="164EEA3D" w14:textId="77777777" w:rsidR="008936F9" w:rsidRPr="00387DA7" w:rsidRDefault="008936F9" w:rsidP="008936F9">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Minutes:</w:t>
      </w:r>
    </w:p>
    <w:p w14:paraId="6C7CD61D" w14:textId="18070A02" w:rsidR="008936F9" w:rsidRPr="00387DA7" w:rsidRDefault="008936F9"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Minutes are utilized in the issuance of a </w:t>
      </w:r>
      <w:r w:rsidR="002F4D5C" w:rsidRPr="00387DA7">
        <w:rPr>
          <w:sz w:val="22"/>
          <w:szCs w:val="22"/>
          <w:lang w:eastAsia="ja-JP"/>
        </w:rPr>
        <w:t>Finding for Recovery</w:t>
      </w:r>
      <w:r w:rsidRPr="00387DA7">
        <w:rPr>
          <w:sz w:val="22"/>
          <w:szCs w:val="22"/>
          <w:lang w:eastAsia="ja-JP"/>
        </w:rPr>
        <w:t xml:space="preserve"> to demonstrate when or if a specific act has (or has not) taken place.  Those minutes are later utilized</w:t>
      </w:r>
      <w:r w:rsidR="00856C61" w:rsidRPr="00387DA7">
        <w:rPr>
          <w:sz w:val="22"/>
          <w:szCs w:val="22"/>
          <w:lang w:eastAsia="ja-JP"/>
        </w:rPr>
        <w:t xml:space="preserve"> in litigation to demonstrate the same point.</w:t>
      </w:r>
    </w:p>
    <w:p w14:paraId="0C2EF9F8" w14:textId="77777777" w:rsidR="00856C61" w:rsidRPr="00387DA7" w:rsidRDefault="00856C61"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When demonstrating an act occurred, it is sufficient to provide the minutes that reflect the act, along with pertinent resolutions.</w:t>
      </w:r>
    </w:p>
    <w:p w14:paraId="01385412" w14:textId="5EC97F99" w:rsidR="00856C61" w:rsidRPr="00387DA7" w:rsidRDefault="00856C61" w:rsidP="008936F9">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When demonstrating an act did NOT occur, it is necessary to provide minutes for </w:t>
      </w:r>
      <w:proofErr w:type="gramStart"/>
      <w:r w:rsidRPr="00387DA7">
        <w:rPr>
          <w:sz w:val="22"/>
          <w:szCs w:val="22"/>
          <w:lang w:eastAsia="ja-JP"/>
        </w:rPr>
        <w:t>a time period</w:t>
      </w:r>
      <w:proofErr w:type="gramEnd"/>
      <w:r w:rsidRPr="00387DA7">
        <w:rPr>
          <w:sz w:val="22"/>
          <w:szCs w:val="22"/>
          <w:lang w:eastAsia="ja-JP"/>
        </w:rPr>
        <w:t xml:space="preserve"> to show action was not taken during that time.  The </w:t>
      </w:r>
      <w:proofErr w:type="gramStart"/>
      <w:r w:rsidRPr="00387DA7">
        <w:rPr>
          <w:sz w:val="22"/>
          <w:szCs w:val="22"/>
          <w:lang w:eastAsia="ja-JP"/>
        </w:rPr>
        <w:t>time period</w:t>
      </w:r>
      <w:proofErr w:type="gramEnd"/>
      <w:r w:rsidRPr="00387DA7">
        <w:rPr>
          <w:sz w:val="22"/>
          <w:szCs w:val="22"/>
          <w:lang w:eastAsia="ja-JP"/>
        </w:rPr>
        <w:t xml:space="preserve"> will vary, depending on the circumstances surrounding </w:t>
      </w:r>
      <w:proofErr w:type="gramStart"/>
      <w:r w:rsidRPr="00387DA7">
        <w:rPr>
          <w:sz w:val="22"/>
          <w:szCs w:val="22"/>
          <w:lang w:eastAsia="ja-JP"/>
        </w:rPr>
        <w:t xml:space="preserve">the </w:t>
      </w:r>
      <w:r w:rsidR="002F4D5C" w:rsidRPr="00387DA7">
        <w:rPr>
          <w:sz w:val="22"/>
          <w:szCs w:val="22"/>
          <w:lang w:eastAsia="ja-JP"/>
        </w:rPr>
        <w:t>Finding</w:t>
      </w:r>
      <w:proofErr w:type="gramEnd"/>
      <w:r w:rsidR="002F4D5C" w:rsidRPr="00387DA7">
        <w:rPr>
          <w:sz w:val="22"/>
          <w:szCs w:val="22"/>
          <w:lang w:eastAsia="ja-JP"/>
        </w:rPr>
        <w:t xml:space="preserve"> for Recovery</w:t>
      </w:r>
      <w:r w:rsidRPr="00387DA7">
        <w:rPr>
          <w:sz w:val="22"/>
          <w:szCs w:val="22"/>
          <w:lang w:eastAsia="ja-JP"/>
        </w:rPr>
        <w:t xml:space="preserve">.  </w:t>
      </w:r>
      <w:r w:rsidR="00A0688B" w:rsidRPr="00387DA7">
        <w:rPr>
          <w:sz w:val="22"/>
          <w:szCs w:val="22"/>
          <w:lang w:eastAsia="ja-JP"/>
        </w:rPr>
        <w:t>AOS Auditors</w:t>
      </w:r>
      <w:r w:rsidRPr="00387DA7">
        <w:rPr>
          <w:sz w:val="22"/>
          <w:szCs w:val="22"/>
          <w:lang w:eastAsia="ja-JP"/>
        </w:rPr>
        <w:t xml:space="preserve"> should consult your regional legal counsel for guidance in determining what </w:t>
      </w:r>
      <w:proofErr w:type="gramStart"/>
      <w:r w:rsidRPr="00387DA7">
        <w:rPr>
          <w:sz w:val="22"/>
          <w:szCs w:val="22"/>
          <w:lang w:eastAsia="ja-JP"/>
        </w:rPr>
        <w:t>time period</w:t>
      </w:r>
      <w:proofErr w:type="gramEnd"/>
      <w:r w:rsidRPr="00387DA7">
        <w:rPr>
          <w:sz w:val="22"/>
          <w:szCs w:val="22"/>
          <w:lang w:eastAsia="ja-JP"/>
        </w:rPr>
        <w:t xml:space="preserve"> is appropriate.</w:t>
      </w:r>
      <w:r w:rsidR="00A0688B" w:rsidRPr="00387DA7">
        <w:rPr>
          <w:sz w:val="22"/>
          <w:szCs w:val="22"/>
          <w:lang w:eastAsia="ja-JP"/>
        </w:rPr>
        <w:t xml:space="preserve">  IPA’s auditors should email the regional chief auditor.</w:t>
      </w:r>
    </w:p>
    <w:p w14:paraId="68FDFA1F" w14:textId="77777777" w:rsidR="00856C61" w:rsidRPr="00387DA7" w:rsidRDefault="00856C61" w:rsidP="00856C61">
      <w:pPr>
        <w:pStyle w:val="HTMLDefinition1"/>
        <w:numPr>
          <w:ilvl w:val="1"/>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Correspondence:</w:t>
      </w:r>
    </w:p>
    <w:p w14:paraId="72717151" w14:textId="77777777" w:rsidR="00856C61" w:rsidRPr="00387DA7" w:rsidRDefault="00856C61" w:rsidP="00856C61">
      <w:pPr>
        <w:pStyle w:val="HTMLDefinition1"/>
        <w:numPr>
          <w:ilvl w:val="2"/>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Include </w:t>
      </w:r>
      <w:proofErr w:type="gramStart"/>
      <w:r w:rsidRPr="00387DA7">
        <w:rPr>
          <w:sz w:val="22"/>
          <w:szCs w:val="22"/>
          <w:lang w:eastAsia="ja-JP"/>
        </w:rPr>
        <w:t>any and all</w:t>
      </w:r>
      <w:proofErr w:type="gramEnd"/>
      <w:r w:rsidRPr="00387DA7">
        <w:rPr>
          <w:sz w:val="22"/>
          <w:szCs w:val="22"/>
          <w:lang w:eastAsia="ja-JP"/>
        </w:rPr>
        <w:t xml:space="preserve"> correspondence and certified mail return receipt cards to the subject of the finding, including notice of proposed and finding letters to subjects and the notice of finding letter to the entity’s statutory legal counsel.  Additionally, include any rebuttal or response correspondence to the </w:t>
      </w:r>
      <w:proofErr w:type="gramStart"/>
      <w:r w:rsidRPr="00387DA7">
        <w:rPr>
          <w:sz w:val="22"/>
          <w:szCs w:val="22"/>
          <w:lang w:eastAsia="ja-JP"/>
        </w:rPr>
        <w:t>aforementioned letters</w:t>
      </w:r>
      <w:proofErr w:type="gramEnd"/>
      <w:r w:rsidRPr="00387DA7">
        <w:rPr>
          <w:sz w:val="22"/>
          <w:szCs w:val="22"/>
          <w:lang w:eastAsia="ja-JP"/>
        </w:rPr>
        <w:t>.</w:t>
      </w:r>
    </w:p>
    <w:p w14:paraId="051537FA" w14:textId="77777777" w:rsidR="00856C61" w:rsidRPr="00387DA7" w:rsidRDefault="00856C61" w:rsidP="00856C61">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160"/>
        <w:jc w:val="both"/>
        <w:rPr>
          <w:sz w:val="22"/>
          <w:szCs w:val="22"/>
          <w:lang w:eastAsia="ja-JP"/>
        </w:rPr>
      </w:pPr>
    </w:p>
    <w:p w14:paraId="1A111590" w14:textId="6AD462AA" w:rsidR="00856C61" w:rsidRPr="00387DA7" w:rsidRDefault="00856C61" w:rsidP="00856C61">
      <w:pPr>
        <w:pStyle w:val="HTMLDefinition1"/>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r w:rsidRPr="00387DA7">
        <w:rPr>
          <w:sz w:val="22"/>
          <w:szCs w:val="22"/>
          <w:lang w:eastAsia="ja-JP"/>
        </w:rPr>
        <w:t xml:space="preserve">This list of examples is not exhaustive.  If there is other evidence the auditor has identified to corroborate the </w:t>
      </w:r>
      <w:r w:rsidR="002F4D5C" w:rsidRPr="00387DA7">
        <w:rPr>
          <w:sz w:val="22"/>
          <w:szCs w:val="22"/>
          <w:lang w:eastAsia="ja-JP"/>
        </w:rPr>
        <w:t>Finding for Recovery</w:t>
      </w:r>
      <w:r w:rsidRPr="00387DA7">
        <w:rPr>
          <w:sz w:val="22"/>
          <w:szCs w:val="22"/>
          <w:lang w:eastAsia="ja-JP"/>
        </w:rPr>
        <w:t xml:space="preserve">, </w:t>
      </w:r>
      <w:proofErr w:type="gramStart"/>
      <w:r w:rsidRPr="00387DA7">
        <w:rPr>
          <w:sz w:val="22"/>
          <w:szCs w:val="22"/>
          <w:lang w:eastAsia="ja-JP"/>
        </w:rPr>
        <w:t>include</w:t>
      </w:r>
      <w:proofErr w:type="gramEnd"/>
      <w:r w:rsidRPr="00387DA7">
        <w:rPr>
          <w:sz w:val="22"/>
          <w:szCs w:val="22"/>
          <w:lang w:eastAsia="ja-JP"/>
        </w:rPr>
        <w:t xml:space="preserve"> any relevant evidentiary documents.</w:t>
      </w:r>
      <w:r w:rsidR="00A0688B" w:rsidRPr="00387DA7">
        <w:rPr>
          <w:sz w:val="22"/>
          <w:szCs w:val="22"/>
          <w:lang w:eastAsia="ja-JP"/>
        </w:rPr>
        <w:t xml:space="preserve">  </w:t>
      </w:r>
    </w:p>
    <w:p w14:paraId="1C750171" w14:textId="77777777" w:rsidR="00856C61" w:rsidRPr="00387DA7" w:rsidRDefault="00856C61" w:rsidP="00856C61">
      <w:pPr>
        <w:autoSpaceDE w:val="0"/>
        <w:autoSpaceDN w:val="0"/>
        <w:adjustRightInd w:val="0"/>
        <w:ind w:left="270"/>
        <w:rPr>
          <w:sz w:val="22"/>
          <w:szCs w:val="22"/>
          <w:lang w:eastAsia="ja-JP"/>
        </w:rPr>
      </w:pPr>
    </w:p>
    <w:p w14:paraId="4FC51481" w14:textId="7897D775" w:rsidR="00F47230" w:rsidRPr="00387DA7" w:rsidRDefault="008F6A36" w:rsidP="00DB4DA9">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If a government iden</w:t>
      </w:r>
      <w:r w:rsidR="00785D1C" w:rsidRPr="00387DA7">
        <w:rPr>
          <w:sz w:val="22"/>
          <w:szCs w:val="22"/>
          <w:lang w:eastAsia="ja-JP"/>
        </w:rPr>
        <w:t xml:space="preserve">tifies a </w:t>
      </w:r>
      <w:r w:rsidR="002F4D5C" w:rsidRPr="00387DA7">
        <w:rPr>
          <w:sz w:val="22"/>
          <w:szCs w:val="22"/>
          <w:lang w:eastAsia="ja-JP"/>
        </w:rPr>
        <w:t>Finding for Recovery</w:t>
      </w:r>
      <w:r w:rsidRPr="00387DA7">
        <w:rPr>
          <w:sz w:val="22"/>
          <w:szCs w:val="22"/>
          <w:lang w:eastAsia="ja-JP"/>
        </w:rPr>
        <w:t xml:space="preserve"> </w:t>
      </w:r>
      <w:r w:rsidRPr="00387DA7">
        <w:rPr>
          <w:i/>
          <w:iCs/>
          <w:sz w:val="22"/>
          <w:szCs w:val="22"/>
          <w:lang w:eastAsia="ja-JP"/>
        </w:rPr>
        <w:t>before</w:t>
      </w:r>
      <w:r w:rsidRPr="00387DA7">
        <w:rPr>
          <w:sz w:val="22"/>
          <w:szCs w:val="22"/>
          <w:lang w:eastAsia="ja-JP"/>
        </w:rPr>
        <w:t xml:space="preserve"> the auditors do and the entity or individual </w:t>
      </w:r>
      <w:r w:rsidR="00053671" w:rsidRPr="00387DA7">
        <w:rPr>
          <w:sz w:val="22"/>
          <w:szCs w:val="22"/>
          <w:lang w:eastAsia="ja-JP"/>
        </w:rPr>
        <w:t>re</w:t>
      </w:r>
      <w:r w:rsidRPr="00387DA7">
        <w:rPr>
          <w:sz w:val="22"/>
          <w:szCs w:val="22"/>
          <w:lang w:eastAsia="ja-JP"/>
        </w:rPr>
        <w:t>pays the money</w:t>
      </w:r>
      <w:r w:rsidR="003645DB">
        <w:rPr>
          <w:sz w:val="22"/>
          <w:szCs w:val="22"/>
          <w:lang w:eastAsia="ja-JP"/>
        </w:rPr>
        <w:t xml:space="preserve">, </w:t>
      </w:r>
      <w:r w:rsidR="003645DB" w:rsidRPr="00380024">
        <w:rPr>
          <w:sz w:val="22"/>
          <w:szCs w:val="22"/>
          <w:u w:val="wave"/>
          <w:lang w:eastAsia="ja-JP"/>
        </w:rPr>
        <w:t>or a repayment plan</w:t>
      </w:r>
      <w:r w:rsidR="00380024" w:rsidRPr="00380024">
        <w:rPr>
          <w:sz w:val="22"/>
          <w:szCs w:val="22"/>
          <w:u w:val="wave"/>
          <w:lang w:eastAsia="ja-JP"/>
        </w:rPr>
        <w:t xml:space="preserve"> is approved</w:t>
      </w:r>
      <w:r w:rsidR="00786CBE">
        <w:rPr>
          <w:rStyle w:val="FootnoteReference"/>
          <w:sz w:val="22"/>
          <w:szCs w:val="22"/>
          <w:u w:val="wave"/>
          <w:lang w:eastAsia="ja-JP"/>
        </w:rPr>
        <w:footnoteReference w:id="23"/>
      </w:r>
      <w:r w:rsidRPr="00387DA7">
        <w:rPr>
          <w:sz w:val="22"/>
          <w:szCs w:val="22"/>
          <w:lang w:eastAsia="ja-JP"/>
        </w:rPr>
        <w:t xml:space="preserve"> before the audit report is issued, the auditor should not report the matter as a Finding for Recovery</w:t>
      </w:r>
      <w:r w:rsidR="00970A16" w:rsidRPr="00387DA7">
        <w:rPr>
          <w:sz w:val="22"/>
          <w:szCs w:val="22"/>
        </w:rPr>
        <w:t>, unless the finding relates to a criminal case, in which case the finding should always be reported</w:t>
      </w:r>
      <w:r w:rsidRPr="00387DA7">
        <w:rPr>
          <w:sz w:val="22"/>
          <w:szCs w:val="22"/>
          <w:lang w:eastAsia="ja-JP"/>
        </w:rPr>
        <w:t>.</w:t>
      </w:r>
      <w:r w:rsidR="00094202" w:rsidRPr="00387DA7">
        <w:rPr>
          <w:sz w:val="22"/>
          <w:szCs w:val="22"/>
          <w:lang w:eastAsia="ja-JP"/>
        </w:rPr>
        <w:t xml:space="preserve">  If the amount is </w:t>
      </w:r>
      <w:r w:rsidR="00101FE1" w:rsidRPr="00387DA7">
        <w:rPr>
          <w:sz w:val="22"/>
          <w:szCs w:val="22"/>
          <w:lang w:eastAsia="ja-JP"/>
        </w:rPr>
        <w:t>un</w:t>
      </w:r>
      <w:r w:rsidR="00910A9A" w:rsidRPr="00387DA7">
        <w:rPr>
          <w:sz w:val="22"/>
          <w:szCs w:val="22"/>
          <w:lang w:eastAsia="ja-JP"/>
        </w:rPr>
        <w:t xml:space="preserve">paid or </w:t>
      </w:r>
      <w:r w:rsidR="00094202" w:rsidRPr="00387DA7">
        <w:rPr>
          <w:sz w:val="22"/>
          <w:szCs w:val="22"/>
          <w:lang w:eastAsia="ja-JP"/>
        </w:rPr>
        <w:t xml:space="preserve">only partially repaid, a Finding for Recovery is reported for the full amount </w:t>
      </w:r>
      <w:r w:rsidR="009B54AE" w:rsidRPr="00387DA7">
        <w:rPr>
          <w:sz w:val="22"/>
          <w:szCs w:val="22"/>
          <w:lang w:eastAsia="ja-JP"/>
        </w:rPr>
        <w:t>and the amount that was repaid is listed</w:t>
      </w:r>
      <w:r w:rsidR="00094202" w:rsidRPr="00387DA7">
        <w:rPr>
          <w:sz w:val="22"/>
          <w:szCs w:val="22"/>
          <w:lang w:eastAsia="ja-JP"/>
        </w:rPr>
        <w:t xml:space="preserve">. </w:t>
      </w:r>
      <w:r w:rsidRPr="00387DA7">
        <w:rPr>
          <w:sz w:val="22"/>
          <w:szCs w:val="22"/>
          <w:lang w:eastAsia="ja-JP"/>
        </w:rPr>
        <w:t xml:space="preserve"> However, the auditor should evaluate the issue for other possible matters of audit interest, such as the possibility of fraud</w:t>
      </w:r>
      <w:r w:rsidR="00DD3862" w:rsidRPr="00387DA7">
        <w:rPr>
          <w:sz w:val="22"/>
          <w:szCs w:val="22"/>
          <w:lang w:eastAsia="ja-JP"/>
        </w:rPr>
        <w:t xml:space="preserve"> </w:t>
      </w:r>
      <w:r w:rsidR="00DD3862" w:rsidRPr="00387DA7">
        <w:rPr>
          <w:sz w:val="22"/>
          <w:szCs w:val="22"/>
        </w:rPr>
        <w:t>(which should be referred to SIU)</w:t>
      </w:r>
      <w:r w:rsidRPr="00387DA7">
        <w:rPr>
          <w:sz w:val="22"/>
          <w:szCs w:val="22"/>
          <w:lang w:eastAsia="ja-JP"/>
        </w:rPr>
        <w:t xml:space="preserve"> or reportable internal control weaknesses. Also, the matter might be a citation for an illegal </w:t>
      </w:r>
      <w:r w:rsidR="00F72457" w:rsidRPr="00387DA7">
        <w:rPr>
          <w:sz w:val="22"/>
          <w:szCs w:val="22"/>
          <w:lang w:eastAsia="ja-JP"/>
        </w:rPr>
        <w:t>expenditure of money or other violation of law</w:t>
      </w:r>
      <w:r w:rsidRPr="00387DA7">
        <w:rPr>
          <w:sz w:val="22"/>
          <w:szCs w:val="22"/>
          <w:lang w:eastAsia="ja-JP"/>
        </w:rPr>
        <w:t>.</w:t>
      </w:r>
      <w:r w:rsidR="00C41D8D" w:rsidRPr="00387DA7">
        <w:rPr>
          <w:sz w:val="22"/>
          <w:szCs w:val="22"/>
          <w:lang w:eastAsia="ja-JP"/>
        </w:rPr>
        <w:t xml:space="preserve">  Conversely, the entity’s identificati</w:t>
      </w:r>
      <w:r w:rsidR="00785D1C" w:rsidRPr="00387DA7">
        <w:rPr>
          <w:sz w:val="22"/>
          <w:szCs w:val="22"/>
          <w:lang w:eastAsia="ja-JP"/>
        </w:rPr>
        <w:t xml:space="preserve">on and resolution of the matter </w:t>
      </w:r>
      <w:r w:rsidR="00C41D8D" w:rsidRPr="00387DA7">
        <w:rPr>
          <w:sz w:val="22"/>
          <w:szCs w:val="22"/>
          <w:lang w:eastAsia="ja-JP"/>
        </w:rPr>
        <w:t>may indicate the internal control structure is properly detecting and correcting errors, in which case the auditor might determine not to report the matter</w:t>
      </w:r>
      <w:r w:rsidR="00BF4B7C" w:rsidRPr="00387DA7">
        <w:rPr>
          <w:sz w:val="22"/>
          <w:szCs w:val="22"/>
          <w:lang w:eastAsia="ja-JP"/>
        </w:rPr>
        <w:t>.</w:t>
      </w:r>
      <w:r w:rsidR="00053671" w:rsidRPr="00387DA7">
        <w:rPr>
          <w:sz w:val="22"/>
          <w:szCs w:val="22"/>
          <w:lang w:eastAsia="ja-JP"/>
        </w:rPr>
        <w:t xml:space="preserve">  </w:t>
      </w:r>
    </w:p>
    <w:p w14:paraId="56B08B81" w14:textId="77777777" w:rsidR="00F47230" w:rsidRPr="00387DA7" w:rsidRDefault="00F47230" w:rsidP="00DB4DA9">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4DE4AA41" w14:textId="1552CD49" w:rsidR="008F6A36" w:rsidRPr="00387DA7" w:rsidRDefault="008F6A36" w:rsidP="00DB4DA9">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w:t>
      </w:r>
      <w:r w:rsidR="00053671" w:rsidRPr="00387DA7">
        <w:rPr>
          <w:sz w:val="22"/>
          <w:szCs w:val="22"/>
          <w:lang w:eastAsia="ja-JP"/>
        </w:rPr>
        <w:t xml:space="preserve">auditor should determine the </w:t>
      </w:r>
      <w:r w:rsidRPr="00387DA7">
        <w:rPr>
          <w:sz w:val="22"/>
          <w:szCs w:val="22"/>
          <w:lang w:eastAsia="ja-JP"/>
        </w:rPr>
        <w:t xml:space="preserve">amount of a </w:t>
      </w:r>
      <w:r w:rsidR="002F4D5C" w:rsidRPr="00387DA7">
        <w:rPr>
          <w:sz w:val="22"/>
          <w:szCs w:val="22"/>
          <w:lang w:eastAsia="ja-JP"/>
        </w:rPr>
        <w:t>Finding for Recovery</w:t>
      </w:r>
      <w:r w:rsidRPr="00387DA7">
        <w:rPr>
          <w:sz w:val="22"/>
          <w:szCs w:val="22"/>
          <w:lang w:eastAsia="ja-JP"/>
        </w:rPr>
        <w:t xml:space="preserve"> </w:t>
      </w:r>
      <w:r w:rsidR="00C41D8D" w:rsidRPr="00387DA7">
        <w:rPr>
          <w:sz w:val="22"/>
          <w:szCs w:val="22"/>
          <w:lang w:eastAsia="ja-JP"/>
        </w:rPr>
        <w:t xml:space="preserve">during </w:t>
      </w:r>
      <w:r w:rsidRPr="00387DA7">
        <w:rPr>
          <w:sz w:val="22"/>
          <w:szCs w:val="22"/>
          <w:lang w:eastAsia="ja-JP"/>
        </w:rPr>
        <w:t>audit field work.  The method used to calculate the amount must be clearly set forth in the working papers.  Any partial payment or reimbursement made prior to completin</w:t>
      </w:r>
      <w:r w:rsidR="00C41D8D" w:rsidRPr="00387DA7">
        <w:rPr>
          <w:sz w:val="22"/>
          <w:szCs w:val="22"/>
          <w:lang w:eastAsia="ja-JP"/>
        </w:rPr>
        <w:t>g</w:t>
      </w:r>
      <w:r w:rsidRPr="00387DA7">
        <w:rPr>
          <w:sz w:val="22"/>
          <w:szCs w:val="22"/>
          <w:lang w:eastAsia="ja-JP"/>
        </w:rPr>
        <w:t xml:space="preserve"> the audit should be noted in the audit report with appropriate credit given when calculating the amount.</w:t>
      </w:r>
    </w:p>
    <w:p w14:paraId="58646A03" w14:textId="77777777" w:rsidR="008F6A36" w:rsidRPr="00387DA7" w:rsidRDefault="008F6A36" w:rsidP="00DB4DA9">
      <w:p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F43CC3C" w14:textId="4F15FAA7" w:rsidR="003D4686" w:rsidRPr="00387DA7" w:rsidRDefault="008F6A36" w:rsidP="003D4686">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If a </w:t>
      </w:r>
      <w:r w:rsidR="002F4D5C" w:rsidRPr="00387DA7">
        <w:rPr>
          <w:sz w:val="22"/>
          <w:szCs w:val="22"/>
          <w:lang w:eastAsia="ja-JP"/>
        </w:rPr>
        <w:t>Finding for Recovery</w:t>
      </w:r>
      <w:r w:rsidRPr="00387DA7">
        <w:rPr>
          <w:sz w:val="22"/>
          <w:szCs w:val="22"/>
          <w:lang w:eastAsia="ja-JP"/>
        </w:rPr>
        <w:t xml:space="preserve"> is issued because public property has been converted or misappropriated, the amount of the finding should reflect the fair market value of the property at the time that it was discovered to be missing.  The basis for determining this amount must be disclosed in the </w:t>
      </w:r>
      <w:proofErr w:type="gramStart"/>
      <w:r w:rsidRPr="00387DA7">
        <w:rPr>
          <w:sz w:val="22"/>
          <w:szCs w:val="22"/>
          <w:lang w:eastAsia="ja-JP"/>
        </w:rPr>
        <w:t>working</w:t>
      </w:r>
      <w:proofErr w:type="gramEnd"/>
      <w:r w:rsidRPr="00387DA7">
        <w:rPr>
          <w:sz w:val="22"/>
          <w:szCs w:val="22"/>
          <w:lang w:eastAsia="ja-JP"/>
        </w:rPr>
        <w:t xml:space="preserve"> papers.</w:t>
      </w:r>
    </w:p>
    <w:p w14:paraId="1F3F518A" w14:textId="77777777" w:rsidR="00CB7164" w:rsidRPr="00387DA7" w:rsidRDefault="00CB7164" w:rsidP="00CB7164">
      <w:pPr>
        <w:pStyle w:val="ListParagraph"/>
        <w:rPr>
          <w:sz w:val="22"/>
          <w:szCs w:val="22"/>
          <w:lang w:eastAsia="ja-JP"/>
        </w:rPr>
      </w:pPr>
    </w:p>
    <w:p w14:paraId="193DBC40" w14:textId="63D349A2" w:rsidR="00CB7164" w:rsidRPr="00387DA7" w:rsidRDefault="00CB7164" w:rsidP="00CB7164">
      <w:pPr>
        <w:pStyle w:val="HTMLDefinition1"/>
        <w:numPr>
          <w:ilvl w:val="0"/>
          <w:numId w:val="1"/>
        </w:numPr>
        <w:tabs>
          <w:tab w:val="clear" w:pos="720"/>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AOS’s goal is for the client to be made whole, so in situations where an entity’s insurance company covers a loss, a Finding for Recovery should still be issued against the individual(s) for the deductible amount not covered by the insurance company.  Auditors should consult with their regional legal counsel.</w:t>
      </w:r>
    </w:p>
    <w:p w14:paraId="1D9D531B" w14:textId="77777777" w:rsidR="00E21A8E" w:rsidRPr="00387DA7" w:rsidRDefault="00E21A8E" w:rsidP="00E21A8E">
      <w:pPr>
        <w:pStyle w:val="ListParagraph"/>
        <w:rPr>
          <w:sz w:val="22"/>
          <w:szCs w:val="22"/>
          <w:lang w:eastAsia="ja-JP"/>
        </w:rPr>
      </w:pPr>
    </w:p>
    <w:p w14:paraId="06FED6CB" w14:textId="20898F38" w:rsidR="00971C5E" w:rsidRPr="00387DA7" w:rsidRDefault="00C27D83" w:rsidP="00971C5E">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If a Finding for Recovery is issued because of a payroll overpayment, the amount to be recovered from the individual should be calculated at the Gross Pay amount</w:t>
      </w:r>
      <w:r w:rsidR="005D470E" w:rsidRPr="00387DA7">
        <w:rPr>
          <w:sz w:val="22"/>
          <w:szCs w:val="22"/>
          <w:lang w:eastAsia="ja-JP"/>
        </w:rPr>
        <w:t>.</w:t>
      </w:r>
    </w:p>
    <w:p w14:paraId="75648B36" w14:textId="77777777" w:rsidR="00D30705" w:rsidRPr="00387DA7" w:rsidRDefault="00D30705" w:rsidP="00D30705">
      <w:pPr>
        <w:pStyle w:val="ListParagraph"/>
        <w:rPr>
          <w:sz w:val="22"/>
          <w:szCs w:val="22"/>
          <w:lang w:eastAsia="ja-JP"/>
        </w:rPr>
      </w:pPr>
    </w:p>
    <w:p w14:paraId="7982D7AD" w14:textId="37873FD2" w:rsidR="00D30705" w:rsidRPr="00387DA7" w:rsidRDefault="00D30705" w:rsidP="003D4686">
      <w:pPr>
        <w:pStyle w:val="HTMLDefinition1"/>
        <w:numPr>
          <w:ilvl w:val="0"/>
          <w:numId w:val="1"/>
        </w:numPr>
        <w:tabs>
          <w:tab w:val="left" w:pos="27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Although ALL </w:t>
      </w:r>
      <w:r w:rsidR="00A0688B" w:rsidRPr="00387DA7">
        <w:rPr>
          <w:sz w:val="22"/>
          <w:szCs w:val="22"/>
          <w:lang w:eastAsia="ja-JP"/>
        </w:rPr>
        <w:t xml:space="preserve">AOS audit </w:t>
      </w:r>
      <w:r w:rsidRPr="00387DA7">
        <w:rPr>
          <w:sz w:val="22"/>
          <w:szCs w:val="22"/>
          <w:lang w:eastAsia="ja-JP"/>
        </w:rPr>
        <w:t xml:space="preserve">findings are referred to </w:t>
      </w:r>
      <w:r w:rsidR="00B27022" w:rsidRPr="00387DA7">
        <w:rPr>
          <w:sz w:val="22"/>
          <w:szCs w:val="22"/>
          <w:lang w:eastAsia="ja-JP"/>
        </w:rPr>
        <w:t>t</w:t>
      </w:r>
      <w:r w:rsidR="001438D7" w:rsidRPr="00387DA7">
        <w:rPr>
          <w:sz w:val="22"/>
          <w:szCs w:val="22"/>
          <w:lang w:eastAsia="ja-JP"/>
        </w:rPr>
        <w:t>he AOS L</w:t>
      </w:r>
      <w:r w:rsidRPr="00387DA7">
        <w:rPr>
          <w:sz w:val="22"/>
          <w:szCs w:val="22"/>
          <w:lang w:eastAsia="ja-JP"/>
        </w:rPr>
        <w:t xml:space="preserve">egal </w:t>
      </w:r>
      <w:r w:rsidR="00B27022" w:rsidRPr="00387DA7">
        <w:rPr>
          <w:sz w:val="22"/>
          <w:szCs w:val="22"/>
          <w:lang w:eastAsia="ja-JP"/>
        </w:rPr>
        <w:t>Division</w:t>
      </w:r>
      <w:r w:rsidR="001438D7" w:rsidRPr="00387DA7">
        <w:rPr>
          <w:sz w:val="22"/>
          <w:szCs w:val="22"/>
          <w:lang w:eastAsia="ja-JP"/>
        </w:rPr>
        <w:t xml:space="preserve"> </w:t>
      </w:r>
      <w:r w:rsidRPr="00387DA7">
        <w:rPr>
          <w:sz w:val="22"/>
          <w:szCs w:val="22"/>
          <w:lang w:eastAsia="ja-JP"/>
        </w:rPr>
        <w:t>for rev</w:t>
      </w:r>
      <w:r w:rsidR="002E4198" w:rsidRPr="00387DA7">
        <w:rPr>
          <w:sz w:val="22"/>
          <w:szCs w:val="22"/>
          <w:lang w:eastAsia="ja-JP"/>
        </w:rPr>
        <w:t xml:space="preserve">iew, it is especially important </w:t>
      </w:r>
      <w:r w:rsidRPr="00387DA7">
        <w:rPr>
          <w:sz w:val="22"/>
          <w:szCs w:val="22"/>
          <w:lang w:eastAsia="ja-JP"/>
        </w:rPr>
        <w:t xml:space="preserve">to “red flag” and send findings that involve related party transactions, excess payments beyond the contract amount, grossly excessive contract amounts, and any documentation that appears to be fraudulent to the legal department for further evaluation as soon as they are identified.  Additional information may be requested by the legal department for these types of </w:t>
      </w:r>
      <w:r w:rsidR="002F4D5C" w:rsidRPr="00387DA7">
        <w:rPr>
          <w:sz w:val="22"/>
          <w:szCs w:val="22"/>
          <w:lang w:eastAsia="ja-JP"/>
        </w:rPr>
        <w:t>Findings for Recovery</w:t>
      </w:r>
      <w:r w:rsidRPr="00387DA7">
        <w:rPr>
          <w:sz w:val="22"/>
          <w:szCs w:val="22"/>
          <w:lang w:eastAsia="ja-JP"/>
        </w:rPr>
        <w:t xml:space="preserve">.  </w:t>
      </w:r>
    </w:p>
    <w:p w14:paraId="28B9DF6A" w14:textId="09083597" w:rsidR="00971C5E" w:rsidRDefault="00971C5E" w:rsidP="00971C5E">
      <w:pPr>
        <w:rPr>
          <w:sz w:val="22"/>
          <w:szCs w:val="22"/>
        </w:rPr>
      </w:pPr>
    </w:p>
    <w:p w14:paraId="26C9F437" w14:textId="2CAAAAAA" w:rsidR="0019466A" w:rsidRDefault="0019466A">
      <w:pPr>
        <w:rPr>
          <w:sz w:val="22"/>
          <w:szCs w:val="22"/>
        </w:rPr>
      </w:pPr>
      <w:r>
        <w:rPr>
          <w:sz w:val="22"/>
          <w:szCs w:val="22"/>
        </w:rPr>
        <w:br w:type="page"/>
      </w:r>
    </w:p>
    <w:p w14:paraId="2513B7B8" w14:textId="6FBE1203" w:rsidR="008F6A36" w:rsidRPr="002F22F2" w:rsidRDefault="008F6A36" w:rsidP="00776C23">
      <w:pPr>
        <w:pStyle w:val="Title"/>
        <w:ind w:left="0"/>
      </w:pPr>
      <w:bookmarkStart w:id="33" w:name="_Toc214431130"/>
      <w:proofErr w:type="gramStart"/>
      <w:r w:rsidRPr="002F22F2">
        <w:t>Finding for</w:t>
      </w:r>
      <w:proofErr w:type="gramEnd"/>
      <w:r w:rsidRPr="002F22F2">
        <w:t xml:space="preserve"> Recovery Procedures for Independent Public Accountants (IPA)</w:t>
      </w:r>
      <w:bookmarkEnd w:id="33"/>
    </w:p>
    <w:p w14:paraId="007BE6B7" w14:textId="77777777" w:rsidR="00910A9A" w:rsidRDefault="00910A9A" w:rsidP="00910A9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4"/>
          <w:lang w:eastAsia="ja-JP"/>
        </w:rPr>
      </w:pPr>
    </w:p>
    <w:p w14:paraId="2C4E97EE" w14:textId="5B67CCBD" w:rsidR="001055BB" w:rsidRPr="00387DA7" w:rsidRDefault="001055BB"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387DA7">
        <w:rPr>
          <w:sz w:val="22"/>
          <w:szCs w:val="22"/>
          <w:lang w:eastAsia="ja-JP"/>
        </w:rPr>
        <w:t xml:space="preserve">Ohio Rev. Code </w:t>
      </w:r>
      <w:r w:rsidR="009B4BF1" w:rsidRPr="00387DA7">
        <w:rPr>
          <w:sz w:val="22"/>
          <w:szCs w:val="22"/>
          <w:lang w:eastAsia="ja-JP"/>
        </w:rPr>
        <w:t>§ 1</w:t>
      </w:r>
      <w:r w:rsidRPr="00387DA7">
        <w:rPr>
          <w:sz w:val="22"/>
          <w:szCs w:val="22"/>
          <w:lang w:eastAsia="ja-JP"/>
        </w:rPr>
        <w:t>17.12 prohibits IPAs from issuing Findings for Recovery.  IPAs should report these matters $500</w:t>
      </w:r>
      <w:r w:rsidR="00BE1294" w:rsidRPr="00387DA7">
        <w:rPr>
          <w:sz w:val="22"/>
          <w:szCs w:val="22"/>
          <w:lang w:eastAsia="ja-JP"/>
        </w:rPr>
        <w:t xml:space="preserve"> and greater</w:t>
      </w:r>
      <w:r w:rsidRPr="00387DA7">
        <w:rPr>
          <w:sz w:val="22"/>
          <w:szCs w:val="22"/>
          <w:lang w:eastAsia="ja-JP"/>
        </w:rPr>
        <w:t xml:space="preserve"> (and any alcohol purchase</w:t>
      </w:r>
      <w:r w:rsidR="00DF553F" w:rsidRPr="00387DA7">
        <w:rPr>
          <w:rStyle w:val="FootnoteReference"/>
          <w:sz w:val="22"/>
          <w:szCs w:val="22"/>
          <w:lang w:eastAsia="ja-JP"/>
        </w:rPr>
        <w:footnoteReference w:id="24"/>
      </w:r>
      <w:r w:rsidR="00DF553F" w:rsidRPr="00387DA7">
        <w:rPr>
          <w:sz w:val="22"/>
          <w:szCs w:val="22"/>
          <w:lang w:eastAsia="ja-JP"/>
        </w:rPr>
        <w:t xml:space="preserve"> </w:t>
      </w:r>
      <w:r w:rsidR="00FF173B" w:rsidRPr="00387DA7">
        <w:rPr>
          <w:sz w:val="22"/>
          <w:szCs w:val="22"/>
          <w:lang w:eastAsia="ja-JP"/>
        </w:rPr>
        <w:t xml:space="preserve">and other </w:t>
      </w:r>
      <w:r w:rsidR="002F4D5C" w:rsidRPr="00387DA7">
        <w:rPr>
          <w:sz w:val="22"/>
          <w:szCs w:val="22"/>
          <w:lang w:eastAsia="ja-JP"/>
        </w:rPr>
        <w:t>Findings for Recovery</w:t>
      </w:r>
      <w:r w:rsidR="00FF173B" w:rsidRPr="00387DA7">
        <w:rPr>
          <w:sz w:val="22"/>
          <w:szCs w:val="22"/>
          <w:lang w:eastAsia="ja-JP"/>
        </w:rPr>
        <w:t xml:space="preserve"> determined by the Auditor of State</w:t>
      </w:r>
      <w:r w:rsidRPr="00387DA7">
        <w:rPr>
          <w:sz w:val="22"/>
          <w:szCs w:val="22"/>
          <w:lang w:eastAsia="ja-JP"/>
        </w:rPr>
        <w:t xml:space="preserve">, regardless of amount) as noncompliance findings, but they should not label them as </w:t>
      </w:r>
      <w:r w:rsidR="002F4D5C" w:rsidRPr="00387DA7">
        <w:rPr>
          <w:i/>
          <w:sz w:val="22"/>
          <w:szCs w:val="22"/>
          <w:lang w:eastAsia="ja-JP"/>
        </w:rPr>
        <w:t>Finding for Recovery</w:t>
      </w:r>
      <w:r w:rsidRPr="00387DA7">
        <w:rPr>
          <w:sz w:val="22"/>
          <w:szCs w:val="22"/>
          <w:lang w:eastAsia="ja-JP"/>
        </w:rPr>
        <w:t xml:space="preserve"> and the finding should not state:  “In accordance with the forgoing facts, and pursuant to Ohio Rev. </w:t>
      </w:r>
      <w:r w:rsidR="00FD3963" w:rsidRPr="00387DA7">
        <w:rPr>
          <w:sz w:val="22"/>
          <w:szCs w:val="22"/>
          <w:lang w:eastAsia="ja-JP"/>
        </w:rPr>
        <w:t>Code</w:t>
      </w:r>
      <w:r w:rsidR="00B3046B">
        <w:rPr>
          <w:sz w:val="22"/>
          <w:szCs w:val="22"/>
          <w:lang w:eastAsia="ja-JP"/>
        </w:rPr>
        <w:t xml:space="preserve"> </w:t>
      </w:r>
      <w:r w:rsidR="00B3046B" w:rsidRPr="00B3046B">
        <w:rPr>
          <w:sz w:val="22"/>
          <w:szCs w:val="22"/>
          <w:u w:val="wave"/>
          <w:lang w:eastAsia="ja-JP"/>
        </w:rPr>
        <w:t>Chapter 117</w:t>
      </w:r>
      <w:r w:rsidR="00FD3963" w:rsidRPr="00387DA7">
        <w:rPr>
          <w:sz w:val="22"/>
          <w:szCs w:val="22"/>
          <w:lang w:eastAsia="ja-JP"/>
        </w:rPr>
        <w:t xml:space="preserve"> </w:t>
      </w:r>
      <w:r w:rsidR="009B4BF1" w:rsidRPr="00D05479">
        <w:rPr>
          <w:strike/>
          <w:sz w:val="22"/>
          <w:szCs w:val="22"/>
          <w:lang w:eastAsia="ja-JP"/>
        </w:rPr>
        <w:t>§ 1</w:t>
      </w:r>
      <w:r w:rsidRPr="00D05479">
        <w:rPr>
          <w:strike/>
          <w:sz w:val="22"/>
          <w:szCs w:val="22"/>
          <w:lang w:eastAsia="ja-JP"/>
        </w:rPr>
        <w:t>17.28</w:t>
      </w:r>
      <w:r w:rsidRPr="00387DA7">
        <w:rPr>
          <w:sz w:val="22"/>
          <w:szCs w:val="22"/>
          <w:lang w:eastAsia="ja-JP"/>
        </w:rPr>
        <w:t>, a Finding for Recovery for public money collected but not accounted for (or illegally expended, etc.) is hereby issued against . . .”</w:t>
      </w:r>
      <w:r w:rsidRPr="00387DA7">
        <w:rPr>
          <w:sz w:val="22"/>
          <w:szCs w:val="22"/>
          <w:vertAlign w:val="superscript"/>
        </w:rPr>
        <w:footnoteReference w:id="25"/>
      </w:r>
      <w:r w:rsidRPr="00387DA7">
        <w:rPr>
          <w:sz w:val="22"/>
          <w:szCs w:val="22"/>
          <w:lang w:eastAsia="ja-JP"/>
        </w:rPr>
        <w:t xml:space="preserve">  </w:t>
      </w:r>
    </w:p>
    <w:p w14:paraId="5E2747B2" w14:textId="77777777" w:rsidR="00425F0C" w:rsidRPr="00387DA7" w:rsidRDefault="00425F0C"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23F672E3" w14:textId="1F14D60B" w:rsidR="005F55D9" w:rsidRPr="00387DA7" w:rsidRDefault="005F55D9" w:rsidP="00DB4DA9">
      <w:pPr>
        <w:pStyle w:val="HTMLVariable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r w:rsidRPr="00387DA7">
        <w:rPr>
          <w:sz w:val="22"/>
          <w:szCs w:val="22"/>
          <w:lang w:eastAsia="ja-JP"/>
        </w:rPr>
        <w:t>The fo</w:t>
      </w:r>
      <w:r w:rsidR="000517A1" w:rsidRPr="00387DA7">
        <w:rPr>
          <w:sz w:val="22"/>
          <w:szCs w:val="22"/>
          <w:lang w:eastAsia="ja-JP"/>
        </w:rPr>
        <w:t>llowing procedures apply to IPA</w:t>
      </w:r>
      <w:r w:rsidRPr="00387DA7">
        <w:rPr>
          <w:sz w:val="22"/>
          <w:szCs w:val="22"/>
          <w:lang w:eastAsia="ja-JP"/>
        </w:rPr>
        <w:t xml:space="preserve">s in instances where they determine a </w:t>
      </w:r>
      <w:r w:rsidR="002F4D5C" w:rsidRPr="00387DA7">
        <w:rPr>
          <w:sz w:val="22"/>
          <w:szCs w:val="22"/>
          <w:lang w:eastAsia="ja-JP"/>
        </w:rPr>
        <w:t>Finding for Recovery</w:t>
      </w:r>
      <w:r w:rsidRPr="00387DA7">
        <w:rPr>
          <w:sz w:val="22"/>
          <w:szCs w:val="22"/>
          <w:lang w:eastAsia="ja-JP"/>
        </w:rPr>
        <w:t xml:space="preserve"> may be necessary.</w:t>
      </w:r>
    </w:p>
    <w:p w14:paraId="40A229F5" w14:textId="77777777" w:rsidR="008F6A36" w:rsidRPr="00387DA7" w:rsidRDefault="008F6A36" w:rsidP="00DB4DA9">
      <w:p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28307E63" w14:textId="77777777" w:rsidR="008F6A36" w:rsidRPr="00387DA7" w:rsidRDefault="008F6A36" w:rsidP="00DB4DA9">
      <w:pPr>
        <w:pStyle w:val="HTMLVariable1"/>
        <w:numPr>
          <w:ilvl w:val="0"/>
          <w:numId w:val="1"/>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An IPA should NOT inform anyone</w:t>
      </w:r>
      <w:r w:rsidR="00E9712A" w:rsidRPr="00387DA7">
        <w:rPr>
          <w:sz w:val="22"/>
          <w:szCs w:val="22"/>
          <w:lang w:eastAsia="ja-JP"/>
        </w:rPr>
        <w:t xml:space="preserve"> </w:t>
      </w:r>
      <w:r w:rsidR="00791399" w:rsidRPr="00387DA7">
        <w:rPr>
          <w:sz w:val="22"/>
          <w:szCs w:val="22"/>
          <w:lang w:eastAsia="ja-JP"/>
        </w:rPr>
        <w:t xml:space="preserve">other than the Auditor of State </w:t>
      </w:r>
      <w:r w:rsidRPr="00387DA7">
        <w:rPr>
          <w:sz w:val="22"/>
          <w:szCs w:val="22"/>
          <w:lang w:eastAsia="ja-JP"/>
        </w:rPr>
        <w:t>of possible Findings for Recovery either orally or in writing.</w:t>
      </w:r>
    </w:p>
    <w:p w14:paraId="676D6265" w14:textId="77777777" w:rsidR="008F6A36" w:rsidRPr="00387DA7" w:rsidRDefault="008F6A36" w:rsidP="00DB4DA9">
      <w:p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A64B300" w14:textId="77777777" w:rsidR="00E9741B" w:rsidRPr="00387DA7" w:rsidRDefault="001055BB" w:rsidP="00E9741B">
      <w:pPr>
        <w:pStyle w:val="HTMLDefinition1"/>
        <w:numPr>
          <w:ilvl w:val="0"/>
          <w:numId w:val="1"/>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As soon as the IPA has an indication there could be any Findings for Recovery, regardless of the amount, the IPA should contact the regional chief auditor. </w:t>
      </w:r>
    </w:p>
    <w:p w14:paraId="3433FFEF" w14:textId="77777777" w:rsidR="00E9741B" w:rsidRPr="00387DA7" w:rsidRDefault="00E9741B" w:rsidP="00E9741B">
      <w:pPr>
        <w:pStyle w:val="ListParagraph"/>
        <w:rPr>
          <w:sz w:val="22"/>
          <w:szCs w:val="22"/>
          <w:lang w:eastAsia="ja-JP"/>
        </w:rPr>
      </w:pPr>
    </w:p>
    <w:p w14:paraId="49EE541B" w14:textId="77777777" w:rsidR="00E9741B" w:rsidRPr="00387DA7" w:rsidRDefault="008F6A36" w:rsidP="00E9741B">
      <w:pPr>
        <w:pStyle w:val="HTMLDefinition1"/>
        <w:numPr>
          <w:ilvl w:val="0"/>
          <w:numId w:val="1"/>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color w:val="000000"/>
          <w:sz w:val="22"/>
          <w:szCs w:val="22"/>
        </w:rPr>
      </w:pPr>
      <w:r w:rsidRPr="00387DA7">
        <w:rPr>
          <w:sz w:val="22"/>
          <w:szCs w:val="22"/>
          <w:lang w:eastAsia="ja-JP"/>
        </w:rPr>
        <w:t>The</w:t>
      </w:r>
      <w:r w:rsidR="002773C9" w:rsidRPr="00387DA7">
        <w:rPr>
          <w:sz w:val="22"/>
          <w:szCs w:val="22"/>
          <w:lang w:eastAsia="ja-JP"/>
        </w:rPr>
        <w:t xml:space="preserve"> IPA should provide the</w:t>
      </w:r>
      <w:r w:rsidRPr="00387DA7">
        <w:rPr>
          <w:sz w:val="22"/>
          <w:szCs w:val="22"/>
          <w:lang w:eastAsia="ja-JP"/>
        </w:rPr>
        <w:t xml:space="preserve"> </w:t>
      </w:r>
      <w:r w:rsidR="0088244F" w:rsidRPr="00387DA7">
        <w:rPr>
          <w:sz w:val="22"/>
          <w:szCs w:val="22"/>
          <w:lang w:eastAsia="ja-JP"/>
        </w:rPr>
        <w:t>regional chief a</w:t>
      </w:r>
      <w:r w:rsidR="007655B1" w:rsidRPr="00387DA7">
        <w:rPr>
          <w:sz w:val="22"/>
          <w:szCs w:val="22"/>
          <w:lang w:eastAsia="ja-JP"/>
        </w:rPr>
        <w:t>uditor</w:t>
      </w:r>
      <w:r w:rsidRPr="00387DA7">
        <w:rPr>
          <w:sz w:val="22"/>
          <w:szCs w:val="22"/>
          <w:lang w:eastAsia="ja-JP"/>
        </w:rPr>
        <w:t xml:space="preserve"> with all relevant </w:t>
      </w:r>
      <w:proofErr w:type="gramStart"/>
      <w:r w:rsidR="00E9741B" w:rsidRPr="00387DA7">
        <w:rPr>
          <w:sz w:val="22"/>
          <w:szCs w:val="22"/>
          <w:lang w:eastAsia="ja-JP"/>
        </w:rPr>
        <w:t>factual information</w:t>
      </w:r>
      <w:proofErr w:type="gramEnd"/>
      <w:r w:rsidR="00E9741B" w:rsidRPr="00387DA7">
        <w:rPr>
          <w:sz w:val="22"/>
          <w:szCs w:val="22"/>
          <w:lang w:eastAsia="ja-JP"/>
        </w:rPr>
        <w:t xml:space="preserve">, including </w:t>
      </w:r>
      <w:r w:rsidRPr="00387DA7">
        <w:rPr>
          <w:sz w:val="22"/>
          <w:szCs w:val="22"/>
          <w:lang w:eastAsia="ja-JP"/>
        </w:rPr>
        <w:t xml:space="preserve">supporting documentation </w:t>
      </w:r>
      <w:r w:rsidR="00F1001B" w:rsidRPr="00387DA7">
        <w:rPr>
          <w:sz w:val="22"/>
          <w:szCs w:val="22"/>
          <w:lang w:eastAsia="ja-JP"/>
        </w:rPr>
        <w:t xml:space="preserve">and any repayment information </w:t>
      </w:r>
      <w:r w:rsidRPr="00387DA7">
        <w:rPr>
          <w:sz w:val="22"/>
          <w:szCs w:val="22"/>
          <w:lang w:eastAsia="ja-JP"/>
        </w:rPr>
        <w:t>for the Finding.</w:t>
      </w:r>
      <w:r w:rsidR="00E9741B" w:rsidRPr="00387DA7">
        <w:rPr>
          <w:sz w:val="22"/>
          <w:szCs w:val="22"/>
          <w:lang w:eastAsia="ja-JP"/>
        </w:rPr>
        <w:t xml:space="preserve">  </w:t>
      </w:r>
    </w:p>
    <w:p w14:paraId="571D794E" w14:textId="77777777" w:rsidR="00E9741B" w:rsidRPr="00387DA7" w:rsidRDefault="00E9741B" w:rsidP="007955DE">
      <w:pPr>
        <w:pStyle w:val="HTMLDefinition1"/>
        <w:numPr>
          <w:ilvl w:val="0"/>
          <w:numId w:val="34"/>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rPr>
      </w:pPr>
      <w:r w:rsidRPr="00387DA7">
        <w:rPr>
          <w:color w:val="000000"/>
          <w:sz w:val="22"/>
          <w:szCs w:val="22"/>
        </w:rPr>
        <w:t>For example, it is not sufficient to send A</w:t>
      </w:r>
      <w:r w:rsidR="000C5B9F" w:rsidRPr="00387DA7">
        <w:rPr>
          <w:color w:val="000000"/>
          <w:sz w:val="22"/>
          <w:szCs w:val="22"/>
        </w:rPr>
        <w:t xml:space="preserve">OS a testing spreadsheet alone. </w:t>
      </w:r>
      <w:r w:rsidRPr="00387DA7">
        <w:rPr>
          <w:color w:val="000000"/>
          <w:sz w:val="22"/>
          <w:szCs w:val="22"/>
        </w:rPr>
        <w:t xml:space="preserve"> IPA's need to also submit copies of the relevant client records</w:t>
      </w:r>
      <w:r w:rsidR="00F53B3A" w:rsidRPr="00387DA7">
        <w:rPr>
          <w:color w:val="000000"/>
          <w:sz w:val="22"/>
          <w:szCs w:val="22"/>
        </w:rPr>
        <w:t xml:space="preserve"> (including bond information)</w:t>
      </w:r>
      <w:r w:rsidRPr="00387DA7">
        <w:rPr>
          <w:color w:val="000000"/>
          <w:sz w:val="22"/>
          <w:szCs w:val="22"/>
        </w:rPr>
        <w:t xml:space="preserve"> that support the IPA's testing spreadsheet.</w:t>
      </w:r>
    </w:p>
    <w:p w14:paraId="20C39BF3" w14:textId="77777777" w:rsidR="00791399" w:rsidRPr="00387DA7" w:rsidRDefault="00791399" w:rsidP="00DB4DA9">
      <w:pPr>
        <w:pStyle w:val="HTMLDefinition1"/>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0B42815D" w14:textId="24CE7FC8" w:rsidR="00910A9A" w:rsidRPr="00387DA7" w:rsidRDefault="00910A9A" w:rsidP="00910A9A">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All potential Findings for Recovery, </w:t>
      </w:r>
      <w:r w:rsidR="005D470E" w:rsidRPr="00387DA7">
        <w:rPr>
          <w:sz w:val="22"/>
          <w:szCs w:val="22"/>
          <w:lang w:eastAsia="ja-JP"/>
        </w:rPr>
        <w:t xml:space="preserve">regardless of the amount, </w:t>
      </w:r>
      <w:r w:rsidRPr="00387DA7">
        <w:rPr>
          <w:sz w:val="22"/>
          <w:szCs w:val="22"/>
          <w:lang w:eastAsia="ja-JP"/>
        </w:rPr>
        <w:t xml:space="preserve">are required to be reviewed by the AOS Legal Division and the Center for Audit Excellence.  </w:t>
      </w:r>
    </w:p>
    <w:p w14:paraId="11697639" w14:textId="77777777" w:rsidR="00910A9A" w:rsidRPr="00387DA7" w:rsidRDefault="00910A9A" w:rsidP="00910A9A">
      <w:pPr>
        <w:pStyle w:val="HTMLDefinition1"/>
        <w:shd w:val="clear" w:color="auto" w:fill="FFFFFF"/>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15E92D58" w14:textId="38C8EA6A" w:rsidR="00910A9A" w:rsidRPr="00387DA7" w:rsidRDefault="00910A9A" w:rsidP="00910A9A">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rStyle w:val="Hyperlink"/>
          <w:color w:val="auto"/>
          <w:sz w:val="22"/>
          <w:szCs w:val="22"/>
          <w:u w:val="none"/>
          <w:lang w:eastAsia="ja-JP"/>
        </w:rPr>
      </w:pPr>
      <w:r w:rsidRPr="00387DA7">
        <w:rPr>
          <w:sz w:val="22"/>
          <w:szCs w:val="22"/>
          <w:lang w:eastAsia="ja-JP"/>
        </w:rPr>
        <w:t xml:space="preserve">The regional chief auditor </w:t>
      </w:r>
      <w:r w:rsidR="00CF7FFE" w:rsidRPr="00387DA7">
        <w:rPr>
          <w:sz w:val="22"/>
          <w:szCs w:val="22"/>
          <w:lang w:eastAsia="ja-JP"/>
        </w:rPr>
        <w:t xml:space="preserve">or designee </w:t>
      </w:r>
      <w:r w:rsidRPr="00387DA7">
        <w:rPr>
          <w:sz w:val="22"/>
          <w:szCs w:val="22"/>
          <w:lang w:eastAsia="ja-JP"/>
        </w:rPr>
        <w:t xml:space="preserve">should notify the Chief of Quality Assurance that a Finding for Recovery may be issued via </w:t>
      </w:r>
      <w:hyperlink r:id="rId27">
        <w:r w:rsidRPr="00387DA7">
          <w:rPr>
            <w:rStyle w:val="Hyperlink"/>
            <w:sz w:val="22"/>
            <w:szCs w:val="22"/>
            <w:lang w:eastAsia="ja-JP"/>
          </w:rPr>
          <w:t>ipareport@ohioauditor.gov</w:t>
        </w:r>
      </w:hyperlink>
      <w:r w:rsidRPr="00387DA7">
        <w:rPr>
          <w:rStyle w:val="Hyperlink"/>
          <w:sz w:val="22"/>
          <w:szCs w:val="22"/>
          <w:u w:val="none"/>
          <w:lang w:eastAsia="ja-JP"/>
        </w:rPr>
        <w:t xml:space="preserve">.  </w:t>
      </w:r>
      <w:r w:rsidRPr="00387DA7">
        <w:rPr>
          <w:rStyle w:val="Hyperlink"/>
          <w:color w:val="auto"/>
          <w:sz w:val="22"/>
          <w:szCs w:val="22"/>
          <w:u w:val="none"/>
          <w:lang w:eastAsia="ja-JP"/>
        </w:rPr>
        <w:t xml:space="preserve">The Center for Audit Excellence will put a hold on the report until the finding is approved. </w:t>
      </w:r>
      <w:r w:rsidR="002F4D5C" w:rsidRPr="00387DA7">
        <w:rPr>
          <w:rStyle w:val="Hyperlink"/>
          <w:color w:val="auto"/>
          <w:sz w:val="22"/>
          <w:szCs w:val="22"/>
          <w:u w:val="none"/>
          <w:lang w:eastAsia="ja-JP"/>
        </w:rPr>
        <w:t xml:space="preserve"> Additionally, the Center for Audit Excellence will verify the Proposed and Final Notices of Finding were appropriately sent.</w:t>
      </w:r>
    </w:p>
    <w:p w14:paraId="2D7D4B22" w14:textId="77777777" w:rsidR="00910A9A" w:rsidRPr="00387DA7" w:rsidRDefault="00910A9A" w:rsidP="00910A9A">
      <w:pPr>
        <w:pStyle w:val="ListParagraph"/>
        <w:rPr>
          <w:rStyle w:val="Hyperlink"/>
          <w:color w:val="auto"/>
          <w:sz w:val="22"/>
          <w:szCs w:val="22"/>
          <w:u w:val="none"/>
          <w:lang w:eastAsia="ja-JP"/>
        </w:rPr>
      </w:pPr>
    </w:p>
    <w:p w14:paraId="3AB819BD" w14:textId="77777777" w:rsidR="00910A9A" w:rsidRPr="00387DA7" w:rsidRDefault="00910A9A" w:rsidP="00910A9A">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rStyle w:val="Hyperlink"/>
          <w:color w:val="auto"/>
          <w:sz w:val="22"/>
          <w:szCs w:val="22"/>
          <w:u w:val="none"/>
          <w:lang w:eastAsia="ja-JP"/>
        </w:rPr>
      </w:pPr>
      <w:r w:rsidRPr="00387DA7">
        <w:rPr>
          <w:rStyle w:val="Hyperlink"/>
          <w:color w:val="auto"/>
          <w:sz w:val="22"/>
          <w:szCs w:val="22"/>
          <w:u w:val="none"/>
          <w:lang w:eastAsia="ja-JP"/>
        </w:rPr>
        <w:t xml:space="preserve">The regional chief auditor or designee will prepare a preliminary Finding, along with any needed supportive documentation, and </w:t>
      </w:r>
      <w:proofErr w:type="gramStart"/>
      <w:r w:rsidRPr="00387DA7">
        <w:rPr>
          <w:rStyle w:val="Hyperlink"/>
          <w:color w:val="auto"/>
          <w:sz w:val="22"/>
          <w:szCs w:val="22"/>
          <w:u w:val="none"/>
          <w:lang w:eastAsia="ja-JP"/>
        </w:rPr>
        <w:t>submit</w:t>
      </w:r>
      <w:proofErr w:type="gramEnd"/>
      <w:r w:rsidRPr="00387DA7">
        <w:rPr>
          <w:rStyle w:val="Hyperlink"/>
          <w:color w:val="auto"/>
          <w:sz w:val="22"/>
          <w:szCs w:val="22"/>
          <w:u w:val="none"/>
          <w:lang w:eastAsia="ja-JP"/>
        </w:rPr>
        <w:t xml:space="preserve"> to the AOS Legal Division for approval. </w:t>
      </w:r>
    </w:p>
    <w:p w14:paraId="43C03EF4" w14:textId="77777777" w:rsidR="00910A9A" w:rsidRPr="00387DA7" w:rsidRDefault="00910A9A" w:rsidP="00910A9A">
      <w:pPr>
        <w:pStyle w:val="ListParagraph"/>
        <w:rPr>
          <w:sz w:val="22"/>
          <w:szCs w:val="22"/>
          <w:lang w:eastAsia="ja-JP"/>
        </w:rPr>
      </w:pPr>
    </w:p>
    <w:p w14:paraId="413BE192" w14:textId="734627F0" w:rsidR="00910A9A" w:rsidRPr="00387DA7" w:rsidRDefault="00910A9A" w:rsidP="00CF7FFE">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Legal Division will approve the potential </w:t>
      </w:r>
      <w:r w:rsidR="00B66C0F" w:rsidRPr="00387DA7">
        <w:rPr>
          <w:sz w:val="22"/>
          <w:szCs w:val="22"/>
          <w:lang w:eastAsia="ja-JP"/>
        </w:rPr>
        <w:t>finding</w:t>
      </w:r>
      <w:r w:rsidRPr="00387DA7">
        <w:rPr>
          <w:sz w:val="22"/>
          <w:szCs w:val="22"/>
          <w:lang w:eastAsia="ja-JP"/>
        </w:rPr>
        <w:t xml:space="preserve"> as is, approve with modifications, disapprove, or request more information be submitted to evaluate the proposed </w:t>
      </w:r>
      <w:proofErr w:type="gramStart"/>
      <w:r w:rsidRPr="00387DA7">
        <w:rPr>
          <w:sz w:val="22"/>
          <w:szCs w:val="22"/>
          <w:lang w:eastAsia="ja-JP"/>
        </w:rPr>
        <w:t>finding</w:t>
      </w:r>
      <w:proofErr w:type="gramEnd"/>
      <w:r w:rsidRPr="00387DA7">
        <w:rPr>
          <w:sz w:val="22"/>
          <w:szCs w:val="22"/>
          <w:lang w:eastAsia="ja-JP"/>
        </w:rPr>
        <w:t xml:space="preserve">.  </w:t>
      </w:r>
    </w:p>
    <w:p w14:paraId="31496A18" w14:textId="77777777" w:rsidR="00910A9A" w:rsidRPr="00387DA7" w:rsidRDefault="00910A9A" w:rsidP="00910A9A">
      <w:pPr>
        <w:pStyle w:val="ListParagraph"/>
        <w:rPr>
          <w:sz w:val="22"/>
          <w:szCs w:val="22"/>
          <w:lang w:eastAsia="ja-JP"/>
        </w:rPr>
      </w:pPr>
    </w:p>
    <w:p w14:paraId="6877DC34" w14:textId="74210407" w:rsidR="00CF7FFE" w:rsidRPr="00387DA7" w:rsidRDefault="00910A9A" w:rsidP="00CF7FFE">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Once approved by the Chief Legal </w:t>
      </w:r>
      <w:r w:rsidR="005D470E" w:rsidRPr="00387DA7">
        <w:rPr>
          <w:sz w:val="22"/>
          <w:szCs w:val="22"/>
          <w:lang w:eastAsia="ja-JP"/>
        </w:rPr>
        <w:t xml:space="preserve">Counsel </w:t>
      </w:r>
      <w:r w:rsidRPr="00387DA7">
        <w:rPr>
          <w:sz w:val="22"/>
          <w:szCs w:val="22"/>
          <w:lang w:eastAsia="ja-JP"/>
        </w:rPr>
        <w:t xml:space="preserve">or designee, the regional chief auditor </w:t>
      </w:r>
      <w:r w:rsidR="00CF7FFE" w:rsidRPr="00387DA7">
        <w:rPr>
          <w:sz w:val="22"/>
          <w:szCs w:val="22"/>
          <w:lang w:eastAsia="ja-JP"/>
        </w:rPr>
        <w:t xml:space="preserve">or designee </w:t>
      </w:r>
      <w:r w:rsidRPr="00387DA7">
        <w:rPr>
          <w:sz w:val="22"/>
          <w:szCs w:val="22"/>
          <w:lang w:eastAsia="ja-JP"/>
        </w:rPr>
        <w:t xml:space="preserve">should </w:t>
      </w:r>
      <w:r w:rsidR="00CF7FFE" w:rsidRPr="00387DA7">
        <w:rPr>
          <w:sz w:val="22"/>
          <w:szCs w:val="22"/>
          <w:lang w:eastAsia="ja-JP"/>
        </w:rPr>
        <w:t xml:space="preserve">send the </w:t>
      </w:r>
      <w:r w:rsidRPr="00387DA7">
        <w:rPr>
          <w:sz w:val="22"/>
          <w:szCs w:val="22"/>
          <w:lang w:eastAsia="ja-JP"/>
        </w:rPr>
        <w:t xml:space="preserve">finding to the Center </w:t>
      </w:r>
      <w:r w:rsidR="000C6967" w:rsidRPr="00387DA7">
        <w:rPr>
          <w:sz w:val="22"/>
          <w:szCs w:val="22"/>
          <w:lang w:eastAsia="ja-JP"/>
        </w:rPr>
        <w:t>for</w:t>
      </w:r>
      <w:r w:rsidRPr="00387DA7">
        <w:rPr>
          <w:sz w:val="22"/>
          <w:szCs w:val="22"/>
          <w:lang w:eastAsia="ja-JP"/>
        </w:rPr>
        <w:t xml:space="preserve"> Audit Excellence via </w:t>
      </w:r>
      <w:r w:rsidRPr="00387DA7">
        <w:rPr>
          <w:sz w:val="22"/>
          <w:szCs w:val="22"/>
        </w:rPr>
        <w:t xml:space="preserve">the IPA specialty in </w:t>
      </w:r>
      <w:r w:rsidRPr="005749FB">
        <w:rPr>
          <w:strike/>
          <w:sz w:val="22"/>
          <w:szCs w:val="22"/>
        </w:rPr>
        <w:t>Spiceworks</w:t>
      </w:r>
      <w:r w:rsidRPr="00387DA7">
        <w:rPr>
          <w:sz w:val="22"/>
          <w:szCs w:val="22"/>
        </w:rPr>
        <w:t xml:space="preserve"> </w:t>
      </w:r>
      <w:r w:rsidR="005749FB" w:rsidRPr="005749FB">
        <w:rPr>
          <w:sz w:val="22"/>
          <w:szCs w:val="22"/>
          <w:u w:val="wave"/>
        </w:rPr>
        <w:t>Happy</w:t>
      </w:r>
      <w:r w:rsidR="00FE68A4">
        <w:rPr>
          <w:sz w:val="22"/>
          <w:szCs w:val="22"/>
          <w:u w:val="wave"/>
        </w:rPr>
        <w:t xml:space="preserve"> </w:t>
      </w:r>
      <w:r w:rsidR="005749FB" w:rsidRPr="005749FB">
        <w:rPr>
          <w:sz w:val="22"/>
          <w:szCs w:val="22"/>
          <w:u w:val="wave"/>
        </w:rPr>
        <w:t>Fox</w:t>
      </w:r>
      <w:r w:rsidR="005749FB">
        <w:rPr>
          <w:sz w:val="22"/>
          <w:szCs w:val="22"/>
        </w:rPr>
        <w:t xml:space="preserve"> </w:t>
      </w:r>
      <w:r w:rsidRPr="00387DA7">
        <w:rPr>
          <w:sz w:val="22"/>
          <w:szCs w:val="22"/>
          <w:lang w:eastAsia="ja-JP"/>
        </w:rPr>
        <w:t xml:space="preserve">for consultation. </w:t>
      </w:r>
    </w:p>
    <w:p w14:paraId="5947ADA7" w14:textId="77777777" w:rsidR="00CF7FFE" w:rsidRPr="00387DA7" w:rsidRDefault="00CF7FFE" w:rsidP="00CF7FFE">
      <w:pPr>
        <w:pStyle w:val="ListParagraph"/>
        <w:ind w:left="270"/>
        <w:rPr>
          <w:sz w:val="22"/>
          <w:szCs w:val="22"/>
          <w:lang w:eastAsia="ja-JP"/>
        </w:rPr>
      </w:pPr>
    </w:p>
    <w:p w14:paraId="2DDDB5B0" w14:textId="77777777" w:rsidR="00CF7FFE" w:rsidRPr="00387DA7" w:rsidRDefault="00CF7FFE" w:rsidP="00CF7FFE">
      <w:pPr>
        <w:pStyle w:val="HTMLDefinition1"/>
        <w:numPr>
          <w:ilvl w:val="0"/>
          <w:numId w:val="1"/>
        </w:numPr>
        <w:shd w:val="clear" w:color="auto" w:fill="FFFFFF"/>
        <w:tabs>
          <w:tab w:val="num"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Once approved by the Legal Division and the Center for Audit Excellence, t</w:t>
      </w:r>
      <w:r w:rsidR="0029589E" w:rsidRPr="00387DA7">
        <w:rPr>
          <w:sz w:val="22"/>
          <w:szCs w:val="22"/>
          <w:lang w:eastAsia="ja-JP"/>
        </w:rPr>
        <w:t>he regional chief auditor or</w:t>
      </w:r>
      <w:r w:rsidRPr="00387DA7">
        <w:rPr>
          <w:sz w:val="22"/>
          <w:szCs w:val="22"/>
          <w:lang w:eastAsia="ja-JP"/>
        </w:rPr>
        <w:t xml:space="preserve"> designee will submit the </w:t>
      </w:r>
      <w:r w:rsidRPr="00387DA7">
        <w:rPr>
          <w:i/>
          <w:iCs/>
          <w:sz w:val="22"/>
          <w:szCs w:val="22"/>
          <w:lang w:eastAsia="ja-JP"/>
        </w:rPr>
        <w:t>Notice of Proposed Findings</w:t>
      </w:r>
      <w:r w:rsidRPr="00387DA7">
        <w:rPr>
          <w:sz w:val="22"/>
          <w:szCs w:val="22"/>
          <w:lang w:eastAsia="ja-JP"/>
        </w:rPr>
        <w:t xml:space="preserve"> letters to the Legal Division for approval.</w:t>
      </w:r>
    </w:p>
    <w:p w14:paraId="37B788ED" w14:textId="77777777" w:rsidR="002C1AA1" w:rsidRPr="00387DA7" w:rsidRDefault="002C1AA1" w:rsidP="00DB4DA9">
      <w:p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4D71586" w14:textId="782E17C6" w:rsidR="00CF7FFE" w:rsidRPr="00387DA7" w:rsidRDefault="00910A9A" w:rsidP="4E18FDBA">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After the Legal Division has approved the </w:t>
      </w:r>
      <w:r w:rsidRPr="00387DA7">
        <w:rPr>
          <w:i/>
          <w:iCs/>
          <w:sz w:val="22"/>
          <w:szCs w:val="22"/>
          <w:lang w:eastAsia="ja-JP"/>
        </w:rPr>
        <w:t>Notice of Proposed Findings</w:t>
      </w:r>
      <w:r w:rsidRPr="00387DA7">
        <w:rPr>
          <w:sz w:val="22"/>
          <w:szCs w:val="22"/>
          <w:lang w:eastAsia="ja-JP"/>
        </w:rPr>
        <w:t xml:space="preserve"> letters</w:t>
      </w:r>
      <w:r w:rsidR="00CF7FFE" w:rsidRPr="00387DA7">
        <w:rPr>
          <w:sz w:val="22"/>
          <w:szCs w:val="22"/>
          <w:lang w:eastAsia="ja-JP"/>
        </w:rPr>
        <w:t>, t</w:t>
      </w:r>
      <w:r w:rsidRPr="00387DA7">
        <w:rPr>
          <w:sz w:val="22"/>
          <w:szCs w:val="22"/>
          <w:lang w:eastAsia="ja-JP"/>
        </w:rPr>
        <w:t>he regional chief auditor or his/her designee will obtain the limited waiver from the IPA</w:t>
      </w:r>
      <w:r w:rsidRPr="00387DA7">
        <w:rPr>
          <w:sz w:val="22"/>
          <w:szCs w:val="22"/>
          <w:vertAlign w:val="superscript"/>
        </w:rPr>
        <w:footnoteReference w:id="26"/>
      </w:r>
      <w:r w:rsidRPr="00387DA7">
        <w:rPr>
          <w:sz w:val="22"/>
          <w:szCs w:val="22"/>
          <w:lang w:eastAsia="ja-JP"/>
        </w:rPr>
        <w:t xml:space="preserve"> and</w:t>
      </w:r>
      <w:r w:rsidR="004251C4" w:rsidRPr="00387DA7">
        <w:rPr>
          <w:sz w:val="22"/>
          <w:szCs w:val="22"/>
          <w:lang w:eastAsia="ja-JP"/>
        </w:rPr>
        <w:t>,</w:t>
      </w:r>
      <w:r w:rsidRPr="00387DA7">
        <w:rPr>
          <w:sz w:val="22"/>
          <w:szCs w:val="22"/>
          <w:lang w:eastAsia="ja-JP"/>
        </w:rPr>
        <w:t xml:space="preserve"> send the </w:t>
      </w:r>
      <w:r w:rsidRPr="00387DA7">
        <w:rPr>
          <w:i/>
          <w:iCs/>
          <w:sz w:val="22"/>
          <w:szCs w:val="22"/>
          <w:lang w:eastAsia="ja-JP"/>
        </w:rPr>
        <w:t>Notice of Proposed Finding</w:t>
      </w:r>
      <w:r w:rsidRPr="00387DA7">
        <w:rPr>
          <w:sz w:val="22"/>
          <w:szCs w:val="22"/>
          <w:lang w:eastAsia="ja-JP"/>
        </w:rPr>
        <w:t xml:space="preserve"> to </w:t>
      </w:r>
      <w:proofErr w:type="gramStart"/>
      <w:r w:rsidRPr="00387DA7">
        <w:rPr>
          <w:sz w:val="22"/>
          <w:szCs w:val="22"/>
          <w:lang w:eastAsia="ja-JP"/>
        </w:rPr>
        <w:t>each individual</w:t>
      </w:r>
      <w:proofErr w:type="gramEnd"/>
      <w:r w:rsidRPr="00387DA7">
        <w:rPr>
          <w:sz w:val="22"/>
          <w:szCs w:val="22"/>
          <w:lang w:eastAsia="ja-JP"/>
        </w:rPr>
        <w:t xml:space="preserve"> na</w:t>
      </w:r>
      <w:r w:rsidR="0089266A" w:rsidRPr="00387DA7">
        <w:rPr>
          <w:sz w:val="22"/>
          <w:szCs w:val="22"/>
          <w:lang w:eastAsia="ja-JP"/>
        </w:rPr>
        <w:t>med in the Finding for Recovery</w:t>
      </w:r>
      <w:r w:rsidR="009157A3" w:rsidRPr="00387DA7">
        <w:rPr>
          <w:sz w:val="22"/>
          <w:szCs w:val="22"/>
          <w:lang w:eastAsia="ja-JP"/>
        </w:rPr>
        <w:t xml:space="preserve"> </w:t>
      </w:r>
      <w:r w:rsidR="009B4BF1" w:rsidRPr="00387DA7">
        <w:rPr>
          <w:sz w:val="22"/>
          <w:szCs w:val="22"/>
          <w:lang w:eastAsia="ja-JP"/>
        </w:rPr>
        <w:t>and the bonding company(ies).</w:t>
      </w:r>
    </w:p>
    <w:p w14:paraId="17312804" w14:textId="77777777" w:rsidR="0094318B" w:rsidRPr="00387DA7" w:rsidRDefault="0094318B" w:rsidP="00DB4DA9">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53D8D620" w14:textId="77777777" w:rsidR="00CF7FFE" w:rsidRPr="00387DA7" w:rsidRDefault="00910A9A" w:rsidP="00CF7FFE">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applicable parties are normally given five days to respond.  If they respond, the regional chief auditor should evaluate the response along with the Legal Division and decide whether to withdraw or modify the Finding. </w:t>
      </w:r>
    </w:p>
    <w:p w14:paraId="409B7E10" w14:textId="77777777" w:rsidR="00910A9A" w:rsidRPr="00387DA7" w:rsidRDefault="00910A9A" w:rsidP="00910A9A">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28400FFE" w14:textId="42EA2533" w:rsidR="00910A9A" w:rsidRPr="00387DA7" w:rsidRDefault="00910A9A" w:rsidP="28775DEA">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regional chief auditor will send a copy of Legal Division’s final approved finding to the Chief of Quality Assurance via </w:t>
      </w:r>
      <w:hyperlink r:id="rId28">
        <w:r w:rsidRPr="00387DA7">
          <w:rPr>
            <w:rStyle w:val="Hyperlink"/>
            <w:sz w:val="22"/>
            <w:szCs w:val="22"/>
            <w:lang w:eastAsia="ja-JP"/>
          </w:rPr>
          <w:t>ipareport@ohioauditor.gov</w:t>
        </w:r>
      </w:hyperlink>
      <w:r w:rsidRPr="00387DA7">
        <w:rPr>
          <w:sz w:val="22"/>
          <w:szCs w:val="22"/>
          <w:lang w:eastAsia="ja-JP"/>
        </w:rPr>
        <w:t xml:space="preserve"> for inclusion with the Acceptance Letter.  The Ch</w:t>
      </w:r>
      <w:r w:rsidR="0029589E" w:rsidRPr="00387DA7">
        <w:rPr>
          <w:sz w:val="22"/>
          <w:szCs w:val="22"/>
          <w:lang w:eastAsia="ja-JP"/>
        </w:rPr>
        <w:t>ief of Quality Assurance, or</w:t>
      </w:r>
      <w:r w:rsidRPr="00387DA7">
        <w:rPr>
          <w:sz w:val="22"/>
          <w:szCs w:val="22"/>
          <w:lang w:eastAsia="ja-JP"/>
        </w:rPr>
        <w:t xml:space="preserve"> </w:t>
      </w:r>
      <w:proofErr w:type="gramStart"/>
      <w:r w:rsidRPr="00387DA7">
        <w:rPr>
          <w:sz w:val="22"/>
          <w:szCs w:val="22"/>
          <w:lang w:eastAsia="ja-JP"/>
        </w:rPr>
        <w:t>designee</w:t>
      </w:r>
      <w:proofErr w:type="gramEnd"/>
      <w:r w:rsidRPr="00387DA7">
        <w:rPr>
          <w:sz w:val="22"/>
          <w:szCs w:val="22"/>
          <w:lang w:eastAsia="ja-JP"/>
        </w:rPr>
        <w:t>, certifies the report.</w:t>
      </w:r>
    </w:p>
    <w:p w14:paraId="3CB2577E" w14:textId="77777777" w:rsidR="00910A9A" w:rsidRPr="00387DA7" w:rsidRDefault="00910A9A" w:rsidP="00910A9A">
      <w:pPr>
        <w:pStyle w:val="ListParagraph"/>
        <w:rPr>
          <w:sz w:val="22"/>
          <w:szCs w:val="22"/>
          <w:lang w:eastAsia="ja-JP"/>
        </w:rPr>
      </w:pPr>
    </w:p>
    <w:p w14:paraId="20D35CE9" w14:textId="56EB50A3" w:rsidR="00101FE1" w:rsidRPr="00387DA7" w:rsidRDefault="00101FE1" w:rsidP="00101FE1">
      <w:pPr>
        <w:pStyle w:val="HTMLDefinition1"/>
        <w:numPr>
          <w:ilvl w:val="0"/>
          <w:numId w:val="1"/>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regional </w:t>
      </w:r>
      <w:r w:rsidR="0029589E" w:rsidRPr="00387DA7">
        <w:rPr>
          <w:sz w:val="22"/>
          <w:szCs w:val="22"/>
          <w:lang w:eastAsia="ja-JP"/>
        </w:rPr>
        <w:t>chief auditor or</w:t>
      </w:r>
      <w:r w:rsidRPr="00387DA7">
        <w:rPr>
          <w:sz w:val="22"/>
          <w:szCs w:val="22"/>
          <w:lang w:eastAsia="ja-JP"/>
        </w:rPr>
        <w:t xml:space="preserve"> designee will prepare and send the </w:t>
      </w:r>
      <w:r w:rsidRPr="00387DA7">
        <w:rPr>
          <w:i/>
          <w:iCs/>
          <w:sz w:val="22"/>
          <w:szCs w:val="22"/>
          <w:lang w:eastAsia="ja-JP"/>
        </w:rPr>
        <w:t>Notice of Proposed Finding</w:t>
      </w:r>
      <w:r w:rsidRPr="00387DA7">
        <w:rPr>
          <w:sz w:val="22"/>
          <w:szCs w:val="22"/>
          <w:lang w:eastAsia="ja-JP"/>
        </w:rPr>
        <w:t xml:space="preserve"> and </w:t>
      </w:r>
      <w:r w:rsidRPr="00387DA7">
        <w:rPr>
          <w:i/>
          <w:iCs/>
          <w:sz w:val="22"/>
          <w:szCs w:val="22"/>
          <w:lang w:eastAsia="ja-JP"/>
        </w:rPr>
        <w:t>Notice of Finding</w:t>
      </w:r>
      <w:r w:rsidRPr="00387DA7">
        <w:rPr>
          <w:sz w:val="22"/>
          <w:szCs w:val="22"/>
          <w:lang w:eastAsia="ja-JP"/>
        </w:rPr>
        <w:t xml:space="preserve"> letters to </w:t>
      </w:r>
      <w:r w:rsidR="00F1001B" w:rsidRPr="00387DA7">
        <w:rPr>
          <w:sz w:val="22"/>
          <w:szCs w:val="22"/>
          <w:lang w:eastAsia="ja-JP"/>
        </w:rPr>
        <w:t>applicable parties</w:t>
      </w:r>
      <w:r w:rsidRPr="00387DA7">
        <w:rPr>
          <w:sz w:val="22"/>
          <w:szCs w:val="22"/>
          <w:lang w:eastAsia="ja-JP"/>
        </w:rPr>
        <w:t xml:space="preserve">, and any rebuttal or response correspondence to these letters via certified mail return and maintain receipt cards to/from the </w:t>
      </w:r>
      <w:r w:rsidR="0089266A" w:rsidRPr="00387DA7">
        <w:rPr>
          <w:sz w:val="22"/>
          <w:szCs w:val="22"/>
          <w:lang w:eastAsia="ja-JP"/>
        </w:rPr>
        <w:t>applicable party</w:t>
      </w:r>
      <w:r w:rsidRPr="00387DA7">
        <w:rPr>
          <w:sz w:val="22"/>
          <w:szCs w:val="22"/>
          <w:lang w:eastAsia="ja-JP"/>
        </w:rPr>
        <w:t>(</w:t>
      </w:r>
      <w:r w:rsidR="0089266A" w:rsidRPr="00387DA7">
        <w:rPr>
          <w:sz w:val="22"/>
          <w:szCs w:val="22"/>
          <w:lang w:eastAsia="ja-JP"/>
        </w:rPr>
        <w:t>ie</w:t>
      </w:r>
      <w:r w:rsidRPr="00387DA7">
        <w:rPr>
          <w:sz w:val="22"/>
          <w:szCs w:val="22"/>
          <w:lang w:eastAsia="ja-JP"/>
        </w:rPr>
        <w:t>s) of the finding.</w:t>
      </w:r>
      <w:r w:rsidR="004251C4" w:rsidRPr="00387DA7">
        <w:rPr>
          <w:sz w:val="22"/>
          <w:szCs w:val="22"/>
          <w:lang w:eastAsia="ja-JP"/>
        </w:rPr>
        <w:t xml:space="preserve">  The regional chief auditor or designee will notify the Chief of Quality Assurance that the Proposed and Final Notices of Finding were sent and provide copies of each for inclusion in the Quality Assurance files for the audit.</w:t>
      </w:r>
    </w:p>
    <w:p w14:paraId="67A00BD7" w14:textId="77777777" w:rsidR="00101FE1" w:rsidRPr="00387DA7" w:rsidRDefault="00101FE1" w:rsidP="00101FE1">
      <w:pPr>
        <w:pStyle w:val="HTMLDefinition1"/>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jc w:val="both"/>
        <w:rPr>
          <w:sz w:val="22"/>
          <w:szCs w:val="22"/>
          <w:lang w:eastAsia="ja-JP"/>
        </w:rPr>
      </w:pPr>
    </w:p>
    <w:p w14:paraId="01F335F7" w14:textId="7B643EA5" w:rsidR="00CF7FFE" w:rsidRPr="00387DA7" w:rsidRDefault="00910A9A" w:rsidP="00CF7FFE">
      <w:pPr>
        <w:pStyle w:val="HTMLDefinition1"/>
        <w:numPr>
          <w:ilvl w:val="0"/>
          <w:numId w:val="1"/>
        </w:numPr>
        <w:shd w:val="clear" w:color="auto" w:fill="FFFFFF"/>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The regional chief auditor </w:t>
      </w:r>
      <w:r w:rsidR="0029589E" w:rsidRPr="00387DA7">
        <w:rPr>
          <w:sz w:val="22"/>
          <w:szCs w:val="22"/>
          <w:lang w:eastAsia="ja-JP"/>
        </w:rPr>
        <w:t>or</w:t>
      </w:r>
      <w:r w:rsidR="00CF7FFE" w:rsidRPr="00387DA7">
        <w:rPr>
          <w:sz w:val="22"/>
          <w:szCs w:val="22"/>
          <w:lang w:eastAsia="ja-JP"/>
        </w:rPr>
        <w:t xml:space="preserve"> designee </w:t>
      </w:r>
      <w:r w:rsidRPr="00387DA7">
        <w:rPr>
          <w:sz w:val="22"/>
          <w:szCs w:val="22"/>
          <w:lang w:eastAsia="ja-JP"/>
        </w:rPr>
        <w:t xml:space="preserve">will send the </w:t>
      </w:r>
      <w:r w:rsidRPr="00387DA7">
        <w:rPr>
          <w:i/>
          <w:iCs/>
          <w:sz w:val="22"/>
          <w:szCs w:val="22"/>
          <w:lang w:eastAsia="ja-JP"/>
        </w:rPr>
        <w:t>Notice of Finding</w:t>
      </w:r>
      <w:r w:rsidRPr="00387DA7">
        <w:rPr>
          <w:sz w:val="22"/>
          <w:szCs w:val="22"/>
          <w:lang w:eastAsia="ja-JP"/>
        </w:rPr>
        <w:t xml:space="preserve"> to </w:t>
      </w:r>
      <w:proofErr w:type="gramStart"/>
      <w:r w:rsidRPr="00387DA7">
        <w:rPr>
          <w:sz w:val="22"/>
          <w:szCs w:val="22"/>
          <w:lang w:eastAsia="ja-JP"/>
        </w:rPr>
        <w:t>each individual</w:t>
      </w:r>
      <w:proofErr w:type="gramEnd"/>
      <w:r w:rsidRPr="00387DA7">
        <w:rPr>
          <w:sz w:val="22"/>
          <w:szCs w:val="22"/>
          <w:lang w:eastAsia="ja-JP"/>
        </w:rPr>
        <w:t xml:space="preserve"> named in the Finding for Recovery and the bonding company(ies) upon releasing the report. </w:t>
      </w:r>
      <w:r w:rsidR="004251C4" w:rsidRPr="00387DA7">
        <w:rPr>
          <w:sz w:val="22"/>
          <w:szCs w:val="22"/>
          <w:lang w:eastAsia="ja-JP"/>
        </w:rPr>
        <w:t xml:space="preserve"> The Center for Audit Excellence must verify that the Notice of Finding was sent by the region and include a copy in the Quality Assurance files for the audit.</w:t>
      </w:r>
    </w:p>
    <w:p w14:paraId="6A69E5B2" w14:textId="77777777" w:rsidR="00CF7FFE" w:rsidRPr="00387DA7" w:rsidRDefault="00CF7FFE" w:rsidP="00CF7FFE">
      <w:pPr>
        <w:pStyle w:val="ListParagraph"/>
        <w:rPr>
          <w:sz w:val="22"/>
          <w:szCs w:val="22"/>
          <w:lang w:eastAsia="ja-JP"/>
        </w:rPr>
      </w:pPr>
    </w:p>
    <w:p w14:paraId="7B9DDADE" w14:textId="5F5F93EA" w:rsidR="00910A9A" w:rsidRPr="00387DA7" w:rsidRDefault="005D470E" w:rsidP="00910A9A">
      <w:pPr>
        <w:pStyle w:val="HTMLDefinition1"/>
        <w:numPr>
          <w:ilvl w:val="0"/>
          <w:numId w:val="1"/>
        </w:numPr>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270" w:hanging="270"/>
        <w:jc w:val="both"/>
        <w:rPr>
          <w:sz w:val="22"/>
          <w:szCs w:val="22"/>
          <w:lang w:eastAsia="ja-JP"/>
        </w:rPr>
      </w:pPr>
      <w:r w:rsidRPr="00387DA7">
        <w:rPr>
          <w:sz w:val="22"/>
          <w:szCs w:val="22"/>
          <w:lang w:eastAsia="ja-JP"/>
        </w:rPr>
        <w:t xml:space="preserve">AOS Legal Division </w:t>
      </w:r>
      <w:r w:rsidR="00910A9A" w:rsidRPr="00387DA7">
        <w:rPr>
          <w:sz w:val="22"/>
          <w:szCs w:val="22"/>
          <w:lang w:eastAsia="ja-JP"/>
        </w:rPr>
        <w:t xml:space="preserve">will send </w:t>
      </w:r>
      <w:proofErr w:type="gramStart"/>
      <w:r w:rsidR="00910A9A" w:rsidRPr="00387DA7">
        <w:rPr>
          <w:sz w:val="22"/>
          <w:szCs w:val="22"/>
          <w:lang w:eastAsia="ja-JP"/>
        </w:rPr>
        <w:t>the statutory</w:t>
      </w:r>
      <w:proofErr w:type="gramEnd"/>
      <w:r w:rsidR="00910A9A" w:rsidRPr="00387DA7">
        <w:rPr>
          <w:sz w:val="22"/>
          <w:szCs w:val="22"/>
          <w:lang w:eastAsia="ja-JP"/>
        </w:rPr>
        <w:t xml:space="preserve"> legal counsel letters.  </w:t>
      </w:r>
    </w:p>
    <w:p w14:paraId="71E27B7E" w14:textId="77777777" w:rsidR="00F00DF1" w:rsidRPr="00387DA7" w:rsidRDefault="00F00DF1" w:rsidP="00DB4DA9">
      <w:pPr>
        <w:pStyle w:val="HTMLDefinition1"/>
        <w:tabs>
          <w:tab w:val="left" w:pos="2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0"/>
        <w:jc w:val="both"/>
        <w:rPr>
          <w:sz w:val="22"/>
          <w:szCs w:val="22"/>
          <w:lang w:eastAsia="ja-JP"/>
        </w:rPr>
      </w:pPr>
    </w:p>
    <w:p w14:paraId="18A892ED" w14:textId="7D33171D" w:rsidR="008F6A36" w:rsidRPr="00387DA7" w:rsidRDefault="00E8444B" w:rsidP="5F95526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IPAs should refer a</w:t>
      </w:r>
      <w:r w:rsidR="008F6A36" w:rsidRPr="00387DA7">
        <w:rPr>
          <w:sz w:val="22"/>
          <w:szCs w:val="22"/>
          <w:lang w:eastAsia="ja-JP"/>
        </w:rPr>
        <w:t xml:space="preserve">ny matters involving possible criminal activities </w:t>
      </w:r>
      <w:r w:rsidR="00E42FBD" w:rsidRPr="00387DA7">
        <w:rPr>
          <w:sz w:val="22"/>
          <w:szCs w:val="22"/>
          <w:lang w:eastAsia="ja-JP"/>
        </w:rPr>
        <w:t>to the</w:t>
      </w:r>
      <w:r w:rsidR="0064319B" w:rsidRPr="00387DA7">
        <w:rPr>
          <w:sz w:val="22"/>
          <w:szCs w:val="22"/>
          <w:lang w:eastAsia="ja-JP"/>
        </w:rPr>
        <w:t xml:space="preserve"> regional chief audito</w:t>
      </w:r>
      <w:r w:rsidR="00785D1C" w:rsidRPr="00387DA7">
        <w:rPr>
          <w:sz w:val="22"/>
          <w:szCs w:val="22"/>
          <w:lang w:eastAsia="ja-JP"/>
        </w:rPr>
        <w:t>r</w:t>
      </w:r>
      <w:r w:rsidR="007955DE" w:rsidRPr="00387DA7">
        <w:rPr>
          <w:sz w:val="22"/>
          <w:szCs w:val="22"/>
          <w:lang w:eastAsia="ja-JP"/>
        </w:rPr>
        <w:t>, who should then inform</w:t>
      </w:r>
      <w:r w:rsidR="00785D1C" w:rsidRPr="00387DA7">
        <w:rPr>
          <w:sz w:val="22"/>
          <w:szCs w:val="22"/>
          <w:lang w:eastAsia="ja-JP"/>
        </w:rPr>
        <w:t xml:space="preserve"> the</w:t>
      </w:r>
      <w:r w:rsidR="00E9348E" w:rsidRPr="00387DA7">
        <w:rPr>
          <w:sz w:val="22"/>
          <w:szCs w:val="22"/>
          <w:lang w:eastAsia="ja-JP"/>
        </w:rPr>
        <w:t xml:space="preserve"> Chief Forensic Auditor</w:t>
      </w:r>
      <w:r w:rsidR="00785D1C" w:rsidRPr="00387DA7">
        <w:rPr>
          <w:sz w:val="22"/>
          <w:szCs w:val="22"/>
          <w:lang w:eastAsia="ja-JP"/>
        </w:rPr>
        <w:t xml:space="preserve"> of the Auditor of State’s</w:t>
      </w:r>
      <w:r w:rsidR="004769CF" w:rsidRPr="00387DA7">
        <w:rPr>
          <w:sz w:val="22"/>
          <w:szCs w:val="22"/>
          <w:lang w:eastAsia="ja-JP"/>
        </w:rPr>
        <w:t xml:space="preserve"> SIU</w:t>
      </w:r>
      <w:r w:rsidR="009935C5" w:rsidRPr="00387DA7">
        <w:rPr>
          <w:sz w:val="22"/>
          <w:szCs w:val="22"/>
          <w:lang w:eastAsia="ja-JP"/>
        </w:rPr>
        <w:t xml:space="preserve">, </w:t>
      </w:r>
      <w:r w:rsidR="009935C5" w:rsidRPr="00387DA7">
        <w:rPr>
          <w:sz w:val="22"/>
          <w:szCs w:val="22"/>
        </w:rPr>
        <w:t>or designee</w:t>
      </w:r>
      <w:r w:rsidR="0072780A">
        <w:rPr>
          <w:sz w:val="22"/>
          <w:szCs w:val="22"/>
        </w:rPr>
        <w:t>.</w:t>
      </w:r>
      <w:r w:rsidR="00E42FBD" w:rsidRPr="00387DA7">
        <w:rPr>
          <w:sz w:val="22"/>
          <w:szCs w:val="22"/>
          <w:lang w:eastAsia="ja-JP"/>
        </w:rPr>
        <w:t xml:space="preserve"> </w:t>
      </w:r>
    </w:p>
    <w:p w14:paraId="16195535" w14:textId="77777777" w:rsidR="00CF19A2" w:rsidRPr="00387DA7" w:rsidRDefault="00CF19A2"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4E69430" w14:textId="595DAC9B" w:rsidR="00CF19A2" w:rsidRPr="00387DA7" w:rsidRDefault="00CF19A2"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In addition, independent public accountants are to make an immediate, written report of all </w:t>
      </w:r>
      <w:r w:rsidR="00CE1BE9" w:rsidRPr="00387DA7">
        <w:rPr>
          <w:sz w:val="22"/>
          <w:szCs w:val="22"/>
          <w:lang w:eastAsia="ja-JP"/>
        </w:rPr>
        <w:t xml:space="preserve">non-compliance </w:t>
      </w:r>
      <w:r w:rsidR="00AF3AD5" w:rsidRPr="00387DA7">
        <w:rPr>
          <w:sz w:val="22"/>
          <w:szCs w:val="22"/>
          <w:lang w:eastAsia="ja-JP"/>
        </w:rPr>
        <w:t>which</w:t>
      </w:r>
      <w:r w:rsidRPr="00387DA7">
        <w:rPr>
          <w:sz w:val="22"/>
          <w:szCs w:val="22"/>
          <w:lang w:eastAsia="ja-JP"/>
        </w:rPr>
        <w:t xml:space="preserve"> may result in </w:t>
      </w:r>
      <w:r w:rsidR="002F4D5C" w:rsidRPr="00387DA7">
        <w:rPr>
          <w:sz w:val="22"/>
          <w:szCs w:val="22"/>
          <w:lang w:eastAsia="ja-JP"/>
        </w:rPr>
        <w:t>Findings for Recovery</w:t>
      </w:r>
      <w:r w:rsidR="009B7A72" w:rsidRPr="00387DA7">
        <w:rPr>
          <w:sz w:val="22"/>
          <w:szCs w:val="22"/>
          <w:lang w:eastAsia="ja-JP"/>
        </w:rPr>
        <w:t xml:space="preserve"> </w:t>
      </w:r>
      <w:r w:rsidRPr="00387DA7">
        <w:rPr>
          <w:sz w:val="22"/>
          <w:szCs w:val="22"/>
          <w:lang w:eastAsia="ja-JP"/>
        </w:rPr>
        <w:t xml:space="preserve">of </w:t>
      </w:r>
      <w:r w:rsidR="009B7A72" w:rsidRPr="00387DA7">
        <w:rPr>
          <w:sz w:val="22"/>
          <w:szCs w:val="22"/>
          <w:lang w:eastAsia="ja-JP"/>
        </w:rPr>
        <w:t xml:space="preserve">which they become aware to the </w:t>
      </w:r>
      <w:r w:rsidR="0064319B" w:rsidRPr="00387DA7">
        <w:rPr>
          <w:sz w:val="22"/>
          <w:szCs w:val="22"/>
          <w:lang w:eastAsia="ja-JP"/>
        </w:rPr>
        <w:t xml:space="preserve">regional </w:t>
      </w:r>
      <w:r w:rsidR="00FD75C2" w:rsidRPr="00387DA7">
        <w:rPr>
          <w:sz w:val="22"/>
          <w:szCs w:val="22"/>
          <w:lang w:eastAsia="ja-JP"/>
        </w:rPr>
        <w:t>c</w:t>
      </w:r>
      <w:r w:rsidR="000134A4" w:rsidRPr="00387DA7">
        <w:rPr>
          <w:sz w:val="22"/>
          <w:szCs w:val="22"/>
          <w:lang w:eastAsia="ja-JP"/>
        </w:rPr>
        <w:t xml:space="preserve">hief </w:t>
      </w:r>
      <w:r w:rsidR="00FD75C2" w:rsidRPr="00387DA7">
        <w:rPr>
          <w:sz w:val="22"/>
          <w:szCs w:val="22"/>
          <w:lang w:eastAsia="ja-JP"/>
        </w:rPr>
        <w:t>a</w:t>
      </w:r>
      <w:r w:rsidR="000134A4" w:rsidRPr="00387DA7">
        <w:rPr>
          <w:sz w:val="22"/>
          <w:szCs w:val="22"/>
          <w:lang w:eastAsia="ja-JP"/>
        </w:rPr>
        <w:t>uditor</w:t>
      </w:r>
      <w:r w:rsidR="003C14E6" w:rsidRPr="00387DA7">
        <w:rPr>
          <w:sz w:val="22"/>
          <w:szCs w:val="22"/>
          <w:lang w:eastAsia="ja-JP"/>
        </w:rPr>
        <w:t>.</w:t>
      </w:r>
    </w:p>
    <w:p w14:paraId="52093063" w14:textId="77777777" w:rsidR="00DF75EE" w:rsidRPr="00387DA7" w:rsidRDefault="00DF75EE"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60D16789" w14:textId="77777777" w:rsidR="008F6A36" w:rsidRPr="00387DA7" w:rsidRDefault="008F6A36"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r w:rsidRPr="00387DA7">
        <w:rPr>
          <w:b/>
          <w:sz w:val="22"/>
          <w:szCs w:val="22"/>
          <w:lang w:eastAsia="ja-JP"/>
        </w:rPr>
        <w:t>Example Findings for Recovery</w:t>
      </w:r>
    </w:p>
    <w:p w14:paraId="5C7DD752" w14:textId="77777777" w:rsidR="00B4792F" w:rsidRPr="00387DA7" w:rsidRDefault="00B4792F"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62BA5BD9" w14:textId="2E12402F" w:rsidR="008F6A36" w:rsidRPr="00387DA7" w:rsidRDefault="008F6A36" w:rsidP="00242FD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An </w:t>
      </w:r>
      <w:r w:rsidR="005C5975" w:rsidRPr="00387DA7">
        <w:rPr>
          <w:sz w:val="22"/>
          <w:szCs w:val="22"/>
        </w:rPr>
        <w:t>example</w:t>
      </w:r>
      <w:r w:rsidRPr="00387DA7">
        <w:rPr>
          <w:sz w:val="22"/>
          <w:szCs w:val="22"/>
          <w:lang w:eastAsia="ja-JP"/>
        </w:rPr>
        <w:t xml:space="preserve"> </w:t>
      </w:r>
      <w:r w:rsidR="002F4D5C" w:rsidRPr="00387DA7">
        <w:rPr>
          <w:i/>
          <w:sz w:val="22"/>
          <w:szCs w:val="22"/>
          <w:lang w:eastAsia="ja-JP"/>
        </w:rPr>
        <w:t>Finding for Recovery</w:t>
      </w:r>
      <w:r w:rsidRPr="00387DA7">
        <w:rPr>
          <w:sz w:val="22"/>
          <w:szCs w:val="22"/>
          <w:lang w:eastAsia="ja-JP"/>
        </w:rPr>
        <w:t xml:space="preserve"> is included </w:t>
      </w:r>
      <w:proofErr w:type="gramStart"/>
      <w:r w:rsidRPr="00387DA7">
        <w:rPr>
          <w:sz w:val="22"/>
          <w:szCs w:val="22"/>
          <w:lang w:eastAsia="ja-JP"/>
        </w:rPr>
        <w:t>below</w:t>
      </w:r>
      <w:proofErr w:type="gramEnd"/>
      <w:r w:rsidR="00CA424F" w:rsidRPr="00387DA7">
        <w:rPr>
          <w:sz w:val="22"/>
          <w:szCs w:val="22"/>
          <w:lang w:eastAsia="ja-JP"/>
        </w:rPr>
        <w:t xml:space="preserve"> and more detailed examples are available in the Standardized Comments file on the Intranet</w:t>
      </w:r>
      <w:r w:rsidRPr="00387DA7">
        <w:rPr>
          <w:sz w:val="22"/>
          <w:szCs w:val="22"/>
          <w:lang w:eastAsia="ja-JP"/>
        </w:rPr>
        <w:t>:</w:t>
      </w:r>
    </w:p>
    <w:p w14:paraId="226285BA" w14:textId="77777777" w:rsidR="008F6A36" w:rsidRPr="00387DA7" w:rsidRDefault="008F6A36"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spacing w:line="139" w:lineRule="exact"/>
        <w:rPr>
          <w:sz w:val="22"/>
          <w:szCs w:val="22"/>
          <w:lang w:eastAsia="ja-JP"/>
        </w:rPr>
      </w:pPr>
    </w:p>
    <w:p w14:paraId="38B0E7A5" w14:textId="77777777" w:rsidR="008F6A36" w:rsidRPr="00387DA7" w:rsidRDefault="008F6A36"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Receipts issued for impounding fees by the County Dog Pound and Dog Warden totaled $1,234 more than deposits made to the County Auditor.  Ohio Rev </w:t>
      </w:r>
      <w:r w:rsidR="00FD3963" w:rsidRPr="00387DA7">
        <w:rPr>
          <w:sz w:val="22"/>
          <w:szCs w:val="22"/>
          <w:lang w:eastAsia="ja-JP"/>
        </w:rPr>
        <w:t xml:space="preserve">Code </w:t>
      </w:r>
      <w:r w:rsidR="009B4BF1" w:rsidRPr="00387DA7">
        <w:rPr>
          <w:sz w:val="22"/>
          <w:szCs w:val="22"/>
          <w:lang w:eastAsia="ja-JP"/>
        </w:rPr>
        <w:t>§ 9</w:t>
      </w:r>
      <w:r w:rsidR="009163FC" w:rsidRPr="00387DA7">
        <w:rPr>
          <w:sz w:val="22"/>
          <w:szCs w:val="22"/>
          <w:lang w:eastAsia="ja-JP"/>
        </w:rPr>
        <w:t>.39 states</w:t>
      </w:r>
      <w:r w:rsidRPr="00387DA7">
        <w:rPr>
          <w:sz w:val="22"/>
          <w:szCs w:val="22"/>
          <w:lang w:eastAsia="ja-JP"/>
        </w:rPr>
        <w:t xml:space="preserve"> all “public officials are liable for all public money received or collected by them or by their subordinates under color of office.”</w:t>
      </w:r>
    </w:p>
    <w:p w14:paraId="75B36BD2" w14:textId="77777777" w:rsidR="008F6A36" w:rsidRPr="00387DA7" w:rsidRDefault="008F6A36"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F3C510B" w14:textId="778ABEE0" w:rsidR="008F6A36" w:rsidRPr="00387DA7" w:rsidRDefault="008F6A36"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In accordance with the forgoing facts, and pursuant to Ohio Rev. </w:t>
      </w:r>
      <w:r w:rsidR="00FD3963" w:rsidRPr="00387DA7">
        <w:rPr>
          <w:sz w:val="22"/>
          <w:szCs w:val="22"/>
          <w:lang w:eastAsia="ja-JP"/>
        </w:rPr>
        <w:t xml:space="preserve">Code </w:t>
      </w:r>
      <w:r w:rsidR="005C122D" w:rsidRPr="005C122D">
        <w:rPr>
          <w:sz w:val="22"/>
          <w:szCs w:val="22"/>
          <w:u w:val="wave"/>
          <w:lang w:eastAsia="ja-JP"/>
        </w:rPr>
        <w:t>Chapter 117</w:t>
      </w:r>
      <w:r w:rsidR="005C122D">
        <w:rPr>
          <w:sz w:val="22"/>
          <w:szCs w:val="22"/>
          <w:lang w:eastAsia="ja-JP"/>
        </w:rPr>
        <w:t xml:space="preserve"> </w:t>
      </w:r>
      <w:r w:rsidR="009B4BF1" w:rsidRPr="005C122D">
        <w:rPr>
          <w:strike/>
          <w:sz w:val="22"/>
          <w:szCs w:val="22"/>
          <w:lang w:eastAsia="ja-JP"/>
        </w:rPr>
        <w:t>§ 1</w:t>
      </w:r>
      <w:r w:rsidRPr="005C122D">
        <w:rPr>
          <w:strike/>
          <w:sz w:val="22"/>
          <w:szCs w:val="22"/>
          <w:lang w:eastAsia="ja-JP"/>
        </w:rPr>
        <w:t>17.28</w:t>
      </w:r>
      <w:r w:rsidRPr="00387DA7">
        <w:rPr>
          <w:sz w:val="22"/>
          <w:szCs w:val="22"/>
          <w:lang w:eastAsia="ja-JP"/>
        </w:rPr>
        <w:t xml:space="preserve">, a Finding for Recovery for public money collected but not accounted for is hereby issued against John Doe, County Dog Warden, </w:t>
      </w:r>
      <w:r w:rsidR="009F709A" w:rsidRPr="00387DA7">
        <w:rPr>
          <w:sz w:val="22"/>
          <w:szCs w:val="22"/>
          <w:lang w:eastAsia="ja-JP"/>
        </w:rPr>
        <w:t xml:space="preserve">and </w:t>
      </w:r>
      <w:r w:rsidRPr="00387DA7">
        <w:rPr>
          <w:sz w:val="22"/>
          <w:szCs w:val="22"/>
          <w:lang w:eastAsia="ja-JP"/>
        </w:rPr>
        <w:t>the</w:t>
      </w:r>
      <w:r w:rsidR="00A51FF1" w:rsidRPr="005C122D">
        <w:rPr>
          <w:sz w:val="22"/>
          <w:szCs w:val="22"/>
          <w:u w:val="wave"/>
          <w:lang w:eastAsia="ja-JP"/>
        </w:rPr>
        <w:t xml:space="preserve"> bond covering John Doe, </w:t>
      </w:r>
      <w:r w:rsidR="00D268C2" w:rsidRPr="005C122D">
        <w:rPr>
          <w:sz w:val="22"/>
          <w:szCs w:val="22"/>
          <w:u w:val="wave"/>
          <w:lang w:eastAsia="ja-JP"/>
        </w:rPr>
        <w:t xml:space="preserve">provided </w:t>
      </w:r>
      <w:r w:rsidR="00A42A7D" w:rsidRPr="005C122D">
        <w:rPr>
          <w:sz w:val="22"/>
          <w:szCs w:val="22"/>
          <w:u w:val="wave"/>
          <w:lang w:eastAsia="ja-JP"/>
        </w:rPr>
        <w:t>through</w:t>
      </w:r>
      <w:r w:rsidRPr="00387DA7">
        <w:rPr>
          <w:sz w:val="22"/>
          <w:szCs w:val="22"/>
          <w:lang w:eastAsia="ja-JP"/>
        </w:rPr>
        <w:t xml:space="preserve"> Ace Insuranc</w:t>
      </w:r>
      <w:r w:rsidR="004A1914" w:rsidRPr="00387DA7">
        <w:rPr>
          <w:sz w:val="22"/>
          <w:szCs w:val="22"/>
          <w:lang w:eastAsia="ja-JP"/>
        </w:rPr>
        <w:t>e Company</w:t>
      </w:r>
      <w:r w:rsidR="009F709A" w:rsidRPr="00387DA7">
        <w:rPr>
          <w:sz w:val="22"/>
          <w:szCs w:val="22"/>
          <w:lang w:eastAsia="ja-JP"/>
        </w:rPr>
        <w:t>,</w:t>
      </w:r>
      <w:r w:rsidR="004A1914" w:rsidRPr="00387DA7">
        <w:rPr>
          <w:sz w:val="22"/>
          <w:szCs w:val="22"/>
          <w:lang w:eastAsia="ja-JP"/>
        </w:rPr>
        <w:t xml:space="preserve"> </w:t>
      </w:r>
      <w:r w:rsidR="009F709A" w:rsidRPr="005C122D">
        <w:rPr>
          <w:strike/>
          <w:sz w:val="22"/>
          <w:szCs w:val="22"/>
          <w:lang w:eastAsia="ja-JP"/>
        </w:rPr>
        <w:t>his</w:t>
      </w:r>
      <w:r w:rsidR="004A1914" w:rsidRPr="005C122D">
        <w:rPr>
          <w:strike/>
          <w:sz w:val="22"/>
          <w:szCs w:val="22"/>
          <w:lang w:eastAsia="ja-JP"/>
        </w:rPr>
        <w:t xml:space="preserve"> bonding company,</w:t>
      </w:r>
      <w:r w:rsidRPr="00387DA7">
        <w:rPr>
          <w:sz w:val="22"/>
          <w:szCs w:val="22"/>
          <w:lang w:eastAsia="ja-JP"/>
        </w:rPr>
        <w:t xml:space="preserve"> </w:t>
      </w:r>
      <w:r w:rsidR="004A1914" w:rsidRPr="00387DA7">
        <w:rPr>
          <w:sz w:val="22"/>
          <w:szCs w:val="22"/>
          <w:lang w:eastAsia="ja-JP"/>
        </w:rPr>
        <w:t xml:space="preserve">jointly and severally, </w:t>
      </w:r>
      <w:r w:rsidR="004120F7" w:rsidRPr="00387DA7">
        <w:rPr>
          <w:sz w:val="22"/>
          <w:szCs w:val="22"/>
          <w:lang w:eastAsia="ja-JP"/>
        </w:rPr>
        <w:t xml:space="preserve">for $1,234 </w:t>
      </w:r>
      <w:r w:rsidRPr="00387DA7">
        <w:rPr>
          <w:sz w:val="22"/>
          <w:szCs w:val="22"/>
          <w:lang w:eastAsia="ja-JP"/>
        </w:rPr>
        <w:t xml:space="preserve">and in favor of the County Dog and Kennel Fund.  </w:t>
      </w:r>
    </w:p>
    <w:p w14:paraId="47FE19A4" w14:textId="77777777" w:rsidR="009163FC" w:rsidRPr="00387DA7" w:rsidRDefault="009163FC"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7A2A9226" w14:textId="77777777" w:rsidR="009163FC" w:rsidRPr="00387DA7" w:rsidRDefault="009163FC" w:rsidP="00DB24AE">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r w:rsidRPr="00387DA7">
        <w:rPr>
          <w:sz w:val="22"/>
          <w:szCs w:val="22"/>
          <w:lang w:eastAsia="ja-JP"/>
        </w:rPr>
        <w:t>(Note:  Per the preceding discussion, IPAs would modify this finding by deleting the second paragraph an</w:t>
      </w:r>
      <w:r w:rsidR="002A1CEA" w:rsidRPr="00387DA7">
        <w:rPr>
          <w:sz w:val="22"/>
          <w:szCs w:val="22"/>
          <w:lang w:eastAsia="ja-JP"/>
        </w:rPr>
        <w:t>d instead stating, for example, “We have referred this matter to the Auditor of State for resolution</w:t>
      </w:r>
      <w:r w:rsidR="00584919" w:rsidRPr="00387DA7">
        <w:rPr>
          <w:sz w:val="22"/>
          <w:szCs w:val="22"/>
          <w:lang w:eastAsia="ja-JP"/>
        </w:rPr>
        <w:t>.”</w:t>
      </w:r>
      <w:r w:rsidR="003D4009" w:rsidRPr="00387DA7">
        <w:rPr>
          <w:sz w:val="22"/>
          <w:szCs w:val="22"/>
          <w:lang w:eastAsia="ja-JP"/>
        </w:rPr>
        <w:t>)</w:t>
      </w:r>
    </w:p>
    <w:p w14:paraId="635421DC" w14:textId="77777777" w:rsidR="00776C23" w:rsidRDefault="00776C23" w:rsidP="00637DF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4"/>
          <w:lang w:eastAsia="ja-JP"/>
        </w:rPr>
      </w:pPr>
    </w:p>
    <w:p w14:paraId="6F273702" w14:textId="288F0CC4" w:rsidR="0019466A" w:rsidRDefault="0019466A">
      <w:pPr>
        <w:rPr>
          <w:b/>
          <w:sz w:val="22"/>
          <w:szCs w:val="22"/>
          <w:lang w:eastAsia="ja-JP"/>
        </w:rPr>
      </w:pPr>
    </w:p>
    <w:p w14:paraId="21C6EBA5" w14:textId="132E3801" w:rsidR="00637DF7" w:rsidRPr="00387DA7" w:rsidRDefault="00637DF7" w:rsidP="00637DF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b/>
          <w:sz w:val="22"/>
          <w:szCs w:val="22"/>
          <w:lang w:eastAsia="ja-JP"/>
        </w:rPr>
      </w:pPr>
      <w:r w:rsidRPr="00387DA7">
        <w:rPr>
          <w:b/>
          <w:sz w:val="22"/>
          <w:szCs w:val="22"/>
          <w:lang w:eastAsia="ja-JP"/>
        </w:rPr>
        <w:t>Responsibility for Paying Findings for Recovery:  Strict Liability Laws</w:t>
      </w:r>
    </w:p>
    <w:p w14:paraId="725280B1" w14:textId="77777777" w:rsidR="0055738E" w:rsidRPr="00387DA7" w:rsidRDefault="0055738E"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621FE828" w14:textId="093E1FD4" w:rsidR="008F6A36" w:rsidRPr="00387DA7" w:rsidRDefault="2B97219F" w:rsidP="1738A90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P</w:t>
      </w:r>
      <w:r w:rsidR="1E54040B" w:rsidRPr="00387DA7">
        <w:rPr>
          <w:sz w:val="22"/>
          <w:szCs w:val="22"/>
          <w:lang w:eastAsia="ja-JP"/>
        </w:rPr>
        <w:t xml:space="preserve">ublic officials are </w:t>
      </w:r>
      <w:r w:rsidR="0A23179B" w:rsidRPr="00387DA7">
        <w:rPr>
          <w:sz w:val="22"/>
          <w:szCs w:val="22"/>
          <w:lang w:eastAsia="ja-JP"/>
        </w:rPr>
        <w:t>strictly liable</w:t>
      </w:r>
      <w:r w:rsidR="1E54040B" w:rsidRPr="00387DA7">
        <w:rPr>
          <w:sz w:val="22"/>
          <w:szCs w:val="22"/>
          <w:lang w:eastAsia="ja-JP"/>
        </w:rPr>
        <w:t xml:space="preserve"> </w:t>
      </w:r>
      <w:r w:rsidR="2E37A08C" w:rsidRPr="00387DA7">
        <w:rPr>
          <w:sz w:val="22"/>
          <w:szCs w:val="22"/>
          <w:lang w:eastAsia="ja-JP"/>
        </w:rPr>
        <w:t>for</w:t>
      </w:r>
      <w:r w:rsidR="0B746BF6" w:rsidRPr="00387DA7">
        <w:rPr>
          <w:sz w:val="22"/>
          <w:szCs w:val="22"/>
          <w:lang w:eastAsia="ja-JP"/>
        </w:rPr>
        <w:t xml:space="preserve"> all</w:t>
      </w:r>
      <w:r w:rsidR="2E37A08C" w:rsidRPr="00387DA7">
        <w:rPr>
          <w:sz w:val="22"/>
          <w:szCs w:val="22"/>
          <w:lang w:eastAsia="ja-JP"/>
        </w:rPr>
        <w:t xml:space="preserve"> public money received or collected by them or by their subordinates under color of law</w:t>
      </w:r>
      <w:r w:rsidR="1E54040B" w:rsidRPr="00387DA7">
        <w:rPr>
          <w:sz w:val="22"/>
          <w:szCs w:val="22"/>
          <w:lang w:eastAsia="ja-JP"/>
        </w:rPr>
        <w:t xml:space="preserve">.  </w:t>
      </w:r>
      <w:r w:rsidR="597A50B2" w:rsidRPr="00387DA7">
        <w:rPr>
          <w:sz w:val="22"/>
          <w:szCs w:val="22"/>
          <w:lang w:eastAsia="ja-JP"/>
        </w:rPr>
        <w:t xml:space="preserve">“Strict liability” </w:t>
      </w:r>
      <w:r w:rsidR="1E54040B" w:rsidRPr="00387DA7">
        <w:rPr>
          <w:sz w:val="22"/>
          <w:szCs w:val="22"/>
          <w:lang w:eastAsia="ja-JP"/>
        </w:rPr>
        <w:t xml:space="preserve">means a person may be found liable for the loss even though he or she may not have </w:t>
      </w:r>
      <w:r w:rsidR="0A23179B" w:rsidRPr="00387DA7">
        <w:rPr>
          <w:sz w:val="22"/>
          <w:szCs w:val="22"/>
          <w:lang w:eastAsia="ja-JP"/>
        </w:rPr>
        <w:t xml:space="preserve">been personally at fault. </w:t>
      </w:r>
      <w:r w:rsidR="670188B9" w:rsidRPr="00387DA7">
        <w:rPr>
          <w:sz w:val="22"/>
          <w:szCs w:val="22"/>
          <w:lang w:eastAsia="ja-JP"/>
        </w:rPr>
        <w:t>Mere unidentified shortages of public mon</w:t>
      </w:r>
      <w:r w:rsidR="006A4794" w:rsidRPr="00387DA7">
        <w:rPr>
          <w:sz w:val="22"/>
          <w:szCs w:val="22"/>
          <w:lang w:eastAsia="ja-JP"/>
        </w:rPr>
        <w:t>i</w:t>
      </w:r>
      <w:r w:rsidR="670188B9" w:rsidRPr="00387DA7">
        <w:rPr>
          <w:sz w:val="22"/>
          <w:szCs w:val="22"/>
          <w:lang w:eastAsia="ja-JP"/>
        </w:rPr>
        <w:t>es, or an illegal expenditure, are</w:t>
      </w:r>
      <w:r w:rsidR="1E54040B" w:rsidRPr="00387DA7">
        <w:rPr>
          <w:sz w:val="22"/>
          <w:szCs w:val="22"/>
          <w:lang w:eastAsia="ja-JP"/>
        </w:rPr>
        <w:t xml:space="preserve"> sufficient reasons </w:t>
      </w:r>
      <w:r w:rsidR="670188B9" w:rsidRPr="00387DA7">
        <w:rPr>
          <w:sz w:val="22"/>
          <w:szCs w:val="22"/>
          <w:lang w:eastAsia="ja-JP"/>
        </w:rPr>
        <w:t>for a Finding</w:t>
      </w:r>
      <w:r w:rsidR="1E54040B" w:rsidRPr="00387DA7">
        <w:rPr>
          <w:sz w:val="22"/>
          <w:szCs w:val="22"/>
          <w:lang w:eastAsia="ja-JP"/>
        </w:rPr>
        <w:t xml:space="preserve"> for Recovery against such a public official.</w:t>
      </w:r>
      <w:r w:rsidR="597A50B2" w:rsidRPr="00387DA7">
        <w:rPr>
          <w:rStyle w:val="FootnoteReference"/>
          <w:sz w:val="22"/>
          <w:szCs w:val="22"/>
          <w:lang w:eastAsia="ja-JP"/>
        </w:rPr>
        <w:t xml:space="preserve"> </w:t>
      </w:r>
      <w:bookmarkStart w:id="34" w:name="_Ref116381897"/>
      <w:r w:rsidR="005D470E" w:rsidRPr="00387DA7">
        <w:rPr>
          <w:rStyle w:val="FootnoteReference"/>
          <w:sz w:val="22"/>
          <w:szCs w:val="22"/>
          <w:lang w:eastAsia="ja-JP"/>
        </w:rPr>
        <w:footnoteReference w:id="27"/>
      </w:r>
      <w:bookmarkEnd w:id="34"/>
      <w:r w:rsidR="1E54040B" w:rsidRPr="00387DA7">
        <w:rPr>
          <w:sz w:val="22"/>
          <w:szCs w:val="22"/>
          <w:lang w:eastAsia="ja-JP"/>
        </w:rPr>
        <w:t xml:space="preserve"> </w:t>
      </w:r>
    </w:p>
    <w:p w14:paraId="532D8D46" w14:textId="77777777" w:rsidR="00007AEC" w:rsidRPr="00387DA7" w:rsidRDefault="00007AEC"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FA61F2E" w14:textId="374A9A33" w:rsidR="004A1914" w:rsidRPr="00387DA7" w:rsidRDefault="1E59F3DC" w:rsidP="00DD68A7">
      <w:pPr>
        <w:jc w:val="both"/>
        <w:rPr>
          <w:b/>
          <w:bCs/>
          <w:sz w:val="22"/>
          <w:szCs w:val="22"/>
          <w:lang w:eastAsia="ja-JP"/>
        </w:rPr>
      </w:pPr>
      <w:r w:rsidRPr="00387DA7">
        <w:rPr>
          <w:sz w:val="22"/>
          <w:szCs w:val="22"/>
        </w:rPr>
        <w:t xml:space="preserve">Thus, public officials </w:t>
      </w:r>
      <w:r w:rsidR="30D8DE7B" w:rsidRPr="00387DA7">
        <w:rPr>
          <w:sz w:val="22"/>
          <w:szCs w:val="22"/>
        </w:rPr>
        <w:t xml:space="preserve">(including </w:t>
      </w:r>
      <w:r w:rsidRPr="00387DA7">
        <w:rPr>
          <w:sz w:val="22"/>
          <w:szCs w:val="22"/>
        </w:rPr>
        <w:t>fiscal officers</w:t>
      </w:r>
      <w:r w:rsidR="30D8DE7B" w:rsidRPr="00387DA7">
        <w:rPr>
          <w:sz w:val="22"/>
          <w:szCs w:val="22"/>
        </w:rPr>
        <w:t>)</w:t>
      </w:r>
      <w:r w:rsidRPr="00387DA7">
        <w:rPr>
          <w:sz w:val="22"/>
          <w:szCs w:val="22"/>
        </w:rPr>
        <w:t xml:space="preserve"> must be aware of their</w:t>
      </w:r>
      <w:r w:rsidR="7675A0AC" w:rsidRPr="00387DA7">
        <w:rPr>
          <w:sz w:val="22"/>
          <w:szCs w:val="22"/>
        </w:rPr>
        <w:t xml:space="preserve"> role in </w:t>
      </w:r>
      <w:r w:rsidRPr="00387DA7">
        <w:rPr>
          <w:sz w:val="22"/>
          <w:szCs w:val="22"/>
        </w:rPr>
        <w:t>safeguarding amounts collected</w:t>
      </w:r>
      <w:r w:rsidR="7675A0AC" w:rsidRPr="00387DA7">
        <w:rPr>
          <w:sz w:val="22"/>
          <w:szCs w:val="22"/>
        </w:rPr>
        <w:t>,</w:t>
      </w:r>
      <w:r w:rsidRPr="00387DA7">
        <w:rPr>
          <w:sz w:val="22"/>
          <w:szCs w:val="22"/>
        </w:rPr>
        <w:t xml:space="preserve"> and take steps to prevent mistakes, errors or omissions resulting in the loss of public funds. In the context of an AOS audit, both the </w:t>
      </w:r>
      <w:r w:rsidR="16067A0E" w:rsidRPr="00387DA7">
        <w:rPr>
          <w:sz w:val="22"/>
          <w:szCs w:val="22"/>
        </w:rPr>
        <w:t xml:space="preserve">public official who received or collected the public money and the public official who supervises </w:t>
      </w:r>
      <w:r w:rsidR="6E90B386" w:rsidRPr="00387DA7">
        <w:rPr>
          <w:sz w:val="22"/>
          <w:szCs w:val="22"/>
        </w:rPr>
        <w:t xml:space="preserve">the person who received or collected the public money </w:t>
      </w:r>
      <w:r w:rsidRPr="00387DA7">
        <w:rPr>
          <w:sz w:val="22"/>
          <w:szCs w:val="22"/>
        </w:rPr>
        <w:t xml:space="preserve">may be liable for such losses, and may therefore be included as a party liable for repaying a </w:t>
      </w:r>
      <w:r w:rsidR="11E3083F" w:rsidRPr="00387DA7">
        <w:rPr>
          <w:i/>
          <w:iCs/>
          <w:sz w:val="22"/>
          <w:szCs w:val="22"/>
        </w:rPr>
        <w:t>Finding for Recovery</w:t>
      </w:r>
      <w:r w:rsidRPr="00387DA7">
        <w:rPr>
          <w:sz w:val="22"/>
          <w:szCs w:val="22"/>
        </w:rPr>
        <w:t xml:space="preserve">, even if they did not personally account for the transaction.  </w:t>
      </w:r>
      <w:r w:rsidR="49BE6B8A" w:rsidRPr="00387DA7">
        <w:rPr>
          <w:sz w:val="22"/>
          <w:szCs w:val="22"/>
        </w:rPr>
        <w:t>County Auditors may also consult Ohio Rev. Code § 319.16 for clarification on their liability for public money.  G</w:t>
      </w:r>
      <w:r w:rsidR="26FCF512" w:rsidRPr="00387DA7">
        <w:rPr>
          <w:sz w:val="22"/>
          <w:szCs w:val="22"/>
        </w:rPr>
        <w:t xml:space="preserve">eneral concepts included in the Bulletin </w:t>
      </w:r>
      <w:r w:rsidR="2AF0A7C7" w:rsidRPr="00387DA7">
        <w:rPr>
          <w:sz w:val="22"/>
          <w:szCs w:val="22"/>
        </w:rPr>
        <w:t xml:space="preserve">may </w:t>
      </w:r>
      <w:r w:rsidR="26FCF512" w:rsidRPr="00387DA7">
        <w:rPr>
          <w:sz w:val="22"/>
          <w:szCs w:val="22"/>
        </w:rPr>
        <w:t xml:space="preserve">apply </w:t>
      </w:r>
      <w:r w:rsidRPr="00387DA7">
        <w:rPr>
          <w:sz w:val="22"/>
          <w:szCs w:val="22"/>
        </w:rPr>
        <w:t xml:space="preserve">to all public offices.  </w:t>
      </w:r>
    </w:p>
    <w:p w14:paraId="530715EE" w14:textId="77777777" w:rsidR="008F6A36" w:rsidRPr="00387DA7"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1E12CCB" w14:textId="4AF22E79" w:rsidR="009F709A" w:rsidRPr="00387DA7" w:rsidRDefault="0055738E" w:rsidP="56929BC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When a public official (including fiscal officers) is named in a </w:t>
      </w:r>
      <w:r w:rsidR="002F4D5C" w:rsidRPr="00387DA7">
        <w:rPr>
          <w:sz w:val="22"/>
          <w:szCs w:val="22"/>
          <w:lang w:eastAsia="ja-JP"/>
        </w:rPr>
        <w:t>Finding for Recovery</w:t>
      </w:r>
      <w:r w:rsidRPr="00387DA7">
        <w:rPr>
          <w:sz w:val="22"/>
          <w:szCs w:val="22"/>
          <w:lang w:eastAsia="ja-JP"/>
        </w:rPr>
        <w:t xml:space="preserve"> based on the strict liability </w:t>
      </w:r>
      <w:r w:rsidR="00DB755A" w:rsidRPr="00387DA7">
        <w:rPr>
          <w:sz w:val="22"/>
          <w:szCs w:val="22"/>
          <w:lang w:eastAsia="ja-JP"/>
        </w:rPr>
        <w:t>laws,</w:t>
      </w:r>
      <w:r w:rsidRPr="00387DA7">
        <w:rPr>
          <w:sz w:val="22"/>
          <w:szCs w:val="22"/>
          <w:lang w:eastAsia="ja-JP"/>
        </w:rPr>
        <w:t xml:space="preserve"> auditors should modify the wording </w:t>
      </w:r>
      <w:r w:rsidR="008F6A36" w:rsidRPr="00387DA7">
        <w:rPr>
          <w:sz w:val="22"/>
          <w:szCs w:val="22"/>
          <w:lang w:eastAsia="ja-JP"/>
        </w:rPr>
        <w:t xml:space="preserve">of </w:t>
      </w:r>
      <w:r w:rsidRPr="00387DA7">
        <w:rPr>
          <w:sz w:val="22"/>
          <w:szCs w:val="22"/>
          <w:lang w:eastAsia="ja-JP"/>
        </w:rPr>
        <w:t xml:space="preserve">the </w:t>
      </w:r>
      <w:r w:rsidR="008F6A36" w:rsidRPr="00387DA7">
        <w:rPr>
          <w:sz w:val="22"/>
          <w:szCs w:val="22"/>
          <w:lang w:eastAsia="ja-JP"/>
        </w:rPr>
        <w:t xml:space="preserve">Finding accordingly. An </w:t>
      </w:r>
      <w:r w:rsidR="00F00F77" w:rsidRPr="00387DA7">
        <w:rPr>
          <w:sz w:val="22"/>
          <w:szCs w:val="22"/>
        </w:rPr>
        <w:t>example</w:t>
      </w:r>
      <w:r w:rsidR="5EC3E0B3" w:rsidRPr="00387DA7">
        <w:rPr>
          <w:sz w:val="22"/>
          <w:szCs w:val="22"/>
          <w:lang w:eastAsia="ja-JP"/>
        </w:rPr>
        <w:t xml:space="preserve"> follows and more detailed examples are </w:t>
      </w:r>
      <w:r w:rsidR="00291E49" w:rsidRPr="00387DA7">
        <w:rPr>
          <w:sz w:val="22"/>
          <w:szCs w:val="22"/>
          <w:lang w:eastAsia="ja-JP"/>
        </w:rPr>
        <w:t>available in the Standardized Co</w:t>
      </w:r>
      <w:r w:rsidR="00CF1696" w:rsidRPr="00387DA7">
        <w:rPr>
          <w:sz w:val="22"/>
          <w:szCs w:val="22"/>
          <w:lang w:eastAsia="ja-JP"/>
        </w:rPr>
        <w:t>mments file on the Intranet</w:t>
      </w:r>
      <w:r w:rsidR="3C8209CF" w:rsidRPr="00387DA7">
        <w:rPr>
          <w:sz w:val="22"/>
          <w:szCs w:val="22"/>
          <w:lang w:eastAsia="ja-JP"/>
        </w:rPr>
        <w:t>:</w:t>
      </w:r>
    </w:p>
    <w:p w14:paraId="46803FB6" w14:textId="04C69F61" w:rsidR="003E7E7E" w:rsidRDefault="003E7E7E">
      <w:pPr>
        <w:rPr>
          <w:sz w:val="22"/>
          <w:szCs w:val="22"/>
          <w:lang w:eastAsia="ja-JP"/>
        </w:rPr>
      </w:pPr>
      <w:r>
        <w:rPr>
          <w:sz w:val="22"/>
          <w:szCs w:val="22"/>
          <w:lang w:eastAsia="ja-JP"/>
        </w:rPr>
        <w:br w:type="page"/>
      </w:r>
    </w:p>
    <w:p w14:paraId="52DD0F4C" w14:textId="77777777" w:rsidR="00FA5F05" w:rsidRPr="00387DA7" w:rsidRDefault="00FA5F05" w:rsidP="00467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2"/>
          <w:szCs w:val="22"/>
          <w:lang w:eastAsia="ja-JP"/>
        </w:rPr>
      </w:pPr>
    </w:p>
    <w:p w14:paraId="2977512F" w14:textId="1518026E" w:rsidR="004317EA" w:rsidRPr="00387DA7"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Joe’s Service Business, Inc. improperly submitted </w:t>
      </w:r>
      <w:r w:rsidR="004C2C2E" w:rsidRPr="00387DA7">
        <w:rPr>
          <w:sz w:val="22"/>
          <w:szCs w:val="22"/>
          <w:lang w:eastAsia="ja-JP"/>
        </w:rPr>
        <w:t xml:space="preserve">and received payment on </w:t>
      </w:r>
      <w:r w:rsidRPr="00387DA7">
        <w:rPr>
          <w:sz w:val="22"/>
          <w:szCs w:val="22"/>
          <w:lang w:eastAsia="ja-JP"/>
        </w:rPr>
        <w:t xml:space="preserve">invoices for $125,000 </w:t>
      </w:r>
      <w:proofErr w:type="gramStart"/>
      <w:r w:rsidRPr="00387DA7">
        <w:rPr>
          <w:sz w:val="22"/>
          <w:szCs w:val="22"/>
          <w:lang w:eastAsia="ja-JP"/>
        </w:rPr>
        <w:t>in excess of</w:t>
      </w:r>
      <w:proofErr w:type="gramEnd"/>
      <w:r w:rsidRPr="00387DA7">
        <w:rPr>
          <w:sz w:val="22"/>
          <w:szCs w:val="22"/>
          <w:lang w:eastAsia="ja-JP"/>
        </w:rPr>
        <w:t xml:space="preserve"> the amounts City’s Council authorized.</w:t>
      </w:r>
      <w:r w:rsidRPr="00387DA7">
        <w:rPr>
          <w:sz w:val="22"/>
          <w:szCs w:val="22"/>
        </w:rPr>
        <w:t xml:space="preserve"> </w:t>
      </w:r>
      <w:r w:rsidR="003B7558" w:rsidRPr="00387DA7">
        <w:rPr>
          <w:sz w:val="22"/>
          <w:szCs w:val="22"/>
          <w:highlight w:val="green"/>
        </w:rPr>
        <w:t>City Finance Director Jim Smith received or controlled the public money used to make the illegal expenditures.</w:t>
      </w:r>
      <w:r w:rsidR="003B7558" w:rsidRPr="00387DA7">
        <w:rPr>
          <w:sz w:val="22"/>
          <w:szCs w:val="22"/>
        </w:rPr>
        <w:t xml:space="preserve"> </w:t>
      </w:r>
      <w:r w:rsidR="006A796E" w:rsidRPr="00387DA7">
        <w:rPr>
          <w:sz w:val="22"/>
          <w:szCs w:val="22"/>
          <w:highlight w:val="green"/>
          <w:lang w:eastAsia="ja-JP"/>
        </w:rPr>
        <w:t>(</w:t>
      </w:r>
      <w:r w:rsidR="006A796E" w:rsidRPr="00387DA7">
        <w:rPr>
          <w:rFonts w:ascii="Wingdings" w:eastAsia="Wingdings" w:hAnsi="Wingdings" w:cs="Wingdings"/>
          <w:sz w:val="22"/>
          <w:szCs w:val="22"/>
          <w:highlight w:val="green"/>
          <w:lang w:eastAsia="ja-JP"/>
        </w:rPr>
        <w:t></w:t>
      </w:r>
      <w:r w:rsidR="006A796E" w:rsidRPr="00387DA7">
        <w:rPr>
          <w:sz w:val="22"/>
          <w:szCs w:val="22"/>
          <w:highlight w:val="green"/>
          <w:lang w:eastAsia="ja-JP"/>
        </w:rPr>
        <w:t>Remove the highlighted sentence if the finding was repaid under audit.)</w:t>
      </w:r>
    </w:p>
    <w:p w14:paraId="61723CEE" w14:textId="77777777" w:rsidR="004317EA" w:rsidRPr="00387DA7"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769873E3" w14:textId="77777777" w:rsidR="004317EA" w:rsidRPr="00292B29"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292B29">
        <w:rPr>
          <w:sz w:val="22"/>
          <w:szCs w:val="22"/>
          <w:lang w:eastAsia="ja-JP"/>
        </w:rPr>
        <w:t xml:space="preserve">Under Ohio law, public officials are strictly liable for all public money received or collected by them or their subordinates under color of law. Ohio Rev. Code § 9.39; </w:t>
      </w:r>
      <w:r w:rsidRPr="00292B29">
        <w:rPr>
          <w:i/>
          <w:sz w:val="22"/>
          <w:szCs w:val="22"/>
          <w:lang w:eastAsia="ja-JP"/>
        </w:rPr>
        <w:t>Cordray v. Internatl. Preparatory School</w:t>
      </w:r>
      <w:r w:rsidRPr="00292B29">
        <w:rPr>
          <w:sz w:val="22"/>
          <w:szCs w:val="22"/>
          <w:lang w:eastAsia="ja-JP"/>
        </w:rPr>
        <w:t>, 128 Ohio St.3d 50 (2010).</w:t>
      </w:r>
    </w:p>
    <w:p w14:paraId="51A2CE37" w14:textId="77777777" w:rsidR="004317EA" w:rsidRPr="00292B29"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DCDEC78" w14:textId="30C1F885" w:rsidR="004317EA" w:rsidRPr="00292B29"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292B29">
        <w:rPr>
          <w:sz w:val="22"/>
          <w:szCs w:val="22"/>
          <w:lang w:eastAsia="ja-JP"/>
        </w:rPr>
        <w:t xml:space="preserve">In accordance with the forgoing facts, and pursuant to Ohio Rev. Code </w:t>
      </w:r>
      <w:r w:rsidR="00F50805" w:rsidRPr="00657B3D">
        <w:rPr>
          <w:sz w:val="22"/>
          <w:szCs w:val="22"/>
          <w:u w:val="wave"/>
          <w:lang w:eastAsia="ja-JP"/>
        </w:rPr>
        <w:t>Chapter 117</w:t>
      </w:r>
      <w:r w:rsidR="00F50805">
        <w:rPr>
          <w:sz w:val="22"/>
          <w:szCs w:val="22"/>
          <w:lang w:eastAsia="ja-JP"/>
        </w:rPr>
        <w:t xml:space="preserve"> </w:t>
      </w:r>
      <w:r w:rsidRPr="00F50805">
        <w:rPr>
          <w:strike/>
          <w:sz w:val="22"/>
          <w:szCs w:val="22"/>
          <w:lang w:eastAsia="ja-JP"/>
        </w:rPr>
        <w:t>§ 117.28</w:t>
      </w:r>
      <w:r w:rsidRPr="00292B29">
        <w:rPr>
          <w:sz w:val="22"/>
          <w:szCs w:val="22"/>
          <w:lang w:eastAsia="ja-JP"/>
        </w:rPr>
        <w:t xml:space="preserve">, a Finding for Recovery for public money illegally expended is hereby issued </w:t>
      </w:r>
      <w:r w:rsidRPr="00292B29">
        <w:rPr>
          <w:sz w:val="22"/>
          <w:szCs w:val="22"/>
          <w:highlight w:val="green"/>
          <w:lang w:eastAsia="ja-JP"/>
        </w:rPr>
        <w:t>jointly and severally</w:t>
      </w:r>
      <w:r w:rsidRPr="00292B29">
        <w:rPr>
          <w:sz w:val="22"/>
          <w:szCs w:val="22"/>
          <w:lang w:eastAsia="ja-JP"/>
        </w:rPr>
        <w:t xml:space="preserve"> against Joe’s Service Business, Inc.</w:t>
      </w:r>
      <w:r w:rsidR="00E34D6E">
        <w:rPr>
          <w:sz w:val="22"/>
          <w:szCs w:val="22"/>
          <w:lang w:eastAsia="ja-JP"/>
        </w:rPr>
        <w:t>,</w:t>
      </w:r>
      <w:r w:rsidRPr="00292B29">
        <w:rPr>
          <w:sz w:val="22"/>
          <w:szCs w:val="22"/>
          <w:lang w:eastAsia="ja-JP"/>
        </w:rPr>
        <w:t xml:space="preserve"> </w:t>
      </w:r>
      <w:r w:rsidRPr="00E34D6E">
        <w:rPr>
          <w:strike/>
          <w:sz w:val="22"/>
          <w:szCs w:val="22"/>
          <w:highlight w:val="green"/>
          <w:lang w:eastAsia="ja-JP"/>
        </w:rPr>
        <w:t>and</w:t>
      </w:r>
      <w:r w:rsidR="004A5AF4" w:rsidRPr="00292B29">
        <w:rPr>
          <w:sz w:val="22"/>
          <w:szCs w:val="22"/>
          <w:lang w:eastAsia="ja-JP"/>
        </w:rPr>
        <w:t xml:space="preserve"> </w:t>
      </w:r>
      <w:r w:rsidRPr="00292B29">
        <w:rPr>
          <w:sz w:val="22"/>
          <w:szCs w:val="22"/>
          <w:highlight w:val="green"/>
          <w:lang w:eastAsia="ja-JP"/>
        </w:rPr>
        <w:t>Jim Smith</w:t>
      </w:r>
      <w:r w:rsidR="00805DEF">
        <w:rPr>
          <w:sz w:val="22"/>
          <w:szCs w:val="22"/>
          <w:highlight w:val="green"/>
          <w:lang w:eastAsia="ja-JP"/>
        </w:rPr>
        <w:t>,</w:t>
      </w:r>
      <w:r w:rsidRPr="00292B29">
        <w:rPr>
          <w:sz w:val="22"/>
          <w:szCs w:val="22"/>
          <w:highlight w:val="green"/>
          <w:lang w:eastAsia="ja-JP"/>
        </w:rPr>
        <w:t xml:space="preserve"> and </w:t>
      </w:r>
      <w:r w:rsidR="00D337D5" w:rsidRPr="00E34D6E">
        <w:rPr>
          <w:sz w:val="22"/>
          <w:szCs w:val="22"/>
          <w:highlight w:val="green"/>
          <w:u w:val="wave"/>
          <w:lang w:eastAsia="ja-JP"/>
        </w:rPr>
        <w:t xml:space="preserve">the bond covering Jim Smith, issued </w:t>
      </w:r>
      <w:r w:rsidR="00CA7E7D" w:rsidRPr="00E34D6E">
        <w:rPr>
          <w:sz w:val="22"/>
          <w:szCs w:val="22"/>
          <w:highlight w:val="green"/>
          <w:u w:val="wave"/>
          <w:lang w:eastAsia="ja-JP"/>
        </w:rPr>
        <w:t>through</w:t>
      </w:r>
      <w:r w:rsidR="00E34D6E">
        <w:rPr>
          <w:sz w:val="22"/>
          <w:szCs w:val="22"/>
          <w:highlight w:val="green"/>
          <w:lang w:eastAsia="ja-JP"/>
        </w:rPr>
        <w:t xml:space="preserve"> </w:t>
      </w:r>
      <w:r w:rsidRPr="00E34D6E">
        <w:rPr>
          <w:strike/>
          <w:sz w:val="22"/>
          <w:szCs w:val="22"/>
          <w:highlight w:val="green"/>
          <w:lang w:eastAsia="ja-JP"/>
        </w:rPr>
        <w:t xml:space="preserve">his bonding company </w:t>
      </w:r>
      <w:r w:rsidRPr="00292B29">
        <w:rPr>
          <w:sz w:val="22"/>
          <w:szCs w:val="22"/>
          <w:highlight w:val="green"/>
          <w:lang w:eastAsia="ja-JP"/>
        </w:rPr>
        <w:t>Ace Insurance Corp</w:t>
      </w:r>
      <w:r w:rsidRPr="00292B29">
        <w:rPr>
          <w:sz w:val="22"/>
          <w:szCs w:val="22"/>
          <w:lang w:eastAsia="ja-JP"/>
        </w:rPr>
        <w:t>.</w:t>
      </w:r>
      <w:r w:rsidR="00D337D5">
        <w:rPr>
          <w:sz w:val="22"/>
          <w:szCs w:val="22"/>
          <w:lang w:eastAsia="ja-JP"/>
        </w:rPr>
        <w:t>,</w:t>
      </w:r>
      <w:r w:rsidRPr="00292B29">
        <w:rPr>
          <w:sz w:val="22"/>
          <w:szCs w:val="22"/>
          <w:lang w:eastAsia="ja-JP"/>
        </w:rPr>
        <w:t xml:space="preserve"> in the amount of $</w:t>
      </w:r>
      <w:r w:rsidR="003B7558" w:rsidRPr="00292B29">
        <w:rPr>
          <w:sz w:val="22"/>
          <w:szCs w:val="22"/>
          <w:lang w:eastAsia="ja-JP"/>
        </w:rPr>
        <w:t>125,000</w:t>
      </w:r>
      <w:r w:rsidRPr="00292B29">
        <w:rPr>
          <w:sz w:val="22"/>
          <w:szCs w:val="22"/>
          <w:lang w:eastAsia="ja-JP"/>
        </w:rPr>
        <w:t xml:space="preserve">, and in favor of the City of Anyplace. </w:t>
      </w:r>
      <w:r w:rsidR="006A796E" w:rsidRPr="00292B29">
        <w:rPr>
          <w:sz w:val="22"/>
          <w:szCs w:val="22"/>
          <w:highlight w:val="green"/>
          <w:lang w:eastAsia="ja-JP"/>
        </w:rPr>
        <w:t>(Remove the highlighted text in this paragraph if the finding was repaid under audit.)</w:t>
      </w:r>
    </w:p>
    <w:p w14:paraId="1A679EC8" w14:textId="77777777" w:rsidR="004317EA" w:rsidRPr="00387DA7" w:rsidRDefault="004317EA" w:rsidP="004317EA">
      <w:pPr>
        <w:pBdr>
          <w:top w:val="single" w:sz="4" w:space="0" w:color="auto"/>
          <w:left w:val="single" w:sz="4" w:space="0" w:color="auto"/>
          <w:bottom w:val="single" w:sz="4" w:space="0" w:color="auto"/>
          <w:right w:val="single" w:sz="4" w:space="0" w:color="auto"/>
        </w:pBdr>
        <w:shd w:val="clear" w:color="auto" w:fill="C6D9F1" w:themeFill="text2" w:themeFillTint="3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36C2396" w14:textId="5F7A108A" w:rsidR="00463EB9" w:rsidRPr="00387DA7" w:rsidRDefault="004317EA" w:rsidP="0035584B">
      <w:pPr>
        <w:jc w:val="both"/>
        <w:rPr>
          <w:b/>
          <w:sz w:val="22"/>
          <w:szCs w:val="22"/>
          <w:lang w:eastAsia="ja-JP"/>
        </w:rPr>
      </w:pPr>
      <w:r w:rsidRPr="00387DA7">
        <w:rPr>
          <w:b/>
          <w:sz w:val="22"/>
          <w:szCs w:val="22"/>
          <w:lang w:eastAsia="ja-JP"/>
        </w:rPr>
        <w:t>If repaid or partially repaid under audit, include details regarding when and how much was re</w:t>
      </w:r>
      <w:r w:rsidR="00DF4217" w:rsidRPr="00387DA7">
        <w:rPr>
          <w:b/>
          <w:sz w:val="22"/>
          <w:szCs w:val="22"/>
          <w:lang w:eastAsia="ja-JP"/>
        </w:rPr>
        <w:t>paid</w:t>
      </w:r>
      <w:r w:rsidR="00CD61DE" w:rsidRPr="00387DA7">
        <w:rPr>
          <w:b/>
          <w:sz w:val="22"/>
          <w:szCs w:val="22"/>
          <w:lang w:eastAsia="ja-JP"/>
        </w:rPr>
        <w:t>.</w:t>
      </w:r>
    </w:p>
    <w:p w14:paraId="5AA75587" w14:textId="77777777" w:rsidR="00463EB9" w:rsidRPr="00387DA7" w:rsidRDefault="00463EB9">
      <w:pPr>
        <w:rPr>
          <w:sz w:val="22"/>
          <w:szCs w:val="22"/>
          <w:lang w:eastAsia="ja-JP"/>
        </w:rPr>
      </w:pPr>
      <w:r w:rsidRPr="00387DA7">
        <w:rPr>
          <w:sz w:val="22"/>
          <w:szCs w:val="22"/>
          <w:lang w:eastAsia="ja-JP"/>
        </w:rPr>
        <w:br w:type="page"/>
      </w:r>
    </w:p>
    <w:p w14:paraId="639EC330" w14:textId="77777777" w:rsidR="00060265" w:rsidRPr="00B30A49" w:rsidRDefault="00060265">
      <w:pPr>
        <w:rPr>
          <w:sz w:val="22"/>
          <w:szCs w:val="22"/>
          <w:lang w:eastAsia="ja-JP"/>
        </w:rPr>
        <w:sectPr w:rsidR="00060265" w:rsidRPr="00B30A49" w:rsidSect="002A3762">
          <w:headerReference w:type="default" r:id="rId29"/>
          <w:type w:val="continuous"/>
          <w:pgSz w:w="12240" w:h="15840"/>
          <w:pgMar w:top="1152" w:right="1152" w:bottom="720" w:left="1152" w:header="720" w:footer="720" w:gutter="0"/>
          <w:cols w:space="720"/>
          <w:noEndnote/>
        </w:sectPr>
      </w:pPr>
    </w:p>
    <w:p w14:paraId="59FD13C0" w14:textId="3869A073" w:rsidR="00155345" w:rsidRPr="00B16922" w:rsidRDefault="00155345" w:rsidP="00B16922">
      <w:pPr>
        <w:pStyle w:val="Subtitle"/>
        <w:shd w:val="clear" w:color="auto" w:fill="A6A6A6" w:themeFill="background1" w:themeFillShade="A6"/>
      </w:pPr>
      <w:bookmarkStart w:id="35" w:name="_Toc214431131"/>
      <w:r w:rsidRPr="00791FE1">
        <w:t xml:space="preserve">Findings for </w:t>
      </w:r>
      <w:r w:rsidRPr="002C2C17">
        <w:t>Waste or</w:t>
      </w:r>
      <w:r>
        <w:t xml:space="preserve"> </w:t>
      </w:r>
      <w:r w:rsidRPr="00791FE1">
        <w:t>Abuse</w:t>
      </w:r>
      <w:bookmarkEnd w:id="35"/>
    </w:p>
    <w:p w14:paraId="116FC963" w14:textId="77777777" w:rsidR="00B16922" w:rsidRDefault="00B16922"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8D0550F" w14:textId="5DDBDB07" w:rsidR="00932A50" w:rsidRPr="008A5844" w:rsidRDefault="002D576E" w:rsidP="008A5844">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u w:val="wave"/>
          <w:lang w:eastAsia="ja-JP"/>
        </w:rPr>
      </w:pPr>
      <w:r w:rsidRPr="00387DA7">
        <w:rPr>
          <w:sz w:val="22"/>
          <w:szCs w:val="22"/>
          <w:lang w:eastAsia="ja-JP"/>
        </w:rPr>
        <w:t>The 2018</w:t>
      </w:r>
      <w:r w:rsidR="005E1C8A" w:rsidRPr="00387DA7">
        <w:rPr>
          <w:sz w:val="22"/>
          <w:szCs w:val="22"/>
          <w:lang w:eastAsia="ja-JP"/>
        </w:rPr>
        <w:t xml:space="preserve"> (as revised in April 2021)</w:t>
      </w:r>
      <w:r w:rsidR="00C271E7" w:rsidRPr="00387DA7">
        <w:rPr>
          <w:sz w:val="22"/>
          <w:szCs w:val="22"/>
          <w:lang w:eastAsia="ja-JP"/>
        </w:rPr>
        <w:t xml:space="preserve"> Government Accountability Office’s (GAO)</w:t>
      </w:r>
      <w:r w:rsidRPr="00387DA7">
        <w:rPr>
          <w:sz w:val="22"/>
          <w:szCs w:val="22"/>
          <w:lang w:eastAsia="ja-JP"/>
        </w:rPr>
        <w:t xml:space="preserve"> </w:t>
      </w:r>
      <w:r w:rsidRPr="00387DA7">
        <w:rPr>
          <w:i/>
          <w:sz w:val="22"/>
          <w:szCs w:val="22"/>
          <w:lang w:eastAsia="ja-JP"/>
        </w:rPr>
        <w:t xml:space="preserve">Yellow Book </w:t>
      </w:r>
      <w:r w:rsidRPr="00387DA7">
        <w:rPr>
          <w:sz w:val="22"/>
          <w:szCs w:val="22"/>
          <w:lang w:eastAsia="ja-JP"/>
        </w:rPr>
        <w:t>transition</w:t>
      </w:r>
      <w:r w:rsidR="004F1127" w:rsidRPr="004F1127">
        <w:rPr>
          <w:sz w:val="22"/>
          <w:szCs w:val="22"/>
          <w:u w:val="wave"/>
          <w:lang w:eastAsia="ja-JP"/>
        </w:rPr>
        <w:t>ed</w:t>
      </w:r>
      <w:r w:rsidRPr="00387DA7">
        <w:rPr>
          <w:sz w:val="22"/>
          <w:szCs w:val="22"/>
          <w:lang w:eastAsia="ja-JP"/>
        </w:rPr>
        <w:t xml:space="preserve"> the discussion of abuse to application guidance and add</w:t>
      </w:r>
      <w:r w:rsidR="0063329C" w:rsidRPr="0063329C">
        <w:rPr>
          <w:sz w:val="22"/>
          <w:szCs w:val="22"/>
          <w:u w:val="wave"/>
          <w:lang w:eastAsia="ja-JP"/>
        </w:rPr>
        <w:t>ed</w:t>
      </w:r>
      <w:r w:rsidRPr="00387DA7">
        <w:rPr>
          <w:sz w:val="22"/>
          <w:szCs w:val="22"/>
          <w:lang w:eastAsia="ja-JP"/>
        </w:rPr>
        <w:t xml:space="preserve"> the perspective of waste, which </w:t>
      </w:r>
      <w:r w:rsidRPr="00D244EF">
        <w:rPr>
          <w:strike/>
          <w:sz w:val="22"/>
          <w:szCs w:val="22"/>
          <w:lang w:eastAsia="ja-JP"/>
        </w:rPr>
        <w:t xml:space="preserve">is </w:t>
      </w:r>
      <w:r w:rsidR="003C46CD" w:rsidRPr="00D244EF">
        <w:rPr>
          <w:sz w:val="22"/>
          <w:szCs w:val="22"/>
          <w:u w:val="wave"/>
          <w:lang w:eastAsia="ja-JP"/>
        </w:rPr>
        <w:t xml:space="preserve">are </w:t>
      </w:r>
      <w:r w:rsidR="002F6F50" w:rsidRPr="00D244EF">
        <w:rPr>
          <w:sz w:val="22"/>
          <w:szCs w:val="22"/>
          <w:u w:val="wave"/>
          <w:lang w:eastAsia="ja-JP"/>
        </w:rPr>
        <w:t>both</w:t>
      </w:r>
      <w:r w:rsidR="002F6F50">
        <w:rPr>
          <w:sz w:val="22"/>
          <w:szCs w:val="22"/>
          <w:lang w:eastAsia="ja-JP"/>
        </w:rPr>
        <w:t xml:space="preserve"> </w:t>
      </w:r>
      <w:r w:rsidRPr="00387DA7">
        <w:rPr>
          <w:sz w:val="22"/>
          <w:szCs w:val="22"/>
          <w:lang w:eastAsia="ja-JP"/>
        </w:rPr>
        <w:t>also defined</w:t>
      </w:r>
      <w:r w:rsidR="00F1569E">
        <w:rPr>
          <w:sz w:val="22"/>
          <w:szCs w:val="22"/>
          <w:lang w:eastAsia="ja-JP"/>
        </w:rPr>
        <w:t xml:space="preserve"> </w:t>
      </w:r>
      <w:r w:rsidR="00F1569E" w:rsidRPr="008A5844">
        <w:rPr>
          <w:sz w:val="22"/>
          <w:szCs w:val="22"/>
          <w:u w:val="wave"/>
          <w:lang w:eastAsia="ja-JP"/>
        </w:rPr>
        <w:t>in</w:t>
      </w:r>
      <w:r w:rsidRPr="008A5844">
        <w:rPr>
          <w:sz w:val="22"/>
          <w:szCs w:val="22"/>
          <w:u w:val="wave"/>
          <w:lang w:eastAsia="ja-JP"/>
        </w:rPr>
        <w:t xml:space="preserve"> </w:t>
      </w:r>
      <w:hyperlink r:id="rId30" w:history="1">
        <w:r w:rsidR="006F4866" w:rsidRPr="00C165A8">
          <w:rPr>
            <w:rStyle w:val="Hyperlink"/>
            <w:sz w:val="22"/>
            <w:szCs w:val="22"/>
            <w:u w:val="wave"/>
            <w:lang w:eastAsia="ja-JP"/>
          </w:rPr>
          <w:t>AOS Bulletin 2024-005</w:t>
        </w:r>
      </w:hyperlink>
      <w:r w:rsidR="003C46CD" w:rsidRPr="008A5844">
        <w:rPr>
          <w:sz w:val="22"/>
          <w:szCs w:val="22"/>
          <w:u w:val="wave"/>
          <w:lang w:eastAsia="ja-JP"/>
        </w:rPr>
        <w:t xml:space="preserve"> as follows:</w:t>
      </w:r>
      <w:r w:rsidR="006F4866" w:rsidRPr="008A5844">
        <w:rPr>
          <w:sz w:val="22"/>
          <w:szCs w:val="22"/>
          <w:u w:val="wave"/>
          <w:lang w:eastAsia="ja-JP"/>
        </w:rPr>
        <w:t xml:space="preserve"> </w:t>
      </w:r>
    </w:p>
    <w:p w14:paraId="66A34AD0" w14:textId="77777777" w:rsidR="006F4866" w:rsidRPr="00DB1BCA" w:rsidRDefault="006F4866" w:rsidP="008A5844">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FFAFA10" w14:textId="5D0B3F18" w:rsidR="006F4866" w:rsidRPr="008A5844" w:rsidRDefault="006F4866" w:rsidP="008A5844">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u w:val="wave"/>
          <w:lang w:eastAsia="ja-JP"/>
        </w:rPr>
      </w:pPr>
      <w:r w:rsidRPr="008A5844">
        <w:rPr>
          <w:b/>
          <w:bCs/>
          <w:sz w:val="22"/>
          <w:szCs w:val="22"/>
          <w:u w:val="wave"/>
          <w:lang w:eastAsia="ja-JP"/>
        </w:rPr>
        <w:t>Waste</w:t>
      </w:r>
      <w:r w:rsidRPr="008A5844">
        <w:rPr>
          <w:sz w:val="22"/>
          <w:szCs w:val="22"/>
          <w:u w:val="wave"/>
          <w:lang w:eastAsia="ja-JP"/>
        </w:rPr>
        <w:t xml:space="preserve"> in government occurs when resources are used inefficiently or unnecessarily, resulting in unnecessary costs to taxpayers. Waste can include activities that do not include abuse and does not necessarily involve a violation of law. Rather, waste relates primarily to mismanagement, inappropriate actions, and inadequate oversight. Examples could include making travel choices or making procurement/vendor selections contrary to policies or that are considered unnecessarily extravagant or expensive. </w:t>
      </w:r>
    </w:p>
    <w:p w14:paraId="6A66C843" w14:textId="77777777" w:rsidR="006F4866" w:rsidRPr="00DB1BCA" w:rsidRDefault="006F4866" w:rsidP="008A5844">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lang w:eastAsia="ja-JP"/>
        </w:rPr>
      </w:pPr>
    </w:p>
    <w:p w14:paraId="45AEE671" w14:textId="0109C62B" w:rsidR="006F4866" w:rsidRPr="008A5844" w:rsidRDefault="006F4866" w:rsidP="008A5844">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both"/>
        <w:rPr>
          <w:sz w:val="22"/>
          <w:szCs w:val="22"/>
          <w:u w:val="wave"/>
          <w:lang w:eastAsia="ja-JP"/>
        </w:rPr>
      </w:pPr>
      <w:r w:rsidRPr="008A5844">
        <w:rPr>
          <w:b/>
          <w:bCs/>
          <w:sz w:val="22"/>
          <w:szCs w:val="22"/>
          <w:u w:val="wave"/>
          <w:lang w:eastAsia="ja-JP"/>
        </w:rPr>
        <w:t>Abuse</w:t>
      </w:r>
      <w:r w:rsidRPr="008A5844">
        <w:rPr>
          <w:sz w:val="22"/>
          <w:szCs w:val="22"/>
          <w:u w:val="wave"/>
          <w:lang w:eastAsia="ja-JP"/>
        </w:rPr>
        <w:t xml:space="preserve"> is behavior that is deficient or improper when compared with behavior that a prudent person</w:t>
      </w:r>
      <w:r w:rsidR="000C2B93">
        <w:rPr>
          <w:sz w:val="22"/>
          <w:szCs w:val="22"/>
          <w:u w:val="wave"/>
          <w:lang w:eastAsia="ja-JP"/>
        </w:rPr>
        <w:t xml:space="preserve"> </w:t>
      </w:r>
      <w:r w:rsidRPr="008A5844">
        <w:rPr>
          <w:sz w:val="22"/>
          <w:szCs w:val="22"/>
          <w:u w:val="wave"/>
          <w:lang w:eastAsia="ja-JP"/>
        </w:rPr>
        <w:t xml:space="preserve">would consider reasonable and necessary business practice given the facts and circumstances, but </w:t>
      </w:r>
      <w:r w:rsidRPr="008A5844">
        <w:rPr>
          <w:b/>
          <w:bCs/>
          <w:sz w:val="22"/>
          <w:szCs w:val="22"/>
          <w:u w:val="wave"/>
          <w:lang w:eastAsia="ja-JP"/>
        </w:rPr>
        <w:t>excludes fraud and noncompliance</w:t>
      </w:r>
      <w:r w:rsidRPr="008A5844">
        <w:rPr>
          <w:sz w:val="22"/>
          <w:szCs w:val="22"/>
          <w:u w:val="wave"/>
          <w:lang w:eastAsia="ja-JP"/>
        </w:rPr>
        <w:t xml:space="preserve"> with provisions of laws, regulations, contracts, and grant agreements. Abuse also includes misuse of authority or position for personal financial interests or those of an immediate or close family member or business associate. Examples could include creating unneeded overtime, requesting staff to perform personal errands or work tasks for a supervisor or manager, misusing their official position for personal gain.</w:t>
      </w:r>
    </w:p>
    <w:p w14:paraId="451163C6" w14:textId="0346E793" w:rsidR="00932A50" w:rsidRDefault="00932A50"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5B20B3C" w14:textId="2D4B27C1" w:rsidR="002D576E" w:rsidRPr="00387DA7" w:rsidRDefault="002D576E"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5D5B81">
        <w:rPr>
          <w:strike/>
          <w:sz w:val="22"/>
          <w:szCs w:val="22"/>
          <w:lang w:eastAsia="ja-JP"/>
        </w:rPr>
        <w:t xml:space="preserve">The new </w:t>
      </w:r>
      <w:proofErr w:type="gramStart"/>
      <w:r w:rsidRPr="005D5B81">
        <w:rPr>
          <w:strike/>
          <w:sz w:val="22"/>
          <w:szCs w:val="22"/>
          <w:lang w:eastAsia="ja-JP"/>
        </w:rPr>
        <w:t>guidance</w:t>
      </w:r>
      <w:proofErr w:type="gramEnd"/>
      <w:r w:rsidRPr="005D5B81">
        <w:rPr>
          <w:strike/>
          <w:sz w:val="22"/>
          <w:szCs w:val="22"/>
          <w:lang w:eastAsia="ja-JP"/>
        </w:rPr>
        <w:t xml:space="preserve"> (</w:t>
      </w:r>
      <w:r w:rsidRPr="00387DA7">
        <w:rPr>
          <w:sz w:val="22"/>
          <w:szCs w:val="22"/>
          <w:lang w:eastAsia="ja-JP"/>
        </w:rPr>
        <w:t>GAGAS 6.20</w:t>
      </w:r>
      <w:r w:rsidRPr="005D5B81">
        <w:rPr>
          <w:strike/>
          <w:sz w:val="22"/>
          <w:szCs w:val="22"/>
          <w:lang w:eastAsia="ja-JP"/>
        </w:rPr>
        <w:t>)</w:t>
      </w:r>
      <w:r w:rsidRPr="00A8179F">
        <w:rPr>
          <w:sz w:val="22"/>
          <w:szCs w:val="22"/>
          <w:lang w:eastAsia="ja-JP"/>
        </w:rPr>
        <w:t xml:space="preserve"> </w:t>
      </w:r>
      <w:r w:rsidRPr="00387DA7">
        <w:rPr>
          <w:sz w:val="22"/>
          <w:szCs w:val="22"/>
          <w:lang w:eastAsia="ja-JP"/>
        </w:rPr>
        <w:t>states that evaluating internal control in a government environment may also include considering internal control deficiencies that result in waste or abuse but that auditors are not required to perform specific procedures to detect waste or abuse in financial audits. Auditors may consider whether and how to communicate such matters if they become aware of them. Auditors may also discover that waste or abuse are indicative of fraud or noncompliance with provisions of laws, regulations, contracts, and grant agreements. Examples of waste and abuse are also provided.</w:t>
      </w:r>
    </w:p>
    <w:p w14:paraId="5CF3690A"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CE4575D" w14:textId="152FD658" w:rsidR="00227CFC" w:rsidRPr="00387DA7" w:rsidRDefault="45BD7E29" w:rsidP="59C8DE5D">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bCs/>
          <w:i/>
          <w:iCs/>
          <w:sz w:val="22"/>
          <w:szCs w:val="22"/>
        </w:rPr>
      </w:pPr>
      <w:r w:rsidRPr="00387DA7">
        <w:rPr>
          <w:sz w:val="22"/>
          <w:szCs w:val="22"/>
          <w:lang w:eastAsia="ja-JP"/>
        </w:rPr>
        <w:t>Ohio Rev</w:t>
      </w:r>
      <w:r w:rsidR="591E71CC" w:rsidRPr="00387DA7">
        <w:rPr>
          <w:sz w:val="22"/>
          <w:szCs w:val="22"/>
          <w:lang w:eastAsia="ja-JP"/>
        </w:rPr>
        <w:t xml:space="preserve">. Code </w:t>
      </w:r>
      <w:r w:rsidR="3D2D68D2" w:rsidRPr="00387DA7">
        <w:rPr>
          <w:sz w:val="22"/>
          <w:szCs w:val="22"/>
        </w:rPr>
        <w:t>§ 117.24 requires the Auditor of State to determine whether there has been any malfeasance or gross neglect of duty on the part of any officer or employee of the public office</w:t>
      </w:r>
      <w:r w:rsidR="338E748D" w:rsidRPr="00387DA7">
        <w:rPr>
          <w:sz w:val="22"/>
          <w:szCs w:val="22"/>
        </w:rPr>
        <w:t>.</w:t>
      </w:r>
      <w:r w:rsidR="39C3BD68" w:rsidRPr="00387DA7">
        <w:rPr>
          <w:sz w:val="22"/>
          <w:szCs w:val="22"/>
        </w:rPr>
        <w:t xml:space="preserve">  </w:t>
      </w:r>
      <w:r w:rsidR="78606DCC" w:rsidRPr="00387DA7">
        <w:rPr>
          <w:sz w:val="22"/>
          <w:szCs w:val="22"/>
        </w:rPr>
        <w:t>There are times when conduct may meet the GAGAS standard</w:t>
      </w:r>
      <w:r w:rsidR="6E308369" w:rsidRPr="00387DA7">
        <w:rPr>
          <w:sz w:val="22"/>
          <w:szCs w:val="22"/>
        </w:rPr>
        <w:t xml:space="preserve"> of abuse</w:t>
      </w:r>
      <w:r w:rsidR="78606DCC" w:rsidRPr="00387DA7">
        <w:rPr>
          <w:sz w:val="22"/>
          <w:szCs w:val="22"/>
        </w:rPr>
        <w:t xml:space="preserve">, but not </w:t>
      </w:r>
      <w:r w:rsidR="4392BC95" w:rsidRPr="00387DA7">
        <w:rPr>
          <w:sz w:val="22"/>
          <w:szCs w:val="22"/>
        </w:rPr>
        <w:t>constitute gross neglect of duty or malfeasance.  Therefore a</w:t>
      </w:r>
      <w:r w:rsidR="39C3BD68" w:rsidRPr="00387DA7">
        <w:rPr>
          <w:sz w:val="22"/>
          <w:szCs w:val="22"/>
        </w:rPr>
        <w:t xml:space="preserve">uditors should </w:t>
      </w:r>
      <w:r w:rsidR="3D2D68D2" w:rsidRPr="00387DA7">
        <w:rPr>
          <w:sz w:val="22"/>
          <w:szCs w:val="22"/>
        </w:rPr>
        <w:t xml:space="preserve">consult with AOS Legal on whether </w:t>
      </w:r>
      <w:r w:rsidR="119FA80F" w:rsidRPr="00387DA7">
        <w:rPr>
          <w:sz w:val="22"/>
          <w:szCs w:val="22"/>
          <w:lang w:eastAsia="ja-JP"/>
        </w:rPr>
        <w:t xml:space="preserve">Ohio Rev. Code </w:t>
      </w:r>
      <w:r w:rsidR="119FA80F" w:rsidRPr="00387DA7">
        <w:rPr>
          <w:sz w:val="22"/>
          <w:szCs w:val="22"/>
        </w:rPr>
        <w:t xml:space="preserve">§ 117.24 </w:t>
      </w:r>
      <w:r w:rsidR="3D2D68D2" w:rsidRPr="00387DA7">
        <w:rPr>
          <w:sz w:val="22"/>
          <w:szCs w:val="22"/>
        </w:rPr>
        <w:t xml:space="preserve"> should be included</w:t>
      </w:r>
      <w:r w:rsidR="119FA80F" w:rsidRPr="00387DA7">
        <w:rPr>
          <w:sz w:val="22"/>
          <w:szCs w:val="22"/>
        </w:rPr>
        <w:t xml:space="preserve"> in the comment.</w:t>
      </w:r>
    </w:p>
    <w:p w14:paraId="2ABE017E" w14:textId="77777777" w:rsidR="00155345" w:rsidRPr="00387DA7" w:rsidRDefault="00155345" w:rsidP="001E7F68">
      <w:pPr>
        <w:jc w:val="both"/>
        <w:rPr>
          <w:b/>
          <w:bCs/>
          <w:sz w:val="22"/>
          <w:szCs w:val="22"/>
        </w:rPr>
      </w:pPr>
    </w:p>
    <w:p w14:paraId="564BFDC0" w14:textId="08B4B804"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i/>
          <w:sz w:val="22"/>
          <w:szCs w:val="22"/>
          <w:lang w:eastAsia="ja-JP"/>
        </w:rPr>
      </w:pPr>
      <w:r w:rsidRPr="00387DA7">
        <w:rPr>
          <w:b/>
          <w:i/>
          <w:sz w:val="22"/>
          <w:szCs w:val="22"/>
          <w:lang w:eastAsia="ja-JP"/>
        </w:rPr>
        <w:t xml:space="preserve">AOS Policies for </w:t>
      </w:r>
      <w:r w:rsidR="00E93E69" w:rsidRPr="00D22705">
        <w:rPr>
          <w:b/>
          <w:i/>
          <w:sz w:val="22"/>
          <w:szCs w:val="22"/>
          <w:u w:val="wave"/>
          <w:lang w:eastAsia="ja-JP"/>
        </w:rPr>
        <w:t xml:space="preserve">Auditors </w:t>
      </w:r>
      <w:r w:rsidRPr="00387DA7">
        <w:rPr>
          <w:b/>
          <w:i/>
          <w:sz w:val="22"/>
          <w:szCs w:val="22"/>
          <w:lang w:eastAsia="ja-JP"/>
        </w:rPr>
        <w:t>Reporting Findings for Waste or Abuse</w:t>
      </w:r>
      <w:r w:rsidR="00857105" w:rsidRPr="00D22705">
        <w:rPr>
          <w:b/>
          <w:i/>
          <w:sz w:val="22"/>
          <w:szCs w:val="22"/>
          <w:u w:val="wave"/>
          <w:lang w:eastAsia="ja-JP"/>
        </w:rPr>
        <w:t xml:space="preserve"> During an Audit</w:t>
      </w:r>
    </w:p>
    <w:p w14:paraId="3C528F12" w14:textId="77777777" w:rsidR="00155345" w:rsidRPr="00387DA7" w:rsidRDefault="00155345" w:rsidP="007955DE">
      <w:pPr>
        <w:pStyle w:val="ListParagraph"/>
        <w:numPr>
          <w:ilvl w:val="0"/>
          <w:numId w:val="3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auditor should draft the proposed finding and send it, along with all </w:t>
      </w:r>
      <w:proofErr w:type="gramStart"/>
      <w:r w:rsidRPr="00387DA7">
        <w:rPr>
          <w:sz w:val="22"/>
          <w:szCs w:val="22"/>
          <w:lang w:eastAsia="ja-JP"/>
        </w:rPr>
        <w:t>factual information</w:t>
      </w:r>
      <w:proofErr w:type="gramEnd"/>
      <w:r w:rsidRPr="00387DA7">
        <w:rPr>
          <w:sz w:val="22"/>
          <w:szCs w:val="22"/>
          <w:lang w:eastAsia="ja-JP"/>
        </w:rPr>
        <w:t xml:space="preserve"> pertinent to the proposed finding, to the Legal Division and Center for Audit Excellence for review.  </w:t>
      </w:r>
    </w:p>
    <w:p w14:paraId="46477F4E" w14:textId="77777777" w:rsidR="00155345" w:rsidRPr="00387DA7" w:rsidRDefault="00155345" w:rsidP="007955DE">
      <w:pPr>
        <w:pStyle w:val="ListParagraph"/>
        <w:numPr>
          <w:ilvl w:val="0"/>
          <w:numId w:val="3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Once the finding has been approved by both the Legal Division and the Center for Audit Excellence, it must be sent to the Chief Deputy Auditor, or designee, for final approval.  </w:t>
      </w:r>
    </w:p>
    <w:p w14:paraId="3FEB9E0A" w14:textId="620CAE64" w:rsidR="00155345" w:rsidRPr="00387DA7" w:rsidRDefault="00155345" w:rsidP="007955DE">
      <w:pPr>
        <w:pStyle w:val="ListParagraph"/>
        <w:numPr>
          <w:ilvl w:val="0"/>
          <w:numId w:val="35"/>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Once final approval is given by the Chief Deputy Auditor, or </w:t>
      </w:r>
      <w:proofErr w:type="gramStart"/>
      <w:r w:rsidRPr="00387DA7">
        <w:rPr>
          <w:sz w:val="22"/>
          <w:szCs w:val="22"/>
          <w:lang w:eastAsia="ja-JP"/>
        </w:rPr>
        <w:t>designee</w:t>
      </w:r>
      <w:proofErr w:type="gramEnd"/>
      <w:r w:rsidRPr="00387DA7">
        <w:rPr>
          <w:sz w:val="22"/>
          <w:szCs w:val="22"/>
          <w:lang w:eastAsia="ja-JP"/>
        </w:rPr>
        <w:t xml:space="preserve">, the auditor should immediately prepare and send a Notice of Proposed Finding for Waste or Abuse (available </w:t>
      </w:r>
      <w:r w:rsidR="00CF1696" w:rsidRPr="00387DA7">
        <w:rPr>
          <w:sz w:val="22"/>
          <w:szCs w:val="22"/>
          <w:lang w:eastAsia="ja-JP"/>
        </w:rPr>
        <w:t>on the Intranet</w:t>
      </w:r>
      <w:r w:rsidRPr="00387DA7">
        <w:rPr>
          <w:sz w:val="22"/>
          <w:szCs w:val="22"/>
          <w:lang w:eastAsia="ja-JP"/>
        </w:rPr>
        <w:t xml:space="preserve">) to the Legal Division for review and approval.  </w:t>
      </w:r>
    </w:p>
    <w:p w14:paraId="4D1AC325"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16BD304B"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person(s) against whom the finding is contemplated is given five business days to respond.  The notice should be sent sufficiently in advance of any exit conference so that he or she has time to respond and so that the Auditor of State’s office has time to withdraw or modify the </w:t>
      </w:r>
      <w:proofErr w:type="gramStart"/>
      <w:r w:rsidRPr="00387DA7">
        <w:rPr>
          <w:sz w:val="22"/>
          <w:szCs w:val="22"/>
          <w:lang w:eastAsia="ja-JP"/>
        </w:rPr>
        <w:t>finding</w:t>
      </w:r>
      <w:proofErr w:type="gramEnd"/>
      <w:r w:rsidRPr="00387DA7">
        <w:rPr>
          <w:sz w:val="22"/>
          <w:szCs w:val="22"/>
          <w:lang w:eastAsia="ja-JP"/>
        </w:rPr>
        <w:t xml:space="preserve"> before that conference, if necessary.</w:t>
      </w:r>
    </w:p>
    <w:p w14:paraId="72F27C84"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5B9FDAE6"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Responses within the time allowed, with something other than a general denial of responsibility, should be evaluated by the Chief Auditor.  </w:t>
      </w:r>
    </w:p>
    <w:p w14:paraId="1E9D88A4" w14:textId="77777777" w:rsidR="00155345" w:rsidRPr="00387DA7" w:rsidRDefault="00155345" w:rsidP="007955DE">
      <w:pPr>
        <w:pStyle w:val="ListParagraph"/>
        <w:numPr>
          <w:ilvl w:val="0"/>
          <w:numId w:val="3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If merited, the response should be submitted to the Legal Division and Center for Audit Excellence for consideration.  </w:t>
      </w:r>
    </w:p>
    <w:p w14:paraId="1C8FC250" w14:textId="77777777" w:rsidR="00155345" w:rsidRPr="00387DA7" w:rsidRDefault="00155345" w:rsidP="007955DE">
      <w:pPr>
        <w:pStyle w:val="ListParagraph"/>
        <w:numPr>
          <w:ilvl w:val="0"/>
          <w:numId w:val="3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If a decision is made to delete the proposed waste or abuse finding from the draft report, the person(s) against whom the finding was </w:t>
      </w:r>
      <w:proofErr w:type="gramStart"/>
      <w:r w:rsidRPr="00387DA7">
        <w:rPr>
          <w:sz w:val="22"/>
          <w:szCs w:val="22"/>
          <w:lang w:eastAsia="ja-JP"/>
        </w:rPr>
        <w:t>proposed</w:t>
      </w:r>
      <w:proofErr w:type="gramEnd"/>
      <w:r w:rsidRPr="00387DA7">
        <w:rPr>
          <w:sz w:val="22"/>
          <w:szCs w:val="22"/>
          <w:lang w:eastAsia="ja-JP"/>
        </w:rPr>
        <w:t xml:space="preserve"> and the Chief Deputy Auditor should be notified.  </w:t>
      </w:r>
    </w:p>
    <w:p w14:paraId="521E3C85" w14:textId="77777777" w:rsidR="00155345" w:rsidRPr="00387DA7" w:rsidRDefault="00155345" w:rsidP="007955DE">
      <w:pPr>
        <w:pStyle w:val="ListParagraph"/>
        <w:numPr>
          <w:ilvl w:val="0"/>
          <w:numId w:val="36"/>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If the finding is retained, the individual(s) should be notified of the opportunity to attend the exit conference or schedule a separate meeting to discuss the finding.</w:t>
      </w:r>
    </w:p>
    <w:p w14:paraId="1BF1DA2F" w14:textId="77777777" w:rsidR="00776C23" w:rsidRPr="00387DA7" w:rsidRDefault="00776C23"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65E51AFC"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i/>
          <w:sz w:val="22"/>
          <w:szCs w:val="22"/>
          <w:lang w:eastAsia="ja-JP"/>
        </w:rPr>
      </w:pPr>
      <w:r w:rsidRPr="00387DA7">
        <w:rPr>
          <w:b/>
          <w:i/>
          <w:sz w:val="22"/>
          <w:szCs w:val="22"/>
          <w:lang w:eastAsia="ja-JP"/>
        </w:rPr>
        <w:t>Issuing Findings for Waste or Abuse Before and/or After the Audit Period</w:t>
      </w:r>
    </w:p>
    <w:p w14:paraId="21491109"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The regional Chief Auditor should consult with the Chief Deputy Auditor, or designee, prior to testing outside of the audit period to pursue a finding for waste or abuse.</w:t>
      </w:r>
    </w:p>
    <w:p w14:paraId="0B1F57CC" w14:textId="77777777" w:rsidR="00155345" w:rsidRPr="00387DA7" w:rsidRDefault="00155345" w:rsidP="00155345">
      <w:pPr>
        <w:rPr>
          <w:sz w:val="22"/>
          <w:szCs w:val="22"/>
          <w:lang w:eastAsia="ja-JP"/>
        </w:rPr>
      </w:pPr>
    </w:p>
    <w:p w14:paraId="4C77D233" w14:textId="77777777" w:rsidR="00155345" w:rsidRPr="00387DA7" w:rsidRDefault="00155345" w:rsidP="00155345">
      <w:p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i/>
          <w:sz w:val="22"/>
          <w:szCs w:val="22"/>
          <w:lang w:eastAsia="ja-JP"/>
        </w:rPr>
      </w:pPr>
      <w:r w:rsidRPr="00387DA7">
        <w:rPr>
          <w:b/>
          <w:i/>
          <w:sz w:val="22"/>
          <w:szCs w:val="22"/>
          <w:lang w:eastAsia="ja-JP"/>
        </w:rPr>
        <w:t xml:space="preserve">IPA Policies for Reporting Findings for Waste or Abuse </w:t>
      </w:r>
    </w:p>
    <w:p w14:paraId="2BC7C4FF" w14:textId="77777777" w:rsidR="00155345" w:rsidRPr="00387DA7" w:rsidRDefault="00155345" w:rsidP="0015534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Independent Public Accountants (IPAs) must also provide written notification of potential waste or abuse that provides the person(s) against whom the finding is contemplated an opportunity to rebut the allegations.  </w:t>
      </w:r>
    </w:p>
    <w:p w14:paraId="29DD35A4" w14:textId="77777777" w:rsidR="00155345" w:rsidRPr="00387DA7" w:rsidRDefault="00155345" w:rsidP="007955DE">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The notice must include language of the waste or abuse finding from the report and must be factually specific and detailed enough to allow the person(s) to understand the allegations made against them.  </w:t>
      </w:r>
    </w:p>
    <w:p w14:paraId="265FA79A" w14:textId="77777777" w:rsidR="00155345" w:rsidRPr="00387DA7" w:rsidRDefault="00155345" w:rsidP="007955DE">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Notice should be sent sufficiently in advance of any exit </w:t>
      </w:r>
      <w:proofErr w:type="gramStart"/>
      <w:r w:rsidRPr="00387DA7">
        <w:rPr>
          <w:sz w:val="22"/>
          <w:szCs w:val="22"/>
          <w:lang w:eastAsia="ja-JP"/>
        </w:rPr>
        <w:t>conference</w:t>
      </w:r>
      <w:proofErr w:type="gramEnd"/>
      <w:r w:rsidRPr="00387DA7">
        <w:rPr>
          <w:sz w:val="22"/>
          <w:szCs w:val="22"/>
          <w:lang w:eastAsia="ja-JP"/>
        </w:rPr>
        <w:t xml:space="preserve"> so he or she has time to respond.  </w:t>
      </w:r>
    </w:p>
    <w:p w14:paraId="3EAD7C50" w14:textId="77777777" w:rsidR="00155345" w:rsidRPr="00387DA7" w:rsidRDefault="00155345" w:rsidP="007955DE">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IPAs are responsible for determining their own process for evaluating responses and reporting waste or abuse.  </w:t>
      </w:r>
    </w:p>
    <w:p w14:paraId="2086D9D6" w14:textId="77777777" w:rsidR="00155345" w:rsidRPr="00387DA7" w:rsidRDefault="00155345" w:rsidP="007955DE">
      <w:pPr>
        <w:pStyle w:val="ListParagraph"/>
        <w:numPr>
          <w:ilvl w:val="0"/>
          <w:numId w:val="3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387DA7">
        <w:rPr>
          <w:sz w:val="22"/>
          <w:szCs w:val="22"/>
          <w:lang w:eastAsia="ja-JP"/>
        </w:rPr>
        <w:t xml:space="preserve">IPAs must notify the Regional Office when a potential waste or abuse issue is identified and then again, </w:t>
      </w:r>
      <w:proofErr w:type="gramStart"/>
      <w:r w:rsidRPr="00387DA7">
        <w:rPr>
          <w:sz w:val="22"/>
          <w:szCs w:val="22"/>
          <w:lang w:eastAsia="ja-JP"/>
        </w:rPr>
        <w:t>whether or not</w:t>
      </w:r>
      <w:proofErr w:type="gramEnd"/>
      <w:r w:rsidRPr="00387DA7">
        <w:rPr>
          <w:sz w:val="22"/>
          <w:szCs w:val="22"/>
          <w:lang w:eastAsia="ja-JP"/>
        </w:rPr>
        <w:t xml:space="preserve"> the comment will be issued in the audit report.</w:t>
      </w:r>
    </w:p>
    <w:p w14:paraId="46C54FAD" w14:textId="77777777" w:rsidR="00271B7B" w:rsidRDefault="00271B7B" w:rsidP="00045D04">
      <w:pPr>
        <w:rPr>
          <w:sz w:val="22"/>
          <w:szCs w:val="22"/>
        </w:rPr>
      </w:pPr>
    </w:p>
    <w:p w14:paraId="6B6D43D4" w14:textId="00372081" w:rsidR="003E7E7E" w:rsidRDefault="003E7E7E">
      <w:pPr>
        <w:rPr>
          <w:sz w:val="22"/>
          <w:szCs w:val="22"/>
        </w:rPr>
      </w:pPr>
      <w:r>
        <w:rPr>
          <w:sz w:val="22"/>
          <w:szCs w:val="22"/>
        </w:rPr>
        <w:br w:type="page"/>
      </w:r>
    </w:p>
    <w:p w14:paraId="5DE69456" w14:textId="77777777" w:rsidR="00857105" w:rsidRPr="00387DA7" w:rsidRDefault="00857105" w:rsidP="00045D04">
      <w:pPr>
        <w:rPr>
          <w:sz w:val="22"/>
          <w:szCs w:val="22"/>
        </w:rPr>
        <w:sectPr w:rsidR="00857105" w:rsidRPr="00387DA7" w:rsidSect="002A3762">
          <w:headerReference w:type="default" r:id="rId31"/>
          <w:type w:val="continuous"/>
          <w:pgSz w:w="12240" w:h="15840"/>
          <w:pgMar w:top="1152" w:right="1152" w:bottom="720" w:left="1152" w:header="720" w:footer="720" w:gutter="0"/>
          <w:cols w:space="720"/>
          <w:noEndnote/>
        </w:sectPr>
      </w:pPr>
    </w:p>
    <w:p w14:paraId="59D00E0E" w14:textId="3FDEF94C" w:rsidR="008F6A36" w:rsidRDefault="008F6A36" w:rsidP="00621F8F">
      <w:pPr>
        <w:pStyle w:val="Subtitle"/>
        <w:shd w:val="clear" w:color="auto" w:fill="A6A6A6" w:themeFill="background1" w:themeFillShade="A6"/>
        <w:rPr>
          <w:sz w:val="24"/>
        </w:rPr>
      </w:pPr>
      <w:bookmarkStart w:id="36" w:name="_Toc214431132"/>
      <w:r>
        <w:t>Referring Audit Reports</w:t>
      </w:r>
      <w:bookmarkEnd w:id="36"/>
    </w:p>
    <w:p w14:paraId="1DB81A9C" w14:textId="77777777" w:rsidR="008F6A36" w:rsidRDefault="008F6A36"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lang w:eastAsia="ja-JP"/>
        </w:rPr>
      </w:pPr>
    </w:p>
    <w:p w14:paraId="3AE19F40" w14:textId="77777777" w:rsidR="008F6A36" w:rsidRPr="009526A6"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9526A6">
        <w:rPr>
          <w:sz w:val="22"/>
          <w:szCs w:val="22"/>
          <w:lang w:eastAsia="ja-JP"/>
        </w:rPr>
        <w:t xml:space="preserve">When an audit report </w:t>
      </w:r>
      <w:r w:rsidR="009F709A" w:rsidRPr="009526A6">
        <w:rPr>
          <w:sz w:val="22"/>
          <w:szCs w:val="22"/>
          <w:lang w:eastAsia="ja-JP"/>
        </w:rPr>
        <w:t>include</w:t>
      </w:r>
      <w:r w:rsidRPr="009526A6">
        <w:rPr>
          <w:sz w:val="22"/>
          <w:szCs w:val="22"/>
          <w:lang w:eastAsia="ja-JP"/>
        </w:rPr>
        <w:t xml:space="preserve">s a noncompliance citation which falls under the jurisdiction of a particular state agency, it often is desirable to refer a copy of the released audit report to the agency.  Reports may also be referred to the Attorney General under the authority of Ohio Rev. </w:t>
      </w:r>
      <w:r w:rsidR="00FD3963" w:rsidRPr="009526A6">
        <w:rPr>
          <w:sz w:val="22"/>
          <w:szCs w:val="22"/>
          <w:lang w:eastAsia="ja-JP"/>
        </w:rPr>
        <w:t xml:space="preserve">Code </w:t>
      </w:r>
      <w:r w:rsidR="009B4BF1" w:rsidRPr="009526A6">
        <w:rPr>
          <w:sz w:val="22"/>
          <w:szCs w:val="22"/>
          <w:lang w:eastAsia="ja-JP"/>
        </w:rPr>
        <w:t>§ 1</w:t>
      </w:r>
      <w:r w:rsidRPr="009526A6">
        <w:rPr>
          <w:sz w:val="22"/>
          <w:szCs w:val="22"/>
          <w:lang w:eastAsia="ja-JP"/>
        </w:rPr>
        <w:t>17.42, which empowers the Attorney General, at the request of the Auditor of State, to undertake appropriate action to secure compliance with the laws by a public office.</w:t>
      </w:r>
    </w:p>
    <w:p w14:paraId="7CA72626" w14:textId="77777777" w:rsidR="008F6A36" w:rsidRPr="009526A6"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336F8015" w14:textId="0C2184A4" w:rsidR="003C6676" w:rsidRPr="009526A6" w:rsidRDefault="003C667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9526A6">
        <w:rPr>
          <w:sz w:val="22"/>
          <w:szCs w:val="22"/>
          <w:lang w:eastAsia="ja-JP"/>
        </w:rPr>
        <w:t xml:space="preserve">Ohio Rev. </w:t>
      </w:r>
      <w:r w:rsidR="00FD3963" w:rsidRPr="009526A6">
        <w:rPr>
          <w:sz w:val="22"/>
          <w:szCs w:val="22"/>
          <w:lang w:eastAsia="ja-JP"/>
        </w:rPr>
        <w:t xml:space="preserve">Code </w:t>
      </w:r>
      <w:r w:rsidR="009B4BF1" w:rsidRPr="009526A6">
        <w:rPr>
          <w:sz w:val="22"/>
          <w:szCs w:val="22"/>
          <w:lang w:eastAsia="ja-JP"/>
        </w:rPr>
        <w:t>§ 1</w:t>
      </w:r>
      <w:r w:rsidRPr="009526A6">
        <w:rPr>
          <w:sz w:val="22"/>
          <w:szCs w:val="22"/>
          <w:lang w:eastAsia="ja-JP"/>
        </w:rPr>
        <w:t>17.27 also requires the Auditor of State to provide a certified copy of the audit report to any officer required by state law, municipal or county charter, or municipal ordinance to act as legal counsel to the officers of the public office.  If no officer is required by state law, municipal or county charter, or municipal ordinance to act as legal counsel, a copy shall be filed with the prosecuting attorney of the county within which the fiscal office of the public office is located.</w:t>
      </w:r>
      <w:r w:rsidR="0052237C" w:rsidRPr="009526A6">
        <w:rPr>
          <w:sz w:val="22"/>
          <w:szCs w:val="22"/>
          <w:lang w:eastAsia="ja-JP"/>
        </w:rPr>
        <w:t xml:space="preserve">  </w:t>
      </w:r>
      <w:r w:rsidR="005D77BA" w:rsidRPr="009526A6">
        <w:rPr>
          <w:sz w:val="22"/>
          <w:szCs w:val="22"/>
          <w:lang w:eastAsia="ja-JP"/>
        </w:rPr>
        <w:t xml:space="preserve">Reports containing Findings for Recovery will be sent to the statutory legal counsel listed within the entity’s eServices account and the local prosecutor’s office by default.  Field auditors should verify with the </w:t>
      </w:r>
      <w:proofErr w:type="gramStart"/>
      <w:r w:rsidR="005D77BA" w:rsidRPr="009526A6">
        <w:rPr>
          <w:sz w:val="22"/>
          <w:szCs w:val="22"/>
          <w:lang w:eastAsia="ja-JP"/>
        </w:rPr>
        <w:t>client</w:t>
      </w:r>
      <w:proofErr w:type="gramEnd"/>
      <w:r w:rsidR="005D77BA" w:rsidRPr="009526A6">
        <w:rPr>
          <w:sz w:val="22"/>
          <w:szCs w:val="22"/>
          <w:lang w:eastAsia="ja-JP"/>
        </w:rPr>
        <w:t xml:space="preserve"> the recipient information listed in the entity’s eServices account is accurate prior to the release of the audit report.</w:t>
      </w:r>
    </w:p>
    <w:p w14:paraId="57917E45" w14:textId="77777777" w:rsidR="0019176C" w:rsidRPr="009526A6" w:rsidRDefault="0019176C"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3A5F257" w14:textId="77777777" w:rsidR="008F6A36" w:rsidRPr="009526A6" w:rsidRDefault="008F6A36"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b/>
          <w:sz w:val="22"/>
          <w:szCs w:val="22"/>
          <w:lang w:eastAsia="ja-JP"/>
        </w:rPr>
      </w:pPr>
      <w:r w:rsidRPr="009526A6">
        <w:rPr>
          <w:b/>
          <w:sz w:val="22"/>
          <w:szCs w:val="22"/>
          <w:lang w:eastAsia="ja-JP"/>
        </w:rPr>
        <w:t>Referring Findings for Recovery to the Attorney General</w:t>
      </w:r>
      <w:r w:rsidR="006973E0" w:rsidRPr="009526A6">
        <w:rPr>
          <w:b/>
          <w:sz w:val="22"/>
          <w:szCs w:val="22"/>
          <w:lang w:eastAsia="ja-JP"/>
        </w:rPr>
        <w:t xml:space="preserve">  </w:t>
      </w:r>
    </w:p>
    <w:p w14:paraId="104E9BD8" w14:textId="77777777" w:rsidR="00D404D4" w:rsidRPr="009526A6" w:rsidRDefault="00D404D4" w:rsidP="00DB4D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p>
    <w:p w14:paraId="0943BB18" w14:textId="434B83E5" w:rsidR="00637DF7" w:rsidRPr="009526A6" w:rsidRDefault="00155345" w:rsidP="00637DF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jc w:val="both"/>
        <w:rPr>
          <w:sz w:val="22"/>
          <w:szCs w:val="22"/>
          <w:lang w:eastAsia="ja-JP"/>
        </w:rPr>
      </w:pPr>
      <w:r w:rsidRPr="009526A6">
        <w:rPr>
          <w:sz w:val="22"/>
          <w:szCs w:val="22"/>
          <w:lang w:eastAsia="ja-JP"/>
        </w:rPr>
        <w:t xml:space="preserve">Pursuant to </w:t>
      </w:r>
      <w:r w:rsidR="00637DF7" w:rsidRPr="009526A6">
        <w:rPr>
          <w:sz w:val="22"/>
          <w:szCs w:val="22"/>
          <w:lang w:eastAsia="ja-JP"/>
        </w:rPr>
        <w:t>Ohio Rev. Code §</w:t>
      </w:r>
      <w:r w:rsidRPr="009526A6">
        <w:rPr>
          <w:sz w:val="22"/>
          <w:szCs w:val="22"/>
          <w:lang w:eastAsia="ja-JP"/>
        </w:rPr>
        <w:t>§</w:t>
      </w:r>
      <w:r w:rsidR="00637DF7" w:rsidRPr="009526A6">
        <w:rPr>
          <w:sz w:val="22"/>
          <w:szCs w:val="22"/>
          <w:lang w:eastAsia="ja-JP"/>
        </w:rPr>
        <w:t xml:space="preserve"> 117.28 </w:t>
      </w:r>
      <w:r w:rsidRPr="009526A6">
        <w:rPr>
          <w:sz w:val="22"/>
          <w:szCs w:val="22"/>
          <w:lang w:eastAsia="ja-JP"/>
        </w:rPr>
        <w:t xml:space="preserve">and 117.30 where </w:t>
      </w:r>
      <w:proofErr w:type="gramStart"/>
      <w:r w:rsidRPr="009526A6">
        <w:rPr>
          <w:sz w:val="22"/>
          <w:szCs w:val="22"/>
          <w:lang w:eastAsia="ja-JP"/>
        </w:rPr>
        <w:t>a Finding</w:t>
      </w:r>
      <w:proofErr w:type="gramEnd"/>
      <w:r w:rsidRPr="009526A6">
        <w:rPr>
          <w:sz w:val="22"/>
          <w:szCs w:val="22"/>
          <w:lang w:eastAsia="ja-JP"/>
        </w:rPr>
        <w:t xml:space="preserve"> for Recovery is made and remains unpaid at the time the audit is </w:t>
      </w:r>
      <w:proofErr w:type="gramStart"/>
      <w:r w:rsidRPr="009526A6">
        <w:rPr>
          <w:sz w:val="22"/>
          <w:szCs w:val="22"/>
          <w:lang w:eastAsia="ja-JP"/>
        </w:rPr>
        <w:t>released,</w:t>
      </w:r>
      <w:proofErr w:type="gramEnd"/>
      <w:r w:rsidRPr="009526A6">
        <w:rPr>
          <w:sz w:val="22"/>
          <w:szCs w:val="22"/>
          <w:lang w:eastAsia="ja-JP"/>
        </w:rPr>
        <w:t xml:space="preserve"> </w:t>
      </w:r>
      <w:r w:rsidR="00637DF7" w:rsidRPr="009526A6">
        <w:rPr>
          <w:sz w:val="22"/>
          <w:szCs w:val="22"/>
          <w:lang w:eastAsia="ja-JP"/>
        </w:rPr>
        <w:t xml:space="preserve">the Auditor of State </w:t>
      </w:r>
      <w:r w:rsidRPr="009526A6">
        <w:rPr>
          <w:sz w:val="22"/>
          <w:szCs w:val="22"/>
          <w:lang w:eastAsia="ja-JP"/>
        </w:rPr>
        <w:t>sends the audit report and notifies</w:t>
      </w:r>
      <w:r w:rsidR="00637DF7" w:rsidRPr="009526A6">
        <w:rPr>
          <w:sz w:val="22"/>
          <w:szCs w:val="22"/>
          <w:lang w:eastAsia="ja-JP"/>
        </w:rPr>
        <w:t xml:space="preserve"> the Attorney General of Findings for Recovery.  </w:t>
      </w:r>
    </w:p>
    <w:p w14:paraId="295931C4" w14:textId="64A844E3" w:rsidR="00271B7B" w:rsidRDefault="00271B7B">
      <w:pPr>
        <w:rPr>
          <w:sz w:val="24"/>
          <w:szCs w:val="12"/>
          <w:lang w:eastAsia="ja-JP"/>
        </w:rPr>
      </w:pPr>
    </w:p>
    <w:p w14:paraId="630BAD04" w14:textId="0576B20C" w:rsidR="001E3E45" w:rsidRDefault="001E3E45">
      <w:pPr>
        <w:rPr>
          <w:sz w:val="24"/>
          <w:szCs w:val="12"/>
          <w:lang w:eastAsia="ja-JP"/>
        </w:rPr>
      </w:pPr>
    </w:p>
    <w:p w14:paraId="64DDA683" w14:textId="48C47078" w:rsidR="001E3E45" w:rsidRDefault="001E3E45">
      <w:pPr>
        <w:rPr>
          <w:sz w:val="24"/>
          <w:szCs w:val="12"/>
          <w:u w:val="single"/>
          <w:lang w:eastAsia="ja-JP"/>
        </w:rPr>
      </w:pPr>
    </w:p>
    <w:p w14:paraId="331B7A1F" w14:textId="08A9BB1F" w:rsidR="001E3E45" w:rsidRDefault="001E3E45">
      <w:pPr>
        <w:rPr>
          <w:sz w:val="24"/>
          <w:szCs w:val="12"/>
          <w:u w:val="single"/>
          <w:lang w:eastAsia="ja-JP"/>
        </w:rPr>
      </w:pPr>
      <w:r>
        <w:rPr>
          <w:sz w:val="24"/>
          <w:szCs w:val="12"/>
          <w:u w:val="single"/>
          <w:lang w:eastAsia="ja-JP"/>
        </w:rPr>
        <w:br w:type="page"/>
      </w:r>
    </w:p>
    <w:p w14:paraId="727C5885" w14:textId="77777777" w:rsidR="001E3E45" w:rsidRPr="002001F6" w:rsidRDefault="001E3E45">
      <w:pPr>
        <w:rPr>
          <w:sz w:val="24"/>
          <w:szCs w:val="12"/>
          <w:u w:val="single"/>
          <w:lang w:eastAsia="ja-JP"/>
        </w:rPr>
        <w:sectPr w:rsidR="001E3E45" w:rsidRPr="002001F6" w:rsidSect="002A3762">
          <w:headerReference w:type="default" r:id="rId32"/>
          <w:type w:val="continuous"/>
          <w:pgSz w:w="12240" w:h="15840"/>
          <w:pgMar w:top="1152" w:right="1152" w:bottom="720" w:left="1152" w:header="720" w:footer="720" w:gutter="0"/>
          <w:cols w:space="720"/>
          <w:noEndnote/>
        </w:sectPr>
      </w:pPr>
    </w:p>
    <w:p w14:paraId="5DD6E898" w14:textId="20DC7C2F" w:rsidR="008F6A36" w:rsidRDefault="008F6A36" w:rsidP="00621F8F">
      <w:pPr>
        <w:pStyle w:val="Subtitle"/>
        <w:shd w:val="clear" w:color="auto" w:fill="A6A6A6" w:themeFill="background1" w:themeFillShade="A6"/>
        <w:rPr>
          <w:sz w:val="24"/>
        </w:rPr>
      </w:pPr>
      <w:bookmarkStart w:id="37" w:name="_Toc214431133"/>
      <w:r>
        <w:t>Referrals to the Ethics Commission, Other State Agencies, and the IRS</w:t>
      </w:r>
      <w:r w:rsidR="003F18BE" w:rsidRPr="00387AB4">
        <w:rPr>
          <w:rStyle w:val="FootnoteReference"/>
        </w:rPr>
        <w:footnoteReference w:id="28"/>
      </w:r>
      <w:bookmarkEnd w:id="37"/>
    </w:p>
    <w:p w14:paraId="18A5F87F" w14:textId="77777777" w:rsidR="008F6A36" w:rsidRDefault="008F6A36" w:rsidP="009D277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rPr>
          <w:sz w:val="24"/>
          <w:lang w:eastAsia="ja-JP"/>
        </w:rPr>
      </w:pPr>
    </w:p>
    <w:p w14:paraId="7F97929D" w14:textId="41929F83" w:rsidR="00DE4FCC" w:rsidRPr="009526A6" w:rsidRDefault="00DE4FCC" w:rsidP="00DB4DA9">
      <w:pPr>
        <w:spacing w:line="259" w:lineRule="atLeast"/>
        <w:jc w:val="both"/>
        <w:rPr>
          <w:sz w:val="22"/>
          <w:szCs w:val="22"/>
          <w:u w:val="single"/>
        </w:rPr>
      </w:pPr>
      <w:r w:rsidRPr="009526A6">
        <w:rPr>
          <w:sz w:val="22"/>
          <w:szCs w:val="22"/>
          <w:u w:val="single"/>
        </w:rPr>
        <w:t>IRS</w:t>
      </w:r>
      <w:r w:rsidR="00FD4BE8" w:rsidRPr="009526A6">
        <w:rPr>
          <w:sz w:val="22"/>
          <w:szCs w:val="22"/>
          <w:u w:val="single"/>
        </w:rPr>
        <w:t xml:space="preserve">, Ohio Department of Taxation, </w:t>
      </w:r>
      <w:r w:rsidR="00BE286A" w:rsidRPr="009526A6">
        <w:rPr>
          <w:sz w:val="22"/>
          <w:szCs w:val="22"/>
          <w:u w:val="single"/>
          <w:lang w:eastAsia="ja-JP"/>
        </w:rPr>
        <w:t>STRS, SERS</w:t>
      </w:r>
      <w:r w:rsidR="00FF7E94" w:rsidRPr="009526A6">
        <w:rPr>
          <w:sz w:val="22"/>
          <w:szCs w:val="22"/>
          <w:u w:val="single"/>
          <w:lang w:eastAsia="ja-JP"/>
        </w:rPr>
        <w:t>,</w:t>
      </w:r>
      <w:r w:rsidR="00C97F32" w:rsidRPr="009526A6">
        <w:rPr>
          <w:sz w:val="22"/>
          <w:szCs w:val="22"/>
          <w:u w:val="single"/>
          <w:lang w:eastAsia="ja-JP"/>
        </w:rPr>
        <w:t xml:space="preserve"> OP&amp;F Retirement System</w:t>
      </w:r>
      <w:r w:rsidR="00FF7E94" w:rsidRPr="009526A6">
        <w:rPr>
          <w:sz w:val="22"/>
          <w:szCs w:val="22"/>
          <w:u w:val="single"/>
          <w:lang w:eastAsia="ja-JP"/>
        </w:rPr>
        <w:t xml:space="preserve"> </w:t>
      </w:r>
      <w:r w:rsidR="00421C1C" w:rsidRPr="009526A6">
        <w:rPr>
          <w:sz w:val="22"/>
          <w:szCs w:val="22"/>
          <w:u w:val="single"/>
          <w:lang w:eastAsia="ja-JP"/>
        </w:rPr>
        <w:t>,</w:t>
      </w:r>
      <w:r w:rsidRPr="009526A6">
        <w:rPr>
          <w:sz w:val="22"/>
          <w:szCs w:val="22"/>
          <w:u w:val="single"/>
        </w:rPr>
        <w:t>OPERS</w:t>
      </w:r>
      <w:r w:rsidR="000848E2" w:rsidRPr="009526A6">
        <w:rPr>
          <w:sz w:val="22"/>
          <w:szCs w:val="22"/>
          <w:u w:val="single"/>
        </w:rPr>
        <w:t xml:space="preserve">, </w:t>
      </w:r>
      <w:r w:rsidR="000848E2" w:rsidRPr="009526A6">
        <w:rPr>
          <w:sz w:val="22"/>
          <w:szCs w:val="22"/>
        </w:rPr>
        <w:t>Ohio Office of Unemployment Compensation, and BWC</w:t>
      </w:r>
      <w:r w:rsidRPr="009526A6">
        <w:rPr>
          <w:sz w:val="22"/>
          <w:szCs w:val="22"/>
          <w:u w:val="single"/>
        </w:rPr>
        <w:t xml:space="preserve"> Comments</w:t>
      </w:r>
    </w:p>
    <w:p w14:paraId="7D9B1A3E" w14:textId="77777777" w:rsidR="00E2354C" w:rsidRPr="009526A6" w:rsidRDefault="00E2354C" w:rsidP="00E2354C">
      <w:pPr>
        <w:spacing w:line="259" w:lineRule="atLeast"/>
        <w:jc w:val="both"/>
        <w:rPr>
          <w:sz w:val="22"/>
          <w:szCs w:val="22"/>
          <w:u w:val="single"/>
        </w:rPr>
      </w:pPr>
    </w:p>
    <w:p w14:paraId="21CFF815" w14:textId="09D6EFBF" w:rsidR="00276448" w:rsidRPr="009526A6" w:rsidRDefault="00276448" w:rsidP="00276448">
      <w:pPr>
        <w:spacing w:line="259" w:lineRule="atLeast"/>
        <w:jc w:val="both"/>
        <w:rPr>
          <w:sz w:val="22"/>
          <w:szCs w:val="22"/>
          <w:lang w:eastAsia="ja-JP"/>
        </w:rPr>
      </w:pPr>
      <w:r w:rsidRPr="009526A6">
        <w:rPr>
          <w:sz w:val="22"/>
          <w:szCs w:val="22"/>
          <w:lang w:eastAsia="ja-JP"/>
        </w:rPr>
        <w:t>The Internal Revenue Service</w:t>
      </w:r>
      <w:bookmarkStart w:id="38" w:name="_Ref469904784"/>
      <w:r w:rsidRPr="009526A6">
        <w:rPr>
          <w:rStyle w:val="FootnoteReference"/>
          <w:sz w:val="22"/>
          <w:szCs w:val="22"/>
          <w:lang w:eastAsia="ja-JP"/>
        </w:rPr>
        <w:footnoteReference w:id="29"/>
      </w:r>
      <w:bookmarkEnd w:id="38"/>
      <w:r w:rsidRPr="009526A6">
        <w:rPr>
          <w:sz w:val="22"/>
          <w:szCs w:val="22"/>
          <w:lang w:eastAsia="ja-JP"/>
        </w:rPr>
        <w:t>, the Ohio Department of Taxation</w:t>
      </w:r>
      <w:r w:rsidRPr="00777294">
        <w:rPr>
          <w:color w:val="2B579A"/>
          <w:sz w:val="22"/>
          <w:szCs w:val="22"/>
          <w:shd w:val="clear" w:color="auto" w:fill="E6E6E6"/>
          <w:vertAlign w:val="superscript"/>
          <w:lang w:eastAsia="ja-JP"/>
        </w:rPr>
        <w:fldChar w:fldCharType="begin"/>
      </w:r>
      <w:r w:rsidRPr="00777294">
        <w:rPr>
          <w:sz w:val="22"/>
          <w:szCs w:val="22"/>
          <w:vertAlign w:val="superscript"/>
          <w:lang w:eastAsia="ja-JP"/>
        </w:rPr>
        <w:instrText xml:space="preserve"> NOTEREF _Ref469904784 \h  \* MERGEFORMAT </w:instrText>
      </w:r>
      <w:r w:rsidRPr="00777294">
        <w:rPr>
          <w:color w:val="2B579A"/>
          <w:sz w:val="22"/>
          <w:szCs w:val="22"/>
          <w:shd w:val="clear" w:color="auto" w:fill="E6E6E6"/>
          <w:vertAlign w:val="superscript"/>
          <w:lang w:eastAsia="ja-JP"/>
        </w:rPr>
      </w:r>
      <w:r w:rsidRPr="00777294">
        <w:rPr>
          <w:color w:val="2B579A"/>
          <w:sz w:val="22"/>
          <w:szCs w:val="22"/>
          <w:shd w:val="clear" w:color="auto" w:fill="E6E6E6"/>
          <w:vertAlign w:val="superscript"/>
          <w:lang w:eastAsia="ja-JP"/>
        </w:rPr>
        <w:fldChar w:fldCharType="separate"/>
      </w:r>
      <w:r w:rsidR="008E27C2">
        <w:rPr>
          <w:sz w:val="22"/>
          <w:szCs w:val="22"/>
          <w:vertAlign w:val="superscript"/>
          <w:lang w:eastAsia="ja-JP"/>
        </w:rPr>
        <w:t>28</w:t>
      </w:r>
      <w:r w:rsidRPr="00777294">
        <w:rPr>
          <w:color w:val="2B579A"/>
          <w:sz w:val="22"/>
          <w:szCs w:val="22"/>
          <w:shd w:val="clear" w:color="auto" w:fill="E6E6E6"/>
          <w:vertAlign w:val="superscript"/>
          <w:lang w:eastAsia="ja-JP"/>
        </w:rPr>
        <w:fldChar w:fldCharType="end"/>
      </w:r>
      <w:r w:rsidRPr="009526A6">
        <w:rPr>
          <w:sz w:val="22"/>
          <w:szCs w:val="22"/>
          <w:lang w:eastAsia="ja-JP"/>
        </w:rPr>
        <w:t>, School Teachers Retirement System, School Employees Retirement System, Ohio Police and Fire Retirement System, Ohio Public Employees Retirement System, and Ohio Department of Education have requested notification when local government audits have comments or findings pertaining to their respective agencies.  The Auditor of State has agreed to these requests</w:t>
      </w:r>
      <w:r w:rsidR="00D20670" w:rsidRPr="009526A6">
        <w:rPr>
          <w:sz w:val="22"/>
          <w:szCs w:val="22"/>
          <w:lang w:eastAsia="ja-JP"/>
        </w:rPr>
        <w:t xml:space="preserve">.  The Auditor of State will also </w:t>
      </w:r>
      <w:proofErr w:type="gramStart"/>
      <w:r w:rsidR="00D20670" w:rsidRPr="009526A6">
        <w:rPr>
          <w:sz w:val="22"/>
          <w:szCs w:val="22"/>
          <w:lang w:eastAsia="ja-JP"/>
        </w:rPr>
        <w:t>refer</w:t>
      </w:r>
      <w:proofErr w:type="gramEnd"/>
      <w:r w:rsidR="00D20670" w:rsidRPr="009526A6">
        <w:rPr>
          <w:sz w:val="22"/>
          <w:szCs w:val="22"/>
          <w:lang w:eastAsia="ja-JP"/>
        </w:rPr>
        <w:t xml:space="preserve"> any Employee vs. Independent Contractor Status issues to the IRS, Ohio Department of Taxati</w:t>
      </w:r>
      <w:r w:rsidR="001124A5" w:rsidRPr="009526A6">
        <w:rPr>
          <w:sz w:val="22"/>
          <w:szCs w:val="22"/>
          <w:lang w:eastAsia="ja-JP"/>
        </w:rPr>
        <w:t>o</w:t>
      </w:r>
      <w:r w:rsidR="00D20670" w:rsidRPr="009526A6">
        <w:rPr>
          <w:sz w:val="22"/>
          <w:szCs w:val="22"/>
          <w:lang w:eastAsia="ja-JP"/>
        </w:rPr>
        <w:t>n, Ohio Office of</w:t>
      </w:r>
      <w:r w:rsidR="001124A5" w:rsidRPr="009526A6">
        <w:rPr>
          <w:sz w:val="22"/>
          <w:szCs w:val="22"/>
          <w:lang w:eastAsia="ja-JP"/>
        </w:rPr>
        <w:t xml:space="preserve"> Unemployment Compensation, and Bureau of Workers Compensation.</w:t>
      </w:r>
      <w:r w:rsidR="00D20670" w:rsidRPr="009526A6">
        <w:rPr>
          <w:sz w:val="22"/>
          <w:szCs w:val="22"/>
          <w:lang w:eastAsia="ja-JP"/>
        </w:rPr>
        <w:t xml:space="preserve"> </w:t>
      </w:r>
      <w:r w:rsidRPr="009526A6">
        <w:rPr>
          <w:rStyle w:val="FootnoteReference"/>
          <w:sz w:val="22"/>
          <w:szCs w:val="22"/>
          <w:lang w:eastAsia="ja-JP"/>
        </w:rPr>
        <w:t xml:space="preserve"> </w:t>
      </w:r>
      <w:r w:rsidRPr="009526A6">
        <w:rPr>
          <w:rStyle w:val="FootnoteReference"/>
          <w:sz w:val="22"/>
          <w:szCs w:val="22"/>
          <w:lang w:eastAsia="ja-JP"/>
        </w:rPr>
        <w:footnoteReference w:id="30"/>
      </w:r>
      <w:r w:rsidRPr="009526A6">
        <w:rPr>
          <w:sz w:val="22"/>
          <w:szCs w:val="22"/>
          <w:lang w:eastAsia="ja-JP"/>
        </w:rPr>
        <w:t xml:space="preserve">     </w:t>
      </w:r>
    </w:p>
    <w:p w14:paraId="426D09AE" w14:textId="77777777" w:rsidR="00276448" w:rsidRPr="009526A6" w:rsidRDefault="00276448" w:rsidP="00276448">
      <w:pPr>
        <w:spacing w:line="259" w:lineRule="atLeast"/>
        <w:jc w:val="both"/>
        <w:rPr>
          <w:sz w:val="22"/>
          <w:szCs w:val="22"/>
          <w:lang w:eastAsia="ja-JP"/>
        </w:rPr>
      </w:pPr>
    </w:p>
    <w:p w14:paraId="6B5CC49B" w14:textId="5FEFE88B" w:rsidR="00F50090" w:rsidRPr="009526A6" w:rsidRDefault="00F50090" w:rsidP="00F50090">
      <w:pPr>
        <w:spacing w:line="259" w:lineRule="atLeast"/>
        <w:jc w:val="both"/>
        <w:rPr>
          <w:sz w:val="22"/>
          <w:szCs w:val="22"/>
          <w:lang w:eastAsia="ja-JP"/>
        </w:rPr>
      </w:pPr>
      <w:r w:rsidRPr="009526A6">
        <w:rPr>
          <w:sz w:val="22"/>
          <w:szCs w:val="22"/>
          <w:lang w:eastAsia="ja-JP"/>
        </w:rPr>
        <w:t>Additionally, Ohio Rev. Code §§</w:t>
      </w:r>
      <w:r w:rsidR="00E26CB3" w:rsidRPr="009526A6">
        <w:rPr>
          <w:sz w:val="22"/>
          <w:szCs w:val="22"/>
          <w:lang w:eastAsia="ja-JP"/>
        </w:rPr>
        <w:t xml:space="preserve"> </w:t>
      </w:r>
      <w:r w:rsidRPr="009526A6">
        <w:rPr>
          <w:sz w:val="22"/>
          <w:szCs w:val="22"/>
          <w:lang w:eastAsia="ja-JP"/>
        </w:rPr>
        <w:t>117.</w:t>
      </w:r>
      <w:r w:rsidR="00B778B7" w:rsidRPr="009526A6">
        <w:rPr>
          <w:sz w:val="22"/>
          <w:szCs w:val="22"/>
          <w:lang w:eastAsia="ja-JP"/>
        </w:rPr>
        <w:t>1</w:t>
      </w:r>
      <w:r w:rsidRPr="009526A6">
        <w:rPr>
          <w:sz w:val="22"/>
          <w:szCs w:val="22"/>
          <w:lang w:eastAsia="ja-JP"/>
        </w:rPr>
        <w:t>05 and 3314.019 require the Auditor of State to provide written notice to sponsors of community schools regarding any action taken against a community school as part of an audit.  We interpret this to mean the Auditor of State has a legal responsibility to provide copies of community school audit reports to sponsors.</w:t>
      </w:r>
    </w:p>
    <w:p w14:paraId="494A45CB" w14:textId="4D6B6987" w:rsidR="00ED2FB4" w:rsidRPr="009526A6" w:rsidRDefault="00ED2FB4" w:rsidP="000228C3">
      <w:pPr>
        <w:autoSpaceDE w:val="0"/>
        <w:autoSpaceDN w:val="0"/>
        <w:adjustRightInd w:val="0"/>
        <w:jc w:val="both"/>
        <w:rPr>
          <w:sz w:val="22"/>
          <w:szCs w:val="22"/>
          <w:u w:val="wavyDouble"/>
          <w:lang w:eastAsia="ja-JP"/>
        </w:rPr>
      </w:pPr>
    </w:p>
    <w:p w14:paraId="1F44C8E9" w14:textId="77777777" w:rsidR="008F6A36" w:rsidRPr="009526A6" w:rsidRDefault="008F6A36" w:rsidP="00DB4DA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r w:rsidRPr="009526A6">
        <w:rPr>
          <w:sz w:val="22"/>
          <w:szCs w:val="22"/>
          <w:u w:val="single"/>
          <w:lang w:eastAsia="ja-JP"/>
        </w:rPr>
        <w:t>Referrals to Other Agencies</w:t>
      </w:r>
    </w:p>
    <w:p w14:paraId="2CDC673D" w14:textId="77777777" w:rsidR="008F6A36" w:rsidRPr="009526A6" w:rsidRDefault="008F6A36" w:rsidP="00DB4DA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p>
    <w:p w14:paraId="1E716BC6" w14:textId="4ACA1748" w:rsidR="00B70E08" w:rsidRPr="009526A6" w:rsidRDefault="008F6A36" w:rsidP="00DB4DA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r w:rsidRPr="009526A6">
        <w:rPr>
          <w:sz w:val="22"/>
          <w:szCs w:val="22"/>
          <w:lang w:eastAsia="ja-JP"/>
        </w:rPr>
        <w:t xml:space="preserve">When </w:t>
      </w:r>
      <w:proofErr w:type="gramStart"/>
      <w:r w:rsidRPr="009526A6">
        <w:rPr>
          <w:sz w:val="22"/>
          <w:szCs w:val="22"/>
          <w:lang w:eastAsia="ja-JP"/>
        </w:rPr>
        <w:t>referr</w:t>
      </w:r>
      <w:r w:rsidR="00315641" w:rsidRPr="009526A6">
        <w:rPr>
          <w:sz w:val="22"/>
          <w:szCs w:val="22"/>
          <w:lang w:eastAsia="ja-JP"/>
        </w:rPr>
        <w:t>ing</w:t>
      </w:r>
      <w:proofErr w:type="gramEnd"/>
      <w:r w:rsidRPr="009526A6">
        <w:rPr>
          <w:sz w:val="22"/>
          <w:szCs w:val="22"/>
          <w:lang w:eastAsia="ja-JP"/>
        </w:rPr>
        <w:t xml:space="preserve"> an audit report to any other </w:t>
      </w:r>
      <w:r w:rsidR="00CE3967" w:rsidRPr="009526A6">
        <w:rPr>
          <w:sz w:val="22"/>
          <w:szCs w:val="22"/>
          <w:lang w:eastAsia="ja-JP"/>
        </w:rPr>
        <w:t xml:space="preserve">State or Federal </w:t>
      </w:r>
      <w:r w:rsidRPr="009526A6">
        <w:rPr>
          <w:sz w:val="22"/>
          <w:szCs w:val="22"/>
          <w:lang w:eastAsia="ja-JP"/>
        </w:rPr>
        <w:t xml:space="preserve">agency, the regional audit office will prepare </w:t>
      </w:r>
      <w:r w:rsidR="0052237C" w:rsidRPr="009526A6">
        <w:rPr>
          <w:sz w:val="22"/>
          <w:szCs w:val="22"/>
          <w:lang w:eastAsia="ja-JP"/>
        </w:rPr>
        <w:t>and send the referral</w:t>
      </w:r>
      <w:r w:rsidR="000A7E75" w:rsidRPr="009526A6">
        <w:rPr>
          <w:sz w:val="22"/>
          <w:szCs w:val="22"/>
          <w:lang w:eastAsia="ja-JP"/>
        </w:rPr>
        <w:t xml:space="preserve">.  </w:t>
      </w:r>
      <w:r w:rsidR="00E44353" w:rsidRPr="009526A6">
        <w:rPr>
          <w:sz w:val="22"/>
          <w:szCs w:val="22"/>
          <w:lang w:eastAsia="ja-JP"/>
        </w:rPr>
        <w:t xml:space="preserve">The Regional office will also </w:t>
      </w:r>
      <w:r w:rsidR="00276448" w:rsidRPr="009526A6">
        <w:rPr>
          <w:sz w:val="22"/>
          <w:szCs w:val="22"/>
          <w:lang w:eastAsia="ja-JP"/>
        </w:rPr>
        <w:t xml:space="preserve">consult with </w:t>
      </w:r>
      <w:r w:rsidR="005D32B7" w:rsidRPr="009526A6">
        <w:rPr>
          <w:sz w:val="22"/>
          <w:szCs w:val="22"/>
          <w:lang w:eastAsia="ja-JP"/>
        </w:rPr>
        <w:t>the Auditor of State</w:t>
      </w:r>
      <w:r w:rsidR="00315641" w:rsidRPr="009526A6">
        <w:rPr>
          <w:sz w:val="22"/>
          <w:szCs w:val="22"/>
          <w:lang w:eastAsia="ja-JP"/>
        </w:rPr>
        <w:t>’s</w:t>
      </w:r>
      <w:r w:rsidR="005D32B7" w:rsidRPr="009526A6">
        <w:rPr>
          <w:sz w:val="22"/>
          <w:szCs w:val="22"/>
          <w:lang w:eastAsia="ja-JP"/>
        </w:rPr>
        <w:t xml:space="preserve"> Legal Division</w:t>
      </w:r>
      <w:r w:rsidR="000A7E75" w:rsidRPr="009526A6">
        <w:rPr>
          <w:sz w:val="22"/>
          <w:szCs w:val="22"/>
          <w:lang w:eastAsia="ja-JP"/>
        </w:rPr>
        <w:t xml:space="preserve"> of the referral prior to </w:t>
      </w:r>
      <w:r w:rsidR="00276448" w:rsidRPr="009526A6">
        <w:rPr>
          <w:sz w:val="22"/>
          <w:szCs w:val="22"/>
          <w:lang w:eastAsia="ja-JP"/>
        </w:rPr>
        <w:t xml:space="preserve">release of the audit report and </w:t>
      </w:r>
      <w:r w:rsidR="000A7E75" w:rsidRPr="009526A6">
        <w:rPr>
          <w:sz w:val="22"/>
          <w:szCs w:val="22"/>
          <w:lang w:eastAsia="ja-JP"/>
        </w:rPr>
        <w:t>sending the referral</w:t>
      </w:r>
      <w:r w:rsidRPr="009526A6">
        <w:rPr>
          <w:sz w:val="22"/>
          <w:szCs w:val="22"/>
          <w:lang w:eastAsia="ja-JP"/>
        </w:rPr>
        <w:t xml:space="preserve">. </w:t>
      </w:r>
      <w:r w:rsidR="00315641" w:rsidRPr="009526A6">
        <w:rPr>
          <w:sz w:val="22"/>
          <w:szCs w:val="22"/>
          <w:lang w:eastAsia="ja-JP"/>
        </w:rPr>
        <w:t xml:space="preserve"> </w:t>
      </w:r>
      <w:r w:rsidR="00B70E08" w:rsidRPr="009526A6">
        <w:rPr>
          <w:sz w:val="22"/>
          <w:szCs w:val="22"/>
          <w:lang w:eastAsia="ja-JP"/>
        </w:rPr>
        <w:t>We should also not send a</w:t>
      </w:r>
      <w:r w:rsidR="00DE4FCC" w:rsidRPr="009526A6">
        <w:rPr>
          <w:sz w:val="22"/>
          <w:szCs w:val="22"/>
          <w:lang w:eastAsia="ja-JP"/>
        </w:rPr>
        <w:t xml:space="preserve"> referral</w:t>
      </w:r>
      <w:r w:rsidR="00B70E08" w:rsidRPr="009526A6">
        <w:rPr>
          <w:sz w:val="22"/>
          <w:szCs w:val="22"/>
          <w:lang w:eastAsia="ja-JP"/>
        </w:rPr>
        <w:t xml:space="preserve"> letter when (1) the audit report already describes the problem and (2) we are certain the person we are sending the letter to is on the audit report distribution list. </w:t>
      </w:r>
      <w:r w:rsidR="00836B6B" w:rsidRPr="009526A6">
        <w:rPr>
          <w:rStyle w:val="FootnoteReference"/>
          <w:sz w:val="22"/>
          <w:szCs w:val="22"/>
          <w:lang w:eastAsia="ja-JP"/>
        </w:rPr>
        <w:footnoteReference w:id="31"/>
      </w:r>
    </w:p>
    <w:p w14:paraId="0F41BB62" w14:textId="21348A28" w:rsidR="00ED2FB4" w:rsidRPr="009526A6" w:rsidRDefault="00ED2FB4" w:rsidP="00DB4DA9">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p>
    <w:p w14:paraId="3365AC8F" w14:textId="1BF88C32" w:rsidR="00C61AE5" w:rsidRPr="009526A6" w:rsidRDefault="00C61AE5" w:rsidP="00C61AE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u w:val="single"/>
          <w:lang w:eastAsia="ja-JP"/>
        </w:rPr>
      </w:pPr>
      <w:r w:rsidRPr="009526A6">
        <w:rPr>
          <w:sz w:val="22"/>
          <w:szCs w:val="22"/>
          <w:u w:val="single"/>
          <w:lang w:eastAsia="ja-JP"/>
        </w:rPr>
        <w:t>Ohio Department of Education</w:t>
      </w:r>
    </w:p>
    <w:p w14:paraId="5E99ABA9" w14:textId="77777777" w:rsidR="00C61AE5" w:rsidRPr="009526A6" w:rsidRDefault="00C61AE5" w:rsidP="00C61AE5">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sz w:val="22"/>
          <w:szCs w:val="22"/>
          <w:lang w:eastAsia="ja-JP"/>
        </w:rPr>
      </w:pPr>
    </w:p>
    <w:p w14:paraId="734037AE" w14:textId="678511F9" w:rsidR="00C61AE5" w:rsidRPr="009526A6" w:rsidRDefault="00C61AE5" w:rsidP="00C61AE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r w:rsidRPr="009526A6">
        <w:rPr>
          <w:sz w:val="22"/>
          <w:szCs w:val="22"/>
          <w:lang w:eastAsia="ja-JP"/>
        </w:rPr>
        <w:t xml:space="preserve">Per Ohio Rev. Code § 3313.30(A), if the Auditor of State or a public accountant, under </w:t>
      </w:r>
      <w:r w:rsidRPr="009526A6">
        <w:rPr>
          <w:sz w:val="22"/>
          <w:szCs w:val="22"/>
        </w:rPr>
        <w:t>Ohio Rev. Code § 1</w:t>
      </w:r>
      <w:r w:rsidRPr="009526A6">
        <w:rPr>
          <w:sz w:val="22"/>
          <w:szCs w:val="22"/>
          <w:lang w:eastAsia="ja-JP"/>
        </w:rPr>
        <w:t xml:space="preserve">17.41, declares a school district to be unauditable, the Auditor of State shall provide written notification of that declaration to the district and the </w:t>
      </w:r>
      <w:r w:rsidR="00BA1279" w:rsidRPr="009526A6">
        <w:rPr>
          <w:sz w:val="22"/>
          <w:szCs w:val="22"/>
          <w:lang w:eastAsia="ja-JP"/>
        </w:rPr>
        <w:t>Department of Education</w:t>
      </w:r>
      <w:r w:rsidR="00BA1279" w:rsidRPr="009526A6">
        <w:rPr>
          <w:sz w:val="22"/>
          <w:szCs w:val="22"/>
        </w:rPr>
        <w:t xml:space="preserve"> </w:t>
      </w:r>
      <w:r w:rsidR="00BA1279" w:rsidRPr="009526A6">
        <w:rPr>
          <w:sz w:val="22"/>
          <w:szCs w:val="22"/>
          <w:lang w:eastAsia="ja-JP"/>
        </w:rPr>
        <w:t>and Workforce</w:t>
      </w:r>
      <w:r w:rsidRPr="009526A6">
        <w:rPr>
          <w:sz w:val="22"/>
          <w:szCs w:val="22"/>
          <w:lang w:eastAsia="ja-JP"/>
        </w:rPr>
        <w:t>.  The Auditor of State also shall post the notification on the Auditor of State's web site (</w:t>
      </w:r>
      <w:hyperlink r:id="rId33" w:history="1">
        <w:r w:rsidR="00B941CA" w:rsidRPr="009526A6">
          <w:rPr>
            <w:rStyle w:val="Hyperlink"/>
            <w:sz w:val="22"/>
            <w:szCs w:val="22"/>
          </w:rPr>
          <w:t>https://ohioauditor.gov/financial.html</w:t>
        </w:r>
      </w:hyperlink>
      <w:r w:rsidR="6BF13D58" w:rsidRPr="009526A6">
        <w:rPr>
          <w:sz w:val="22"/>
          <w:szCs w:val="22"/>
          <w:lang w:eastAsia="ja-JP"/>
        </w:rPr>
        <w:t>).</w:t>
      </w:r>
    </w:p>
    <w:p w14:paraId="2DFC2E48" w14:textId="77777777" w:rsidR="00C61AE5" w:rsidRDefault="00C61AE5" w:rsidP="000E1A8F">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b/>
          <w:sz w:val="22"/>
          <w:szCs w:val="22"/>
          <w:lang w:eastAsia="ja-JP"/>
        </w:rPr>
      </w:pPr>
    </w:p>
    <w:p w14:paraId="38062916" w14:textId="77777777" w:rsidR="00B16922" w:rsidRDefault="00B16922" w:rsidP="000E1A8F">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b/>
          <w:sz w:val="22"/>
          <w:szCs w:val="22"/>
          <w:lang w:eastAsia="ja-JP"/>
        </w:rPr>
      </w:pPr>
    </w:p>
    <w:p w14:paraId="7707CF03" w14:textId="77777777" w:rsidR="00B16922" w:rsidRDefault="00B16922" w:rsidP="000E1A8F">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b/>
          <w:sz w:val="22"/>
          <w:szCs w:val="22"/>
          <w:lang w:eastAsia="ja-JP"/>
        </w:rPr>
      </w:pPr>
    </w:p>
    <w:p w14:paraId="1618B2FB" w14:textId="77777777" w:rsidR="00B16922" w:rsidRPr="009526A6" w:rsidRDefault="00B16922" w:rsidP="000E1A8F">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b/>
          <w:sz w:val="22"/>
          <w:szCs w:val="22"/>
          <w:lang w:eastAsia="ja-JP"/>
        </w:rPr>
      </w:pPr>
    </w:p>
    <w:p w14:paraId="3AF2BE9E" w14:textId="05AF2BF5" w:rsidR="00ED2FB4" w:rsidRPr="009526A6" w:rsidRDefault="00ED2FB4" w:rsidP="00ED2FB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u w:val="single"/>
          <w:lang w:eastAsia="ja-JP"/>
        </w:rPr>
      </w:pPr>
      <w:r w:rsidRPr="009526A6">
        <w:rPr>
          <w:sz w:val="22"/>
          <w:szCs w:val="22"/>
          <w:u w:val="single"/>
          <w:lang w:eastAsia="ja-JP"/>
        </w:rPr>
        <w:t>Ohio Secretary of State</w:t>
      </w:r>
    </w:p>
    <w:p w14:paraId="0D8786F2" w14:textId="77777777" w:rsidR="00ED2FB4" w:rsidRPr="009526A6" w:rsidRDefault="00ED2FB4" w:rsidP="00ED2FB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22"/>
          <w:lang w:eastAsia="ja-JP"/>
        </w:rPr>
      </w:pPr>
    </w:p>
    <w:p w14:paraId="2350B9B3" w14:textId="6A3EE70D" w:rsidR="00ED2FB4" w:rsidRPr="009526A6" w:rsidRDefault="00ED2FB4" w:rsidP="007955DE">
      <w:pPr>
        <w:pStyle w:val="Default"/>
        <w:numPr>
          <w:ilvl w:val="0"/>
          <w:numId w:val="44"/>
        </w:numPr>
        <w:ind w:left="360"/>
        <w:jc w:val="both"/>
        <w:rPr>
          <w:rFonts w:ascii="Times New Roman" w:hAnsi="Times New Roman" w:cs="Times New Roman"/>
          <w:sz w:val="22"/>
          <w:szCs w:val="22"/>
        </w:rPr>
      </w:pPr>
      <w:r w:rsidRPr="009526A6">
        <w:rPr>
          <w:rFonts w:ascii="Times New Roman" w:hAnsi="Times New Roman" w:cs="Times New Roman"/>
          <w:sz w:val="22"/>
          <w:szCs w:val="22"/>
        </w:rPr>
        <w:t>Per Ohio Rev. Code §§</w:t>
      </w:r>
      <w:r w:rsidR="00E26CB3" w:rsidRPr="009526A6">
        <w:rPr>
          <w:rFonts w:ascii="Times New Roman" w:hAnsi="Times New Roman" w:cs="Times New Roman"/>
          <w:sz w:val="22"/>
          <w:szCs w:val="22"/>
        </w:rPr>
        <w:t xml:space="preserve"> </w:t>
      </w:r>
      <w:r w:rsidRPr="009526A6">
        <w:rPr>
          <w:rFonts w:ascii="Times New Roman" w:hAnsi="Times New Roman" w:cs="Times New Roman"/>
          <w:sz w:val="22"/>
          <w:szCs w:val="22"/>
        </w:rPr>
        <w:t>1724.06 and 1726.12, the Auditor of State must notify the Secretary of State when a community improvement corporation (including economic development corporations and county land reutilization corporations) or development corporation fails to file with the Auditor of State within 90 days of the statutory filing date (i.e. 210 days after the end of the reporting period) or within 90 days of an unauditable declaration by the Auditor of State.</w:t>
      </w:r>
    </w:p>
    <w:p w14:paraId="6AF0BBF3" w14:textId="77777777" w:rsidR="00ED2FB4" w:rsidRPr="009526A6" w:rsidRDefault="00ED2FB4" w:rsidP="00ED2FB4">
      <w:pPr>
        <w:pStyle w:val="Default"/>
        <w:jc w:val="both"/>
        <w:rPr>
          <w:rFonts w:ascii="Times New Roman" w:hAnsi="Times New Roman" w:cs="Times New Roman"/>
          <w:sz w:val="22"/>
          <w:szCs w:val="22"/>
        </w:rPr>
      </w:pPr>
    </w:p>
    <w:p w14:paraId="50DF2A06" w14:textId="35502160" w:rsidR="001A62F8" w:rsidRPr="009526A6" w:rsidRDefault="001A62F8" w:rsidP="001A62F8">
      <w:pPr>
        <w:pStyle w:val="Default"/>
        <w:tabs>
          <w:tab w:val="left" w:pos="360"/>
        </w:tabs>
        <w:ind w:left="360" w:hanging="360"/>
        <w:jc w:val="both"/>
        <w:rPr>
          <w:rFonts w:ascii="Times New Roman" w:hAnsi="Times New Roman" w:cs="Times New Roman"/>
          <w:sz w:val="22"/>
          <w:szCs w:val="22"/>
        </w:rPr>
      </w:pPr>
      <w:r w:rsidRPr="009526A6">
        <w:rPr>
          <w:rFonts w:ascii="Times New Roman" w:hAnsi="Times New Roman" w:cs="Times New Roman"/>
          <w:sz w:val="22"/>
          <w:szCs w:val="22"/>
        </w:rPr>
        <w:tab/>
        <w:t>The Auditor of State’s Hinkle System manager will receive notification from the System if a corporation fails to file within 90 days of the statutory filing date (i.e. 210 days) and</w:t>
      </w:r>
      <w:r w:rsidR="00222D17" w:rsidRPr="009526A6">
        <w:rPr>
          <w:rFonts w:ascii="Times New Roman" w:hAnsi="Times New Roman" w:cs="Times New Roman"/>
          <w:sz w:val="22"/>
          <w:szCs w:val="22"/>
        </w:rPr>
        <w:t>, after determining the region has communicated with the CIC/DC,</w:t>
      </w:r>
      <w:r w:rsidRPr="009526A6">
        <w:rPr>
          <w:rFonts w:ascii="Times New Roman" w:hAnsi="Times New Roman" w:cs="Times New Roman"/>
          <w:sz w:val="22"/>
          <w:szCs w:val="22"/>
        </w:rPr>
        <w:t xml:space="preserve"> will prepare correspondence from the Chief Deputy Auditor (or designee) to notify the Secretary of State’s designated contact of the statutory requirement to cancel each non-compliant corporation’s articles of incorporation.  This correspondence will also be provided to the applicable regional chief auditor(s).</w:t>
      </w:r>
    </w:p>
    <w:p w14:paraId="072B7D82" w14:textId="77777777" w:rsidR="00ED2FB4" w:rsidRPr="009526A6" w:rsidRDefault="00ED2FB4" w:rsidP="00ED2FB4">
      <w:pPr>
        <w:pStyle w:val="Default"/>
        <w:rPr>
          <w:rFonts w:ascii="Times New Roman" w:hAnsi="Times New Roman" w:cs="Times New Roman"/>
          <w:sz w:val="22"/>
          <w:szCs w:val="22"/>
        </w:rPr>
      </w:pPr>
    </w:p>
    <w:p w14:paraId="2A7A8E57" w14:textId="77777777" w:rsidR="00ED2FB4" w:rsidRPr="009526A6" w:rsidRDefault="00ED2FB4" w:rsidP="00ED2FB4">
      <w:pPr>
        <w:pStyle w:val="Default"/>
        <w:tabs>
          <w:tab w:val="left" w:pos="360"/>
        </w:tabs>
        <w:ind w:left="360" w:hanging="360"/>
        <w:jc w:val="both"/>
        <w:rPr>
          <w:rFonts w:ascii="Times New Roman" w:hAnsi="Times New Roman" w:cs="Times New Roman"/>
          <w:sz w:val="22"/>
          <w:szCs w:val="22"/>
        </w:rPr>
      </w:pPr>
      <w:r w:rsidRPr="009526A6">
        <w:rPr>
          <w:rFonts w:ascii="Times New Roman" w:hAnsi="Times New Roman" w:cs="Times New Roman"/>
          <w:sz w:val="22"/>
          <w:szCs w:val="22"/>
        </w:rPr>
        <w:tab/>
        <w:t xml:space="preserve">If a corporation is declared unauditable and fails to file within 90 days of the declaration, the regional chief auditor must notify Chief Deputy Auditor (or designee) to notify the Secretary of State’s designated </w:t>
      </w:r>
      <w:proofErr w:type="gramStart"/>
      <w:r w:rsidRPr="009526A6">
        <w:rPr>
          <w:rFonts w:ascii="Times New Roman" w:hAnsi="Times New Roman" w:cs="Times New Roman"/>
          <w:sz w:val="22"/>
          <w:szCs w:val="22"/>
        </w:rPr>
        <w:t>contact</w:t>
      </w:r>
      <w:proofErr w:type="gramEnd"/>
      <w:r w:rsidRPr="009526A6">
        <w:rPr>
          <w:rFonts w:ascii="Times New Roman" w:hAnsi="Times New Roman" w:cs="Times New Roman"/>
          <w:sz w:val="22"/>
          <w:szCs w:val="22"/>
        </w:rPr>
        <w:t xml:space="preserve"> of the statutory requirement to cancel the corporation’s articles of incorporation.  A copy of this correspondence will be provided to the applicable regional chief auditor.</w:t>
      </w:r>
    </w:p>
    <w:p w14:paraId="3AB3563B" w14:textId="77777777" w:rsidR="00ED2FB4" w:rsidRPr="009526A6" w:rsidRDefault="00ED2FB4" w:rsidP="00ED2FB4">
      <w:pPr>
        <w:pStyle w:val="Default"/>
        <w:jc w:val="both"/>
        <w:rPr>
          <w:rFonts w:ascii="Times New Roman" w:hAnsi="Times New Roman" w:cs="Times New Roman"/>
          <w:sz w:val="22"/>
          <w:szCs w:val="22"/>
        </w:rPr>
      </w:pPr>
    </w:p>
    <w:p w14:paraId="0CFFD8DF" w14:textId="77777777" w:rsidR="00ED2FB4" w:rsidRPr="009526A6" w:rsidRDefault="00ED2FB4" w:rsidP="00ED2FB4">
      <w:pPr>
        <w:pStyle w:val="Default"/>
        <w:tabs>
          <w:tab w:val="left" w:pos="360"/>
        </w:tabs>
        <w:ind w:left="360" w:hanging="360"/>
        <w:jc w:val="both"/>
        <w:rPr>
          <w:rFonts w:ascii="Times New Roman" w:hAnsi="Times New Roman" w:cs="Times New Roman"/>
          <w:sz w:val="22"/>
          <w:szCs w:val="22"/>
        </w:rPr>
      </w:pPr>
      <w:r w:rsidRPr="009526A6">
        <w:rPr>
          <w:rFonts w:ascii="Times New Roman" w:hAnsi="Times New Roman" w:cs="Times New Roman"/>
          <w:sz w:val="22"/>
          <w:szCs w:val="22"/>
        </w:rPr>
        <w:t>2.</w:t>
      </w:r>
      <w:r w:rsidRPr="009526A6">
        <w:rPr>
          <w:rFonts w:ascii="Times New Roman" w:hAnsi="Times New Roman" w:cs="Times New Roman"/>
          <w:sz w:val="22"/>
          <w:szCs w:val="22"/>
        </w:rPr>
        <w:tab/>
        <w:t>Per Ohio Rev. Code § 1702.57 “No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p>
    <w:p w14:paraId="4E2FA8C5" w14:textId="77777777" w:rsidR="00ED2FB4" w:rsidRPr="009526A6" w:rsidRDefault="00ED2FB4" w:rsidP="00ED2FB4">
      <w:pPr>
        <w:pStyle w:val="Default"/>
        <w:jc w:val="both"/>
        <w:rPr>
          <w:rFonts w:ascii="Times New Roman" w:hAnsi="Times New Roman" w:cs="Times New Roman"/>
          <w:sz w:val="22"/>
          <w:szCs w:val="22"/>
        </w:rPr>
      </w:pPr>
    </w:p>
    <w:p w14:paraId="73D078A1" w14:textId="69F6B558" w:rsidR="007B10F2" w:rsidRPr="009526A6" w:rsidRDefault="00ED2FB4" w:rsidP="005D5AD5">
      <w:pPr>
        <w:pStyle w:val="Default"/>
        <w:tabs>
          <w:tab w:val="left" w:pos="360"/>
        </w:tabs>
        <w:ind w:left="360" w:hanging="360"/>
        <w:jc w:val="both"/>
        <w:rPr>
          <w:rFonts w:ascii="Times New Roman" w:hAnsi="Times New Roman" w:cs="Times New Roman"/>
          <w:sz w:val="22"/>
          <w:szCs w:val="22"/>
        </w:rPr>
      </w:pPr>
      <w:r w:rsidRPr="009526A6">
        <w:rPr>
          <w:rFonts w:ascii="Times New Roman" w:hAnsi="Times New Roman" w:cs="Times New Roman"/>
          <w:sz w:val="22"/>
          <w:szCs w:val="22"/>
        </w:rPr>
        <w:tab/>
        <w:t xml:space="preserve">If a community improvement corporation (including an economic development corporations and county land reutilization corporations), created under Ohio Rev. Code Chapters 1702 and 1724, is cited for noncompliance with Ohio Rev. Code § 1702.57, a notification email will automatically be generated at the time the audit report is issued to </w:t>
      </w:r>
      <w:r w:rsidR="0031450C" w:rsidRPr="009526A6">
        <w:rPr>
          <w:rFonts w:ascii="Times New Roman" w:hAnsi="Times New Roman" w:cs="Times New Roman"/>
          <w:sz w:val="22"/>
          <w:szCs w:val="22"/>
        </w:rPr>
        <w:t xml:space="preserve">notify the Hinkle System manager </w:t>
      </w:r>
      <w:r w:rsidR="0047103F" w:rsidRPr="009526A6">
        <w:rPr>
          <w:rFonts w:ascii="Times New Roman" w:hAnsi="Times New Roman" w:cs="Times New Roman"/>
          <w:sz w:val="22"/>
          <w:szCs w:val="22"/>
        </w:rPr>
        <w:t xml:space="preserve">to </w:t>
      </w:r>
      <w:r w:rsidR="0031450C" w:rsidRPr="009526A6">
        <w:rPr>
          <w:rFonts w:ascii="Times New Roman" w:hAnsi="Times New Roman" w:cs="Times New Roman"/>
          <w:sz w:val="22"/>
          <w:szCs w:val="22"/>
        </w:rPr>
        <w:t xml:space="preserve">notify </w:t>
      </w:r>
      <w:r w:rsidRPr="009526A6">
        <w:rPr>
          <w:rFonts w:ascii="Times New Roman" w:hAnsi="Times New Roman" w:cs="Times New Roman"/>
          <w:sz w:val="22"/>
          <w:szCs w:val="22"/>
        </w:rPr>
        <w:t>the Secretary of State office’s designated contact.</w:t>
      </w:r>
    </w:p>
    <w:p w14:paraId="66234298" w14:textId="5C4333B9" w:rsidR="00E55AED" w:rsidRPr="009526A6" w:rsidRDefault="00E55AED" w:rsidP="005D5AD5">
      <w:pPr>
        <w:pStyle w:val="Default"/>
        <w:tabs>
          <w:tab w:val="left" w:pos="360"/>
        </w:tabs>
        <w:ind w:left="360" w:hanging="360"/>
        <w:jc w:val="both"/>
        <w:rPr>
          <w:rFonts w:ascii="Times New Roman" w:hAnsi="Times New Roman" w:cs="Times New Roman"/>
          <w:sz w:val="22"/>
          <w:szCs w:val="22"/>
        </w:rPr>
      </w:pPr>
    </w:p>
    <w:p w14:paraId="75DA658A" w14:textId="1C82F9FA" w:rsidR="00E55AED" w:rsidRPr="009526A6" w:rsidRDefault="78D9F0B3" w:rsidP="00E55AED">
      <w:pPr>
        <w:tabs>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sz w:val="22"/>
          <w:szCs w:val="22"/>
          <w:lang w:eastAsia="ja-JP"/>
        </w:rPr>
      </w:pPr>
      <w:r w:rsidRPr="009526A6">
        <w:rPr>
          <w:sz w:val="22"/>
          <w:szCs w:val="22"/>
          <w:u w:val="single"/>
          <w:lang w:eastAsia="ja-JP"/>
        </w:rPr>
        <w:t>Ohio Ethics Commission</w:t>
      </w:r>
    </w:p>
    <w:p w14:paraId="56764C01" w14:textId="77777777" w:rsidR="00E55AED" w:rsidRPr="009526A6" w:rsidRDefault="00E55AED" w:rsidP="00E55AED">
      <w:pPr>
        <w:tabs>
          <w:tab w:val="left" w:pos="-360"/>
          <w:tab w:val="left" w:pos="1080"/>
          <w:tab w:val="left" w:pos="1800"/>
          <w:tab w:val="left" w:pos="2520"/>
          <w:tab w:val="left" w:pos="3240"/>
          <w:tab w:val="left" w:pos="3960"/>
          <w:tab w:val="left" w:pos="4680"/>
          <w:tab w:val="left" w:pos="5166"/>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s>
        <w:spacing w:line="259" w:lineRule="atLeast"/>
        <w:jc w:val="both"/>
        <w:rPr>
          <w:sz w:val="22"/>
          <w:szCs w:val="22"/>
          <w:lang w:eastAsia="ja-JP"/>
        </w:rPr>
      </w:pPr>
    </w:p>
    <w:p w14:paraId="134E995C" w14:textId="2A5AA567" w:rsidR="00E55AED" w:rsidRPr="009526A6" w:rsidRDefault="0902FF94" w:rsidP="00E55AED">
      <w:pPr>
        <w:autoSpaceDE w:val="0"/>
        <w:autoSpaceDN w:val="0"/>
        <w:adjustRightInd w:val="0"/>
        <w:jc w:val="both"/>
        <w:rPr>
          <w:sz w:val="22"/>
          <w:szCs w:val="22"/>
          <w:lang w:eastAsia="ja-JP"/>
        </w:rPr>
      </w:pPr>
      <w:r w:rsidRPr="009526A6">
        <w:rPr>
          <w:sz w:val="22"/>
          <w:szCs w:val="22"/>
          <w:lang w:eastAsia="ja-JP"/>
        </w:rPr>
        <w:t>Prior to issuance of the audit report and management letter, a</w:t>
      </w:r>
      <w:r w:rsidR="78D9F0B3" w:rsidRPr="009526A6">
        <w:rPr>
          <w:sz w:val="22"/>
          <w:szCs w:val="22"/>
          <w:lang w:eastAsia="ja-JP"/>
        </w:rPr>
        <w:t>ll potential ethics law violations</w:t>
      </w:r>
      <w:r w:rsidR="091AF2C6" w:rsidRPr="009526A6">
        <w:rPr>
          <w:sz w:val="22"/>
          <w:szCs w:val="22"/>
          <w:lang w:eastAsia="ja-JP"/>
        </w:rPr>
        <w:t xml:space="preserve"> (including evaluation of related party transactions)</w:t>
      </w:r>
      <w:r w:rsidR="78D9F0B3" w:rsidRPr="009526A6">
        <w:rPr>
          <w:sz w:val="22"/>
          <w:szCs w:val="22"/>
          <w:lang w:eastAsia="ja-JP"/>
        </w:rPr>
        <w:t xml:space="preserve"> and supporting documentation (i.e. meeting minutes and payments) are to be submitted to the Auditor of State Legal Division for consultation on whether the matter will be referred to the Ohio Ethics Commission.  </w:t>
      </w:r>
      <w:r w:rsidR="78D9F0B3" w:rsidRPr="009526A6">
        <w:rPr>
          <w:sz w:val="22"/>
          <w:szCs w:val="22"/>
        </w:rPr>
        <w:t>After</w:t>
      </w:r>
      <w:r w:rsidR="00E55AED" w:rsidRPr="009526A6">
        <w:rPr>
          <w:sz w:val="22"/>
          <w:szCs w:val="22"/>
        </w:rPr>
        <w:t xml:space="preserve"> </w:t>
      </w:r>
      <w:r w:rsidR="78D9F0B3" w:rsidRPr="009526A6">
        <w:rPr>
          <w:sz w:val="22"/>
          <w:szCs w:val="22"/>
        </w:rPr>
        <w:t xml:space="preserve">the Auditor of State Legal Division </w:t>
      </w:r>
      <w:r w:rsidR="3BCE7B61" w:rsidRPr="009526A6">
        <w:rPr>
          <w:sz w:val="22"/>
          <w:szCs w:val="22"/>
        </w:rPr>
        <w:t xml:space="preserve">has approved an ethics referral and after the report has been issued, the Legal Division </w:t>
      </w:r>
      <w:r w:rsidR="78D9F0B3" w:rsidRPr="009526A6">
        <w:rPr>
          <w:sz w:val="22"/>
          <w:szCs w:val="22"/>
        </w:rPr>
        <w:t xml:space="preserve">will make appropriate </w:t>
      </w:r>
      <w:r w:rsidR="78D9F0B3" w:rsidRPr="009526A6">
        <w:rPr>
          <w:sz w:val="22"/>
          <w:szCs w:val="22"/>
          <w:lang w:eastAsia="ja-JP"/>
        </w:rPr>
        <w:t xml:space="preserve">referrals. The region is to determine whether and how to report the conduct in accordance with auditing standards. If the matter is </w:t>
      </w:r>
      <w:proofErr w:type="gramStart"/>
      <w:r w:rsidR="78D9F0B3" w:rsidRPr="009526A6">
        <w:rPr>
          <w:sz w:val="22"/>
          <w:szCs w:val="22"/>
          <w:lang w:eastAsia="ja-JP"/>
        </w:rPr>
        <w:t>referred</w:t>
      </w:r>
      <w:proofErr w:type="gramEnd"/>
      <w:r w:rsidR="78D9F0B3" w:rsidRPr="009526A6">
        <w:rPr>
          <w:sz w:val="22"/>
          <w:szCs w:val="22"/>
          <w:lang w:eastAsia="ja-JP"/>
        </w:rPr>
        <w:t xml:space="preserve"> and reported, the report</w:t>
      </w:r>
      <w:r w:rsidR="58ABB20B" w:rsidRPr="009526A6">
        <w:rPr>
          <w:sz w:val="22"/>
          <w:szCs w:val="22"/>
          <w:lang w:eastAsia="ja-JP"/>
        </w:rPr>
        <w:t xml:space="preserve"> finding</w:t>
      </w:r>
      <w:r w:rsidR="78D9F0B3" w:rsidRPr="009526A6">
        <w:rPr>
          <w:sz w:val="22"/>
          <w:szCs w:val="22"/>
          <w:lang w:eastAsia="ja-JP"/>
        </w:rPr>
        <w:t xml:space="preserve"> is to specify that the matter has been referred to the Ohio Ethics Commission.</w:t>
      </w:r>
    </w:p>
    <w:p w14:paraId="495E0D7A" w14:textId="77777777" w:rsidR="00E55AED" w:rsidRPr="009526A6" w:rsidRDefault="00E55AED" w:rsidP="00E55AED">
      <w:pPr>
        <w:autoSpaceDE w:val="0"/>
        <w:autoSpaceDN w:val="0"/>
        <w:adjustRightInd w:val="0"/>
        <w:jc w:val="both"/>
        <w:rPr>
          <w:sz w:val="22"/>
          <w:szCs w:val="22"/>
          <w:lang w:eastAsia="ja-JP"/>
        </w:rPr>
      </w:pPr>
    </w:p>
    <w:p w14:paraId="192429A2" w14:textId="37B2B096" w:rsidR="00E55AED" w:rsidRPr="009526A6" w:rsidRDefault="657E10E5" w:rsidP="4E4A9152">
      <w:pPr>
        <w:pStyle w:val="Default"/>
        <w:jc w:val="both"/>
        <w:rPr>
          <w:rFonts w:ascii="Times New Roman" w:hAnsi="Times New Roman" w:cs="Times New Roman"/>
          <w:sz w:val="22"/>
          <w:szCs w:val="22"/>
          <w:lang w:eastAsia="ja-JP"/>
        </w:rPr>
      </w:pPr>
      <w:r w:rsidRPr="009526A6">
        <w:rPr>
          <w:rFonts w:ascii="Times New Roman" w:hAnsi="Times New Roman" w:cs="Times New Roman"/>
          <w:sz w:val="22"/>
          <w:szCs w:val="22"/>
          <w:lang w:eastAsia="ja-JP"/>
        </w:rPr>
        <w:t xml:space="preserve">If AOS previously referred a matter involving the auditee to the Ohio Ethics Commission, the region is to test whether the referred conduct has continued during the current audit period. If the conduct has continued, the region is to follow the procedure discussed in the preceding paragraph. </w:t>
      </w:r>
      <w:r w:rsidR="3BCA50FB" w:rsidRPr="009526A6">
        <w:rPr>
          <w:rFonts w:ascii="Times New Roman" w:hAnsi="Times New Roman" w:cs="Times New Roman"/>
          <w:sz w:val="22"/>
          <w:szCs w:val="22"/>
          <w:lang w:eastAsia="ja-JP"/>
        </w:rPr>
        <w:t xml:space="preserve">The region </w:t>
      </w:r>
      <w:r w:rsidR="219231E4" w:rsidRPr="009526A6">
        <w:rPr>
          <w:rFonts w:ascii="Times New Roman" w:hAnsi="Times New Roman" w:cs="Times New Roman"/>
          <w:sz w:val="22"/>
          <w:szCs w:val="22"/>
          <w:lang w:eastAsia="ja-JP"/>
        </w:rPr>
        <w:t xml:space="preserve">may </w:t>
      </w:r>
      <w:r w:rsidR="3BCA50FB" w:rsidRPr="009526A6">
        <w:rPr>
          <w:rFonts w:ascii="Times New Roman" w:hAnsi="Times New Roman" w:cs="Times New Roman"/>
          <w:sz w:val="22"/>
          <w:szCs w:val="22"/>
          <w:lang w:eastAsia="ja-JP"/>
        </w:rPr>
        <w:t xml:space="preserve">inquire </w:t>
      </w:r>
      <w:r w:rsidR="0FA1DFF7" w:rsidRPr="009526A6">
        <w:rPr>
          <w:rFonts w:ascii="Times New Roman" w:hAnsi="Times New Roman" w:cs="Times New Roman"/>
          <w:sz w:val="22"/>
          <w:szCs w:val="22"/>
          <w:lang w:eastAsia="ja-JP"/>
        </w:rPr>
        <w:t xml:space="preserve">with the </w:t>
      </w:r>
      <w:r w:rsidR="3DB0B6DB" w:rsidRPr="009526A6">
        <w:rPr>
          <w:rFonts w:ascii="Times New Roman" w:hAnsi="Times New Roman" w:cs="Times New Roman"/>
          <w:sz w:val="22"/>
          <w:szCs w:val="22"/>
          <w:lang w:eastAsia="ja-JP"/>
        </w:rPr>
        <w:t xml:space="preserve">client about the status of a prior referral, but the region </w:t>
      </w:r>
      <w:r w:rsidR="199C3162" w:rsidRPr="009526A6">
        <w:rPr>
          <w:rFonts w:ascii="Times New Roman" w:hAnsi="Times New Roman" w:cs="Times New Roman"/>
          <w:sz w:val="22"/>
          <w:szCs w:val="22"/>
          <w:lang w:eastAsia="ja-JP"/>
        </w:rPr>
        <w:t>should</w:t>
      </w:r>
      <w:r w:rsidR="3DB0B6DB" w:rsidRPr="009526A6">
        <w:rPr>
          <w:rFonts w:ascii="Times New Roman" w:hAnsi="Times New Roman" w:cs="Times New Roman"/>
          <w:sz w:val="22"/>
          <w:szCs w:val="22"/>
          <w:lang w:eastAsia="ja-JP"/>
        </w:rPr>
        <w:t xml:space="preserve"> not report on the status of the prior referral or obtain info</w:t>
      </w:r>
      <w:r w:rsidR="362018EB" w:rsidRPr="009526A6">
        <w:rPr>
          <w:rFonts w:ascii="Times New Roman" w:hAnsi="Times New Roman" w:cs="Times New Roman"/>
          <w:sz w:val="22"/>
          <w:szCs w:val="22"/>
          <w:lang w:eastAsia="ja-JP"/>
        </w:rPr>
        <w:t>r</w:t>
      </w:r>
      <w:r w:rsidR="3DB0B6DB" w:rsidRPr="009526A6">
        <w:rPr>
          <w:rFonts w:ascii="Times New Roman" w:hAnsi="Times New Roman" w:cs="Times New Roman"/>
          <w:sz w:val="22"/>
          <w:szCs w:val="22"/>
          <w:lang w:eastAsia="ja-JP"/>
        </w:rPr>
        <w:t xml:space="preserve">mation from the </w:t>
      </w:r>
      <w:r w:rsidR="0FA1DFF7" w:rsidRPr="009526A6">
        <w:rPr>
          <w:rFonts w:ascii="Times New Roman" w:hAnsi="Times New Roman" w:cs="Times New Roman"/>
          <w:sz w:val="22"/>
          <w:szCs w:val="22"/>
          <w:lang w:eastAsia="ja-JP"/>
        </w:rPr>
        <w:t xml:space="preserve">Ohio Ethics Commission </w:t>
      </w:r>
      <w:r w:rsidR="3BCA50FB" w:rsidRPr="009526A6">
        <w:rPr>
          <w:rFonts w:ascii="Times New Roman" w:hAnsi="Times New Roman" w:cs="Times New Roman"/>
          <w:sz w:val="22"/>
          <w:szCs w:val="22"/>
          <w:lang w:eastAsia="ja-JP"/>
        </w:rPr>
        <w:t>about the status of the prior referral.</w:t>
      </w:r>
    </w:p>
    <w:p w14:paraId="772AD478" w14:textId="77777777" w:rsidR="00C64FF8" w:rsidRPr="009526A6" w:rsidRDefault="00C64FF8" w:rsidP="00E55AED">
      <w:pPr>
        <w:pStyle w:val="Default"/>
        <w:tabs>
          <w:tab w:val="left" w:pos="360"/>
        </w:tabs>
        <w:ind w:left="360" w:hanging="360"/>
        <w:jc w:val="both"/>
        <w:rPr>
          <w:rFonts w:ascii="Times New Roman" w:hAnsi="Times New Roman" w:cs="Times New Roman"/>
          <w:sz w:val="22"/>
          <w:szCs w:val="22"/>
          <w:u w:val="wavyDouble"/>
          <w:lang w:eastAsia="ja-JP"/>
        </w:rPr>
      </w:pPr>
    </w:p>
    <w:p w14:paraId="123BF4F6" w14:textId="472556D8" w:rsidR="00E55AED" w:rsidRPr="009526A6" w:rsidRDefault="00E55AED" w:rsidP="00E55AED">
      <w:pPr>
        <w:rPr>
          <w:sz w:val="22"/>
          <w:szCs w:val="22"/>
          <w:u w:val="single"/>
        </w:rPr>
      </w:pPr>
      <w:r w:rsidRPr="009526A6">
        <w:rPr>
          <w:sz w:val="22"/>
          <w:szCs w:val="22"/>
          <w:u w:val="single"/>
        </w:rPr>
        <w:t>Ohio Ethics Commission – Independent Public Accountants (IPA)</w:t>
      </w:r>
    </w:p>
    <w:p w14:paraId="7E8178A1" w14:textId="77777777" w:rsidR="00E55AED" w:rsidRPr="009526A6" w:rsidRDefault="00E55AED" w:rsidP="00E55AED">
      <w:pPr>
        <w:rPr>
          <w:sz w:val="22"/>
          <w:szCs w:val="22"/>
          <w:u w:val="single"/>
        </w:rPr>
      </w:pPr>
    </w:p>
    <w:p w14:paraId="2131428F" w14:textId="77777777" w:rsidR="00E55AED" w:rsidRPr="009526A6" w:rsidRDefault="00E55AED" w:rsidP="00E55AED">
      <w:pPr>
        <w:jc w:val="both"/>
        <w:rPr>
          <w:rFonts w:eastAsia="Calibri"/>
          <w:sz w:val="22"/>
          <w:szCs w:val="22"/>
        </w:rPr>
      </w:pPr>
      <w:proofErr w:type="gramStart"/>
      <w:r w:rsidRPr="009526A6">
        <w:rPr>
          <w:rFonts w:eastAsia="Calibri"/>
          <w:sz w:val="22"/>
          <w:szCs w:val="22"/>
        </w:rPr>
        <w:t>During the course of</w:t>
      </w:r>
      <w:proofErr w:type="gramEnd"/>
      <w:r w:rsidRPr="009526A6">
        <w:rPr>
          <w:rFonts w:eastAsia="Calibri"/>
          <w:sz w:val="22"/>
          <w:szCs w:val="22"/>
        </w:rPr>
        <w:t xml:space="preserve"> an audit potential violations of Ohio’s Ethics Law may occur which involve potential violations that relate to having an illegal interest in a public contract, nepotism violations, or a public official voting when he/she should have recused himself/herself, etc.</w:t>
      </w:r>
    </w:p>
    <w:p w14:paraId="79D31C79" w14:textId="77777777" w:rsidR="00E55AED" w:rsidRPr="009526A6" w:rsidRDefault="00E55AED" w:rsidP="00E55AED">
      <w:pPr>
        <w:jc w:val="both"/>
        <w:rPr>
          <w:sz w:val="22"/>
          <w:szCs w:val="22"/>
        </w:rPr>
      </w:pPr>
    </w:p>
    <w:p w14:paraId="32F83476" w14:textId="0F669650" w:rsidR="00E55AED" w:rsidRPr="009526A6" w:rsidRDefault="00E55AED" w:rsidP="00E55AED">
      <w:pPr>
        <w:jc w:val="both"/>
        <w:rPr>
          <w:sz w:val="22"/>
          <w:szCs w:val="22"/>
        </w:rPr>
      </w:pPr>
      <w:r w:rsidRPr="009526A6">
        <w:rPr>
          <w:sz w:val="22"/>
          <w:szCs w:val="22"/>
        </w:rPr>
        <w:t xml:space="preserve">Should these types of matters come to your attention notify the regional chief auditor to alert them to the facts involved along with any </w:t>
      </w:r>
      <w:proofErr w:type="gramStart"/>
      <w:r w:rsidRPr="009526A6">
        <w:rPr>
          <w:sz w:val="22"/>
          <w:szCs w:val="22"/>
        </w:rPr>
        <w:t>factual information</w:t>
      </w:r>
      <w:proofErr w:type="gramEnd"/>
      <w:r w:rsidRPr="009526A6">
        <w:rPr>
          <w:sz w:val="22"/>
          <w:szCs w:val="22"/>
        </w:rPr>
        <w:t xml:space="preserve"> including any supporting documentation that may substantiate the possible ethics violation. </w:t>
      </w:r>
    </w:p>
    <w:p w14:paraId="27CFA671" w14:textId="77777777" w:rsidR="00E55AED" w:rsidRPr="009526A6" w:rsidRDefault="00E55AED" w:rsidP="00E55AED">
      <w:pPr>
        <w:jc w:val="both"/>
        <w:rPr>
          <w:sz w:val="22"/>
          <w:szCs w:val="22"/>
        </w:rPr>
      </w:pPr>
    </w:p>
    <w:p w14:paraId="770158EC" w14:textId="1FC201D6" w:rsidR="00E55AED" w:rsidRPr="009526A6" w:rsidRDefault="00E55AED" w:rsidP="00E55AED">
      <w:pPr>
        <w:jc w:val="both"/>
        <w:rPr>
          <w:sz w:val="22"/>
          <w:szCs w:val="22"/>
        </w:rPr>
      </w:pPr>
      <w:r w:rsidRPr="009526A6">
        <w:rPr>
          <w:sz w:val="22"/>
          <w:szCs w:val="22"/>
        </w:rPr>
        <w:t xml:space="preserve">The regional chief auditor will forward this information to their regional AOS Legal consultant for review to determine if this is a reportable matter that will </w:t>
      </w:r>
      <w:r w:rsidR="007C5F87" w:rsidRPr="009526A6">
        <w:rPr>
          <w:sz w:val="22"/>
          <w:szCs w:val="22"/>
        </w:rPr>
        <w:t xml:space="preserve">be </w:t>
      </w:r>
      <w:r w:rsidRPr="009526A6">
        <w:rPr>
          <w:sz w:val="22"/>
          <w:szCs w:val="22"/>
        </w:rPr>
        <w:t xml:space="preserve">referred to the Ohio Ethics Commission. AOS Legal may request the IPA to provide </w:t>
      </w:r>
      <w:proofErr w:type="gramStart"/>
      <w:r w:rsidRPr="009526A6">
        <w:rPr>
          <w:sz w:val="22"/>
          <w:szCs w:val="22"/>
        </w:rPr>
        <w:t>them</w:t>
      </w:r>
      <w:proofErr w:type="gramEnd"/>
      <w:r w:rsidRPr="009526A6">
        <w:rPr>
          <w:sz w:val="22"/>
          <w:szCs w:val="22"/>
        </w:rPr>
        <w:t xml:space="preserve"> additional supporting documentation pertaining to the matter in question. </w:t>
      </w:r>
      <w:r w:rsidR="007C5F87" w:rsidRPr="009526A6">
        <w:rPr>
          <w:sz w:val="22"/>
          <w:szCs w:val="22"/>
        </w:rPr>
        <w:t>The IPA should</w:t>
      </w:r>
      <w:r w:rsidRPr="009526A6">
        <w:rPr>
          <w:sz w:val="22"/>
          <w:szCs w:val="22"/>
        </w:rPr>
        <w:t xml:space="preserve"> alert </w:t>
      </w:r>
      <w:r w:rsidR="007C5F87" w:rsidRPr="009526A6">
        <w:rPr>
          <w:sz w:val="22"/>
          <w:szCs w:val="22"/>
        </w:rPr>
        <w:t>AOS</w:t>
      </w:r>
      <w:r w:rsidRPr="009526A6">
        <w:rPr>
          <w:sz w:val="22"/>
          <w:szCs w:val="22"/>
        </w:rPr>
        <w:t xml:space="preserve"> as soon as </w:t>
      </w:r>
      <w:proofErr w:type="gramStart"/>
      <w:r w:rsidRPr="009526A6">
        <w:rPr>
          <w:sz w:val="22"/>
          <w:szCs w:val="22"/>
        </w:rPr>
        <w:t>practical</w:t>
      </w:r>
      <w:proofErr w:type="gramEnd"/>
      <w:r w:rsidRPr="009526A6">
        <w:rPr>
          <w:sz w:val="22"/>
          <w:szCs w:val="22"/>
        </w:rPr>
        <w:t xml:space="preserve"> </w:t>
      </w:r>
      <w:r w:rsidR="007C5F87" w:rsidRPr="009526A6">
        <w:rPr>
          <w:sz w:val="22"/>
          <w:szCs w:val="22"/>
        </w:rPr>
        <w:t xml:space="preserve">that </w:t>
      </w:r>
      <w:r w:rsidRPr="009526A6">
        <w:rPr>
          <w:sz w:val="22"/>
          <w:szCs w:val="22"/>
        </w:rPr>
        <w:t>a potential reportable matter may exist</w:t>
      </w:r>
      <w:r w:rsidR="007C5F87" w:rsidRPr="009526A6">
        <w:rPr>
          <w:sz w:val="22"/>
          <w:szCs w:val="22"/>
        </w:rPr>
        <w:t>,</w:t>
      </w:r>
      <w:r w:rsidRPr="009526A6">
        <w:rPr>
          <w:sz w:val="22"/>
          <w:szCs w:val="22"/>
        </w:rPr>
        <w:t xml:space="preserve"> for review and approval. This should be done while fieldwork is still in progress. If this is a matter that is determined to be a possible violation</w:t>
      </w:r>
      <w:r w:rsidR="007C5F87" w:rsidRPr="009526A6">
        <w:rPr>
          <w:sz w:val="22"/>
          <w:szCs w:val="22"/>
        </w:rPr>
        <w:t>,</w:t>
      </w:r>
      <w:r w:rsidRPr="009526A6">
        <w:rPr>
          <w:sz w:val="22"/>
          <w:szCs w:val="22"/>
        </w:rPr>
        <w:t xml:space="preserve"> AOS Legal will then notify the IPA, regional chief and the Chief of Quality Assurance via </w:t>
      </w:r>
      <w:hyperlink r:id="rId34" w:history="1">
        <w:r w:rsidR="007C5F87" w:rsidRPr="009526A6">
          <w:rPr>
            <w:rStyle w:val="Hyperlink"/>
            <w:sz w:val="22"/>
            <w:szCs w:val="22"/>
          </w:rPr>
          <w:t>IPAreport@ohioauditor.gov</w:t>
        </w:r>
      </w:hyperlink>
      <w:r w:rsidRPr="009526A6">
        <w:rPr>
          <w:sz w:val="22"/>
          <w:szCs w:val="22"/>
        </w:rPr>
        <w:t xml:space="preserve"> that such a violation has occurred. Once the audit has been submitted, approved and released</w:t>
      </w:r>
      <w:r w:rsidR="007C5F87" w:rsidRPr="009526A6">
        <w:rPr>
          <w:sz w:val="22"/>
          <w:szCs w:val="22"/>
        </w:rPr>
        <w:t>,</w:t>
      </w:r>
      <w:r w:rsidRPr="009526A6">
        <w:rPr>
          <w:sz w:val="22"/>
          <w:szCs w:val="22"/>
        </w:rPr>
        <w:t xml:space="preserve"> the referral specialist within the Center for Audit Excellence will notify AOS Legal who will then notify the Ohio Ethics Commission.</w:t>
      </w:r>
    </w:p>
    <w:p w14:paraId="27CEC05D" w14:textId="77777777" w:rsidR="00E55AED" w:rsidRPr="009526A6" w:rsidRDefault="00E55AED" w:rsidP="00E55AED">
      <w:pPr>
        <w:jc w:val="both"/>
        <w:rPr>
          <w:sz w:val="22"/>
          <w:szCs w:val="22"/>
        </w:rPr>
      </w:pPr>
    </w:p>
    <w:p w14:paraId="09BD4F92" w14:textId="5B2ACCD8" w:rsidR="00E55AED" w:rsidRPr="009526A6" w:rsidRDefault="00E55AED" w:rsidP="00E55AED">
      <w:pPr>
        <w:jc w:val="both"/>
        <w:rPr>
          <w:sz w:val="22"/>
          <w:szCs w:val="22"/>
        </w:rPr>
      </w:pPr>
      <w:r w:rsidRPr="009526A6">
        <w:rPr>
          <w:sz w:val="22"/>
          <w:szCs w:val="22"/>
        </w:rPr>
        <w:t>Although an IPA may forward a potential ethics referral to the Ohio Ethics Commission directly</w:t>
      </w:r>
      <w:r w:rsidR="007C5F87" w:rsidRPr="009526A6">
        <w:rPr>
          <w:sz w:val="22"/>
          <w:szCs w:val="22"/>
        </w:rPr>
        <w:t>,</w:t>
      </w:r>
      <w:r w:rsidRPr="009526A6">
        <w:rPr>
          <w:sz w:val="22"/>
          <w:szCs w:val="22"/>
        </w:rPr>
        <w:t xml:space="preserve"> it is </w:t>
      </w:r>
      <w:r w:rsidR="007C5F87" w:rsidRPr="009526A6">
        <w:rPr>
          <w:sz w:val="22"/>
          <w:szCs w:val="22"/>
        </w:rPr>
        <w:t>AOS</w:t>
      </w:r>
      <w:r w:rsidRPr="009526A6">
        <w:rPr>
          <w:sz w:val="22"/>
          <w:szCs w:val="22"/>
        </w:rPr>
        <w:t xml:space="preserve"> preference this be done by </w:t>
      </w:r>
      <w:r w:rsidR="007C5F87" w:rsidRPr="009526A6">
        <w:rPr>
          <w:sz w:val="22"/>
          <w:szCs w:val="22"/>
        </w:rPr>
        <w:t>the AOS</w:t>
      </w:r>
      <w:r w:rsidRPr="009526A6">
        <w:rPr>
          <w:sz w:val="22"/>
          <w:szCs w:val="22"/>
        </w:rPr>
        <w:t xml:space="preserve">.  Should </w:t>
      </w:r>
      <w:r w:rsidR="007C5F87" w:rsidRPr="009526A6">
        <w:rPr>
          <w:sz w:val="22"/>
          <w:szCs w:val="22"/>
        </w:rPr>
        <w:t>an IPA</w:t>
      </w:r>
      <w:r w:rsidRPr="009526A6">
        <w:rPr>
          <w:sz w:val="22"/>
          <w:szCs w:val="22"/>
        </w:rPr>
        <w:t xml:space="preserve"> firm choose to make the referral</w:t>
      </w:r>
      <w:r w:rsidR="007C5F87" w:rsidRPr="009526A6">
        <w:rPr>
          <w:sz w:val="22"/>
          <w:szCs w:val="22"/>
        </w:rPr>
        <w:t>,</w:t>
      </w:r>
      <w:r w:rsidRPr="009526A6">
        <w:rPr>
          <w:sz w:val="22"/>
          <w:szCs w:val="22"/>
        </w:rPr>
        <w:t xml:space="preserve"> the regional chief </w:t>
      </w:r>
      <w:r w:rsidR="007C5F87" w:rsidRPr="009526A6">
        <w:rPr>
          <w:sz w:val="22"/>
          <w:szCs w:val="22"/>
        </w:rPr>
        <w:t xml:space="preserve">should be notified </w:t>
      </w:r>
      <w:r w:rsidRPr="009526A6">
        <w:rPr>
          <w:sz w:val="22"/>
          <w:szCs w:val="22"/>
        </w:rPr>
        <w:t>that such referral has been made</w:t>
      </w:r>
      <w:r w:rsidR="007C5F87" w:rsidRPr="009526A6">
        <w:rPr>
          <w:sz w:val="22"/>
          <w:szCs w:val="22"/>
        </w:rPr>
        <w:t>,</w:t>
      </w:r>
      <w:r w:rsidRPr="009526A6">
        <w:rPr>
          <w:sz w:val="22"/>
          <w:szCs w:val="22"/>
        </w:rPr>
        <w:t xml:space="preserve"> along with any supporting documentation that was sent</w:t>
      </w:r>
      <w:r w:rsidR="007C5F87" w:rsidRPr="009526A6">
        <w:rPr>
          <w:sz w:val="22"/>
          <w:szCs w:val="22"/>
        </w:rPr>
        <w:t>,</w:t>
      </w:r>
      <w:r w:rsidRPr="009526A6">
        <w:rPr>
          <w:sz w:val="22"/>
          <w:szCs w:val="22"/>
        </w:rPr>
        <w:t xml:space="preserve"> </w:t>
      </w:r>
      <w:r w:rsidR="007C5F87" w:rsidRPr="009526A6">
        <w:rPr>
          <w:sz w:val="22"/>
          <w:szCs w:val="22"/>
        </w:rPr>
        <w:t>for awareness</w:t>
      </w:r>
      <w:r w:rsidRPr="009526A6">
        <w:rPr>
          <w:sz w:val="22"/>
          <w:szCs w:val="22"/>
        </w:rPr>
        <w:t xml:space="preserve">. The following should be indicated in the audit finding – “This matter has been referred to the Ohio Ethics Commission by </w:t>
      </w:r>
      <w:r w:rsidRPr="009526A6">
        <w:rPr>
          <w:b/>
          <w:sz w:val="22"/>
          <w:szCs w:val="22"/>
        </w:rPr>
        <w:t>[insert firm name]</w:t>
      </w:r>
      <w:r w:rsidR="007C5F87" w:rsidRPr="009526A6">
        <w:rPr>
          <w:sz w:val="22"/>
          <w:szCs w:val="22"/>
        </w:rPr>
        <w:t>”</w:t>
      </w:r>
      <w:r w:rsidRPr="009526A6">
        <w:rPr>
          <w:sz w:val="22"/>
          <w:szCs w:val="22"/>
        </w:rPr>
        <w:t xml:space="preserve">.  The regional chief will be responsible for notifying the Chief of Quality Assurance via </w:t>
      </w:r>
      <w:hyperlink r:id="rId35" w:history="1">
        <w:r w:rsidR="00D63279" w:rsidRPr="009526A6">
          <w:rPr>
            <w:rStyle w:val="Hyperlink"/>
            <w:sz w:val="22"/>
            <w:szCs w:val="22"/>
          </w:rPr>
          <w:t>IPAreport@ohioauditor.gov</w:t>
        </w:r>
      </w:hyperlink>
      <w:r w:rsidRPr="009526A6">
        <w:rPr>
          <w:sz w:val="22"/>
          <w:szCs w:val="22"/>
        </w:rPr>
        <w:t xml:space="preserve"> that such referral has already been made.</w:t>
      </w:r>
    </w:p>
    <w:p w14:paraId="1FD8FE00" w14:textId="77777777" w:rsidR="00E55AED" w:rsidRDefault="00E55AED" w:rsidP="00E55AED">
      <w:pPr>
        <w:pStyle w:val="Default"/>
        <w:tabs>
          <w:tab w:val="left" w:pos="360"/>
        </w:tabs>
        <w:ind w:left="360" w:hanging="360"/>
        <w:jc w:val="both"/>
        <w:rPr>
          <w:rFonts w:ascii="Times New Roman" w:hAnsi="Times New Roman" w:cs="Times New Roman"/>
        </w:rPr>
      </w:pPr>
    </w:p>
    <w:p w14:paraId="3E924BD4" w14:textId="01E9723E" w:rsidR="00271B7B" w:rsidRPr="000E1A8F" w:rsidRDefault="00271B7B" w:rsidP="005D5AD5">
      <w:pPr>
        <w:pStyle w:val="Default"/>
        <w:tabs>
          <w:tab w:val="left" w:pos="360"/>
        </w:tabs>
        <w:ind w:left="360" w:hanging="360"/>
        <w:jc w:val="both"/>
        <w:rPr>
          <w:lang w:eastAsia="ja-JP"/>
        </w:rPr>
        <w:sectPr w:rsidR="00271B7B" w:rsidRPr="000E1A8F" w:rsidSect="002A3762">
          <w:headerReference w:type="default" r:id="rId36"/>
          <w:type w:val="continuous"/>
          <w:pgSz w:w="12240" w:h="15840"/>
          <w:pgMar w:top="1152" w:right="1152" w:bottom="720" w:left="1152" w:header="720" w:footer="720" w:gutter="0"/>
          <w:cols w:space="720"/>
          <w:noEndnote/>
        </w:sectPr>
      </w:pPr>
      <w:r>
        <w:rPr>
          <w:lang w:eastAsia="ja-JP"/>
        </w:rPr>
        <w:br w:type="page"/>
      </w:r>
    </w:p>
    <w:p w14:paraId="0D73E01B" w14:textId="1FA21E2C" w:rsidR="0049323D" w:rsidRPr="00FA4620" w:rsidRDefault="0049323D" w:rsidP="00621F8F">
      <w:pPr>
        <w:pStyle w:val="Subtitle"/>
        <w:shd w:val="clear" w:color="auto" w:fill="A6A6A6" w:themeFill="background1" w:themeFillShade="A6"/>
      </w:pPr>
      <w:bookmarkStart w:id="39" w:name="_Toc214431134"/>
      <w:r>
        <w:t>Appendix A – B</w:t>
      </w:r>
      <w:r w:rsidRPr="0049323D">
        <w:t xml:space="preserve">udgetary </w:t>
      </w:r>
      <w:r>
        <w:t>a</w:t>
      </w:r>
      <w:r w:rsidRPr="0049323D">
        <w:t>nd Certain Related Requirements</w:t>
      </w:r>
      <w:r w:rsidR="00457C10">
        <w:t xml:space="preserve"> </w:t>
      </w:r>
      <w:r w:rsidR="00457C10">
        <w:br/>
        <w:t>(Applies to Chapter 1)</w:t>
      </w:r>
      <w:bookmarkEnd w:id="39"/>
    </w:p>
    <w:p w14:paraId="316936BD" w14:textId="77777777" w:rsidR="0049323D" w:rsidRDefault="0049323D" w:rsidP="0049323D">
      <w:pPr>
        <w:jc w:val="both"/>
        <w:rPr>
          <w:sz w:val="22"/>
          <w:szCs w:val="22"/>
        </w:rPr>
      </w:pPr>
    </w:p>
    <w:p w14:paraId="2C65BCB7" w14:textId="6B0277C1" w:rsidR="0049323D" w:rsidRPr="009526A6" w:rsidRDefault="0049323D" w:rsidP="0049323D">
      <w:pPr>
        <w:jc w:val="both"/>
        <w:rPr>
          <w:sz w:val="22"/>
          <w:szCs w:val="22"/>
        </w:rPr>
      </w:pPr>
      <w:r w:rsidRPr="009526A6">
        <w:rPr>
          <w:sz w:val="22"/>
          <w:szCs w:val="22"/>
        </w:rPr>
        <w:t xml:space="preserve">The Ohio Constitution provides certain local </w:t>
      </w:r>
      <w:proofErr w:type="gramStart"/>
      <w:r w:rsidRPr="009526A6">
        <w:rPr>
          <w:sz w:val="22"/>
          <w:szCs w:val="22"/>
        </w:rPr>
        <w:t>governments</w:t>
      </w:r>
      <w:proofErr w:type="gramEnd"/>
      <w:r w:rsidRPr="009526A6">
        <w:rPr>
          <w:sz w:val="22"/>
          <w:szCs w:val="22"/>
        </w:rPr>
        <w:t xml:space="preserve"> the power to tax.  The budgetary process is a plan to coordinate expenditures and resources</w:t>
      </w:r>
      <w:r w:rsidR="0019478C" w:rsidRPr="009526A6">
        <w:rPr>
          <w:sz w:val="22"/>
          <w:szCs w:val="22"/>
        </w:rPr>
        <w:t>, guided by laws from the</w:t>
      </w:r>
      <w:r w:rsidRPr="009526A6">
        <w:rPr>
          <w:sz w:val="22"/>
          <w:szCs w:val="22"/>
        </w:rPr>
        <w:t xml:space="preserve"> State Legislature</w:t>
      </w:r>
      <w:r w:rsidR="009A6491" w:rsidRPr="009526A6">
        <w:rPr>
          <w:sz w:val="22"/>
          <w:szCs w:val="22"/>
        </w:rPr>
        <w:t xml:space="preserve"> that</w:t>
      </w:r>
      <w:r w:rsidRPr="009526A6">
        <w:rPr>
          <w:sz w:val="22"/>
          <w:szCs w:val="22"/>
        </w:rPr>
        <w:t xml:space="preserve"> control</w:t>
      </w:r>
      <w:r w:rsidR="009A6491" w:rsidRPr="009526A6">
        <w:rPr>
          <w:sz w:val="22"/>
          <w:szCs w:val="22"/>
        </w:rPr>
        <w:t xml:space="preserve"> spending through</w:t>
      </w:r>
      <w:r w:rsidRPr="009526A6">
        <w:rPr>
          <w:sz w:val="22"/>
          <w:szCs w:val="22"/>
        </w:rPr>
        <w:t xml:space="preserve"> tax budgets and appropriations.  </w:t>
      </w:r>
    </w:p>
    <w:p w14:paraId="560579F7" w14:textId="77777777" w:rsidR="0049323D" w:rsidRPr="009526A6" w:rsidRDefault="0049323D" w:rsidP="0049323D">
      <w:pPr>
        <w:jc w:val="both"/>
        <w:rPr>
          <w:sz w:val="22"/>
          <w:szCs w:val="22"/>
        </w:rPr>
      </w:pPr>
    </w:p>
    <w:p w14:paraId="2B24EF7E" w14:textId="58B92584" w:rsidR="0049323D" w:rsidRPr="009526A6" w:rsidRDefault="0049323D" w:rsidP="0049323D">
      <w:pPr>
        <w:jc w:val="both"/>
        <w:rPr>
          <w:sz w:val="22"/>
          <w:szCs w:val="22"/>
        </w:rPr>
      </w:pPr>
      <w:r w:rsidRPr="009526A6">
        <w:rPr>
          <w:sz w:val="22"/>
          <w:szCs w:val="22"/>
        </w:rPr>
        <w:t>The Auditor of State believes budgeting</w:t>
      </w:r>
      <w:r w:rsidR="005B58B8" w:rsidRPr="009526A6">
        <w:rPr>
          <w:sz w:val="22"/>
          <w:szCs w:val="22"/>
        </w:rPr>
        <w:t>, when</w:t>
      </w:r>
      <w:r w:rsidRPr="009526A6">
        <w:rPr>
          <w:sz w:val="22"/>
          <w:szCs w:val="22"/>
        </w:rPr>
        <w:t xml:space="preserve"> properly used, provides </w:t>
      </w:r>
      <w:r w:rsidR="00C427A0" w:rsidRPr="009526A6">
        <w:rPr>
          <w:sz w:val="22"/>
          <w:szCs w:val="22"/>
        </w:rPr>
        <w:t xml:space="preserve">one of </w:t>
      </w:r>
      <w:r w:rsidRPr="009526A6">
        <w:rPr>
          <w:sz w:val="22"/>
          <w:szCs w:val="22"/>
        </w:rPr>
        <w:t xml:space="preserve">the most important control </w:t>
      </w:r>
      <w:r w:rsidR="005334F5" w:rsidRPr="009526A6">
        <w:rPr>
          <w:sz w:val="22"/>
          <w:szCs w:val="22"/>
        </w:rPr>
        <w:t xml:space="preserve">activities </w:t>
      </w:r>
      <w:r w:rsidRPr="009526A6">
        <w:rPr>
          <w:sz w:val="22"/>
          <w:szCs w:val="22"/>
        </w:rPr>
        <w:t xml:space="preserve">a government has.  </w:t>
      </w:r>
      <w:r w:rsidRPr="009526A6">
        <w:rPr>
          <w:i/>
          <w:sz w:val="22"/>
          <w:szCs w:val="22"/>
        </w:rPr>
        <w:t xml:space="preserve">It is </w:t>
      </w:r>
      <w:r w:rsidRPr="009526A6">
        <w:rPr>
          <w:i/>
          <w:sz w:val="22"/>
          <w:szCs w:val="22"/>
          <w:u w:val="single"/>
        </w:rPr>
        <w:t>impossible</w:t>
      </w:r>
      <w:r w:rsidRPr="009526A6">
        <w:rPr>
          <w:i/>
          <w:sz w:val="22"/>
          <w:szCs w:val="22"/>
        </w:rPr>
        <w:t xml:space="preserve"> to incur a cash deficit if a government complies with the budgetary law!</w:t>
      </w:r>
      <w:r w:rsidRPr="009526A6">
        <w:rPr>
          <w:sz w:val="22"/>
          <w:szCs w:val="22"/>
        </w:rPr>
        <w:t xml:space="preserve">  Additionally, the budget is an instrument of</w:t>
      </w:r>
      <w:r w:rsidR="009B4BF1" w:rsidRPr="009526A6">
        <w:rPr>
          <w:sz w:val="22"/>
          <w:szCs w:val="22"/>
        </w:rPr>
        <w:t xml:space="preserve"> public policy:  a</w:t>
      </w:r>
      <w:r w:rsidRPr="009526A6">
        <w:rPr>
          <w:sz w:val="22"/>
          <w:szCs w:val="22"/>
        </w:rPr>
        <w:t xml:space="preserve"> governing board expresses its desires for using a government’s limited resources through its appropriations.  </w:t>
      </w:r>
    </w:p>
    <w:p w14:paraId="43048ACB" w14:textId="77777777" w:rsidR="0049323D" w:rsidRPr="009526A6" w:rsidRDefault="0049323D" w:rsidP="0049323D">
      <w:pPr>
        <w:jc w:val="both"/>
        <w:rPr>
          <w:sz w:val="22"/>
          <w:szCs w:val="22"/>
        </w:rPr>
      </w:pPr>
    </w:p>
    <w:p w14:paraId="204D554E" w14:textId="77777777" w:rsidR="0049323D" w:rsidRPr="009526A6" w:rsidRDefault="00FC5B31" w:rsidP="0049323D">
      <w:pPr>
        <w:jc w:val="both"/>
        <w:rPr>
          <w:sz w:val="22"/>
          <w:szCs w:val="22"/>
        </w:rPr>
      </w:pPr>
      <w:r w:rsidRPr="009526A6">
        <w:rPr>
          <w:sz w:val="22"/>
          <w:szCs w:val="22"/>
        </w:rPr>
        <w:t>Exhibit 5</w:t>
      </w:r>
      <w:r w:rsidR="0049323D" w:rsidRPr="009526A6">
        <w:rPr>
          <w:sz w:val="22"/>
          <w:szCs w:val="22"/>
        </w:rPr>
        <w:t xml:space="preserve"> includes matrices showing the applicability of this chapter’s requirements to various governmental types.</w:t>
      </w:r>
    </w:p>
    <w:p w14:paraId="51CE56B8" w14:textId="77777777" w:rsidR="0049323D" w:rsidRPr="009526A6" w:rsidRDefault="0049323D" w:rsidP="0049323D">
      <w:pPr>
        <w:jc w:val="both"/>
        <w:rPr>
          <w:sz w:val="22"/>
          <w:szCs w:val="22"/>
        </w:rPr>
      </w:pPr>
    </w:p>
    <w:p w14:paraId="73E1B253" w14:textId="77777777" w:rsidR="0049323D" w:rsidRPr="009526A6" w:rsidRDefault="0049323D" w:rsidP="0049323D">
      <w:pPr>
        <w:rPr>
          <w:b/>
          <w:sz w:val="22"/>
          <w:szCs w:val="22"/>
          <w:u w:val="single"/>
        </w:rPr>
      </w:pPr>
    </w:p>
    <w:p w14:paraId="3483000E" w14:textId="35F9783C" w:rsidR="0049323D" w:rsidRPr="009526A6" w:rsidRDefault="0049323D" w:rsidP="0049323D">
      <w:pPr>
        <w:jc w:val="both"/>
        <w:rPr>
          <w:b/>
          <w:sz w:val="22"/>
          <w:szCs w:val="22"/>
          <w:u w:val="single"/>
        </w:rPr>
      </w:pPr>
      <w:r w:rsidRPr="009526A6">
        <w:rPr>
          <w:b/>
          <w:sz w:val="22"/>
          <w:szCs w:val="22"/>
          <w:u w:val="single"/>
        </w:rPr>
        <w:t>Legal Level of Budgetary Control</w:t>
      </w:r>
      <w:r w:rsidR="00FC13C1" w:rsidRPr="009526A6">
        <w:rPr>
          <w:b/>
          <w:sz w:val="22"/>
          <w:szCs w:val="22"/>
          <w:u w:val="single"/>
        </w:rPr>
        <w:t xml:space="preserve"> </w:t>
      </w:r>
      <w:r w:rsidR="00FC13C1" w:rsidRPr="009526A6">
        <w:rPr>
          <w:b/>
          <w:i/>
          <w:iCs/>
          <w:sz w:val="22"/>
          <w:szCs w:val="22"/>
        </w:rPr>
        <w:t>(Applies to Section 1-1)</w:t>
      </w:r>
    </w:p>
    <w:p w14:paraId="20A5F420" w14:textId="77777777" w:rsidR="0049323D" w:rsidRPr="009526A6" w:rsidRDefault="0049323D" w:rsidP="0049323D">
      <w:pPr>
        <w:jc w:val="both"/>
        <w:rPr>
          <w:sz w:val="22"/>
          <w:szCs w:val="22"/>
        </w:rPr>
      </w:pPr>
    </w:p>
    <w:p w14:paraId="19933DB4" w14:textId="51E12347" w:rsidR="0049323D" w:rsidRPr="009526A6" w:rsidRDefault="0049323D" w:rsidP="0049323D">
      <w:pPr>
        <w:jc w:val="both"/>
        <w:rPr>
          <w:sz w:val="22"/>
          <w:szCs w:val="22"/>
        </w:rPr>
      </w:pPr>
      <w:r w:rsidRPr="009526A6">
        <w:rPr>
          <w:i/>
          <w:sz w:val="22"/>
          <w:szCs w:val="22"/>
        </w:rPr>
        <w:t>Government Accounting, Auditing, and Financial Reporting</w:t>
      </w:r>
      <w:r w:rsidRPr="009526A6">
        <w:rPr>
          <w:sz w:val="22"/>
          <w:szCs w:val="22"/>
        </w:rPr>
        <w:t xml:space="preserve"> defines the “legal level of budgetary control” as “</w:t>
      </w:r>
      <w:r w:rsidR="000574E5" w:rsidRPr="009526A6">
        <w:rPr>
          <w:sz w:val="22"/>
          <w:szCs w:val="22"/>
        </w:rPr>
        <w:t xml:space="preserve">the level </w:t>
      </w:r>
      <w:r w:rsidRPr="009526A6">
        <w:rPr>
          <w:sz w:val="22"/>
          <w:szCs w:val="22"/>
        </w:rPr>
        <w:t xml:space="preserve">at which </w:t>
      </w:r>
      <w:r w:rsidR="0035077E" w:rsidRPr="009526A6">
        <w:rPr>
          <w:sz w:val="22"/>
          <w:szCs w:val="22"/>
        </w:rPr>
        <w:t>a government’s management may not reallocate resources without approval from the legislative body” and “the level at which overspending would constitute a legal violation</w:t>
      </w:r>
      <w:r w:rsidRPr="009526A6">
        <w:rPr>
          <w:sz w:val="22"/>
          <w:szCs w:val="22"/>
        </w:rPr>
        <w:t xml:space="preserve">.”  In Ohio, the legal level of control is the level at which the local government’s legislative authority passes the </w:t>
      </w:r>
      <w:proofErr w:type="gramStart"/>
      <w:r w:rsidRPr="009526A6">
        <w:rPr>
          <w:sz w:val="22"/>
          <w:szCs w:val="22"/>
        </w:rPr>
        <w:t>appropriation</w:t>
      </w:r>
      <w:proofErr w:type="gramEnd"/>
      <w:r w:rsidRPr="009526A6">
        <w:rPr>
          <w:sz w:val="22"/>
          <w:szCs w:val="22"/>
        </w:rPr>
        <w:t xml:space="preserve"> measure. </w:t>
      </w:r>
    </w:p>
    <w:p w14:paraId="40B2E035" w14:textId="77777777" w:rsidR="0049323D" w:rsidRPr="009526A6" w:rsidRDefault="0049323D" w:rsidP="0049323D">
      <w:pPr>
        <w:jc w:val="both"/>
        <w:rPr>
          <w:sz w:val="22"/>
          <w:szCs w:val="22"/>
        </w:rPr>
      </w:pPr>
    </w:p>
    <w:p w14:paraId="2950257A" w14:textId="77777777" w:rsidR="0049323D" w:rsidRPr="009526A6" w:rsidRDefault="0049323D" w:rsidP="0049323D">
      <w:pPr>
        <w:jc w:val="both"/>
        <w:rPr>
          <w:sz w:val="22"/>
          <w:szCs w:val="22"/>
        </w:rPr>
      </w:pPr>
      <w:r w:rsidRPr="009526A6">
        <w:rPr>
          <w:sz w:val="22"/>
          <w:szCs w:val="22"/>
        </w:rPr>
        <w:t xml:space="preserve">Ohio Rev. Code </w:t>
      </w:r>
      <w:r w:rsidR="009B4BF1" w:rsidRPr="009526A6">
        <w:rPr>
          <w:sz w:val="22"/>
          <w:szCs w:val="22"/>
        </w:rPr>
        <w:t>§ 5</w:t>
      </w:r>
      <w:r w:rsidRPr="009526A6">
        <w:rPr>
          <w:sz w:val="22"/>
          <w:szCs w:val="22"/>
        </w:rPr>
        <w:t xml:space="preserve">705.38(C) requires the following minimum level of budgetary control for “subdivisions” other than schools:  “Appropriation measures shall be classified so as to set forth separately the amounts appropriated for each office, department, division, and, within each, the amount appropriated for personal services.”  </w:t>
      </w:r>
    </w:p>
    <w:p w14:paraId="02BA7318" w14:textId="77777777" w:rsidR="0049323D" w:rsidRPr="009526A6" w:rsidRDefault="0049323D" w:rsidP="0049323D">
      <w:pPr>
        <w:jc w:val="both"/>
        <w:rPr>
          <w:sz w:val="22"/>
          <w:szCs w:val="22"/>
        </w:rPr>
      </w:pPr>
    </w:p>
    <w:p w14:paraId="45DE14EB" w14:textId="77777777" w:rsidR="0049323D" w:rsidRPr="009526A6" w:rsidRDefault="0049323D" w:rsidP="0049323D">
      <w:pPr>
        <w:jc w:val="both"/>
        <w:rPr>
          <w:sz w:val="22"/>
          <w:szCs w:val="22"/>
        </w:rPr>
      </w:pPr>
      <w:r w:rsidRPr="009526A6">
        <w:rPr>
          <w:sz w:val="22"/>
          <w:szCs w:val="22"/>
        </w:rPr>
        <w:t xml:space="preserve">Ohio </w:t>
      </w:r>
      <w:r w:rsidR="00561DE0" w:rsidRPr="009526A6">
        <w:rPr>
          <w:sz w:val="22"/>
          <w:szCs w:val="22"/>
        </w:rPr>
        <w:t>Admin.</w:t>
      </w:r>
      <w:r w:rsidRPr="009526A6">
        <w:rPr>
          <w:sz w:val="22"/>
          <w:szCs w:val="22"/>
        </w:rPr>
        <w:t xml:space="preserve"> Code 117-6-02 requires schools to </w:t>
      </w:r>
      <w:proofErr w:type="gramStart"/>
      <w:r w:rsidRPr="009526A6">
        <w:rPr>
          <w:sz w:val="22"/>
          <w:szCs w:val="22"/>
        </w:rPr>
        <w:t>appropriate at least</w:t>
      </w:r>
      <w:proofErr w:type="gramEnd"/>
      <w:r w:rsidRPr="009526A6">
        <w:rPr>
          <w:sz w:val="22"/>
          <w:szCs w:val="22"/>
        </w:rPr>
        <w:t xml:space="preserve"> at the fund level.  Governments may adopt more stringent legal levels of budgetary control if they wish.</w:t>
      </w:r>
    </w:p>
    <w:p w14:paraId="73D553DC" w14:textId="77777777" w:rsidR="0049323D" w:rsidRPr="009526A6" w:rsidRDefault="0049323D" w:rsidP="0049323D">
      <w:pPr>
        <w:jc w:val="both"/>
        <w:rPr>
          <w:sz w:val="22"/>
          <w:szCs w:val="22"/>
        </w:rPr>
      </w:pPr>
    </w:p>
    <w:p w14:paraId="59FF239E" w14:textId="77777777" w:rsidR="0049323D" w:rsidRPr="009526A6" w:rsidRDefault="0049323D" w:rsidP="0049323D">
      <w:pPr>
        <w:jc w:val="both"/>
        <w:rPr>
          <w:sz w:val="22"/>
          <w:szCs w:val="22"/>
        </w:rPr>
      </w:pPr>
      <w:r w:rsidRPr="009526A6">
        <w:rPr>
          <w:sz w:val="22"/>
          <w:szCs w:val="22"/>
        </w:rPr>
        <w:t xml:space="preserve">Because Ohio Admin. Code 117-2-02(C)(1) permits governments to adopt more stringent legal levels of control than the </w:t>
      </w:r>
      <w:proofErr w:type="gramStart"/>
      <w:r w:rsidRPr="009526A6">
        <w:rPr>
          <w:sz w:val="22"/>
          <w:szCs w:val="22"/>
        </w:rPr>
        <w:t>aforementioned laws</w:t>
      </w:r>
      <w:proofErr w:type="gramEnd"/>
      <w:r w:rsidRPr="009526A6">
        <w:rPr>
          <w:sz w:val="22"/>
          <w:szCs w:val="22"/>
        </w:rPr>
        <w:t xml:space="preserve"> require, it is possible for the level to vary from entity to entity, or even from fund to fund within an entity.  However, once established by the local government, the legal level of control should be the same throughout the fiscal year.  As such, this is the level auditors should use to test compliance.</w:t>
      </w:r>
    </w:p>
    <w:p w14:paraId="2C06589D" w14:textId="77777777" w:rsidR="0049323D" w:rsidRPr="009526A6" w:rsidRDefault="0049323D" w:rsidP="0049323D">
      <w:pPr>
        <w:jc w:val="both"/>
        <w:rPr>
          <w:sz w:val="22"/>
          <w:szCs w:val="22"/>
        </w:rPr>
      </w:pPr>
    </w:p>
    <w:p w14:paraId="0A824E50" w14:textId="4FB3E05E" w:rsidR="0049323D" w:rsidRPr="009526A6" w:rsidRDefault="0049323D" w:rsidP="0049323D">
      <w:pPr>
        <w:jc w:val="both"/>
        <w:rPr>
          <w:sz w:val="22"/>
          <w:szCs w:val="22"/>
        </w:rPr>
      </w:pPr>
      <w:r w:rsidRPr="009526A6">
        <w:rPr>
          <w:sz w:val="22"/>
          <w:szCs w:val="22"/>
        </w:rPr>
        <w:t>Governments following generally accepted accounting principles or an Other Comprehensive Basis of Accounting (OCBOA</w:t>
      </w:r>
      <w:r w:rsidR="00991642" w:rsidRPr="009526A6">
        <w:rPr>
          <w:sz w:val="22"/>
          <w:szCs w:val="22"/>
        </w:rPr>
        <w:t>, or “other financial reporting frameworks”</w:t>
      </w:r>
      <w:r w:rsidRPr="009526A6">
        <w:rPr>
          <w:sz w:val="22"/>
          <w:szCs w:val="22"/>
        </w:rPr>
        <w:t xml:space="preserve">) must comply with the following budgetary </w:t>
      </w:r>
      <w:r w:rsidRPr="009526A6">
        <w:rPr>
          <w:sz w:val="22"/>
          <w:szCs w:val="22"/>
          <w:u w:val="single"/>
        </w:rPr>
        <w:t>presentation</w:t>
      </w:r>
      <w:r w:rsidR="001E326C" w:rsidRPr="009526A6">
        <w:rPr>
          <w:sz w:val="22"/>
          <w:szCs w:val="22"/>
        </w:rPr>
        <w:t xml:space="preserve"> requirements from GASB Cod.</w:t>
      </w:r>
      <w:r w:rsidRPr="009526A6">
        <w:rPr>
          <w:sz w:val="22"/>
          <w:szCs w:val="22"/>
        </w:rPr>
        <w:t xml:space="preserve"> 2400.103 -- .105:</w:t>
      </w:r>
    </w:p>
    <w:p w14:paraId="44030D48" w14:textId="77777777" w:rsidR="00FA5F05" w:rsidRPr="009526A6" w:rsidRDefault="00FA5F05">
      <w:pPr>
        <w:rPr>
          <w:sz w:val="22"/>
          <w:szCs w:val="22"/>
        </w:rPr>
      </w:pPr>
      <w:r w:rsidRPr="009526A6">
        <w:rPr>
          <w:sz w:val="22"/>
          <w:szCs w:val="22"/>
        </w:rPr>
        <w:br w:type="page"/>
      </w:r>
    </w:p>
    <w:p w14:paraId="4421622A" w14:textId="77777777" w:rsidR="0049323D" w:rsidRPr="009526A6" w:rsidRDefault="0049323D" w:rsidP="0049323D">
      <w:pPr>
        <w:jc w:val="both"/>
        <w:rPr>
          <w:sz w:val="22"/>
          <w:szCs w:val="22"/>
        </w:rPr>
      </w:pPr>
    </w:p>
    <w:p w14:paraId="193D9D1A" w14:textId="3B8A476B" w:rsidR="006655B1" w:rsidRPr="006B795D" w:rsidRDefault="00217CD3" w:rsidP="0049323D">
      <w:pPr>
        <w:pBdr>
          <w:top w:val="single" w:sz="6" w:space="1" w:color="auto"/>
          <w:left w:val="single" w:sz="6" w:space="4" w:color="auto"/>
          <w:bottom w:val="single" w:sz="6" w:space="1" w:color="auto"/>
          <w:right w:val="single" w:sz="6" w:space="4" w:color="auto"/>
        </w:pBdr>
        <w:jc w:val="both"/>
        <w:rPr>
          <w:sz w:val="22"/>
          <w:szCs w:val="22"/>
          <w:u w:val="double"/>
        </w:rPr>
      </w:pPr>
      <w:r w:rsidRPr="006B795D">
        <w:rPr>
          <w:b/>
          <w:bCs/>
          <w:sz w:val="22"/>
          <w:szCs w:val="22"/>
          <w:u w:val="double"/>
        </w:rPr>
        <w:t>Important Note:</w:t>
      </w:r>
      <w:r w:rsidRPr="006B795D">
        <w:rPr>
          <w:sz w:val="22"/>
          <w:szCs w:val="22"/>
          <w:u w:val="double"/>
        </w:rPr>
        <w:t xml:space="preserve"> The following</w:t>
      </w:r>
      <w:r w:rsidR="006655B1" w:rsidRPr="006B795D">
        <w:rPr>
          <w:sz w:val="22"/>
          <w:szCs w:val="22"/>
          <w:u w:val="double"/>
        </w:rPr>
        <w:t xml:space="preserve"> is the pre-</w:t>
      </w:r>
      <w:r w:rsidRPr="006B795D">
        <w:rPr>
          <w:sz w:val="22"/>
          <w:szCs w:val="22"/>
          <w:u w:val="double"/>
        </w:rPr>
        <w:t xml:space="preserve">GASB </w:t>
      </w:r>
      <w:r w:rsidR="006655B1" w:rsidRPr="006B795D">
        <w:rPr>
          <w:sz w:val="22"/>
          <w:szCs w:val="22"/>
          <w:u w:val="double"/>
        </w:rPr>
        <w:t>103 guidance</w:t>
      </w:r>
      <w:r w:rsidRPr="006B795D">
        <w:rPr>
          <w:sz w:val="22"/>
          <w:szCs w:val="22"/>
          <w:u w:val="double"/>
        </w:rPr>
        <w:t>.</w:t>
      </w:r>
      <w:r w:rsidR="006655B1" w:rsidRPr="006B795D">
        <w:rPr>
          <w:sz w:val="22"/>
          <w:szCs w:val="22"/>
          <w:u w:val="double"/>
        </w:rPr>
        <w:t xml:space="preserve"> </w:t>
      </w:r>
      <w:r w:rsidRPr="006B795D">
        <w:rPr>
          <w:sz w:val="22"/>
          <w:szCs w:val="22"/>
          <w:u w:val="double"/>
        </w:rPr>
        <w:t>Upon</w:t>
      </w:r>
      <w:r w:rsidR="006655B1" w:rsidRPr="006B795D">
        <w:rPr>
          <w:sz w:val="22"/>
          <w:szCs w:val="22"/>
          <w:u w:val="double"/>
        </w:rPr>
        <w:t xml:space="preserve"> implementation of GASB 103 governments following GAAP must report budgetary </w:t>
      </w:r>
      <w:r w:rsidRPr="006B795D">
        <w:rPr>
          <w:sz w:val="22"/>
          <w:szCs w:val="22"/>
          <w:u w:val="double"/>
        </w:rPr>
        <w:t xml:space="preserve">comparison information </w:t>
      </w:r>
      <w:r w:rsidR="006655B1" w:rsidRPr="006B795D">
        <w:rPr>
          <w:sz w:val="22"/>
          <w:szCs w:val="22"/>
          <w:u w:val="double"/>
        </w:rPr>
        <w:t>as RSI.  See GASB 103.</w:t>
      </w:r>
    </w:p>
    <w:p w14:paraId="59BCF923" w14:textId="77777777" w:rsidR="006655B1" w:rsidRDefault="006655B1" w:rsidP="0049323D">
      <w:pPr>
        <w:pBdr>
          <w:top w:val="single" w:sz="6" w:space="1" w:color="auto"/>
          <w:left w:val="single" w:sz="6" w:space="4" w:color="auto"/>
          <w:bottom w:val="single" w:sz="6" w:space="1" w:color="auto"/>
          <w:right w:val="single" w:sz="6" w:space="4" w:color="auto"/>
        </w:pBdr>
        <w:jc w:val="both"/>
        <w:rPr>
          <w:sz w:val="22"/>
          <w:szCs w:val="22"/>
        </w:rPr>
      </w:pPr>
    </w:p>
    <w:p w14:paraId="4FBFCB62" w14:textId="6BC0AD15" w:rsidR="0049323D" w:rsidRPr="009526A6" w:rsidRDefault="0049323D" w:rsidP="0049323D">
      <w:pPr>
        <w:pBdr>
          <w:top w:val="single" w:sz="6" w:space="1" w:color="auto"/>
          <w:left w:val="single" w:sz="6" w:space="4" w:color="auto"/>
          <w:bottom w:val="single" w:sz="6" w:space="1" w:color="auto"/>
          <w:right w:val="single" w:sz="6" w:space="4" w:color="auto"/>
        </w:pBdr>
        <w:jc w:val="both"/>
        <w:rPr>
          <w:sz w:val="22"/>
          <w:szCs w:val="22"/>
        </w:rPr>
      </w:pPr>
      <w:r w:rsidRPr="009526A6">
        <w:rPr>
          <w:sz w:val="22"/>
          <w:szCs w:val="22"/>
        </w:rPr>
        <w:t>.103</w:t>
      </w:r>
      <w:r w:rsidRPr="009526A6">
        <w:rPr>
          <w:sz w:val="22"/>
          <w:szCs w:val="22"/>
        </w:rPr>
        <w:tab/>
        <w:t>Governments may present the budgetary comparison schedule using the same format, terminology, and classifications as the budget document, or using the format, terminology, and classifications in a statement of revenues, expenditures, and changes in fund balances. Regardless of the format used, the schedule should be accompanied by information (either in a separate schedule or in notes to RSI) that reconciles budgetary information to GAAP information, as discussed in this section and in Section 1700. Notes to RSI should disclose the budgetary basis of accounting and excesses of expenditures over appropriations in individual funds presented in the budgetary comparison, as discussed in Section 2300, "Notes to Financial Statements," paragraph .106  [NCGAI 6, ¶5; GASB</w:t>
      </w:r>
      <w:r w:rsidR="00564E18" w:rsidRPr="009526A6">
        <w:rPr>
          <w:sz w:val="22"/>
          <w:szCs w:val="22"/>
        </w:rPr>
        <w:t xml:space="preserve"> Statement No. 34, ¶131; GASB Statement No. </w:t>
      </w:r>
      <w:r w:rsidRPr="009526A6">
        <w:rPr>
          <w:sz w:val="22"/>
          <w:szCs w:val="22"/>
        </w:rPr>
        <w:t>37, ¶19]</w:t>
      </w:r>
    </w:p>
    <w:p w14:paraId="0BEA5E8C" w14:textId="77777777" w:rsidR="0049323D" w:rsidRPr="009526A6" w:rsidRDefault="0049323D" w:rsidP="0049323D">
      <w:pPr>
        <w:pBdr>
          <w:top w:val="single" w:sz="6" w:space="1" w:color="auto"/>
          <w:left w:val="single" w:sz="6" w:space="4" w:color="auto"/>
          <w:bottom w:val="single" w:sz="6" w:space="1" w:color="auto"/>
          <w:right w:val="single" w:sz="6" w:space="4" w:color="auto"/>
        </w:pBdr>
        <w:jc w:val="both"/>
        <w:rPr>
          <w:sz w:val="22"/>
          <w:szCs w:val="22"/>
        </w:rPr>
      </w:pPr>
    </w:p>
    <w:p w14:paraId="3939E292" w14:textId="290A0C4F" w:rsidR="0049323D" w:rsidRPr="009526A6" w:rsidRDefault="0049323D" w:rsidP="0049323D">
      <w:pPr>
        <w:pBdr>
          <w:top w:val="single" w:sz="6" w:space="1" w:color="auto"/>
          <w:left w:val="single" w:sz="6" w:space="4" w:color="auto"/>
          <w:bottom w:val="single" w:sz="6" w:space="1" w:color="auto"/>
          <w:right w:val="single" w:sz="6" w:space="4" w:color="auto"/>
        </w:pBdr>
        <w:jc w:val="both"/>
        <w:rPr>
          <w:sz w:val="22"/>
          <w:szCs w:val="22"/>
        </w:rPr>
      </w:pPr>
      <w:r w:rsidRPr="009526A6">
        <w:rPr>
          <w:sz w:val="22"/>
          <w:szCs w:val="22"/>
        </w:rPr>
        <w:t>.104</w:t>
      </w:r>
      <w:r w:rsidRPr="009526A6">
        <w:rPr>
          <w:sz w:val="22"/>
          <w:szCs w:val="22"/>
        </w:rPr>
        <w:tab/>
        <w:t xml:space="preserve">Where financial statements prepared in conformity with GAAP do not demonstrate finance-related legal and contractual compliance, the governmental unit should present such additional schedules and narrative explanations in the </w:t>
      </w:r>
      <w:r w:rsidR="00F4084F" w:rsidRPr="009526A6">
        <w:rPr>
          <w:sz w:val="22"/>
          <w:szCs w:val="22"/>
        </w:rPr>
        <w:t>a</w:t>
      </w:r>
      <w:r w:rsidR="009D2CFB" w:rsidRPr="009526A6">
        <w:rPr>
          <w:sz w:val="22"/>
          <w:szCs w:val="22"/>
        </w:rPr>
        <w:t xml:space="preserve">nnual </w:t>
      </w:r>
      <w:r w:rsidR="00F4084F" w:rsidRPr="009526A6">
        <w:rPr>
          <w:sz w:val="22"/>
          <w:szCs w:val="22"/>
        </w:rPr>
        <w:t>c</w:t>
      </w:r>
      <w:r w:rsidR="009D2CFB" w:rsidRPr="009526A6">
        <w:rPr>
          <w:sz w:val="22"/>
          <w:szCs w:val="22"/>
        </w:rPr>
        <w:t xml:space="preserve">omprehensive </w:t>
      </w:r>
      <w:r w:rsidR="00F4084F" w:rsidRPr="009526A6">
        <w:rPr>
          <w:sz w:val="22"/>
          <w:szCs w:val="22"/>
        </w:rPr>
        <w:t>f</w:t>
      </w:r>
      <w:r w:rsidR="009D2CFB" w:rsidRPr="009526A6">
        <w:rPr>
          <w:sz w:val="22"/>
          <w:szCs w:val="22"/>
        </w:rPr>
        <w:t xml:space="preserve">inancial </w:t>
      </w:r>
      <w:r w:rsidR="00F4084F" w:rsidRPr="009526A6">
        <w:rPr>
          <w:sz w:val="22"/>
          <w:szCs w:val="22"/>
        </w:rPr>
        <w:t>r</w:t>
      </w:r>
      <w:r w:rsidR="009D2CFB" w:rsidRPr="009526A6">
        <w:rPr>
          <w:sz w:val="22"/>
          <w:szCs w:val="22"/>
        </w:rPr>
        <w:t>eport (ACFR)</w:t>
      </w:r>
      <w:r w:rsidRPr="009526A6">
        <w:rPr>
          <w:sz w:val="22"/>
          <w:szCs w:val="22"/>
        </w:rPr>
        <w:t xml:space="preserve"> as may be necessary to report its legal compliance responsibilities and accountabilities.  In extreme cases, preparation of a separate legal-basis special report may be necessary.  [NCGAS 1, ¶12</w:t>
      </w:r>
      <w:r w:rsidR="000262EF" w:rsidRPr="009526A6">
        <w:rPr>
          <w:sz w:val="22"/>
          <w:szCs w:val="22"/>
        </w:rPr>
        <w:t xml:space="preserve"> as amended by GASB Statement No. 98 </w:t>
      </w:r>
      <w:r w:rsidR="000262EF" w:rsidRPr="009526A6">
        <w:rPr>
          <w:rFonts w:ascii="Calibri" w:hAnsi="Calibri" w:cs="Calibri"/>
          <w:sz w:val="22"/>
          <w:szCs w:val="22"/>
        </w:rPr>
        <w:t>¶</w:t>
      </w:r>
      <w:r w:rsidR="000262EF" w:rsidRPr="009526A6">
        <w:rPr>
          <w:sz w:val="22"/>
          <w:szCs w:val="22"/>
        </w:rPr>
        <w:t>4</w:t>
      </w:r>
      <w:r w:rsidRPr="009526A6">
        <w:rPr>
          <w:sz w:val="22"/>
          <w:szCs w:val="22"/>
        </w:rPr>
        <w:t>]</w:t>
      </w:r>
    </w:p>
    <w:p w14:paraId="7CB5E057" w14:textId="77777777" w:rsidR="00A42F0E" w:rsidRPr="009526A6" w:rsidRDefault="00A42F0E" w:rsidP="0049323D">
      <w:pPr>
        <w:pBdr>
          <w:top w:val="single" w:sz="6" w:space="1" w:color="auto"/>
          <w:left w:val="single" w:sz="6" w:space="4" w:color="auto"/>
          <w:bottom w:val="single" w:sz="6" w:space="1" w:color="auto"/>
          <w:right w:val="single" w:sz="6" w:space="4" w:color="auto"/>
        </w:pBdr>
        <w:jc w:val="both"/>
        <w:rPr>
          <w:sz w:val="22"/>
          <w:szCs w:val="22"/>
        </w:rPr>
      </w:pPr>
    </w:p>
    <w:p w14:paraId="686C599F" w14:textId="1D07F07D" w:rsidR="0049323D" w:rsidRPr="009526A6" w:rsidRDefault="0049323D" w:rsidP="0049323D">
      <w:pPr>
        <w:pBdr>
          <w:top w:val="single" w:sz="6" w:space="1" w:color="auto"/>
          <w:left w:val="single" w:sz="6" w:space="4" w:color="auto"/>
          <w:bottom w:val="single" w:sz="6" w:space="1" w:color="auto"/>
          <w:right w:val="single" w:sz="6" w:space="4" w:color="auto"/>
        </w:pBdr>
        <w:jc w:val="both"/>
        <w:rPr>
          <w:b/>
          <w:sz w:val="22"/>
          <w:szCs w:val="22"/>
        </w:rPr>
      </w:pPr>
      <w:r w:rsidRPr="009526A6">
        <w:rPr>
          <w:b/>
          <w:sz w:val="22"/>
          <w:szCs w:val="22"/>
        </w:rPr>
        <w:t xml:space="preserve">Annual </w:t>
      </w:r>
      <w:r w:rsidR="009D2CFB" w:rsidRPr="009526A6">
        <w:rPr>
          <w:b/>
          <w:sz w:val="22"/>
          <w:szCs w:val="22"/>
        </w:rPr>
        <w:t xml:space="preserve">Comprehensive </w:t>
      </w:r>
      <w:r w:rsidRPr="009526A6">
        <w:rPr>
          <w:b/>
          <w:sz w:val="22"/>
          <w:szCs w:val="22"/>
        </w:rPr>
        <w:t>Financial Reports</w:t>
      </w:r>
      <w:r w:rsidR="009D2CFB" w:rsidRPr="009526A6">
        <w:rPr>
          <w:b/>
          <w:sz w:val="22"/>
          <w:szCs w:val="22"/>
        </w:rPr>
        <w:t xml:space="preserve"> (ACFR)</w:t>
      </w:r>
    </w:p>
    <w:p w14:paraId="4AFC83A2" w14:textId="7F754269" w:rsidR="00F129F5" w:rsidRPr="009526A6" w:rsidRDefault="0049323D" w:rsidP="0049323D">
      <w:pPr>
        <w:pBdr>
          <w:top w:val="single" w:sz="6" w:space="1" w:color="auto"/>
          <w:left w:val="single" w:sz="6" w:space="4" w:color="auto"/>
          <w:bottom w:val="single" w:sz="6" w:space="1" w:color="auto"/>
          <w:right w:val="single" w:sz="6" w:space="4" w:color="auto"/>
        </w:pBdr>
        <w:jc w:val="both"/>
        <w:rPr>
          <w:sz w:val="22"/>
          <w:szCs w:val="22"/>
        </w:rPr>
      </w:pPr>
      <w:r w:rsidRPr="009526A6">
        <w:rPr>
          <w:sz w:val="22"/>
          <w:szCs w:val="22"/>
        </w:rPr>
        <w:t>.105</w:t>
      </w:r>
      <w:r w:rsidRPr="009526A6">
        <w:rPr>
          <w:sz w:val="22"/>
          <w:szCs w:val="22"/>
        </w:rPr>
        <w:tab/>
        <w:t xml:space="preserve">The </w:t>
      </w:r>
      <w:r w:rsidR="006A41CD" w:rsidRPr="009526A6">
        <w:rPr>
          <w:sz w:val="22"/>
          <w:szCs w:val="22"/>
        </w:rPr>
        <w:t>ACFR</w:t>
      </w:r>
      <w:r w:rsidR="0082351B" w:rsidRPr="009526A6">
        <w:rPr>
          <w:sz w:val="22"/>
          <w:szCs w:val="22"/>
        </w:rPr>
        <w:t xml:space="preserve"> </w:t>
      </w:r>
      <w:r w:rsidRPr="009526A6">
        <w:rPr>
          <w:sz w:val="22"/>
          <w:szCs w:val="22"/>
        </w:rPr>
        <w:t>should include budgetary comparison schedules for individual non</w:t>
      </w:r>
      <w:r w:rsidR="0069552D" w:rsidRPr="009526A6">
        <w:rPr>
          <w:sz w:val="22"/>
          <w:szCs w:val="22"/>
        </w:rPr>
        <w:t>-</w:t>
      </w:r>
      <w:r w:rsidRPr="009526A6">
        <w:rPr>
          <w:sz w:val="22"/>
          <w:szCs w:val="22"/>
        </w:rPr>
        <w:t xml:space="preserve">major special revenue funds and other governmental funds of the primary government (including its blended component units). [NCGAS 1, ¶139 and ¶155, as amended by GASB </w:t>
      </w:r>
      <w:r w:rsidR="00564E18" w:rsidRPr="009526A6">
        <w:rPr>
          <w:sz w:val="22"/>
          <w:szCs w:val="22"/>
        </w:rPr>
        <w:t>Statement No. 14</w:t>
      </w:r>
      <w:r w:rsidR="000262EF" w:rsidRPr="009526A6">
        <w:rPr>
          <w:sz w:val="22"/>
          <w:szCs w:val="22"/>
        </w:rPr>
        <w:t>,</w:t>
      </w:r>
      <w:r w:rsidR="00564E18" w:rsidRPr="009526A6">
        <w:rPr>
          <w:sz w:val="22"/>
          <w:szCs w:val="22"/>
        </w:rPr>
        <w:t xml:space="preserve"> GASB</w:t>
      </w:r>
      <w:r w:rsidRPr="009526A6">
        <w:rPr>
          <w:sz w:val="22"/>
          <w:szCs w:val="22"/>
        </w:rPr>
        <w:t xml:space="preserve"> </w:t>
      </w:r>
      <w:r w:rsidR="00564E18" w:rsidRPr="009526A6">
        <w:rPr>
          <w:sz w:val="22"/>
          <w:szCs w:val="22"/>
        </w:rPr>
        <w:t xml:space="preserve">Statement No. </w:t>
      </w:r>
      <w:r w:rsidRPr="009526A6">
        <w:rPr>
          <w:sz w:val="22"/>
          <w:szCs w:val="22"/>
        </w:rPr>
        <w:t>34, ¶130</w:t>
      </w:r>
      <w:r w:rsidR="000262EF" w:rsidRPr="009526A6">
        <w:rPr>
          <w:sz w:val="22"/>
          <w:szCs w:val="22"/>
        </w:rPr>
        <w:t xml:space="preserve"> and GASB Statement No. 98 </w:t>
      </w:r>
      <w:r w:rsidR="000262EF" w:rsidRPr="009526A6">
        <w:rPr>
          <w:rFonts w:ascii="Calibri" w:hAnsi="Calibri" w:cs="Calibri"/>
          <w:sz w:val="22"/>
          <w:szCs w:val="22"/>
        </w:rPr>
        <w:t>¶</w:t>
      </w:r>
      <w:r w:rsidR="000262EF" w:rsidRPr="009526A6">
        <w:rPr>
          <w:sz w:val="22"/>
          <w:szCs w:val="22"/>
        </w:rPr>
        <w:t>4</w:t>
      </w:r>
      <w:r w:rsidRPr="009526A6">
        <w:rPr>
          <w:sz w:val="22"/>
          <w:szCs w:val="22"/>
        </w:rPr>
        <w:t>]</w:t>
      </w:r>
    </w:p>
    <w:p w14:paraId="4E1BFAE3" w14:textId="77777777" w:rsidR="0049323D" w:rsidRPr="009526A6" w:rsidRDefault="0049323D" w:rsidP="0049323D">
      <w:pPr>
        <w:jc w:val="both"/>
        <w:rPr>
          <w:sz w:val="22"/>
          <w:szCs w:val="22"/>
        </w:rPr>
      </w:pPr>
    </w:p>
    <w:p w14:paraId="7A2B2BAB" w14:textId="1F3EB56D" w:rsidR="00D40A1C" w:rsidRPr="009526A6" w:rsidRDefault="00D40A1C" w:rsidP="009E4435">
      <w:pPr>
        <w:jc w:val="both"/>
        <w:rPr>
          <w:sz w:val="22"/>
          <w:szCs w:val="22"/>
        </w:rPr>
      </w:pPr>
      <w:r w:rsidRPr="009526A6">
        <w:rPr>
          <w:sz w:val="22"/>
          <w:szCs w:val="22"/>
        </w:rPr>
        <w:t>Additionally, many governments may pass budgets even though they are not legally required to (see OCS Legal Matrix for specific budgetary requirements). In these instances, governments should also consider the following guidance from GASB Cod. 2400.702-14:</w:t>
      </w:r>
    </w:p>
    <w:p w14:paraId="672E298C" w14:textId="43400AE1" w:rsidR="00D40A1C" w:rsidRPr="009526A6" w:rsidRDefault="00D40A1C" w:rsidP="009E4435">
      <w:pPr>
        <w:autoSpaceDE w:val="0"/>
        <w:autoSpaceDN w:val="0"/>
        <w:adjustRightInd w:val="0"/>
        <w:ind w:left="720"/>
        <w:jc w:val="both"/>
        <w:rPr>
          <w:color w:val="000000"/>
          <w:sz w:val="22"/>
          <w:szCs w:val="22"/>
        </w:rPr>
      </w:pPr>
      <w:r w:rsidRPr="009526A6">
        <w:rPr>
          <w:color w:val="000000"/>
          <w:sz w:val="22"/>
          <w:szCs w:val="22"/>
        </w:rPr>
        <w:t xml:space="preserve">7.91.14. </w:t>
      </w:r>
      <w:r w:rsidRPr="009526A6">
        <w:rPr>
          <w:i/>
          <w:iCs/>
          <w:color w:val="000000"/>
          <w:sz w:val="22"/>
          <w:szCs w:val="22"/>
        </w:rPr>
        <w:t>Q</w:t>
      </w:r>
      <w:r w:rsidRPr="009526A6">
        <w:rPr>
          <w:color w:val="000000"/>
          <w:sz w:val="22"/>
          <w:szCs w:val="22"/>
        </w:rPr>
        <w:t xml:space="preserve">—Does </w:t>
      </w:r>
      <w:r w:rsidRPr="009526A6">
        <w:rPr>
          <w:i/>
          <w:iCs/>
          <w:color w:val="000000"/>
          <w:sz w:val="22"/>
          <w:szCs w:val="22"/>
        </w:rPr>
        <w:t xml:space="preserve">legally adopted </w:t>
      </w:r>
      <w:r w:rsidRPr="009526A6">
        <w:rPr>
          <w:color w:val="000000"/>
          <w:sz w:val="22"/>
          <w:szCs w:val="22"/>
        </w:rPr>
        <w:t>mean that a government is required by law to adopt a budget, or does it mean that the governing body officially adopts a budget that has legal standing?</w:t>
      </w:r>
    </w:p>
    <w:p w14:paraId="4AACFC1C" w14:textId="0B642D36" w:rsidR="00D40A1C" w:rsidRPr="009526A6" w:rsidRDefault="00D40A1C" w:rsidP="009E4435">
      <w:pPr>
        <w:autoSpaceDE w:val="0"/>
        <w:autoSpaceDN w:val="0"/>
        <w:adjustRightInd w:val="0"/>
        <w:ind w:left="720"/>
        <w:jc w:val="both"/>
        <w:rPr>
          <w:color w:val="000000"/>
          <w:sz w:val="22"/>
          <w:szCs w:val="22"/>
        </w:rPr>
      </w:pPr>
      <w:r w:rsidRPr="009526A6">
        <w:rPr>
          <w:i/>
          <w:iCs/>
          <w:color w:val="000000"/>
          <w:sz w:val="22"/>
          <w:szCs w:val="22"/>
        </w:rPr>
        <w:t>A</w:t>
      </w:r>
      <w:r w:rsidRPr="009526A6">
        <w:rPr>
          <w:color w:val="000000"/>
          <w:sz w:val="22"/>
          <w:szCs w:val="22"/>
        </w:rPr>
        <w:t>—</w:t>
      </w:r>
      <w:r w:rsidRPr="009526A6">
        <w:rPr>
          <w:i/>
          <w:iCs/>
          <w:color w:val="000000"/>
          <w:sz w:val="22"/>
          <w:szCs w:val="22"/>
        </w:rPr>
        <w:t xml:space="preserve">Legally adopted, </w:t>
      </w:r>
      <w:r w:rsidRPr="009526A6">
        <w:rPr>
          <w:color w:val="000000"/>
          <w:sz w:val="22"/>
          <w:szCs w:val="22"/>
        </w:rPr>
        <w:t xml:space="preserve">as </w:t>
      </w:r>
      <w:r w:rsidRPr="009526A6">
        <w:rPr>
          <w:sz w:val="22"/>
          <w:szCs w:val="22"/>
        </w:rPr>
        <w:t>used in paragraph</w:t>
      </w:r>
      <w:r w:rsidR="0039288D" w:rsidRPr="009526A6">
        <w:rPr>
          <w:sz w:val="22"/>
          <w:szCs w:val="22"/>
        </w:rPr>
        <w:t xml:space="preserve"> .102 of this section</w:t>
      </w:r>
      <w:r w:rsidRPr="009526A6">
        <w:rPr>
          <w:sz w:val="22"/>
          <w:szCs w:val="22"/>
        </w:rPr>
        <w:t xml:space="preserve">, refers to the notion that the government has no legal authority to spend </w:t>
      </w:r>
      <w:r w:rsidRPr="009526A6">
        <w:rPr>
          <w:color w:val="000000"/>
          <w:sz w:val="22"/>
          <w:szCs w:val="22"/>
        </w:rPr>
        <w:t>resources until the budget is adopted. The intent of the legally adopted reference is that the budget (or appropriation ordinance, etc.) provides legal authority to spend resources. A government may formally adopt an operating budget, but if they have the legal authority to spend resources without it, it does not constitute a legally adopted budget as contemplated in the</w:t>
      </w:r>
      <w:r w:rsidR="00C6152C" w:rsidRPr="009526A6">
        <w:rPr>
          <w:color w:val="000000"/>
          <w:sz w:val="22"/>
          <w:szCs w:val="22"/>
        </w:rPr>
        <w:t xml:space="preserve"> </w:t>
      </w:r>
      <w:r w:rsidRPr="009526A6">
        <w:rPr>
          <w:color w:val="000000"/>
          <w:sz w:val="22"/>
          <w:szCs w:val="22"/>
        </w:rPr>
        <w:t>standards.</w:t>
      </w:r>
      <w:r w:rsidRPr="009526A6">
        <w:rPr>
          <w:sz w:val="22"/>
          <w:szCs w:val="22"/>
        </w:rPr>
        <w:t xml:space="preserve"> </w:t>
      </w:r>
    </w:p>
    <w:p w14:paraId="562FAEE7" w14:textId="77777777" w:rsidR="00D40A1C" w:rsidRPr="009526A6" w:rsidRDefault="00D40A1C" w:rsidP="0049323D">
      <w:pPr>
        <w:jc w:val="both"/>
        <w:rPr>
          <w:sz w:val="22"/>
          <w:szCs w:val="22"/>
        </w:rPr>
      </w:pPr>
    </w:p>
    <w:p w14:paraId="2274C2BD" w14:textId="4FDC6C33" w:rsidR="0049323D" w:rsidRPr="009526A6" w:rsidRDefault="0049323D" w:rsidP="0049323D">
      <w:pPr>
        <w:jc w:val="both"/>
        <w:rPr>
          <w:sz w:val="22"/>
          <w:szCs w:val="22"/>
        </w:rPr>
      </w:pPr>
      <w:r w:rsidRPr="009526A6">
        <w:rPr>
          <w:sz w:val="22"/>
          <w:szCs w:val="22"/>
        </w:rPr>
        <w:t>There is no prescribed minimum for reporting budget-versus-actual information for governments using the Auditor of State’s</w:t>
      </w:r>
      <w:r w:rsidR="000E1648" w:rsidRPr="009526A6">
        <w:rPr>
          <w:sz w:val="22"/>
          <w:szCs w:val="22"/>
        </w:rPr>
        <w:t xml:space="preserve"> Regulatory</w:t>
      </w:r>
      <w:r w:rsidRPr="009526A6">
        <w:rPr>
          <w:sz w:val="22"/>
          <w:szCs w:val="22"/>
        </w:rPr>
        <w:t xml:space="preserve"> cash-basis financial reports. </w:t>
      </w:r>
      <w:r w:rsidR="007C767C" w:rsidRPr="009526A6">
        <w:rPr>
          <w:sz w:val="22"/>
          <w:szCs w:val="22"/>
        </w:rPr>
        <w:t xml:space="preserve"> </w:t>
      </w:r>
      <w:r w:rsidRPr="009526A6">
        <w:rPr>
          <w:sz w:val="22"/>
          <w:szCs w:val="22"/>
        </w:rPr>
        <w:t xml:space="preserve">These reports routinely present this information at an aggregated level (i.e. combined fund type) as footnote disclosures. However, auditors should still test legal compliance at the legal level of budgetary control.  </w:t>
      </w:r>
    </w:p>
    <w:p w14:paraId="745F9231" w14:textId="77777777" w:rsidR="0049323D" w:rsidRPr="009526A6" w:rsidRDefault="0049323D" w:rsidP="0049323D">
      <w:pPr>
        <w:jc w:val="both"/>
        <w:rPr>
          <w:sz w:val="22"/>
          <w:szCs w:val="22"/>
        </w:rPr>
      </w:pPr>
    </w:p>
    <w:p w14:paraId="11785139" w14:textId="376BCF46" w:rsidR="0049323D" w:rsidRPr="009526A6" w:rsidRDefault="0049323D" w:rsidP="0049323D">
      <w:pPr>
        <w:pBdr>
          <w:top w:val="single" w:sz="6" w:space="1" w:color="auto"/>
          <w:left w:val="single" w:sz="6" w:space="4" w:color="auto"/>
          <w:bottom w:val="single" w:sz="6" w:space="1" w:color="auto"/>
          <w:right w:val="single" w:sz="6" w:space="4" w:color="auto"/>
        </w:pBdr>
        <w:jc w:val="both"/>
        <w:rPr>
          <w:b/>
          <w:sz w:val="22"/>
          <w:szCs w:val="22"/>
        </w:rPr>
      </w:pPr>
      <w:r w:rsidRPr="009526A6">
        <w:rPr>
          <w:b/>
          <w:sz w:val="22"/>
          <w:szCs w:val="22"/>
        </w:rPr>
        <w:t xml:space="preserve">Other sources of Guidance:  In addition to this OCS Chapter, Section D.IV of the AOS’ </w:t>
      </w:r>
      <w:r w:rsidRPr="009526A6">
        <w:rPr>
          <w:b/>
          <w:i/>
          <w:sz w:val="22"/>
          <w:szCs w:val="22"/>
        </w:rPr>
        <w:t>Ohio Township Handbook</w:t>
      </w:r>
      <w:r w:rsidRPr="009526A6">
        <w:rPr>
          <w:b/>
          <w:sz w:val="22"/>
          <w:szCs w:val="22"/>
        </w:rPr>
        <w:t xml:space="preserve"> and Chapter 3 of the AOS’ </w:t>
      </w:r>
      <w:r w:rsidRPr="009526A6">
        <w:rPr>
          <w:b/>
          <w:i/>
          <w:sz w:val="22"/>
          <w:szCs w:val="22"/>
        </w:rPr>
        <w:t>Village Officer’s Handbook</w:t>
      </w:r>
      <w:r w:rsidRPr="009526A6">
        <w:rPr>
          <w:b/>
          <w:sz w:val="22"/>
          <w:szCs w:val="22"/>
        </w:rPr>
        <w:t xml:space="preserve"> include many questions and answers related to </w:t>
      </w:r>
      <w:r w:rsidR="009E75D3" w:rsidRPr="009526A6">
        <w:rPr>
          <w:b/>
          <w:sz w:val="22"/>
          <w:szCs w:val="22"/>
        </w:rPr>
        <w:t>Ohio Rev.</w:t>
      </w:r>
      <w:r w:rsidR="006E159F" w:rsidRPr="009526A6">
        <w:rPr>
          <w:b/>
          <w:sz w:val="22"/>
          <w:szCs w:val="22"/>
        </w:rPr>
        <w:t xml:space="preserve"> Code</w:t>
      </w:r>
      <w:r w:rsidR="009E75D3" w:rsidRPr="009526A6">
        <w:rPr>
          <w:b/>
          <w:sz w:val="22"/>
          <w:szCs w:val="22"/>
        </w:rPr>
        <w:t xml:space="preserve"> Chapter</w:t>
      </w:r>
      <w:r w:rsidRPr="009526A6">
        <w:rPr>
          <w:b/>
          <w:sz w:val="22"/>
          <w:szCs w:val="22"/>
        </w:rPr>
        <w:t xml:space="preserve"> 5705 requirements.  You can access these publications at </w:t>
      </w:r>
      <w:hyperlink r:id="rId37" w:history="1">
        <w:r w:rsidR="00AC721B" w:rsidRPr="009526A6">
          <w:rPr>
            <w:rStyle w:val="Hyperlink"/>
            <w:b/>
            <w:sz w:val="22"/>
            <w:szCs w:val="22"/>
          </w:rPr>
          <w:t>www.ohioauditor.gov</w:t>
        </w:r>
      </w:hyperlink>
      <w:r w:rsidRPr="009526A6">
        <w:rPr>
          <w:b/>
          <w:sz w:val="22"/>
          <w:szCs w:val="22"/>
        </w:rPr>
        <w:t xml:space="preserve"> then click on </w:t>
      </w:r>
      <w:r w:rsidR="00F525D8" w:rsidRPr="009526A6">
        <w:rPr>
          <w:b/>
          <w:i/>
          <w:sz w:val="22"/>
          <w:szCs w:val="22"/>
        </w:rPr>
        <w:t>Resources</w:t>
      </w:r>
      <w:r w:rsidR="00F525D8" w:rsidRPr="009526A6">
        <w:rPr>
          <w:b/>
          <w:sz w:val="22"/>
          <w:szCs w:val="22"/>
        </w:rPr>
        <w:t xml:space="preserve"> and then </w:t>
      </w:r>
      <w:r w:rsidRPr="009526A6">
        <w:rPr>
          <w:b/>
          <w:i/>
          <w:sz w:val="22"/>
          <w:szCs w:val="22"/>
        </w:rPr>
        <w:t>Publications</w:t>
      </w:r>
      <w:r w:rsidR="00B15255">
        <w:rPr>
          <w:b/>
          <w:i/>
          <w:sz w:val="22"/>
          <w:szCs w:val="22"/>
        </w:rPr>
        <w:t xml:space="preserve"> </w:t>
      </w:r>
      <w:r w:rsidR="00B15255" w:rsidRPr="00B15255">
        <w:rPr>
          <w:b/>
          <w:i/>
          <w:sz w:val="22"/>
          <w:szCs w:val="22"/>
          <w:u w:val="wave"/>
        </w:rPr>
        <w:t>&amp; Manuals</w:t>
      </w:r>
      <w:r w:rsidRPr="009526A6">
        <w:rPr>
          <w:b/>
          <w:sz w:val="22"/>
          <w:szCs w:val="22"/>
        </w:rPr>
        <w:t>.</w:t>
      </w:r>
    </w:p>
    <w:p w14:paraId="4FD0AF14" w14:textId="77777777" w:rsidR="0049323D" w:rsidRPr="009526A6" w:rsidRDefault="0049323D" w:rsidP="0049323D">
      <w:pPr>
        <w:jc w:val="both"/>
        <w:rPr>
          <w:rFonts w:cs="Arial"/>
          <w:b/>
          <w:sz w:val="22"/>
          <w:szCs w:val="22"/>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9323D" w:rsidRPr="009526A6" w14:paraId="186B2A18" w14:textId="77777777" w:rsidTr="00786229">
        <w:tc>
          <w:tcPr>
            <w:tcW w:w="10170" w:type="dxa"/>
          </w:tcPr>
          <w:p w14:paraId="13D97506" w14:textId="5F966D4B" w:rsidR="0049323D" w:rsidRPr="009526A6" w:rsidRDefault="0049323D" w:rsidP="004B298B">
            <w:pPr>
              <w:ind w:right="-18"/>
              <w:jc w:val="both"/>
              <w:rPr>
                <w:b/>
                <w:color w:val="000080"/>
                <w:sz w:val="22"/>
                <w:szCs w:val="22"/>
              </w:rPr>
            </w:pPr>
            <w:r w:rsidRPr="009526A6">
              <w:rPr>
                <w:b/>
                <w:sz w:val="22"/>
                <w:szCs w:val="22"/>
              </w:rPr>
              <w:t xml:space="preserve">Also note: Virtually all </w:t>
            </w:r>
            <w:r w:rsidR="006E159F" w:rsidRPr="009526A6">
              <w:rPr>
                <w:b/>
                <w:sz w:val="22"/>
                <w:szCs w:val="22"/>
              </w:rPr>
              <w:t xml:space="preserve">Ohio Rev. Code </w:t>
            </w:r>
            <w:r w:rsidRPr="009526A6">
              <w:rPr>
                <w:b/>
                <w:sz w:val="22"/>
                <w:szCs w:val="22"/>
              </w:rPr>
              <w:t xml:space="preserve">Chapter 5705 requirements applicable to </w:t>
            </w:r>
            <w:r w:rsidRPr="009526A6">
              <w:rPr>
                <w:b/>
                <w:i/>
                <w:sz w:val="22"/>
                <w:szCs w:val="22"/>
              </w:rPr>
              <w:t>subdivisions</w:t>
            </w:r>
            <w:r w:rsidRPr="009526A6">
              <w:rPr>
                <w:b/>
                <w:sz w:val="22"/>
                <w:szCs w:val="22"/>
              </w:rPr>
              <w:t xml:space="preserve"> apply to municipalities that have adopted a charter under </w:t>
            </w:r>
            <w:r w:rsidR="00ED186D" w:rsidRPr="009526A6">
              <w:rPr>
                <w:b/>
                <w:sz w:val="22"/>
                <w:szCs w:val="22"/>
              </w:rPr>
              <w:t xml:space="preserve">Ohio Const. </w:t>
            </w:r>
            <w:r w:rsidRPr="009526A6">
              <w:rPr>
                <w:b/>
                <w:sz w:val="22"/>
                <w:szCs w:val="22"/>
              </w:rPr>
              <w:t>Art</w:t>
            </w:r>
            <w:r w:rsidR="00ED186D" w:rsidRPr="009526A6">
              <w:rPr>
                <w:b/>
                <w:sz w:val="22"/>
                <w:szCs w:val="22"/>
              </w:rPr>
              <w:t>.</w:t>
            </w:r>
            <w:r w:rsidRPr="009526A6">
              <w:rPr>
                <w:b/>
                <w:sz w:val="22"/>
                <w:szCs w:val="22"/>
              </w:rPr>
              <w:t xml:space="preserve"> </w:t>
            </w:r>
            <w:r w:rsidRPr="009526A6">
              <w:rPr>
                <w:rStyle w:val="caps"/>
                <w:b/>
                <w:sz w:val="22"/>
                <w:szCs w:val="22"/>
              </w:rPr>
              <w:t>XVIII</w:t>
            </w:r>
            <w:r w:rsidRPr="009526A6">
              <w:rPr>
                <w:b/>
                <w:sz w:val="22"/>
                <w:szCs w:val="22"/>
              </w:rPr>
              <w:t xml:space="preserve">, </w:t>
            </w:r>
            <w:r w:rsidR="00ED186D" w:rsidRPr="009526A6">
              <w:rPr>
                <w:b/>
                <w:sz w:val="22"/>
                <w:szCs w:val="22"/>
              </w:rPr>
              <w:t>Section</w:t>
            </w:r>
            <w:r w:rsidRPr="009526A6">
              <w:rPr>
                <w:b/>
                <w:sz w:val="22"/>
                <w:szCs w:val="22"/>
              </w:rPr>
              <w:t xml:space="preserve"> 7.  (See 5705.01(A) &amp; (B).)  </w:t>
            </w:r>
          </w:p>
        </w:tc>
      </w:tr>
    </w:tbl>
    <w:p w14:paraId="623A960F" w14:textId="77777777" w:rsidR="0049323D" w:rsidRPr="008C2A4E" w:rsidRDefault="0049323D" w:rsidP="0049323D">
      <w:pPr>
        <w:rPr>
          <w:rFonts w:cs="Arial"/>
          <w:sz w:val="24"/>
          <w:szCs w:val="24"/>
        </w:rPr>
      </w:pPr>
    </w:p>
    <w:p w14:paraId="7CF88AA6" w14:textId="77777777" w:rsidR="00FA5F05" w:rsidRPr="008C2A4E" w:rsidRDefault="00FA5F05">
      <w:pPr>
        <w:rPr>
          <w:b/>
          <w:sz w:val="24"/>
          <w:szCs w:val="24"/>
          <w:lang w:eastAsia="ja-JP"/>
        </w:rPr>
      </w:pPr>
      <w:r w:rsidRPr="008C2A4E">
        <w:rPr>
          <w:sz w:val="24"/>
          <w:szCs w:val="24"/>
        </w:rPr>
        <w:br w:type="page"/>
      </w:r>
    </w:p>
    <w:p w14:paraId="65EBF804" w14:textId="07B3F562" w:rsidR="00113B44" w:rsidRDefault="00113B44" w:rsidP="00776C23">
      <w:pPr>
        <w:pStyle w:val="Title"/>
        <w:shd w:val="clear" w:color="auto" w:fill="D9D9D9" w:themeFill="background1" w:themeFillShade="D9"/>
        <w:ind w:left="0"/>
      </w:pPr>
      <w:bookmarkStart w:id="40" w:name="_Toc214431135"/>
      <w:r w:rsidRPr="000F0A27">
        <w:t>APPENDIX A</w:t>
      </w:r>
      <w:r>
        <w:t>-1 Transfers and Advances</w:t>
      </w:r>
      <w:r w:rsidR="00457C10">
        <w:t xml:space="preserve"> </w:t>
      </w:r>
      <w:r w:rsidR="00457C10" w:rsidRPr="002358FE">
        <w:rPr>
          <w:i/>
          <w:iCs/>
        </w:rPr>
        <w:t xml:space="preserve">(Applies to </w:t>
      </w:r>
      <w:r w:rsidR="002358FE" w:rsidRPr="002358FE">
        <w:rPr>
          <w:i/>
          <w:iCs/>
        </w:rPr>
        <w:t>Sectio</w:t>
      </w:r>
      <w:r w:rsidR="002358FE">
        <w:rPr>
          <w:i/>
          <w:iCs/>
        </w:rPr>
        <w:t>ns</w:t>
      </w:r>
      <w:r w:rsidR="002358FE" w:rsidRPr="002358FE">
        <w:rPr>
          <w:i/>
          <w:iCs/>
        </w:rPr>
        <w:t xml:space="preserve"> 1-6 &amp; 1-7</w:t>
      </w:r>
      <w:r w:rsidR="00CA2CB6">
        <w:rPr>
          <w:i/>
          <w:iCs/>
        </w:rPr>
        <w:t xml:space="preserve"> &amp; 1-13</w:t>
      </w:r>
      <w:r w:rsidR="00457C10" w:rsidRPr="002358FE">
        <w:rPr>
          <w:i/>
          <w:iCs/>
        </w:rPr>
        <w:t>)</w:t>
      </w:r>
      <w:bookmarkEnd w:id="40"/>
    </w:p>
    <w:p w14:paraId="3FC65D39" w14:textId="77777777" w:rsidR="00B845EC" w:rsidRPr="003831E0" w:rsidRDefault="00B845EC" w:rsidP="00113B44">
      <w:pPr>
        <w:jc w:val="both"/>
        <w:rPr>
          <w:sz w:val="22"/>
          <w:szCs w:val="22"/>
        </w:rPr>
      </w:pPr>
    </w:p>
    <w:p w14:paraId="347B761F" w14:textId="77777777" w:rsidR="00113B44" w:rsidRPr="009526A6" w:rsidRDefault="00113B44" w:rsidP="00113B44">
      <w:pPr>
        <w:jc w:val="both"/>
        <w:rPr>
          <w:b/>
          <w:sz w:val="22"/>
          <w:szCs w:val="22"/>
          <w:u w:val="single"/>
        </w:rPr>
      </w:pPr>
      <w:r w:rsidRPr="009526A6">
        <w:rPr>
          <w:b/>
          <w:sz w:val="22"/>
          <w:szCs w:val="22"/>
          <w:u w:val="single"/>
        </w:rPr>
        <w:t>Transfers Defined</w:t>
      </w:r>
    </w:p>
    <w:p w14:paraId="7F6F65A4" w14:textId="77777777" w:rsidR="00113B44" w:rsidRPr="009526A6" w:rsidRDefault="00113B44" w:rsidP="00113B44">
      <w:pPr>
        <w:jc w:val="both"/>
        <w:rPr>
          <w:b/>
          <w:sz w:val="22"/>
          <w:szCs w:val="22"/>
          <w:u w:val="single"/>
        </w:rPr>
      </w:pPr>
    </w:p>
    <w:p w14:paraId="6F9B315F" w14:textId="77777777" w:rsidR="00113B44" w:rsidRPr="009526A6" w:rsidRDefault="00113B44" w:rsidP="00113B44">
      <w:pPr>
        <w:jc w:val="both"/>
        <w:rPr>
          <w:sz w:val="22"/>
          <w:szCs w:val="22"/>
        </w:rPr>
      </w:pPr>
      <w:r w:rsidRPr="009526A6">
        <w:rPr>
          <w:sz w:val="22"/>
          <w:szCs w:val="22"/>
        </w:rPr>
        <w:t xml:space="preserve">Questions sometimes arise about what constitutes a </w:t>
      </w:r>
      <w:r w:rsidRPr="009526A6">
        <w:rPr>
          <w:i/>
          <w:sz w:val="22"/>
          <w:szCs w:val="22"/>
        </w:rPr>
        <w:t>transfer</w:t>
      </w:r>
      <w:r w:rsidRPr="009526A6">
        <w:rPr>
          <w:sz w:val="22"/>
          <w:szCs w:val="22"/>
        </w:rPr>
        <w:t xml:space="preserve"> </w:t>
      </w:r>
      <w:r w:rsidR="008E6EA8" w:rsidRPr="009526A6">
        <w:rPr>
          <w:sz w:val="22"/>
          <w:szCs w:val="22"/>
        </w:rPr>
        <w:t>per</w:t>
      </w:r>
      <w:r w:rsidRPr="009526A6">
        <w:rPr>
          <w:sz w:val="22"/>
          <w:szCs w:val="22"/>
        </w:rPr>
        <w:t xml:space="preserve"> Ohio Rev. Code </w:t>
      </w:r>
      <w:r w:rsidR="009B4BF1" w:rsidRPr="009526A6">
        <w:rPr>
          <w:sz w:val="22"/>
          <w:szCs w:val="22"/>
        </w:rPr>
        <w:t>§§ 5</w:t>
      </w:r>
      <w:r w:rsidRPr="009526A6">
        <w:rPr>
          <w:sz w:val="22"/>
          <w:szCs w:val="22"/>
        </w:rPr>
        <w:t xml:space="preserve">705.14, 5705.15, and 5705.16.  Therefore, </w:t>
      </w:r>
      <w:proofErr w:type="gramStart"/>
      <w:r w:rsidRPr="009526A6">
        <w:rPr>
          <w:sz w:val="22"/>
          <w:szCs w:val="22"/>
        </w:rPr>
        <w:t>the AOS</w:t>
      </w:r>
      <w:proofErr w:type="gramEnd"/>
      <w:r w:rsidRPr="009526A6">
        <w:rPr>
          <w:sz w:val="22"/>
          <w:szCs w:val="22"/>
        </w:rPr>
        <w:t xml:space="preserve"> has developed this appendix to assist auditors in determining the proper accounting and legal noncompliance reporting treatment for transfers.  </w:t>
      </w:r>
    </w:p>
    <w:p w14:paraId="2FC1FFD3" w14:textId="77777777" w:rsidR="00113B44" w:rsidRPr="009526A6" w:rsidRDefault="00113B44" w:rsidP="00113B44">
      <w:pPr>
        <w:jc w:val="both"/>
        <w:rPr>
          <w:sz w:val="22"/>
          <w:szCs w:val="22"/>
        </w:rPr>
      </w:pPr>
    </w:p>
    <w:p w14:paraId="4080144C" w14:textId="77777777" w:rsidR="00113B44" w:rsidRPr="009526A6" w:rsidRDefault="002959F7"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i/>
          <w:sz w:val="22"/>
          <w:szCs w:val="22"/>
        </w:rPr>
      </w:pPr>
      <w:r w:rsidRPr="009526A6">
        <w:rPr>
          <w:b/>
          <w:i/>
          <w:sz w:val="22"/>
          <w:szCs w:val="22"/>
        </w:rPr>
        <w:t>This guidance is non</w:t>
      </w:r>
      <w:r w:rsidR="0069552D" w:rsidRPr="009526A6">
        <w:rPr>
          <w:b/>
          <w:i/>
          <w:sz w:val="22"/>
          <w:szCs w:val="22"/>
        </w:rPr>
        <w:t>-</w:t>
      </w:r>
      <w:r w:rsidR="00113B44" w:rsidRPr="009526A6">
        <w:rPr>
          <w:b/>
          <w:i/>
          <w:sz w:val="22"/>
          <w:szCs w:val="22"/>
        </w:rPr>
        <w:t xml:space="preserve">authoritative.  It is the AOS’s interpretation of Ohio Rev. Code </w:t>
      </w:r>
      <w:r w:rsidR="009B4BF1" w:rsidRPr="009526A6">
        <w:rPr>
          <w:b/>
          <w:i/>
          <w:sz w:val="22"/>
          <w:szCs w:val="22"/>
        </w:rPr>
        <w:t>§§ 5</w:t>
      </w:r>
      <w:r w:rsidR="00113B44" w:rsidRPr="009526A6">
        <w:rPr>
          <w:b/>
          <w:i/>
          <w:sz w:val="22"/>
          <w:szCs w:val="22"/>
        </w:rPr>
        <w:t>705.14, 5705.15, and 5705.16 requirements.  Where conflicts arise, AOS will defer to well-reasoned opinions of legal counsel.</w:t>
      </w:r>
    </w:p>
    <w:p w14:paraId="0C978EDD" w14:textId="77777777" w:rsidR="00113B44" w:rsidRPr="009526A6" w:rsidRDefault="00113B44" w:rsidP="00113B44">
      <w:pPr>
        <w:jc w:val="both"/>
        <w:rPr>
          <w:sz w:val="22"/>
          <w:szCs w:val="22"/>
        </w:rPr>
      </w:pPr>
    </w:p>
    <w:p w14:paraId="2D50734D" w14:textId="77777777" w:rsidR="00113B44" w:rsidRPr="009526A6" w:rsidRDefault="00113B44" w:rsidP="00113B44">
      <w:pPr>
        <w:jc w:val="both"/>
        <w:rPr>
          <w:sz w:val="22"/>
          <w:szCs w:val="22"/>
        </w:rPr>
      </w:pPr>
      <w:r w:rsidRPr="009526A6">
        <w:rPr>
          <w:sz w:val="22"/>
          <w:szCs w:val="22"/>
        </w:rPr>
        <w:t xml:space="preserve">Fund accounting segregates legally restricted resources.  Therefore, transferring cash restricted for one purpose to a fund with a different restricted purpose potentially permits spending the transfer in violation of its restricted purpose.  Ohio Rev. Code </w:t>
      </w:r>
      <w:r w:rsidR="009B4BF1" w:rsidRPr="009526A6">
        <w:rPr>
          <w:sz w:val="22"/>
          <w:szCs w:val="22"/>
        </w:rPr>
        <w:t>§§ 5</w:t>
      </w:r>
      <w:r w:rsidRPr="009526A6">
        <w:rPr>
          <w:sz w:val="22"/>
          <w:szCs w:val="22"/>
        </w:rPr>
        <w:t xml:space="preserve">705.14 - .16 attempt to prevent these violations.  </w:t>
      </w:r>
    </w:p>
    <w:p w14:paraId="02642199" w14:textId="77777777" w:rsidR="00113B44" w:rsidRPr="009526A6" w:rsidRDefault="00113B44" w:rsidP="00113B44">
      <w:pPr>
        <w:jc w:val="both"/>
        <w:rPr>
          <w:sz w:val="22"/>
          <w:szCs w:val="22"/>
        </w:rPr>
      </w:pPr>
      <w:r w:rsidRPr="009526A6">
        <w:rPr>
          <w:sz w:val="22"/>
          <w:szCs w:val="22"/>
        </w:rPr>
        <w:br/>
        <w:t xml:space="preserve">Not all interfund transactions are </w:t>
      </w:r>
      <w:r w:rsidRPr="009526A6">
        <w:rPr>
          <w:i/>
          <w:sz w:val="22"/>
          <w:szCs w:val="22"/>
        </w:rPr>
        <w:t>transfers</w:t>
      </w:r>
      <w:r w:rsidRPr="009526A6">
        <w:rPr>
          <w:sz w:val="22"/>
          <w:szCs w:val="22"/>
        </w:rPr>
        <w:t xml:space="preserve">, therefore, not all interfund transactions are subject to Ohio Rev. Code </w:t>
      </w:r>
      <w:r w:rsidR="006C3139" w:rsidRPr="009526A6">
        <w:rPr>
          <w:sz w:val="22"/>
          <w:szCs w:val="22"/>
        </w:rPr>
        <w:t>§</w:t>
      </w:r>
      <w:r w:rsidR="009B4BF1" w:rsidRPr="009526A6">
        <w:rPr>
          <w:sz w:val="22"/>
          <w:szCs w:val="22"/>
        </w:rPr>
        <w:t>§</w:t>
      </w:r>
      <w:r w:rsidRPr="009526A6">
        <w:rPr>
          <w:sz w:val="22"/>
          <w:szCs w:val="22"/>
        </w:rPr>
        <w:t xml:space="preserve"> 5705.14 - .16.  </w:t>
      </w:r>
      <w:r w:rsidRPr="009526A6">
        <w:rPr>
          <w:i/>
          <w:sz w:val="22"/>
          <w:szCs w:val="22"/>
        </w:rPr>
        <w:t>Cash transfers</w:t>
      </w:r>
      <w:r w:rsidRPr="009526A6">
        <w:rPr>
          <w:sz w:val="22"/>
          <w:szCs w:val="22"/>
        </w:rPr>
        <w:t xml:space="preserve"> are not defined in the Ohio Rev. Code.  Therefore, auditors must rely on common-use definitions.</w:t>
      </w:r>
    </w:p>
    <w:p w14:paraId="5669AF24" w14:textId="77777777" w:rsidR="00113B44" w:rsidRPr="009526A6" w:rsidRDefault="00113B44" w:rsidP="00113B44">
      <w:pPr>
        <w:jc w:val="both"/>
        <w:rPr>
          <w:sz w:val="22"/>
          <w:szCs w:val="22"/>
        </w:rPr>
      </w:pPr>
    </w:p>
    <w:p w14:paraId="2F70D9A3" w14:textId="77777777" w:rsidR="00113B44" w:rsidRPr="009526A6" w:rsidRDefault="00113B44" w:rsidP="00113B44">
      <w:pPr>
        <w:jc w:val="both"/>
        <w:rPr>
          <w:sz w:val="22"/>
          <w:szCs w:val="22"/>
        </w:rPr>
      </w:pPr>
      <w:r w:rsidRPr="009526A6">
        <w:rPr>
          <w:sz w:val="22"/>
          <w:szCs w:val="22"/>
        </w:rPr>
        <w:t xml:space="preserve">GASB Cod. 1800.102 defines transfers as “flows of assets (such as </w:t>
      </w:r>
      <w:r w:rsidRPr="009526A6">
        <w:rPr>
          <w:b/>
          <w:bCs/>
          <w:i/>
          <w:iCs/>
          <w:sz w:val="22"/>
          <w:szCs w:val="22"/>
        </w:rPr>
        <w:t>cash</w:t>
      </w:r>
      <w:r w:rsidRPr="009526A6">
        <w:rPr>
          <w:sz w:val="22"/>
          <w:szCs w:val="22"/>
        </w:rPr>
        <w:t xml:space="preserve"> or goods) without equivalent flows of assets in return and without a requirement for repayment.”  In other words, a transfer is a nonreciprocal (i.e. </w:t>
      </w:r>
      <w:r w:rsidRPr="009526A6">
        <w:rPr>
          <w:b/>
          <w:bCs/>
          <w:i/>
          <w:iCs/>
          <w:sz w:val="22"/>
          <w:szCs w:val="22"/>
        </w:rPr>
        <w:t>nonexchange transaction</w:t>
      </w:r>
      <w:r w:rsidRPr="009526A6">
        <w:rPr>
          <w:i/>
          <w:iCs/>
          <w:sz w:val="22"/>
          <w:szCs w:val="22"/>
        </w:rPr>
        <w:t>)</w:t>
      </w:r>
      <w:r w:rsidRPr="009526A6">
        <w:rPr>
          <w:sz w:val="22"/>
          <w:szCs w:val="22"/>
        </w:rPr>
        <w:t xml:space="preserve"> from one fund to another.  It might be useful to think of transfers as “gifts” from one fund to another.</w:t>
      </w:r>
    </w:p>
    <w:p w14:paraId="175A1FBA" w14:textId="77777777" w:rsidR="00113B44" w:rsidRPr="009526A6" w:rsidRDefault="00113B44" w:rsidP="00113B44">
      <w:pPr>
        <w:jc w:val="both"/>
        <w:rPr>
          <w:sz w:val="22"/>
          <w:szCs w:val="22"/>
        </w:rPr>
      </w:pPr>
    </w:p>
    <w:p w14:paraId="777FF06B" w14:textId="77777777" w:rsidR="00113B44" w:rsidRPr="009526A6" w:rsidRDefault="00813D08" w:rsidP="00113B44">
      <w:pPr>
        <w:jc w:val="both"/>
        <w:rPr>
          <w:b/>
          <w:sz w:val="22"/>
          <w:szCs w:val="22"/>
        </w:rPr>
      </w:pPr>
      <w:r w:rsidRPr="009526A6">
        <w:rPr>
          <w:b/>
          <w:sz w:val="22"/>
          <w:szCs w:val="22"/>
        </w:rPr>
        <w:t>Some Transactions That Might</w:t>
      </w:r>
      <w:r w:rsidR="00113B44" w:rsidRPr="009526A6">
        <w:rPr>
          <w:b/>
          <w:sz w:val="22"/>
          <w:szCs w:val="22"/>
        </w:rPr>
        <w:t xml:space="preserve"> Not Be Transfers</w:t>
      </w:r>
    </w:p>
    <w:p w14:paraId="02372E83" w14:textId="77777777" w:rsidR="00113B44" w:rsidRPr="009526A6" w:rsidRDefault="00113B44" w:rsidP="00113B44">
      <w:pPr>
        <w:jc w:val="both"/>
        <w:rPr>
          <w:b/>
          <w:sz w:val="22"/>
          <w:szCs w:val="22"/>
          <w:u w:val="single"/>
        </w:rPr>
      </w:pPr>
    </w:p>
    <w:p w14:paraId="1A0011F6" w14:textId="77777777" w:rsidR="00113B44" w:rsidRPr="009526A6" w:rsidRDefault="00113B44" w:rsidP="00113B44">
      <w:pPr>
        <w:jc w:val="both"/>
        <w:rPr>
          <w:i/>
          <w:sz w:val="22"/>
          <w:szCs w:val="22"/>
        </w:rPr>
      </w:pPr>
      <w:r w:rsidRPr="009526A6">
        <w:rPr>
          <w:i/>
          <w:sz w:val="22"/>
          <w:szCs w:val="22"/>
        </w:rPr>
        <w:t>Intrafund Appropriation Transfers</w:t>
      </w:r>
    </w:p>
    <w:p w14:paraId="0FBDD0F5" w14:textId="77777777" w:rsidR="00113B44" w:rsidRPr="009526A6" w:rsidRDefault="00113B44" w:rsidP="00113B44">
      <w:pPr>
        <w:jc w:val="both"/>
        <w:rPr>
          <w:sz w:val="22"/>
          <w:szCs w:val="22"/>
        </w:rPr>
      </w:pPr>
      <w:r w:rsidRPr="009526A6">
        <w:rPr>
          <w:sz w:val="22"/>
          <w:szCs w:val="22"/>
        </w:rPr>
        <w:t xml:space="preserve">Certain transactions do not qualify as transfers as contemplated by Ohio Rev. Code </w:t>
      </w:r>
      <w:r w:rsidR="009B4BF1" w:rsidRPr="009526A6">
        <w:rPr>
          <w:sz w:val="22"/>
          <w:szCs w:val="22"/>
        </w:rPr>
        <w:t>§§ 5</w:t>
      </w:r>
      <w:r w:rsidRPr="009526A6">
        <w:rPr>
          <w:sz w:val="22"/>
          <w:szCs w:val="22"/>
        </w:rPr>
        <w:t xml:space="preserve">705.14 - .16 and GASB Cod. 1800.  For example, </w:t>
      </w:r>
      <w:r w:rsidRPr="009526A6">
        <w:rPr>
          <w:i/>
          <w:sz w:val="22"/>
          <w:szCs w:val="22"/>
        </w:rPr>
        <w:t>i</w:t>
      </w:r>
      <w:r w:rsidRPr="009526A6">
        <w:rPr>
          <w:i/>
          <w:iCs/>
          <w:sz w:val="22"/>
          <w:szCs w:val="22"/>
        </w:rPr>
        <w:t>ntrafund</w:t>
      </w:r>
      <w:r w:rsidRPr="009526A6">
        <w:rPr>
          <w:sz w:val="22"/>
          <w:szCs w:val="22"/>
        </w:rPr>
        <w:t xml:space="preserve"> appropriation “transfers” are not transfers because there is no cash transaction.  Intrafund appropriation “transfers” amend spending authority for one appropriation account and increase another account by the same amount, </w:t>
      </w:r>
      <w:r w:rsidRPr="009526A6">
        <w:rPr>
          <w:b/>
          <w:i/>
          <w:sz w:val="22"/>
          <w:szCs w:val="22"/>
        </w:rPr>
        <w:t>within the same fund</w:t>
      </w:r>
      <w:r w:rsidRPr="009526A6">
        <w:rPr>
          <w:sz w:val="22"/>
          <w:szCs w:val="22"/>
        </w:rPr>
        <w:t xml:space="preserve">.  </w:t>
      </w:r>
    </w:p>
    <w:p w14:paraId="0005EF2B" w14:textId="77777777" w:rsidR="00113B44" w:rsidRPr="009526A6" w:rsidRDefault="00113B44" w:rsidP="00113B44">
      <w:pPr>
        <w:jc w:val="both"/>
        <w:rPr>
          <w:sz w:val="22"/>
          <w:szCs w:val="22"/>
        </w:rPr>
      </w:pPr>
    </w:p>
    <w:p w14:paraId="7EB505E1" w14:textId="77777777" w:rsidR="00113B44" w:rsidRPr="009526A6" w:rsidRDefault="00113B44" w:rsidP="00113B44">
      <w:pPr>
        <w:jc w:val="both"/>
        <w:rPr>
          <w:i/>
          <w:sz w:val="22"/>
          <w:szCs w:val="22"/>
        </w:rPr>
      </w:pPr>
      <w:r w:rsidRPr="009526A6">
        <w:rPr>
          <w:i/>
          <w:sz w:val="22"/>
          <w:szCs w:val="22"/>
        </w:rPr>
        <w:t>Interfund services provided and used</w:t>
      </w:r>
    </w:p>
    <w:p w14:paraId="01AF90F7" w14:textId="77777777" w:rsidR="00113B44" w:rsidRPr="009526A6" w:rsidRDefault="00113B44" w:rsidP="00113B44">
      <w:pPr>
        <w:tabs>
          <w:tab w:val="num" w:pos="720"/>
        </w:tabs>
        <w:jc w:val="both"/>
        <w:rPr>
          <w:sz w:val="22"/>
          <w:szCs w:val="22"/>
        </w:rPr>
      </w:pPr>
      <w:r w:rsidRPr="009526A6">
        <w:rPr>
          <w:sz w:val="22"/>
          <w:szCs w:val="22"/>
        </w:rPr>
        <w:t>“Interfund services provide</w:t>
      </w:r>
      <w:r w:rsidR="00BC4151" w:rsidRPr="009526A6">
        <w:rPr>
          <w:sz w:val="22"/>
          <w:szCs w:val="22"/>
        </w:rPr>
        <w:t xml:space="preserve">d and used,” as defined in GASB Cod. </w:t>
      </w:r>
      <w:r w:rsidRPr="009526A6">
        <w:rPr>
          <w:sz w:val="22"/>
          <w:szCs w:val="22"/>
        </w:rPr>
        <w:t xml:space="preserve">1800.102, also do not qualify as transfers.  </w:t>
      </w:r>
      <w:r w:rsidR="00A319C5" w:rsidRPr="009526A6">
        <w:rPr>
          <w:sz w:val="22"/>
          <w:szCs w:val="22"/>
        </w:rPr>
        <w:t xml:space="preserve">GASB classifies </w:t>
      </w:r>
      <w:r w:rsidRPr="009526A6">
        <w:rPr>
          <w:sz w:val="22"/>
          <w:szCs w:val="22"/>
        </w:rPr>
        <w:t xml:space="preserve">Interfund services provided and used </w:t>
      </w:r>
      <w:r w:rsidR="00A319C5" w:rsidRPr="009526A6">
        <w:rPr>
          <w:sz w:val="22"/>
          <w:szCs w:val="22"/>
        </w:rPr>
        <w:t xml:space="preserve">as </w:t>
      </w:r>
      <w:r w:rsidRPr="009526A6">
        <w:rPr>
          <w:b/>
          <w:bCs/>
          <w:i/>
          <w:sz w:val="22"/>
          <w:szCs w:val="22"/>
        </w:rPr>
        <w:t>exchange transactions</w:t>
      </w:r>
      <w:r w:rsidRPr="009526A6">
        <w:rPr>
          <w:b/>
          <w:bCs/>
          <w:sz w:val="22"/>
          <w:szCs w:val="22"/>
        </w:rPr>
        <w:t>,</w:t>
      </w:r>
      <w:r w:rsidRPr="009526A6">
        <w:rPr>
          <w:sz w:val="22"/>
          <w:szCs w:val="22"/>
        </w:rPr>
        <w:t xml:space="preserve"> related to services “purchased and sold” between funds.  Most payments to internal service funds, as described in GASB Cod. C50.</w:t>
      </w:r>
      <w:proofErr w:type="gramStart"/>
      <w:r w:rsidRPr="009526A6">
        <w:rPr>
          <w:sz w:val="22"/>
          <w:szCs w:val="22"/>
        </w:rPr>
        <w:t>130,</w:t>
      </w:r>
      <w:proofErr w:type="gramEnd"/>
      <w:r w:rsidRPr="009526A6">
        <w:rPr>
          <w:sz w:val="22"/>
          <w:szCs w:val="22"/>
        </w:rPr>
        <w:t xml:space="preserve"> are examples of interfund services provided and used.  </w:t>
      </w:r>
    </w:p>
    <w:p w14:paraId="4758F752" w14:textId="77777777" w:rsidR="00113B44" w:rsidRPr="009526A6" w:rsidRDefault="00113B44" w:rsidP="00113B44">
      <w:pPr>
        <w:tabs>
          <w:tab w:val="num" w:pos="720"/>
        </w:tabs>
        <w:jc w:val="both"/>
        <w:rPr>
          <w:sz w:val="22"/>
          <w:szCs w:val="22"/>
        </w:rPr>
      </w:pPr>
    </w:p>
    <w:p w14:paraId="3B14E959" w14:textId="63EF04EF" w:rsidR="00113B44" w:rsidRPr="009526A6" w:rsidRDefault="00113B44" w:rsidP="00113B44">
      <w:pPr>
        <w:tabs>
          <w:tab w:val="num" w:pos="720"/>
        </w:tabs>
        <w:jc w:val="both"/>
        <w:rPr>
          <w:sz w:val="22"/>
          <w:szCs w:val="22"/>
        </w:rPr>
      </w:pPr>
      <w:r w:rsidRPr="009526A6">
        <w:rPr>
          <w:sz w:val="22"/>
          <w:szCs w:val="22"/>
        </w:rPr>
        <w:t xml:space="preserve">Subdivisions should report these transactions as disbursements in the paying fund (i.e., charge the function, etc. benefiting from the exchange) and </w:t>
      </w:r>
      <w:proofErr w:type="gramStart"/>
      <w:r w:rsidRPr="009526A6">
        <w:rPr>
          <w:sz w:val="22"/>
          <w:szCs w:val="22"/>
        </w:rPr>
        <w:t>receipts</w:t>
      </w:r>
      <w:proofErr w:type="gramEnd"/>
      <w:r w:rsidRPr="009526A6">
        <w:rPr>
          <w:sz w:val="22"/>
          <w:szCs w:val="22"/>
        </w:rPr>
        <w:t xml:space="preserve"> in the fund providing the service or asset, etc.  Subdivisions should not classify these as </w:t>
      </w:r>
      <w:r w:rsidRPr="009526A6">
        <w:rPr>
          <w:i/>
          <w:sz w:val="22"/>
          <w:szCs w:val="22"/>
        </w:rPr>
        <w:t>transfers</w:t>
      </w:r>
      <w:r w:rsidRPr="009526A6">
        <w:rPr>
          <w:sz w:val="22"/>
          <w:szCs w:val="22"/>
        </w:rPr>
        <w:t xml:space="preserve">; rather, they are often </w:t>
      </w:r>
      <w:proofErr w:type="gramStart"/>
      <w:r w:rsidRPr="009526A6">
        <w:rPr>
          <w:i/>
          <w:iCs/>
          <w:sz w:val="22"/>
          <w:szCs w:val="22"/>
        </w:rPr>
        <w:t>charges</w:t>
      </w:r>
      <w:proofErr w:type="gramEnd"/>
      <w:r w:rsidRPr="009526A6">
        <w:rPr>
          <w:i/>
          <w:iCs/>
          <w:sz w:val="22"/>
          <w:szCs w:val="22"/>
        </w:rPr>
        <w:t xml:space="preserve"> for services</w:t>
      </w:r>
      <w:r w:rsidRPr="009526A6">
        <w:rPr>
          <w:iCs/>
          <w:sz w:val="22"/>
          <w:szCs w:val="22"/>
        </w:rPr>
        <w:t>.</w:t>
      </w:r>
      <w:r w:rsidRPr="009526A6">
        <w:rPr>
          <w:sz w:val="22"/>
          <w:szCs w:val="22"/>
        </w:rPr>
        <w:t xml:space="preserve">  These transactions are also not </w:t>
      </w:r>
      <w:r w:rsidRPr="009526A6">
        <w:rPr>
          <w:i/>
          <w:sz w:val="22"/>
          <w:szCs w:val="22"/>
        </w:rPr>
        <w:t>transfers</w:t>
      </w:r>
      <w:r w:rsidRPr="009526A6">
        <w:rPr>
          <w:sz w:val="22"/>
          <w:szCs w:val="22"/>
        </w:rPr>
        <w:t xml:space="preserve"> under Ohio Rev. Code </w:t>
      </w:r>
      <w:r w:rsidR="009B4BF1" w:rsidRPr="009526A6">
        <w:rPr>
          <w:sz w:val="22"/>
          <w:szCs w:val="22"/>
        </w:rPr>
        <w:t>§§ 5</w:t>
      </w:r>
      <w:r w:rsidRPr="009526A6">
        <w:rPr>
          <w:sz w:val="22"/>
          <w:szCs w:val="22"/>
        </w:rPr>
        <w:t xml:space="preserve">705.14 - .16 because, </w:t>
      </w:r>
      <w:r w:rsidRPr="009526A6">
        <w:rPr>
          <w:b/>
          <w:i/>
          <w:sz w:val="22"/>
          <w:szCs w:val="22"/>
        </w:rPr>
        <w:t>p</w:t>
      </w:r>
      <w:r w:rsidRPr="009526A6">
        <w:rPr>
          <w:b/>
          <w:i/>
          <w:iCs/>
          <w:sz w:val="22"/>
          <w:szCs w:val="22"/>
        </w:rPr>
        <w:t>resumably</w:t>
      </w:r>
      <w:r w:rsidRPr="009526A6">
        <w:rPr>
          <w:i/>
          <w:iCs/>
          <w:sz w:val="22"/>
          <w:szCs w:val="22"/>
        </w:rPr>
        <w:t>,</w:t>
      </w:r>
      <w:r w:rsidRPr="009526A6">
        <w:rPr>
          <w:sz w:val="22"/>
          <w:szCs w:val="22"/>
        </w:rPr>
        <w:t xml:space="preserve"> a fund is paying for a service that does not violate its restricted purpose.  However, if a payment does violate a restriction, then auditors should cite noncompliance </w:t>
      </w:r>
      <w:r w:rsidRPr="009526A6">
        <w:rPr>
          <w:i/>
          <w:sz w:val="22"/>
          <w:szCs w:val="22"/>
        </w:rPr>
        <w:t xml:space="preserve">(subject to Findings for Adjustment as discussed in </w:t>
      </w:r>
      <w:r w:rsidR="007C767C" w:rsidRPr="009526A6">
        <w:rPr>
          <w:i/>
          <w:sz w:val="22"/>
          <w:szCs w:val="22"/>
        </w:rPr>
        <w:t>this</w:t>
      </w:r>
      <w:r w:rsidRPr="009526A6">
        <w:rPr>
          <w:i/>
          <w:sz w:val="22"/>
          <w:szCs w:val="22"/>
        </w:rPr>
        <w:t xml:space="preserve"> OCS </w:t>
      </w:r>
      <w:r w:rsidR="007B0494" w:rsidRPr="009526A6">
        <w:rPr>
          <w:i/>
          <w:sz w:val="22"/>
          <w:szCs w:val="22"/>
        </w:rPr>
        <w:t>Implementation Guide</w:t>
      </w:r>
      <w:r w:rsidRPr="009526A6">
        <w:rPr>
          <w:i/>
          <w:sz w:val="22"/>
          <w:szCs w:val="22"/>
        </w:rPr>
        <w:t>)</w:t>
      </w:r>
      <w:r w:rsidRPr="009526A6">
        <w:rPr>
          <w:sz w:val="22"/>
          <w:szCs w:val="22"/>
        </w:rPr>
        <w:t xml:space="preserve">.  </w:t>
      </w:r>
    </w:p>
    <w:p w14:paraId="13047D72" w14:textId="77777777" w:rsidR="000B5D0D" w:rsidRDefault="000B5D0D" w:rsidP="00113B44">
      <w:pPr>
        <w:tabs>
          <w:tab w:val="num" w:pos="720"/>
        </w:tabs>
        <w:jc w:val="both"/>
        <w:rPr>
          <w:sz w:val="22"/>
          <w:szCs w:val="22"/>
        </w:rPr>
        <w:sectPr w:rsidR="000B5D0D" w:rsidSect="002A3762">
          <w:headerReference w:type="default" r:id="rId38"/>
          <w:type w:val="continuous"/>
          <w:pgSz w:w="12240" w:h="15840"/>
          <w:pgMar w:top="1152" w:right="1152" w:bottom="720" w:left="1152" w:header="720" w:footer="720" w:gutter="0"/>
          <w:cols w:space="720"/>
          <w:noEndnote/>
        </w:sectPr>
      </w:pPr>
    </w:p>
    <w:p w14:paraId="7D7AD4F1" w14:textId="77777777" w:rsidR="00113B44" w:rsidRPr="009526A6" w:rsidRDefault="00113B44" w:rsidP="00113B44">
      <w:pPr>
        <w:tabs>
          <w:tab w:val="num" w:pos="720"/>
        </w:tabs>
        <w:jc w:val="both"/>
        <w:rPr>
          <w:sz w:val="22"/>
          <w:szCs w:val="22"/>
        </w:rPr>
      </w:pPr>
    </w:p>
    <w:tbl>
      <w:tblPr>
        <w:tblStyle w:val="TableGrid"/>
        <w:tblW w:w="0" w:type="auto"/>
        <w:tblInd w:w="0" w:type="dxa"/>
        <w:shd w:val="clear" w:color="auto" w:fill="C6D9F1" w:themeFill="text2" w:themeFillTint="33"/>
        <w:tblLook w:val="04A0" w:firstRow="1" w:lastRow="0" w:firstColumn="1" w:lastColumn="0" w:noHBand="0" w:noVBand="1"/>
      </w:tblPr>
      <w:tblGrid>
        <w:gridCol w:w="9936"/>
      </w:tblGrid>
      <w:tr w:rsidR="00A319C5" w:rsidRPr="009526A6" w14:paraId="79A1B1C5" w14:textId="77777777" w:rsidTr="00DB24AE">
        <w:tc>
          <w:tcPr>
            <w:tcW w:w="10152" w:type="dxa"/>
            <w:shd w:val="clear" w:color="auto" w:fill="C6D9F1" w:themeFill="text2" w:themeFillTint="33"/>
          </w:tcPr>
          <w:p w14:paraId="6C48262C" w14:textId="77777777" w:rsidR="00A319C5" w:rsidRPr="009526A6" w:rsidRDefault="00A319C5" w:rsidP="00A319C5">
            <w:pPr>
              <w:tabs>
                <w:tab w:val="num" w:pos="720"/>
              </w:tabs>
              <w:jc w:val="both"/>
              <w:rPr>
                <w:sz w:val="22"/>
                <w:szCs w:val="22"/>
              </w:rPr>
            </w:pPr>
            <w:r w:rsidRPr="009526A6">
              <w:rPr>
                <w:b/>
                <w:i/>
                <w:sz w:val="22"/>
                <w:szCs w:val="22"/>
              </w:rPr>
              <w:t>Important:</w:t>
            </w:r>
            <w:r w:rsidRPr="009526A6">
              <w:rPr>
                <w:sz w:val="22"/>
                <w:szCs w:val="22"/>
              </w:rPr>
              <w:t xml:space="preserve">  Auditors should also be alert for payments classified as </w:t>
            </w:r>
            <w:r w:rsidRPr="009526A6">
              <w:rPr>
                <w:b/>
                <w:i/>
                <w:sz w:val="22"/>
                <w:szCs w:val="22"/>
              </w:rPr>
              <w:t>interfund services provided</w:t>
            </w:r>
            <w:r w:rsidRPr="009526A6">
              <w:rPr>
                <w:sz w:val="22"/>
                <w:szCs w:val="22"/>
              </w:rPr>
              <w:t xml:space="preserve"> </w:t>
            </w:r>
            <w:r w:rsidR="005D377B" w:rsidRPr="009526A6">
              <w:rPr>
                <w:sz w:val="22"/>
                <w:szCs w:val="22"/>
              </w:rPr>
              <w:t xml:space="preserve">or </w:t>
            </w:r>
            <w:r w:rsidRPr="009526A6">
              <w:rPr>
                <w:b/>
                <w:i/>
                <w:sz w:val="22"/>
                <w:szCs w:val="22"/>
              </w:rPr>
              <w:t>used</w:t>
            </w:r>
            <w:r w:rsidRPr="009526A6">
              <w:rPr>
                <w:sz w:val="22"/>
                <w:szCs w:val="22"/>
              </w:rPr>
              <w:t xml:space="preserve"> far exceed</w:t>
            </w:r>
            <w:r w:rsidR="00474090" w:rsidRPr="009526A6">
              <w:rPr>
                <w:sz w:val="22"/>
                <w:szCs w:val="22"/>
              </w:rPr>
              <w:t>ing</w:t>
            </w:r>
            <w:r w:rsidRPr="009526A6">
              <w:rPr>
                <w:sz w:val="22"/>
                <w:szCs w:val="22"/>
              </w:rPr>
              <w:t xml:space="preserve"> </w:t>
            </w:r>
            <w:proofErr w:type="gramStart"/>
            <w:r w:rsidRPr="009526A6">
              <w:rPr>
                <w:sz w:val="22"/>
                <w:szCs w:val="22"/>
              </w:rPr>
              <w:t>a reasonable</w:t>
            </w:r>
            <w:proofErr w:type="gramEnd"/>
            <w:r w:rsidRPr="009526A6">
              <w:rPr>
                <w:sz w:val="22"/>
                <w:szCs w:val="22"/>
              </w:rPr>
              <w:t xml:space="preserve"> value of the </w:t>
            </w:r>
            <w:r w:rsidR="005D377B" w:rsidRPr="009526A6">
              <w:rPr>
                <w:sz w:val="22"/>
                <w:szCs w:val="22"/>
              </w:rPr>
              <w:t>exchange</w:t>
            </w:r>
            <w:r w:rsidRPr="009526A6">
              <w:rPr>
                <w:sz w:val="22"/>
                <w:szCs w:val="22"/>
              </w:rPr>
              <w:t xml:space="preserve">.  Excessive amounts are not payments for services; they are “gifts” (i.e. transfers).  For example, the general fund may charge utility funds for billing and other administrative services.  If these costs arise, auditors should determine that the charges are reasonable in relation to the salaries and other costs </w:t>
            </w:r>
            <w:r w:rsidR="005D377B" w:rsidRPr="009526A6">
              <w:rPr>
                <w:sz w:val="22"/>
                <w:szCs w:val="22"/>
              </w:rPr>
              <w:t>incurred</w:t>
            </w:r>
            <w:r w:rsidRPr="009526A6">
              <w:rPr>
                <w:sz w:val="22"/>
                <w:szCs w:val="22"/>
              </w:rPr>
              <w:t xml:space="preserve">.  Also, a subdivision should base an insurance internal service fund charges for services (or </w:t>
            </w:r>
            <w:r w:rsidRPr="009526A6">
              <w:rPr>
                <w:i/>
                <w:iCs/>
                <w:sz w:val="22"/>
                <w:szCs w:val="22"/>
              </w:rPr>
              <w:t>interfund premiums</w:t>
            </w:r>
            <w:r w:rsidRPr="009526A6">
              <w:rPr>
                <w:sz w:val="22"/>
                <w:szCs w:val="22"/>
              </w:rPr>
              <w:t xml:space="preserve"> or other reasonably-descriptive revenue caption)</w:t>
            </w:r>
            <w:r w:rsidRPr="009526A6">
              <w:rPr>
                <w:i/>
                <w:iCs/>
                <w:sz w:val="22"/>
                <w:szCs w:val="22"/>
              </w:rPr>
              <w:t xml:space="preserve"> </w:t>
            </w:r>
            <w:r w:rsidRPr="009526A6">
              <w:rPr>
                <w:iCs/>
                <w:sz w:val="22"/>
                <w:szCs w:val="22"/>
              </w:rPr>
              <w:t xml:space="preserve">upon </w:t>
            </w:r>
            <w:r w:rsidRPr="009526A6">
              <w:rPr>
                <w:sz w:val="22"/>
                <w:szCs w:val="22"/>
              </w:rPr>
              <w:t xml:space="preserve">an actuarial measurement or other method C50 permits.  These charges may include an additional amount for a </w:t>
            </w:r>
            <w:r w:rsidRPr="009526A6">
              <w:rPr>
                <w:b/>
                <w:bCs/>
                <w:i/>
                <w:iCs/>
                <w:sz w:val="22"/>
                <w:szCs w:val="22"/>
              </w:rPr>
              <w:t>reasonable</w:t>
            </w:r>
            <w:r w:rsidRPr="009526A6">
              <w:rPr>
                <w:sz w:val="22"/>
                <w:szCs w:val="22"/>
              </w:rPr>
              <w:t xml:space="preserve">/prudent cushion.  Subdivisions should record any charges </w:t>
            </w:r>
            <w:r w:rsidRPr="009526A6">
              <w:rPr>
                <w:i/>
                <w:iCs/>
                <w:sz w:val="22"/>
                <w:szCs w:val="22"/>
              </w:rPr>
              <w:t>unreasonably</w:t>
            </w:r>
            <w:r w:rsidRPr="009526A6">
              <w:rPr>
                <w:sz w:val="22"/>
                <w:szCs w:val="22"/>
              </w:rPr>
              <w:t xml:space="preserve"> exceeding these amounts as </w:t>
            </w:r>
            <w:r w:rsidRPr="009526A6">
              <w:rPr>
                <w:i/>
                <w:iCs/>
                <w:sz w:val="22"/>
                <w:szCs w:val="22"/>
              </w:rPr>
              <w:t>transfers</w:t>
            </w:r>
            <w:r w:rsidRPr="009526A6">
              <w:rPr>
                <w:sz w:val="22"/>
                <w:szCs w:val="22"/>
              </w:rPr>
              <w:t xml:space="preserve">, subject to Ohio Rev. Code </w:t>
            </w:r>
            <w:r w:rsidR="009B4BF1" w:rsidRPr="009526A6">
              <w:rPr>
                <w:sz w:val="22"/>
                <w:szCs w:val="22"/>
              </w:rPr>
              <w:t>§§ 5</w:t>
            </w:r>
            <w:r w:rsidRPr="009526A6">
              <w:rPr>
                <w:sz w:val="22"/>
                <w:szCs w:val="22"/>
              </w:rPr>
              <w:t xml:space="preserve">705.14 - .16.  Determining </w:t>
            </w:r>
            <w:r w:rsidRPr="009526A6">
              <w:rPr>
                <w:b/>
                <w:bCs/>
                <w:i/>
                <w:iCs/>
                <w:sz w:val="22"/>
                <w:szCs w:val="22"/>
              </w:rPr>
              <w:t>reasonable</w:t>
            </w:r>
            <w:r w:rsidRPr="009526A6">
              <w:rPr>
                <w:sz w:val="22"/>
                <w:szCs w:val="22"/>
              </w:rPr>
              <w:t xml:space="preserve"> in both examples above requires careful judgment.  We normally should question only significant, unsupportable amounts.</w:t>
            </w:r>
          </w:p>
          <w:p w14:paraId="26ED534E" w14:textId="77777777" w:rsidR="00A319C5" w:rsidRPr="009526A6" w:rsidRDefault="00A319C5" w:rsidP="00113B44">
            <w:pPr>
              <w:tabs>
                <w:tab w:val="num" w:pos="720"/>
              </w:tabs>
              <w:jc w:val="both"/>
              <w:rPr>
                <w:sz w:val="22"/>
                <w:szCs w:val="22"/>
              </w:rPr>
            </w:pPr>
          </w:p>
        </w:tc>
      </w:tr>
    </w:tbl>
    <w:p w14:paraId="4B2DDBFC" w14:textId="77777777" w:rsidR="00113B44" w:rsidRPr="009526A6" w:rsidRDefault="00113B44" w:rsidP="00113B44">
      <w:pPr>
        <w:jc w:val="both"/>
        <w:rPr>
          <w:sz w:val="22"/>
          <w:szCs w:val="22"/>
        </w:rPr>
      </w:pPr>
    </w:p>
    <w:p w14:paraId="395D317B" w14:textId="77777777" w:rsidR="00113B44" w:rsidRPr="009526A6" w:rsidRDefault="00113B44" w:rsidP="00113B44">
      <w:pPr>
        <w:jc w:val="both"/>
        <w:rPr>
          <w:i/>
          <w:sz w:val="22"/>
          <w:szCs w:val="22"/>
        </w:rPr>
      </w:pPr>
      <w:r w:rsidRPr="009526A6">
        <w:rPr>
          <w:i/>
          <w:sz w:val="22"/>
          <w:szCs w:val="22"/>
        </w:rPr>
        <w:t>Interfund Loans/Advances</w:t>
      </w:r>
    </w:p>
    <w:p w14:paraId="47401AD8" w14:textId="61D5787A" w:rsidR="00113B44" w:rsidRPr="009526A6" w:rsidRDefault="00113B44" w:rsidP="00113B44">
      <w:pPr>
        <w:tabs>
          <w:tab w:val="num" w:pos="720"/>
        </w:tabs>
        <w:jc w:val="both"/>
        <w:rPr>
          <w:sz w:val="22"/>
          <w:szCs w:val="22"/>
        </w:rPr>
      </w:pPr>
      <w:r w:rsidRPr="009526A6">
        <w:rPr>
          <w:sz w:val="22"/>
          <w:szCs w:val="22"/>
        </w:rPr>
        <w:t xml:space="preserve">GASB </w:t>
      </w:r>
      <w:r w:rsidR="00BC4151" w:rsidRPr="009526A6">
        <w:rPr>
          <w:sz w:val="22"/>
          <w:szCs w:val="22"/>
        </w:rPr>
        <w:t xml:space="preserve">Cod. </w:t>
      </w:r>
      <w:r w:rsidRPr="009526A6">
        <w:rPr>
          <w:sz w:val="22"/>
          <w:szCs w:val="22"/>
        </w:rPr>
        <w:t xml:space="preserve">1800.102 classifies “interfund loans” as exchange transactions, because they require repayment in an equal amount.  However, auditors should note that a </w:t>
      </w:r>
      <w:r w:rsidRPr="009526A6">
        <w:rPr>
          <w:i/>
          <w:sz w:val="22"/>
          <w:szCs w:val="22"/>
        </w:rPr>
        <w:t>reasonable</w:t>
      </w:r>
      <w:r w:rsidRPr="009526A6">
        <w:rPr>
          <w:sz w:val="22"/>
          <w:szCs w:val="22"/>
        </w:rPr>
        <w:t xml:space="preserve"> interest charge is permissible.  Under GAAP, interfund loans are always fund liabilities, regardless of maturity.  Also, AOS regulatory-basis entities should </w:t>
      </w:r>
      <w:r w:rsidRPr="009526A6">
        <w:rPr>
          <w:i/>
          <w:sz w:val="22"/>
          <w:szCs w:val="22"/>
          <w:u w:val="single"/>
        </w:rPr>
        <w:t>disclose</w:t>
      </w:r>
      <w:r w:rsidRPr="009526A6">
        <w:rPr>
          <w:sz w:val="22"/>
          <w:szCs w:val="22"/>
        </w:rPr>
        <w:t xml:space="preserve"> interfund payables/receivables, if significant.  The Ohio Rev. Code does not provide for interfund loans; </w:t>
      </w:r>
      <w:r w:rsidR="007F6A45" w:rsidRPr="009526A6">
        <w:rPr>
          <w:sz w:val="22"/>
          <w:szCs w:val="22"/>
        </w:rPr>
        <w:t>however</w:t>
      </w:r>
      <w:r w:rsidR="00021309" w:rsidRPr="009526A6">
        <w:rPr>
          <w:sz w:val="22"/>
          <w:szCs w:val="22"/>
        </w:rPr>
        <w:t xml:space="preserve">, </w:t>
      </w:r>
      <w:hyperlink r:id="rId39" w:history="1">
        <w:r w:rsidRPr="009526A6">
          <w:rPr>
            <w:rStyle w:val="Hyperlink"/>
            <w:sz w:val="22"/>
            <w:szCs w:val="22"/>
          </w:rPr>
          <w:t xml:space="preserve">AOS Bulletin </w:t>
        </w:r>
        <w:r w:rsidR="00BC4151" w:rsidRPr="009526A6">
          <w:rPr>
            <w:rStyle w:val="Hyperlink"/>
            <w:sz w:val="22"/>
            <w:szCs w:val="22"/>
          </w:rPr>
          <w:t>19</w:t>
        </w:r>
        <w:r w:rsidRPr="009526A6">
          <w:rPr>
            <w:rStyle w:val="Hyperlink"/>
            <w:sz w:val="22"/>
            <w:szCs w:val="22"/>
          </w:rPr>
          <w:t>97-0</w:t>
        </w:r>
        <w:r w:rsidR="00CA7840" w:rsidRPr="009526A6">
          <w:rPr>
            <w:rStyle w:val="Hyperlink"/>
            <w:sz w:val="22"/>
            <w:szCs w:val="22"/>
          </w:rPr>
          <w:t>0</w:t>
        </w:r>
        <w:r w:rsidRPr="009526A6">
          <w:rPr>
            <w:rStyle w:val="Hyperlink"/>
            <w:sz w:val="22"/>
            <w:szCs w:val="22"/>
          </w:rPr>
          <w:t>3</w:t>
        </w:r>
      </w:hyperlink>
      <w:r w:rsidRPr="009526A6">
        <w:rPr>
          <w:sz w:val="22"/>
          <w:szCs w:val="22"/>
        </w:rPr>
        <w:t xml:space="preserve"> (</w:t>
      </w:r>
      <w:r w:rsidR="00BE7DAD" w:rsidRPr="009526A6">
        <w:rPr>
          <w:sz w:val="22"/>
          <w:szCs w:val="22"/>
        </w:rPr>
        <w:t>Chapter 1 Section</w:t>
      </w:r>
      <w:r w:rsidR="00457C10" w:rsidRPr="009526A6">
        <w:rPr>
          <w:sz w:val="22"/>
          <w:szCs w:val="22"/>
        </w:rPr>
        <w:t xml:space="preserve"> 1-7</w:t>
      </w:r>
      <w:r w:rsidRPr="009526A6">
        <w:rPr>
          <w:sz w:val="22"/>
          <w:szCs w:val="22"/>
        </w:rPr>
        <w:t>), permit</w:t>
      </w:r>
      <w:r w:rsidR="00021309" w:rsidRPr="009526A6">
        <w:rPr>
          <w:sz w:val="22"/>
          <w:szCs w:val="22"/>
        </w:rPr>
        <w:t>s</w:t>
      </w:r>
      <w:r w:rsidRPr="009526A6">
        <w:rPr>
          <w:sz w:val="22"/>
          <w:szCs w:val="22"/>
        </w:rPr>
        <w:t xml:space="preserve"> </w:t>
      </w:r>
      <w:r w:rsidRPr="009526A6">
        <w:rPr>
          <w:i/>
          <w:iCs/>
          <w:sz w:val="22"/>
          <w:szCs w:val="22"/>
        </w:rPr>
        <w:t>advances</w:t>
      </w:r>
      <w:r w:rsidR="00457C10" w:rsidRPr="009526A6">
        <w:rPr>
          <w:iCs/>
          <w:sz w:val="22"/>
          <w:szCs w:val="22"/>
        </w:rPr>
        <w:t xml:space="preserve">.  OCS </w:t>
      </w:r>
      <w:r w:rsidR="00BE7DAD" w:rsidRPr="009526A6">
        <w:rPr>
          <w:iCs/>
          <w:sz w:val="22"/>
          <w:szCs w:val="22"/>
        </w:rPr>
        <w:t xml:space="preserve">Chapter 1 Section </w:t>
      </w:r>
      <w:r w:rsidR="00457C10" w:rsidRPr="009526A6">
        <w:rPr>
          <w:iCs/>
          <w:sz w:val="22"/>
          <w:szCs w:val="22"/>
        </w:rPr>
        <w:t>1-7</w:t>
      </w:r>
      <w:r w:rsidRPr="009526A6">
        <w:rPr>
          <w:sz w:val="22"/>
          <w:szCs w:val="22"/>
        </w:rPr>
        <w:t xml:space="preserve"> requires:</w:t>
      </w:r>
    </w:p>
    <w:p w14:paraId="01529E2C" w14:textId="77777777" w:rsidR="00113B44" w:rsidRPr="009526A6" w:rsidRDefault="00113B44" w:rsidP="00113B44">
      <w:pPr>
        <w:jc w:val="both"/>
        <w:rPr>
          <w:sz w:val="22"/>
          <w:szCs w:val="22"/>
        </w:rPr>
      </w:pPr>
    </w:p>
    <w:p w14:paraId="598ABF52" w14:textId="77777777" w:rsidR="00A212E5" w:rsidRPr="009526A6" w:rsidRDefault="00A212E5" w:rsidP="00A66E45">
      <w:pPr>
        <w:numPr>
          <w:ilvl w:val="0"/>
          <w:numId w:val="18"/>
        </w:numPr>
        <w:jc w:val="both"/>
        <w:rPr>
          <w:sz w:val="22"/>
          <w:szCs w:val="22"/>
        </w:rPr>
      </w:pPr>
      <w:r w:rsidRPr="009526A6">
        <w:rPr>
          <w:sz w:val="22"/>
          <w:szCs w:val="22"/>
        </w:rPr>
        <w:t>Any advance must be clearly labeled as such, and must be distinguished from a transfer.</w:t>
      </w:r>
    </w:p>
    <w:p w14:paraId="3ADA959E" w14:textId="46DC21FD" w:rsidR="00113B44" w:rsidRPr="009526A6" w:rsidRDefault="00113B44" w:rsidP="00A66E45">
      <w:pPr>
        <w:numPr>
          <w:ilvl w:val="0"/>
          <w:numId w:val="18"/>
        </w:numPr>
        <w:jc w:val="both"/>
        <w:rPr>
          <w:sz w:val="22"/>
          <w:szCs w:val="22"/>
        </w:rPr>
      </w:pPr>
      <w:proofErr w:type="gramStart"/>
      <w:r w:rsidRPr="009526A6">
        <w:rPr>
          <w:sz w:val="22"/>
          <w:szCs w:val="22"/>
        </w:rPr>
        <w:t>In order to</w:t>
      </w:r>
      <w:proofErr w:type="gramEnd"/>
      <w:r w:rsidRPr="009526A6">
        <w:rPr>
          <w:sz w:val="22"/>
          <w:szCs w:val="22"/>
        </w:rPr>
        <w:t xml:space="preserve"> advance cash from one fund to another, there must be statutory authority to use the money in the fund advancing the cash for the same purpose for which the fund receiving the cash was established</w:t>
      </w:r>
      <w:r w:rsidR="00A212E5" w:rsidRPr="009526A6">
        <w:rPr>
          <w:sz w:val="22"/>
          <w:szCs w:val="22"/>
        </w:rPr>
        <w:t>.</w:t>
      </w:r>
    </w:p>
    <w:p w14:paraId="6EAA91C2" w14:textId="77777777" w:rsidR="00A212E5" w:rsidRPr="009526A6" w:rsidRDefault="00113B44" w:rsidP="00A66E45">
      <w:pPr>
        <w:pStyle w:val="ListParagraph"/>
        <w:numPr>
          <w:ilvl w:val="0"/>
          <w:numId w:val="18"/>
        </w:numPr>
        <w:jc w:val="both"/>
        <w:rPr>
          <w:sz w:val="22"/>
          <w:szCs w:val="22"/>
        </w:rPr>
      </w:pPr>
      <w:r w:rsidRPr="009526A6">
        <w:rPr>
          <w:sz w:val="22"/>
          <w:szCs w:val="22"/>
        </w:rPr>
        <w:t>The debtor fund may repay a</w:t>
      </w:r>
      <w:r w:rsidR="002E4198" w:rsidRPr="009526A6">
        <w:rPr>
          <w:sz w:val="22"/>
          <w:szCs w:val="22"/>
        </w:rPr>
        <w:t xml:space="preserve">dvances from the creditor fund. </w:t>
      </w:r>
      <w:r w:rsidRPr="009526A6">
        <w:rPr>
          <w:sz w:val="22"/>
          <w:szCs w:val="22"/>
        </w:rPr>
        <w:t xml:space="preserve"> That is, the AOS would not deem repaying advances to violate restrictions on use of the debtor’s fund resources</w:t>
      </w:r>
      <w:r w:rsidR="00A212E5" w:rsidRPr="009526A6">
        <w:rPr>
          <w:sz w:val="22"/>
          <w:szCs w:val="22"/>
        </w:rPr>
        <w:t>.</w:t>
      </w:r>
    </w:p>
    <w:p w14:paraId="20A6A4A2" w14:textId="77777777" w:rsidR="00A212E5" w:rsidRPr="009526A6" w:rsidRDefault="00A212E5" w:rsidP="00A66E45">
      <w:pPr>
        <w:pStyle w:val="ListParagraph"/>
        <w:numPr>
          <w:ilvl w:val="0"/>
          <w:numId w:val="18"/>
        </w:numPr>
        <w:jc w:val="both"/>
        <w:rPr>
          <w:sz w:val="22"/>
          <w:szCs w:val="22"/>
        </w:rPr>
      </w:pPr>
      <w:r w:rsidRPr="009526A6">
        <w:rPr>
          <w:sz w:val="22"/>
          <w:szCs w:val="22"/>
        </w:rPr>
        <w:t>When a fund ends the year with negative cash, it is not appropriate to present an advance on the budgetary statement to eliminate the negative cash fund balance.</w:t>
      </w:r>
    </w:p>
    <w:p w14:paraId="340696B8" w14:textId="77777777" w:rsidR="00113B44" w:rsidRPr="009526A6" w:rsidRDefault="007C767C" w:rsidP="00A66E45">
      <w:pPr>
        <w:numPr>
          <w:ilvl w:val="0"/>
          <w:numId w:val="18"/>
        </w:numPr>
        <w:jc w:val="both"/>
        <w:rPr>
          <w:i/>
          <w:sz w:val="22"/>
          <w:szCs w:val="22"/>
        </w:rPr>
      </w:pPr>
      <w:r w:rsidRPr="009526A6">
        <w:rPr>
          <w:sz w:val="22"/>
          <w:szCs w:val="22"/>
        </w:rPr>
        <w:t xml:space="preserve">An </w:t>
      </w:r>
      <w:r w:rsidR="00113B44" w:rsidRPr="009526A6">
        <w:rPr>
          <w:sz w:val="22"/>
          <w:szCs w:val="22"/>
        </w:rPr>
        <w:t>allowable advance should not violate restrictions on resource use.</w:t>
      </w:r>
    </w:p>
    <w:p w14:paraId="7BD0EFB3" w14:textId="77777777" w:rsidR="00113B44" w:rsidRPr="009526A6" w:rsidRDefault="00113B44" w:rsidP="00113B44">
      <w:pPr>
        <w:jc w:val="both"/>
        <w:rPr>
          <w:sz w:val="22"/>
          <w:szCs w:val="22"/>
        </w:rPr>
      </w:pPr>
    </w:p>
    <w:p w14:paraId="1988A495" w14:textId="5CB8945F" w:rsidR="00113B44" w:rsidRPr="009526A6" w:rsidRDefault="00113B44" w:rsidP="18D5609E">
      <w:pPr>
        <w:jc w:val="both"/>
        <w:rPr>
          <w:i/>
          <w:iCs/>
          <w:sz w:val="22"/>
          <w:szCs w:val="22"/>
        </w:rPr>
      </w:pPr>
      <w:r w:rsidRPr="009526A6">
        <w:rPr>
          <w:sz w:val="22"/>
          <w:szCs w:val="22"/>
        </w:rPr>
        <w:t xml:space="preserve">AOS does not believe advances satisfying these requirements require approval </w:t>
      </w:r>
      <w:r w:rsidR="0742F669" w:rsidRPr="009526A6">
        <w:rPr>
          <w:sz w:val="22"/>
          <w:szCs w:val="22"/>
        </w:rPr>
        <w:t xml:space="preserve">of the Tax Commissioner </w:t>
      </w:r>
      <w:r w:rsidRPr="009526A6">
        <w:rPr>
          <w:sz w:val="22"/>
          <w:szCs w:val="22"/>
        </w:rPr>
        <w:t xml:space="preserve">under Ohio Rev. </w:t>
      </w:r>
      <w:r w:rsidR="00FD3963" w:rsidRPr="009526A6">
        <w:rPr>
          <w:sz w:val="22"/>
          <w:szCs w:val="22"/>
        </w:rPr>
        <w:t xml:space="preserve">Code </w:t>
      </w:r>
      <w:r w:rsidR="009B4BF1" w:rsidRPr="009526A6">
        <w:rPr>
          <w:sz w:val="22"/>
          <w:szCs w:val="22"/>
        </w:rPr>
        <w:t>§ 5</w:t>
      </w:r>
      <w:r w:rsidRPr="009526A6">
        <w:rPr>
          <w:sz w:val="22"/>
          <w:szCs w:val="22"/>
        </w:rPr>
        <w:t xml:space="preserve">705.16.  </w:t>
      </w:r>
      <w:r w:rsidRPr="009526A6">
        <w:rPr>
          <w:i/>
          <w:iCs/>
          <w:sz w:val="22"/>
          <w:szCs w:val="22"/>
        </w:rPr>
        <w:t>However, advances do require a formal resolution</w:t>
      </w:r>
      <w:r w:rsidR="00A77E57" w:rsidRPr="009526A6">
        <w:rPr>
          <w:i/>
          <w:iCs/>
          <w:sz w:val="22"/>
          <w:szCs w:val="22"/>
        </w:rPr>
        <w:t xml:space="preserve"> by the taxing authority</w:t>
      </w:r>
      <w:r w:rsidR="0039609E" w:rsidRPr="009526A6">
        <w:rPr>
          <w:i/>
          <w:iCs/>
          <w:sz w:val="22"/>
          <w:szCs w:val="22"/>
        </w:rPr>
        <w:t>.</w:t>
      </w:r>
      <w:r w:rsidRPr="009526A6">
        <w:rPr>
          <w:i/>
          <w:iCs/>
          <w:sz w:val="22"/>
          <w:szCs w:val="22"/>
        </w:rPr>
        <w:t xml:space="preserve"> </w:t>
      </w:r>
      <w:r w:rsidR="0039609E" w:rsidRPr="009526A6">
        <w:rPr>
          <w:i/>
          <w:iCs/>
          <w:sz w:val="22"/>
          <w:szCs w:val="22"/>
        </w:rPr>
        <w:t xml:space="preserve"> </w:t>
      </w:r>
      <w:r w:rsidRPr="009526A6">
        <w:rPr>
          <w:sz w:val="22"/>
          <w:szCs w:val="22"/>
        </w:rPr>
        <w:t xml:space="preserve">On a cash basis, subdivisions should classify the cash payment/repayment as </w:t>
      </w:r>
      <w:r w:rsidRPr="009526A6">
        <w:rPr>
          <w:i/>
          <w:iCs/>
          <w:sz w:val="22"/>
          <w:szCs w:val="22"/>
        </w:rPr>
        <w:t xml:space="preserve">advances out / in, </w:t>
      </w:r>
      <w:r w:rsidRPr="009526A6">
        <w:rPr>
          <w:sz w:val="22"/>
          <w:szCs w:val="22"/>
        </w:rPr>
        <w:t xml:space="preserve">not </w:t>
      </w:r>
      <w:r w:rsidRPr="009526A6">
        <w:rPr>
          <w:i/>
          <w:iCs/>
          <w:sz w:val="22"/>
          <w:szCs w:val="22"/>
        </w:rPr>
        <w:t>transfers</w:t>
      </w:r>
      <w:r w:rsidRPr="009526A6">
        <w:rPr>
          <w:sz w:val="22"/>
          <w:szCs w:val="22"/>
        </w:rPr>
        <w:t>.</w:t>
      </w:r>
    </w:p>
    <w:p w14:paraId="2A1EBA07" w14:textId="77777777" w:rsidR="00113B44" w:rsidRPr="009526A6" w:rsidRDefault="00113B44" w:rsidP="00113B44">
      <w:pPr>
        <w:jc w:val="both"/>
        <w:rPr>
          <w:sz w:val="22"/>
          <w:szCs w:val="22"/>
        </w:rPr>
      </w:pPr>
    </w:p>
    <w:p w14:paraId="77D36679" w14:textId="77777777" w:rsidR="00113B44" w:rsidRPr="009526A6" w:rsidRDefault="00A212E5" w:rsidP="00113B44">
      <w:pPr>
        <w:jc w:val="both"/>
        <w:rPr>
          <w:sz w:val="22"/>
          <w:szCs w:val="22"/>
        </w:rPr>
      </w:pPr>
      <w:r w:rsidRPr="009526A6">
        <w:rPr>
          <w:sz w:val="22"/>
          <w:szCs w:val="22"/>
        </w:rPr>
        <w:t>Under GASB Cod.</w:t>
      </w:r>
      <w:r w:rsidR="00113B44" w:rsidRPr="009526A6">
        <w:rPr>
          <w:sz w:val="22"/>
          <w:szCs w:val="22"/>
        </w:rPr>
        <w:t xml:space="preserve"> 1800.102, if repayment is not expected within a reasonable time, the interfund loans should be reduced and the amount that is not expected to be repaid should be </w:t>
      </w:r>
      <w:r w:rsidR="00417517" w:rsidRPr="009526A6">
        <w:rPr>
          <w:sz w:val="22"/>
          <w:szCs w:val="22"/>
        </w:rPr>
        <w:t>reclassified (i.e. re</w:t>
      </w:r>
      <w:r w:rsidR="00113B44" w:rsidRPr="009526A6">
        <w:rPr>
          <w:sz w:val="22"/>
          <w:szCs w:val="22"/>
        </w:rPr>
        <w:t>ported</w:t>
      </w:r>
      <w:r w:rsidR="00417517" w:rsidRPr="009526A6">
        <w:rPr>
          <w:sz w:val="22"/>
          <w:szCs w:val="22"/>
        </w:rPr>
        <w:t>)</w:t>
      </w:r>
      <w:r w:rsidR="00113B44" w:rsidRPr="009526A6">
        <w:rPr>
          <w:sz w:val="22"/>
          <w:szCs w:val="22"/>
        </w:rPr>
        <w:t xml:space="preserve"> as a </w:t>
      </w:r>
      <w:r w:rsidR="00113B44" w:rsidRPr="009526A6">
        <w:rPr>
          <w:i/>
          <w:sz w:val="22"/>
          <w:szCs w:val="22"/>
        </w:rPr>
        <w:t>transfer</w:t>
      </w:r>
      <w:r w:rsidR="00113B44" w:rsidRPr="009526A6">
        <w:rPr>
          <w:sz w:val="22"/>
          <w:szCs w:val="22"/>
        </w:rPr>
        <w:t xml:space="preserve"> from the fund that made the loan to the fund that received the loan.  Therefore, like any other receivable, auditors should consider whether interfund loans are properly valued (i.e. collectible).  When reclassified as a </w:t>
      </w:r>
      <w:r w:rsidR="00113B44" w:rsidRPr="009526A6">
        <w:rPr>
          <w:i/>
          <w:sz w:val="22"/>
          <w:szCs w:val="22"/>
        </w:rPr>
        <w:t>transfer</w:t>
      </w:r>
      <w:r w:rsidR="00113B44" w:rsidRPr="009526A6">
        <w:rPr>
          <w:sz w:val="22"/>
          <w:szCs w:val="22"/>
        </w:rPr>
        <w:t xml:space="preserve">, </w:t>
      </w:r>
      <w:r w:rsidR="00417517" w:rsidRPr="009526A6">
        <w:rPr>
          <w:sz w:val="22"/>
          <w:szCs w:val="22"/>
        </w:rPr>
        <w:t>the</w:t>
      </w:r>
      <w:r w:rsidR="00113B44" w:rsidRPr="009526A6">
        <w:rPr>
          <w:sz w:val="22"/>
          <w:szCs w:val="22"/>
        </w:rPr>
        <w:t xml:space="preserve"> transfer(s) must satisfy all requirements included in Ohio Rev. Code </w:t>
      </w:r>
      <w:r w:rsidR="009B4BF1" w:rsidRPr="009526A6">
        <w:rPr>
          <w:sz w:val="22"/>
          <w:szCs w:val="22"/>
        </w:rPr>
        <w:t>§§ 5</w:t>
      </w:r>
      <w:r w:rsidR="00113B44" w:rsidRPr="009526A6">
        <w:rPr>
          <w:sz w:val="22"/>
          <w:szCs w:val="22"/>
        </w:rPr>
        <w:t xml:space="preserve">705.14 - .16 retroactively (appropriation, board resolution, court approval, etc.).  </w:t>
      </w:r>
    </w:p>
    <w:p w14:paraId="040F1830" w14:textId="77777777" w:rsidR="00113B44" w:rsidRPr="009526A6" w:rsidRDefault="00113B44" w:rsidP="00113B44">
      <w:pPr>
        <w:ind w:left="720"/>
        <w:jc w:val="both"/>
        <w:rPr>
          <w:b/>
          <w:sz w:val="22"/>
          <w:szCs w:val="22"/>
        </w:rPr>
      </w:pPr>
    </w:p>
    <w:p w14:paraId="521F9006" w14:textId="77777777" w:rsidR="00113B44" w:rsidRPr="009526A6" w:rsidRDefault="00113B44" w:rsidP="00113B44">
      <w:pPr>
        <w:jc w:val="both"/>
        <w:rPr>
          <w:sz w:val="22"/>
          <w:szCs w:val="22"/>
        </w:rPr>
      </w:pPr>
      <w:r w:rsidRPr="009526A6">
        <w:rPr>
          <w:b/>
          <w:sz w:val="22"/>
          <w:szCs w:val="22"/>
        </w:rPr>
        <w:t xml:space="preserve">Note: </w:t>
      </w:r>
      <w:r w:rsidRPr="009526A6">
        <w:rPr>
          <w:sz w:val="22"/>
          <w:szCs w:val="22"/>
        </w:rPr>
        <w:t xml:space="preserve">Subdivisions can also sell securities between funds pursuant to Ohio Rev. </w:t>
      </w:r>
      <w:r w:rsidR="00FD3963" w:rsidRPr="009526A6">
        <w:rPr>
          <w:sz w:val="22"/>
          <w:szCs w:val="22"/>
        </w:rPr>
        <w:t xml:space="preserve">Code </w:t>
      </w:r>
      <w:r w:rsidR="009B4BF1" w:rsidRPr="009526A6">
        <w:rPr>
          <w:sz w:val="22"/>
          <w:szCs w:val="22"/>
        </w:rPr>
        <w:t>§ 1</w:t>
      </w:r>
      <w:r w:rsidR="006C3139" w:rsidRPr="009526A6">
        <w:rPr>
          <w:sz w:val="22"/>
          <w:szCs w:val="22"/>
        </w:rPr>
        <w:t>33.</w:t>
      </w:r>
      <w:r w:rsidRPr="009526A6">
        <w:rPr>
          <w:sz w:val="22"/>
          <w:szCs w:val="22"/>
        </w:rPr>
        <w:t xml:space="preserve">29.  This is commonly known as “manuscript debt.”  These sales and subsequent repayments are not “transfers”.  (Refer to Chapter </w:t>
      </w:r>
      <w:r w:rsidR="00D02892" w:rsidRPr="009526A6">
        <w:rPr>
          <w:sz w:val="22"/>
          <w:szCs w:val="22"/>
        </w:rPr>
        <w:t>1</w:t>
      </w:r>
      <w:r w:rsidRPr="009526A6">
        <w:rPr>
          <w:sz w:val="22"/>
          <w:szCs w:val="22"/>
        </w:rPr>
        <w:t xml:space="preserve"> for additional compliance guidance and audit steps applicable to manuscript debt.) </w:t>
      </w:r>
    </w:p>
    <w:p w14:paraId="1FE524ED" w14:textId="28A739B2" w:rsidR="00113B44" w:rsidRPr="009526A6" w:rsidRDefault="00113B44" w:rsidP="00113B44">
      <w:pPr>
        <w:jc w:val="both"/>
        <w:rPr>
          <w:sz w:val="22"/>
          <w:szCs w:val="22"/>
        </w:rPr>
      </w:pPr>
    </w:p>
    <w:p w14:paraId="38FA394C" w14:textId="77777777" w:rsidR="00113B44" w:rsidRPr="009526A6" w:rsidRDefault="00113B44" w:rsidP="00113B44">
      <w:pPr>
        <w:jc w:val="both"/>
        <w:rPr>
          <w:i/>
          <w:sz w:val="22"/>
          <w:szCs w:val="22"/>
        </w:rPr>
      </w:pPr>
      <w:r w:rsidRPr="009526A6">
        <w:rPr>
          <w:i/>
          <w:sz w:val="22"/>
          <w:szCs w:val="22"/>
        </w:rPr>
        <w:t>Interfund Reimbursements</w:t>
      </w:r>
    </w:p>
    <w:p w14:paraId="2E4D3710" w14:textId="5446D24C" w:rsidR="000B5D0D" w:rsidRDefault="00113B44" w:rsidP="00113B44">
      <w:pPr>
        <w:tabs>
          <w:tab w:val="num" w:pos="720"/>
        </w:tabs>
        <w:jc w:val="both"/>
        <w:rPr>
          <w:sz w:val="22"/>
          <w:szCs w:val="22"/>
        </w:rPr>
        <w:sectPr w:rsidR="000B5D0D" w:rsidSect="000B5D0D">
          <w:pgSz w:w="12240" w:h="15840"/>
          <w:pgMar w:top="1152" w:right="1152" w:bottom="720" w:left="1152" w:header="720" w:footer="720" w:gutter="0"/>
          <w:cols w:space="720"/>
          <w:noEndnote/>
        </w:sectPr>
      </w:pPr>
      <w:r w:rsidRPr="009526A6">
        <w:rPr>
          <w:sz w:val="22"/>
          <w:szCs w:val="22"/>
        </w:rPr>
        <w:t>GASB Cod</w:t>
      </w:r>
      <w:r w:rsidR="00A212E5" w:rsidRPr="009526A6">
        <w:rPr>
          <w:sz w:val="22"/>
          <w:szCs w:val="22"/>
        </w:rPr>
        <w:t>.</w:t>
      </w:r>
      <w:r w:rsidRPr="009526A6">
        <w:rPr>
          <w:sz w:val="22"/>
          <w:szCs w:val="22"/>
        </w:rPr>
        <w:t xml:space="preserve"> 1800.102 defines “Interfund Reimbursements” as “repayments from the funds responsible for particular expenditures or expenses to the funds that initially paid for them.”  However, under the terms of Ohio Rev. </w:t>
      </w:r>
      <w:r w:rsidR="00FD3963" w:rsidRPr="009526A6">
        <w:rPr>
          <w:sz w:val="22"/>
          <w:szCs w:val="22"/>
        </w:rPr>
        <w:t xml:space="preserve">Code </w:t>
      </w:r>
      <w:r w:rsidR="009B4BF1" w:rsidRPr="009526A6">
        <w:rPr>
          <w:sz w:val="22"/>
          <w:szCs w:val="22"/>
        </w:rPr>
        <w:t>§ 5</w:t>
      </w:r>
      <w:r w:rsidRPr="009526A6">
        <w:rPr>
          <w:sz w:val="22"/>
          <w:szCs w:val="22"/>
        </w:rPr>
        <w:t xml:space="preserve">705.10, such reimbursements would be illegal transfers </w:t>
      </w:r>
      <w:r w:rsidRPr="009526A6">
        <w:rPr>
          <w:i/>
          <w:sz w:val="22"/>
          <w:szCs w:val="22"/>
        </w:rPr>
        <w:t>(subject to possible Finding for Adjustment)</w:t>
      </w:r>
      <w:r w:rsidRPr="009526A6">
        <w:rPr>
          <w:sz w:val="22"/>
          <w:szCs w:val="22"/>
        </w:rPr>
        <w:t xml:space="preserve"> </w:t>
      </w:r>
      <w:r w:rsidRPr="009526A6">
        <w:rPr>
          <w:b/>
          <w:i/>
          <w:sz w:val="22"/>
          <w:szCs w:val="22"/>
        </w:rPr>
        <w:t>if</w:t>
      </w:r>
      <w:r w:rsidRPr="009526A6">
        <w:rPr>
          <w:sz w:val="22"/>
          <w:szCs w:val="22"/>
        </w:rPr>
        <w:t xml:space="preserve"> the fund initially paying violated restrictions on its resource use</w:t>
      </w:r>
      <w:r w:rsidR="000B5D0D">
        <w:rPr>
          <w:sz w:val="22"/>
          <w:szCs w:val="22"/>
        </w:rPr>
        <w:t>.</w:t>
      </w:r>
    </w:p>
    <w:p w14:paraId="2ABBEC67" w14:textId="088E8DC1" w:rsidR="00A523ED" w:rsidRPr="009526A6" w:rsidRDefault="00A523ED" w:rsidP="00A523ED">
      <w:pPr>
        <w:spacing w:before="100" w:beforeAutospacing="1" w:after="100" w:afterAutospacing="1"/>
        <w:jc w:val="both"/>
        <w:rPr>
          <w:sz w:val="22"/>
          <w:szCs w:val="22"/>
        </w:rPr>
      </w:pPr>
      <w:r w:rsidRPr="009526A6">
        <w:rPr>
          <w:b/>
          <w:bCs/>
          <w:color w:val="FF0000"/>
          <w:sz w:val="22"/>
          <w:szCs w:val="22"/>
        </w:rPr>
        <w:t xml:space="preserve">Coronavirus State and Local Fiscal Recovery </w:t>
      </w:r>
      <w:r w:rsidR="00CE3A3F" w:rsidRPr="009526A6">
        <w:rPr>
          <w:b/>
          <w:bCs/>
          <w:color w:val="FF0000"/>
          <w:sz w:val="22"/>
          <w:szCs w:val="22"/>
        </w:rPr>
        <w:t>F</w:t>
      </w:r>
      <w:r w:rsidR="00402D38" w:rsidRPr="009526A6">
        <w:rPr>
          <w:b/>
          <w:bCs/>
          <w:color w:val="FF0000"/>
          <w:sz w:val="22"/>
          <w:szCs w:val="22"/>
        </w:rPr>
        <w:t>unding</w:t>
      </w:r>
      <w:r w:rsidR="00CE3A3F" w:rsidRPr="009526A6">
        <w:rPr>
          <w:b/>
          <w:bCs/>
          <w:color w:val="FF0000"/>
          <w:sz w:val="22"/>
          <w:szCs w:val="22"/>
        </w:rPr>
        <w:t xml:space="preserve"> (SLFRF)</w:t>
      </w:r>
      <w:r w:rsidR="00402D38" w:rsidRPr="009526A6">
        <w:rPr>
          <w:b/>
          <w:bCs/>
          <w:color w:val="FF0000"/>
          <w:sz w:val="22"/>
          <w:szCs w:val="22"/>
        </w:rPr>
        <w:t xml:space="preserve"> </w:t>
      </w:r>
      <w:r w:rsidRPr="009526A6">
        <w:rPr>
          <w:b/>
          <w:bCs/>
          <w:color w:val="FF0000"/>
          <w:sz w:val="22"/>
          <w:szCs w:val="22"/>
        </w:rPr>
        <w:t xml:space="preserve">has very broad allowable uses with a retroactive program performance period. Upon initial receipt, local government management may not have known exactly how the dollars would be spent, especially since the U.S. Department of Treasury did not issue final program guidance timely. </w:t>
      </w:r>
    </w:p>
    <w:p w14:paraId="5FEA352F" w14:textId="22EF845B" w:rsidR="00605CE7" w:rsidRPr="009526A6" w:rsidRDefault="00A523ED" w:rsidP="008E4B1E">
      <w:pPr>
        <w:spacing w:before="100" w:beforeAutospacing="1" w:after="100" w:afterAutospacing="1"/>
        <w:jc w:val="both"/>
        <w:rPr>
          <w:sz w:val="22"/>
          <w:szCs w:val="22"/>
        </w:rPr>
      </w:pPr>
      <w:r w:rsidRPr="009526A6">
        <w:rPr>
          <w:b/>
          <w:bCs/>
          <w:color w:val="FF0000"/>
          <w:sz w:val="22"/>
          <w:szCs w:val="22"/>
        </w:rPr>
        <w:t xml:space="preserve">For </w:t>
      </w:r>
      <w:r w:rsidR="00CE3A3F" w:rsidRPr="009526A6">
        <w:rPr>
          <w:b/>
          <w:bCs/>
          <w:color w:val="FF0000"/>
          <w:sz w:val="22"/>
          <w:szCs w:val="22"/>
        </w:rPr>
        <w:t xml:space="preserve">State and </w:t>
      </w:r>
      <w:r w:rsidRPr="009526A6">
        <w:rPr>
          <w:b/>
          <w:bCs/>
          <w:color w:val="FF0000"/>
          <w:sz w:val="22"/>
          <w:szCs w:val="22"/>
        </w:rPr>
        <w:t>Local Fiscal Recovery Fund</w:t>
      </w:r>
      <w:r w:rsidR="00CE3A3F" w:rsidRPr="009526A6">
        <w:rPr>
          <w:b/>
          <w:bCs/>
          <w:color w:val="FF0000"/>
          <w:sz w:val="22"/>
          <w:szCs w:val="22"/>
        </w:rPr>
        <w:t>ing</w:t>
      </w:r>
      <w:r w:rsidR="00CB633D" w:rsidRPr="009526A6">
        <w:rPr>
          <w:b/>
          <w:bCs/>
          <w:color w:val="FF0000"/>
          <w:sz w:val="22"/>
          <w:szCs w:val="22"/>
        </w:rPr>
        <w:t>,</w:t>
      </w:r>
      <w:r w:rsidRPr="009526A6">
        <w:rPr>
          <w:b/>
          <w:bCs/>
          <w:color w:val="FF0000"/>
          <w:sz w:val="22"/>
          <w:szCs w:val="22"/>
        </w:rPr>
        <w:t xml:space="preserve"> AOS recommends all expenditures be recorded in a </w:t>
      </w:r>
      <w:r w:rsidR="00F54AA5" w:rsidRPr="009526A6">
        <w:rPr>
          <w:b/>
          <w:bCs/>
          <w:color w:val="FF0000"/>
          <w:sz w:val="22"/>
          <w:szCs w:val="22"/>
        </w:rPr>
        <w:t xml:space="preserve">SLFRF special revenue </w:t>
      </w:r>
      <w:r w:rsidRPr="009526A6">
        <w:rPr>
          <w:b/>
          <w:bCs/>
          <w:color w:val="FF0000"/>
          <w:sz w:val="22"/>
          <w:szCs w:val="22"/>
        </w:rPr>
        <w:t xml:space="preserve">fund. However, certain </w:t>
      </w:r>
      <w:proofErr w:type="gramStart"/>
      <w:r w:rsidRPr="009526A6">
        <w:rPr>
          <w:b/>
          <w:bCs/>
          <w:color w:val="FF0000"/>
          <w:sz w:val="22"/>
          <w:szCs w:val="22"/>
        </w:rPr>
        <w:t>exceptions will</w:t>
      </w:r>
      <w:proofErr w:type="gramEnd"/>
      <w:r w:rsidRPr="009526A6">
        <w:rPr>
          <w:b/>
          <w:bCs/>
          <w:color w:val="FF0000"/>
          <w:sz w:val="22"/>
          <w:szCs w:val="22"/>
        </w:rPr>
        <w:t xml:space="preserve"> need to be made. As the allowable costs are determined, some of these </w:t>
      </w:r>
      <w:r w:rsidR="00CB633D" w:rsidRPr="009526A6">
        <w:rPr>
          <w:b/>
          <w:bCs/>
          <w:color w:val="FF0000"/>
          <w:sz w:val="22"/>
          <w:szCs w:val="22"/>
        </w:rPr>
        <w:t xml:space="preserve">SLFRF </w:t>
      </w:r>
      <w:r w:rsidRPr="009526A6">
        <w:rPr>
          <w:b/>
          <w:bCs/>
          <w:color w:val="FF0000"/>
          <w:sz w:val="22"/>
          <w:szCs w:val="22"/>
        </w:rPr>
        <w:t xml:space="preserve">funds will be best distributed to the various funds through a billing/revenue reallocation process. </w:t>
      </w:r>
      <w:hyperlink r:id="rId40" w:history="1">
        <w:r w:rsidR="002020F3" w:rsidRPr="009526A6">
          <w:rPr>
            <w:rStyle w:val="Hyperlink"/>
            <w:b/>
            <w:bCs/>
            <w:sz w:val="22"/>
            <w:szCs w:val="22"/>
          </w:rPr>
          <w:t xml:space="preserve">AOS Bulletin 2021-004, </w:t>
        </w:r>
        <w:r w:rsidR="002020F3" w:rsidRPr="009526A6">
          <w:rPr>
            <w:rStyle w:val="Hyperlink"/>
            <w:b/>
            <w:bCs/>
            <w:i/>
            <w:iCs/>
            <w:sz w:val="22"/>
            <w:szCs w:val="22"/>
          </w:rPr>
          <w:t>Separate Accountability for Federal Programs Authorized by the American Rescue Plan Act of 2021</w:t>
        </w:r>
      </w:hyperlink>
      <w:r w:rsidRPr="009526A6">
        <w:rPr>
          <w:b/>
          <w:bCs/>
          <w:color w:val="FF0000"/>
          <w:sz w:val="22"/>
          <w:szCs w:val="22"/>
        </w:rPr>
        <w:t>, includes general guidelines for accounting for the broad activities of</w:t>
      </w:r>
      <w:r w:rsidR="00A019C8" w:rsidRPr="009526A6">
        <w:rPr>
          <w:b/>
          <w:bCs/>
          <w:color w:val="FF0000"/>
          <w:sz w:val="22"/>
          <w:szCs w:val="22"/>
        </w:rPr>
        <w:t xml:space="preserve"> </w:t>
      </w:r>
      <w:r w:rsidR="002020F3" w:rsidRPr="009526A6">
        <w:rPr>
          <w:b/>
          <w:bCs/>
          <w:color w:val="FF0000"/>
          <w:sz w:val="22"/>
          <w:szCs w:val="22"/>
        </w:rPr>
        <w:t>SLFRF</w:t>
      </w:r>
      <w:r w:rsidRPr="009526A6">
        <w:rPr>
          <w:b/>
          <w:bCs/>
          <w:color w:val="FF0000"/>
          <w:sz w:val="22"/>
          <w:szCs w:val="22"/>
        </w:rPr>
        <w:t xml:space="preserve">, including the </w:t>
      </w:r>
      <w:r w:rsidR="00584CC7" w:rsidRPr="009526A6">
        <w:rPr>
          <w:b/>
          <w:bCs/>
          <w:color w:val="FF0000"/>
          <w:sz w:val="22"/>
          <w:szCs w:val="22"/>
        </w:rPr>
        <w:t xml:space="preserve">provision of government services up to the amount of </w:t>
      </w:r>
      <w:r w:rsidRPr="009526A6">
        <w:rPr>
          <w:b/>
          <w:bCs/>
          <w:color w:val="FF0000"/>
          <w:sz w:val="22"/>
          <w:szCs w:val="22"/>
        </w:rPr>
        <w:t>lost revenue component.</w:t>
      </w:r>
    </w:p>
    <w:p w14:paraId="03322193" w14:textId="040571C5" w:rsidR="00113B44" w:rsidRPr="009526A6" w:rsidRDefault="00113B44" w:rsidP="00113B44">
      <w:pPr>
        <w:jc w:val="both"/>
        <w:rPr>
          <w:b/>
          <w:sz w:val="22"/>
          <w:szCs w:val="22"/>
        </w:rPr>
      </w:pPr>
      <w:r w:rsidRPr="009526A6">
        <w:rPr>
          <w:b/>
          <w:sz w:val="22"/>
          <w:szCs w:val="22"/>
        </w:rPr>
        <w:t>Transfers Clarification:</w:t>
      </w:r>
    </w:p>
    <w:p w14:paraId="353EA67F" w14:textId="77777777" w:rsidR="00113B44" w:rsidRPr="009526A6" w:rsidRDefault="00113B44" w:rsidP="00113B44">
      <w:pPr>
        <w:jc w:val="both"/>
        <w:rPr>
          <w:sz w:val="22"/>
          <w:szCs w:val="22"/>
        </w:rPr>
      </w:pPr>
    </w:p>
    <w:p w14:paraId="3F86226B" w14:textId="77777777" w:rsidR="00113B44" w:rsidRPr="009526A6" w:rsidRDefault="00113B44" w:rsidP="00113B44">
      <w:pPr>
        <w:jc w:val="both"/>
        <w:rPr>
          <w:i/>
          <w:sz w:val="22"/>
          <w:szCs w:val="22"/>
        </w:rPr>
      </w:pPr>
      <w:r w:rsidRPr="009526A6">
        <w:rPr>
          <w:i/>
          <w:sz w:val="22"/>
          <w:szCs w:val="22"/>
        </w:rPr>
        <w:t>Allocation of Unrestricted Receipts to Restricted Funds</w:t>
      </w:r>
    </w:p>
    <w:p w14:paraId="17E329E8" w14:textId="77777777" w:rsidR="00113B44" w:rsidRPr="009526A6" w:rsidRDefault="00113B44" w:rsidP="00113B44">
      <w:pPr>
        <w:jc w:val="both"/>
        <w:rPr>
          <w:sz w:val="22"/>
          <w:szCs w:val="22"/>
        </w:rPr>
      </w:pPr>
      <w:r w:rsidRPr="009526A6">
        <w:rPr>
          <w:sz w:val="22"/>
          <w:szCs w:val="22"/>
        </w:rPr>
        <w:t xml:space="preserve">Once a government deposits unrestricted money into a fund with a restriction, it </w:t>
      </w:r>
      <w:r w:rsidRPr="009526A6">
        <w:rPr>
          <w:b/>
          <w:bCs/>
          <w:i/>
          <w:iCs/>
          <w:sz w:val="22"/>
          <w:szCs w:val="22"/>
        </w:rPr>
        <w:t>is</w:t>
      </w:r>
      <w:r w:rsidRPr="009526A6">
        <w:rPr>
          <w:sz w:val="22"/>
          <w:szCs w:val="22"/>
        </w:rPr>
        <w:t xml:space="preserve"> restricted money subject to Ohio Rev. Code </w:t>
      </w:r>
      <w:r w:rsidR="009B4BF1" w:rsidRPr="009526A6">
        <w:rPr>
          <w:sz w:val="22"/>
          <w:szCs w:val="22"/>
        </w:rPr>
        <w:t>§§ 5</w:t>
      </w:r>
      <w:r w:rsidRPr="009526A6">
        <w:rPr>
          <w:sz w:val="22"/>
          <w:szCs w:val="22"/>
        </w:rPr>
        <w:t>705.14 - .16.</w:t>
      </w:r>
      <w:r w:rsidR="00ED0F22" w:rsidRPr="009526A6">
        <w:rPr>
          <w:color w:val="FF0000"/>
          <w:sz w:val="22"/>
          <w:szCs w:val="22"/>
        </w:rPr>
        <w:t xml:space="preserve"> </w:t>
      </w:r>
      <w:r w:rsidR="00ED0F22" w:rsidRPr="009526A6">
        <w:rPr>
          <w:sz w:val="22"/>
          <w:szCs w:val="22"/>
        </w:rPr>
        <w:t xml:space="preserve"> </w:t>
      </w:r>
      <w:r w:rsidRPr="009526A6">
        <w:rPr>
          <w:sz w:val="22"/>
          <w:szCs w:val="22"/>
        </w:rPr>
        <w:t>For example, a subdivision may have enacted a resolution allocating unrestricted income taxes to a permanent improvement fund.  Once the income tax fund receipts the income taxes collected under this authority, the income tax money is now restricted to permanent improvements.</w:t>
      </w:r>
    </w:p>
    <w:p w14:paraId="376D0136" w14:textId="77777777" w:rsidR="000413AE" w:rsidRPr="009526A6" w:rsidRDefault="000413AE" w:rsidP="00113B44">
      <w:pPr>
        <w:jc w:val="both"/>
        <w:rPr>
          <w:sz w:val="22"/>
          <w:szCs w:val="22"/>
        </w:rPr>
      </w:pPr>
    </w:p>
    <w:p w14:paraId="15D1C338" w14:textId="77777777" w:rsidR="00113B44" w:rsidRPr="009526A6" w:rsidRDefault="00113B44" w:rsidP="00113B44">
      <w:pPr>
        <w:jc w:val="both"/>
        <w:rPr>
          <w:i/>
          <w:sz w:val="22"/>
          <w:szCs w:val="22"/>
        </w:rPr>
      </w:pPr>
      <w:r w:rsidRPr="009526A6">
        <w:rPr>
          <w:i/>
          <w:sz w:val="22"/>
          <w:szCs w:val="22"/>
        </w:rPr>
        <w:t>Audit Adjustments</w:t>
      </w:r>
    </w:p>
    <w:p w14:paraId="2B3AF843" w14:textId="77777777" w:rsidR="00113B44" w:rsidRPr="009526A6" w:rsidRDefault="00113B44" w:rsidP="00113B44">
      <w:pPr>
        <w:jc w:val="both"/>
        <w:rPr>
          <w:sz w:val="22"/>
          <w:szCs w:val="22"/>
        </w:rPr>
      </w:pPr>
      <w:r w:rsidRPr="009526A6">
        <w:rPr>
          <w:sz w:val="22"/>
          <w:szCs w:val="22"/>
        </w:rPr>
        <w:t xml:space="preserve">Audit adjustments, including Findings for Adjustment, adjust fund cash balances.  However, even if subdivisions used the “transfers in/out” line-item to post audit adjustments into their financial statements, audit adjustments are </w:t>
      </w:r>
      <w:r w:rsidRPr="009526A6">
        <w:rPr>
          <w:i/>
          <w:sz w:val="22"/>
          <w:szCs w:val="22"/>
          <w:u w:val="single"/>
        </w:rPr>
        <w:t>not</w:t>
      </w:r>
      <w:r w:rsidRPr="009526A6">
        <w:rPr>
          <w:sz w:val="22"/>
          <w:szCs w:val="22"/>
        </w:rPr>
        <w:t xml:space="preserve"> </w:t>
      </w:r>
      <w:r w:rsidRPr="009526A6">
        <w:rPr>
          <w:i/>
          <w:sz w:val="22"/>
          <w:szCs w:val="22"/>
        </w:rPr>
        <w:t>transfers</w:t>
      </w:r>
      <w:r w:rsidRPr="009526A6">
        <w:rPr>
          <w:sz w:val="22"/>
          <w:szCs w:val="22"/>
        </w:rPr>
        <w:t xml:space="preserve"> subject to Ohio Rev. Code </w:t>
      </w:r>
      <w:r w:rsidR="009B4BF1" w:rsidRPr="009526A6">
        <w:rPr>
          <w:sz w:val="22"/>
          <w:szCs w:val="22"/>
        </w:rPr>
        <w:t>§§ 5</w:t>
      </w:r>
      <w:r w:rsidRPr="009526A6">
        <w:rPr>
          <w:sz w:val="22"/>
          <w:szCs w:val="22"/>
        </w:rPr>
        <w:t xml:space="preserve">705.14 - .16.  Audit adjustments are corrections to restore cash to funds </w:t>
      </w:r>
      <w:r w:rsidRPr="009526A6">
        <w:rPr>
          <w:b/>
          <w:sz w:val="22"/>
          <w:szCs w:val="22"/>
        </w:rPr>
        <w:t>permitted</w:t>
      </w:r>
      <w:r w:rsidRPr="009526A6">
        <w:rPr>
          <w:sz w:val="22"/>
          <w:szCs w:val="22"/>
        </w:rPr>
        <w:t xml:space="preserve"> to spend it.  Therefore, audit adjustments should never result in cash being spent contrary to its restricted purpose.</w:t>
      </w:r>
    </w:p>
    <w:p w14:paraId="1052FB2C" w14:textId="77777777" w:rsidR="00113B44" w:rsidRPr="009526A6" w:rsidRDefault="00113B44" w:rsidP="00113B44">
      <w:pPr>
        <w:jc w:val="both"/>
        <w:rPr>
          <w:sz w:val="22"/>
          <w:szCs w:val="22"/>
        </w:rPr>
      </w:pPr>
    </w:p>
    <w:p w14:paraId="5A7A7421" w14:textId="021166AB" w:rsidR="00113B44" w:rsidRPr="009526A6" w:rsidRDefault="00113B44" w:rsidP="2E37D98C">
      <w:pPr>
        <w:jc w:val="both"/>
        <w:rPr>
          <w:i/>
          <w:iCs/>
          <w:sz w:val="22"/>
          <w:szCs w:val="22"/>
        </w:rPr>
      </w:pPr>
      <w:r w:rsidRPr="009526A6">
        <w:rPr>
          <w:i/>
          <w:iCs/>
          <w:sz w:val="22"/>
          <w:szCs w:val="22"/>
        </w:rPr>
        <w:t>Governing board approval</w:t>
      </w:r>
    </w:p>
    <w:p w14:paraId="26C5ED78" w14:textId="79D6D023" w:rsidR="00113B44" w:rsidRPr="009526A6" w:rsidRDefault="78B91798" w:rsidP="57C424F2">
      <w:pPr>
        <w:jc w:val="both"/>
        <w:rPr>
          <w:b/>
          <w:bCs/>
          <w:i/>
          <w:iCs/>
          <w:sz w:val="22"/>
          <w:szCs w:val="22"/>
        </w:rPr>
      </w:pPr>
      <w:r w:rsidRPr="009526A6">
        <w:rPr>
          <w:sz w:val="22"/>
          <w:szCs w:val="22"/>
        </w:rPr>
        <w:t xml:space="preserve">Ohio Rev. </w:t>
      </w:r>
      <w:r w:rsidR="0B9DA557" w:rsidRPr="009526A6">
        <w:rPr>
          <w:sz w:val="22"/>
          <w:szCs w:val="22"/>
        </w:rPr>
        <w:t xml:space="preserve">Code </w:t>
      </w:r>
      <w:r w:rsidR="35185B03" w:rsidRPr="009526A6">
        <w:rPr>
          <w:sz w:val="22"/>
          <w:szCs w:val="22"/>
        </w:rPr>
        <w:t>§ 5</w:t>
      </w:r>
      <w:r w:rsidRPr="009526A6">
        <w:rPr>
          <w:sz w:val="22"/>
          <w:szCs w:val="22"/>
        </w:rPr>
        <w:t>705.14 requires a resolution of the taxing authority passed by an affirmative vote of two-thirds of the members (except a simple majority is sufficient for transfers from the general fund</w:t>
      </w:r>
      <w:r w:rsidR="002A3E67" w:rsidRPr="009526A6">
        <w:rPr>
          <w:sz w:val="22"/>
          <w:szCs w:val="22"/>
        </w:rPr>
        <w:t xml:space="preserve"> and in the case of </w:t>
      </w:r>
      <w:r w:rsidR="00681472" w:rsidRPr="009526A6">
        <w:rPr>
          <w:sz w:val="22"/>
          <w:szCs w:val="22"/>
        </w:rPr>
        <w:t xml:space="preserve">money in any fund or account of </w:t>
      </w:r>
      <w:r w:rsidR="002A3E67" w:rsidRPr="009526A6">
        <w:rPr>
          <w:sz w:val="22"/>
          <w:szCs w:val="22"/>
        </w:rPr>
        <w:t>a dissolved village</w:t>
      </w:r>
      <w:r w:rsidRPr="009526A6">
        <w:rPr>
          <w:sz w:val="22"/>
          <w:szCs w:val="22"/>
        </w:rPr>
        <w:t>).</w:t>
      </w:r>
      <w:r w:rsidR="42A64A9D" w:rsidRPr="009526A6">
        <w:rPr>
          <w:sz w:val="22"/>
          <w:szCs w:val="22"/>
        </w:rPr>
        <w:t xml:space="preserve">  1989 Att’y Gen. No. 89-075.</w:t>
      </w:r>
      <w:r w:rsidRPr="009526A6">
        <w:rPr>
          <w:sz w:val="22"/>
          <w:szCs w:val="22"/>
        </w:rPr>
        <w:t xml:space="preserve">  Sometimes, subdivisions fail to obtain the required approval prior to making transfers.  Auditors should cite noncompliance for all unapproved transfers; however, there is no need to issue a Finding for Adjustment if the transfer(s) </w:t>
      </w:r>
      <w:r w:rsidR="3750DCFA" w:rsidRPr="009526A6">
        <w:rPr>
          <w:sz w:val="22"/>
          <w:szCs w:val="22"/>
        </w:rPr>
        <w:t>is (</w:t>
      </w:r>
      <w:r w:rsidRPr="009526A6">
        <w:rPr>
          <w:sz w:val="22"/>
          <w:szCs w:val="22"/>
        </w:rPr>
        <w:t xml:space="preserve">are) otherwise allowable under statute.  </w:t>
      </w:r>
      <w:r w:rsidRPr="009526A6">
        <w:rPr>
          <w:b/>
          <w:bCs/>
          <w:i/>
          <w:iCs/>
          <w:sz w:val="22"/>
          <w:szCs w:val="22"/>
        </w:rPr>
        <w:t xml:space="preserve">Meaning, AOS will not require local governments to reverse the </w:t>
      </w:r>
      <w:r w:rsidR="17F8C0F9" w:rsidRPr="009526A6">
        <w:rPr>
          <w:b/>
          <w:bCs/>
          <w:i/>
          <w:iCs/>
          <w:sz w:val="22"/>
          <w:szCs w:val="22"/>
        </w:rPr>
        <w:t>effects</w:t>
      </w:r>
      <w:r w:rsidRPr="009526A6">
        <w:rPr>
          <w:b/>
          <w:bCs/>
          <w:i/>
          <w:iCs/>
          <w:sz w:val="22"/>
          <w:szCs w:val="22"/>
        </w:rPr>
        <w:t xml:space="preserve"> of unapproved transfers in their financial statements or accounting systems </w:t>
      </w:r>
      <w:r w:rsidR="733A909D" w:rsidRPr="009526A6">
        <w:rPr>
          <w:b/>
          <w:bCs/>
          <w:i/>
          <w:iCs/>
          <w:sz w:val="22"/>
          <w:szCs w:val="22"/>
        </w:rPr>
        <w:t xml:space="preserve">if </w:t>
      </w:r>
      <w:r w:rsidRPr="009526A6">
        <w:rPr>
          <w:b/>
          <w:bCs/>
          <w:i/>
          <w:iCs/>
          <w:sz w:val="22"/>
          <w:szCs w:val="22"/>
        </w:rPr>
        <w:t>local governments otherwise possessed statutory authority to make such transfers</w:t>
      </w:r>
      <w:r w:rsidR="75292ED1" w:rsidRPr="009526A6">
        <w:rPr>
          <w:b/>
          <w:bCs/>
          <w:i/>
          <w:iCs/>
          <w:sz w:val="22"/>
          <w:szCs w:val="22"/>
        </w:rPr>
        <w:t xml:space="preserve"> and there is evidence that </w:t>
      </w:r>
      <w:r w:rsidR="223FD8F0" w:rsidRPr="009526A6">
        <w:rPr>
          <w:b/>
          <w:bCs/>
          <w:i/>
          <w:iCs/>
          <w:sz w:val="22"/>
          <w:szCs w:val="22"/>
        </w:rPr>
        <w:t>the appropriate lev</w:t>
      </w:r>
      <w:r w:rsidR="21E81B26" w:rsidRPr="009526A6">
        <w:rPr>
          <w:b/>
          <w:bCs/>
          <w:i/>
          <w:iCs/>
          <w:sz w:val="22"/>
          <w:szCs w:val="22"/>
        </w:rPr>
        <w:t>e</w:t>
      </w:r>
      <w:r w:rsidR="223FD8F0" w:rsidRPr="009526A6">
        <w:rPr>
          <w:b/>
          <w:bCs/>
          <w:i/>
          <w:iCs/>
          <w:sz w:val="22"/>
          <w:szCs w:val="22"/>
        </w:rPr>
        <w:t xml:space="preserve">l of </w:t>
      </w:r>
      <w:r w:rsidR="75292ED1" w:rsidRPr="009526A6">
        <w:rPr>
          <w:b/>
          <w:bCs/>
          <w:i/>
          <w:iCs/>
          <w:sz w:val="22"/>
          <w:szCs w:val="22"/>
        </w:rPr>
        <w:t>majority</w:t>
      </w:r>
      <w:r w:rsidR="71EF5568" w:rsidRPr="009526A6">
        <w:rPr>
          <w:b/>
          <w:bCs/>
          <w:i/>
          <w:iCs/>
          <w:sz w:val="22"/>
          <w:szCs w:val="22"/>
        </w:rPr>
        <w:t xml:space="preserve"> </w:t>
      </w:r>
      <w:r w:rsidR="75292ED1" w:rsidRPr="009526A6">
        <w:rPr>
          <w:b/>
          <w:bCs/>
          <w:i/>
          <w:iCs/>
          <w:sz w:val="22"/>
          <w:szCs w:val="22"/>
        </w:rPr>
        <w:t>of the governing board accepts the transfers that were made (e.g., a retroactive resolution or other documentary evidence)</w:t>
      </w:r>
      <w:r w:rsidRPr="009526A6">
        <w:rPr>
          <w:b/>
          <w:bCs/>
          <w:i/>
          <w:iCs/>
          <w:sz w:val="22"/>
          <w:szCs w:val="22"/>
        </w:rPr>
        <w:t xml:space="preserve">.  </w:t>
      </w:r>
    </w:p>
    <w:p w14:paraId="1233DDBA" w14:textId="77777777" w:rsidR="00113B44" w:rsidRPr="009526A6" w:rsidRDefault="00113B44" w:rsidP="00113B44">
      <w:pPr>
        <w:jc w:val="both"/>
        <w:rPr>
          <w:sz w:val="22"/>
          <w:szCs w:val="22"/>
        </w:rPr>
      </w:pPr>
    </w:p>
    <w:p w14:paraId="6ACDE6D5" w14:textId="77777777" w:rsidR="00113B44" w:rsidRPr="009526A6" w:rsidRDefault="00113B44" w:rsidP="00113B44">
      <w:pPr>
        <w:jc w:val="both"/>
        <w:rPr>
          <w:sz w:val="22"/>
          <w:szCs w:val="22"/>
        </w:rPr>
      </w:pPr>
      <w:r w:rsidRPr="009526A6">
        <w:rPr>
          <w:sz w:val="22"/>
          <w:szCs w:val="22"/>
        </w:rPr>
        <w:t xml:space="preserve">Ohio Rev. Code </w:t>
      </w:r>
      <w:r w:rsidR="009B4BF1" w:rsidRPr="009526A6">
        <w:rPr>
          <w:sz w:val="22"/>
          <w:szCs w:val="22"/>
        </w:rPr>
        <w:t>§§ 5</w:t>
      </w:r>
      <w:r w:rsidRPr="009526A6">
        <w:rPr>
          <w:sz w:val="22"/>
          <w:szCs w:val="22"/>
        </w:rPr>
        <w:t xml:space="preserve">705.14 - .16 do not provide for retroactive approval of transfers.  Therefore, subdivisions cannot retroactively approve transfers after auditors bring them to their attention </w:t>
      </w:r>
      <w:proofErr w:type="gramStart"/>
      <w:r w:rsidRPr="009526A6">
        <w:rPr>
          <w:sz w:val="22"/>
          <w:szCs w:val="22"/>
        </w:rPr>
        <w:t>in an attempt to</w:t>
      </w:r>
      <w:proofErr w:type="gramEnd"/>
      <w:r w:rsidRPr="009526A6">
        <w:rPr>
          <w:sz w:val="22"/>
          <w:szCs w:val="22"/>
        </w:rPr>
        <w:t xml:space="preserve"> eliminate the noncompliance citation.  </w:t>
      </w:r>
    </w:p>
    <w:p w14:paraId="781D7768" w14:textId="77777777" w:rsidR="0061518D" w:rsidRPr="009526A6" w:rsidRDefault="0061518D" w:rsidP="00113B44">
      <w:pPr>
        <w:jc w:val="both"/>
        <w:rPr>
          <w:sz w:val="22"/>
          <w:szCs w:val="22"/>
        </w:rPr>
      </w:pPr>
    </w:p>
    <w:p w14:paraId="1D7ABEB4" w14:textId="46CA36A4" w:rsidR="00113B44" w:rsidRPr="009526A6" w:rsidRDefault="00113B44" w:rsidP="00113B44">
      <w:pPr>
        <w:jc w:val="both"/>
        <w:rPr>
          <w:i/>
          <w:sz w:val="22"/>
          <w:szCs w:val="22"/>
        </w:rPr>
      </w:pPr>
      <w:r w:rsidRPr="009526A6">
        <w:rPr>
          <w:i/>
          <w:sz w:val="22"/>
          <w:szCs w:val="22"/>
        </w:rPr>
        <w:t>Transfers to Debt Service Funds</w:t>
      </w:r>
    </w:p>
    <w:p w14:paraId="08F2C4DA" w14:textId="0DA48DB7" w:rsidR="00113B44" w:rsidRPr="009526A6" w:rsidRDefault="084B4D8F" w:rsidP="00113B44">
      <w:pPr>
        <w:jc w:val="both"/>
        <w:rPr>
          <w:sz w:val="22"/>
          <w:szCs w:val="22"/>
        </w:rPr>
      </w:pPr>
      <w:r w:rsidRPr="009526A6">
        <w:rPr>
          <w:sz w:val="22"/>
          <w:szCs w:val="22"/>
        </w:rPr>
        <w:t xml:space="preserve">Debt issued under the authority of Ohio Rev. Code Chapter 133 </w:t>
      </w:r>
      <w:r w:rsidR="0FAE6100" w:rsidRPr="009526A6">
        <w:rPr>
          <w:sz w:val="22"/>
          <w:szCs w:val="22"/>
        </w:rPr>
        <w:t>must</w:t>
      </w:r>
      <w:r w:rsidRPr="009526A6">
        <w:rPr>
          <w:sz w:val="22"/>
          <w:szCs w:val="22"/>
        </w:rPr>
        <w:t xml:space="preserve"> be retired through a governmental Debt Service Fund type.  Other types of debt may generally be retired within other fund types.  </w:t>
      </w:r>
      <w:r w:rsidRPr="009526A6">
        <w:rPr>
          <w:i/>
          <w:iCs/>
          <w:sz w:val="22"/>
          <w:szCs w:val="22"/>
        </w:rPr>
        <w:t>However, a separate account, special cost center, etc. should be used to separately track the sinking fund requirements</w:t>
      </w:r>
      <w:r w:rsidRPr="009526A6">
        <w:rPr>
          <w:sz w:val="22"/>
          <w:szCs w:val="22"/>
        </w:rPr>
        <w:t>. Typically, it is preferable to retire the debt within the fund type that will be generating the revenues legally obligated to make the debt service payments.</w:t>
      </w:r>
    </w:p>
    <w:p w14:paraId="6476A148" w14:textId="77777777" w:rsidR="00113B44" w:rsidRPr="009526A6" w:rsidRDefault="00113B44" w:rsidP="00113B44">
      <w:pPr>
        <w:jc w:val="both"/>
        <w:rPr>
          <w:sz w:val="22"/>
          <w:szCs w:val="22"/>
        </w:rPr>
      </w:pPr>
    </w:p>
    <w:p w14:paraId="361628F0" w14:textId="38128C91" w:rsidR="00113B44" w:rsidRPr="009526A6" w:rsidRDefault="00113B44" w:rsidP="00113B44">
      <w:pPr>
        <w:jc w:val="both"/>
        <w:rPr>
          <w:sz w:val="22"/>
          <w:szCs w:val="22"/>
        </w:rPr>
      </w:pPr>
      <w:r w:rsidRPr="009526A6">
        <w:rPr>
          <w:sz w:val="22"/>
          <w:szCs w:val="22"/>
        </w:rPr>
        <w:t xml:space="preserve">For example, </w:t>
      </w:r>
      <w:proofErr w:type="gramStart"/>
      <w:r w:rsidRPr="009526A6">
        <w:rPr>
          <w:sz w:val="22"/>
          <w:szCs w:val="22"/>
        </w:rPr>
        <w:t>assume</w:t>
      </w:r>
      <w:proofErr w:type="gramEnd"/>
      <w:r w:rsidR="00795A39" w:rsidRPr="009526A6">
        <w:rPr>
          <w:sz w:val="22"/>
          <w:szCs w:val="22"/>
        </w:rPr>
        <w:t xml:space="preserve"> a</w:t>
      </w:r>
      <w:r w:rsidRPr="009526A6">
        <w:rPr>
          <w:sz w:val="22"/>
          <w:szCs w:val="22"/>
        </w:rPr>
        <w:t xml:space="preserve"> sewer fund debt covenant mandates a sewer debt service fund.  Assume the </w:t>
      </w:r>
      <w:proofErr w:type="gramStart"/>
      <w:r w:rsidRPr="009526A6">
        <w:rPr>
          <w:sz w:val="22"/>
          <w:szCs w:val="22"/>
        </w:rPr>
        <w:t>covenant</w:t>
      </w:r>
      <w:proofErr w:type="gramEnd"/>
      <w:r w:rsidRPr="009526A6">
        <w:rPr>
          <w:sz w:val="22"/>
          <w:szCs w:val="22"/>
        </w:rPr>
        <w:t xml:space="preserve"> mandates periodic transfers from the sewer operating fund to the sewer debt service fund.  These transfers are not subject to Ohio Rev. Code </w:t>
      </w:r>
      <w:r w:rsidR="009B4BF1" w:rsidRPr="009526A6">
        <w:rPr>
          <w:sz w:val="22"/>
          <w:szCs w:val="22"/>
        </w:rPr>
        <w:t>§§ 5</w:t>
      </w:r>
      <w:r w:rsidRPr="009526A6">
        <w:rPr>
          <w:sz w:val="22"/>
          <w:szCs w:val="22"/>
        </w:rPr>
        <w:t xml:space="preserve">705.14 - .16 because these transfers </w:t>
      </w:r>
      <w:r w:rsidRPr="009526A6">
        <w:rPr>
          <w:b/>
          <w:bCs/>
          <w:i/>
          <w:iCs/>
          <w:sz w:val="22"/>
          <w:szCs w:val="22"/>
        </w:rPr>
        <w:t>fulfill</w:t>
      </w:r>
      <w:r w:rsidRPr="009526A6">
        <w:rPr>
          <w:sz w:val="22"/>
          <w:szCs w:val="22"/>
        </w:rPr>
        <w:t xml:space="preserve"> rather than </w:t>
      </w:r>
      <w:r w:rsidRPr="009526A6">
        <w:rPr>
          <w:b/>
          <w:bCs/>
          <w:i/>
          <w:iCs/>
          <w:sz w:val="22"/>
          <w:szCs w:val="22"/>
        </w:rPr>
        <w:t>violate</w:t>
      </w:r>
      <w:r w:rsidRPr="009526A6">
        <w:rPr>
          <w:sz w:val="22"/>
          <w:szCs w:val="22"/>
        </w:rPr>
        <w:t xml:space="preserve"> restrictions on using the money.  Therefore, auditors should not cite noncompliance for “transfers” to a debt service fund if this is an appropriate use of the money in the fund making the “transfer.”  Subdivisions should record these transactions as </w:t>
      </w:r>
      <w:r w:rsidRPr="009526A6">
        <w:rPr>
          <w:i/>
          <w:iCs/>
          <w:sz w:val="22"/>
          <w:szCs w:val="22"/>
        </w:rPr>
        <w:t>transfers</w:t>
      </w:r>
      <w:r w:rsidRPr="009526A6">
        <w:rPr>
          <w:sz w:val="22"/>
          <w:szCs w:val="22"/>
        </w:rPr>
        <w:t xml:space="preserve"> in their financial statements and make the appropriate disclosures described below. </w:t>
      </w:r>
    </w:p>
    <w:p w14:paraId="544C9115" w14:textId="77777777" w:rsidR="00350EA6" w:rsidRPr="009526A6" w:rsidRDefault="00350EA6" w:rsidP="00113B44">
      <w:pPr>
        <w:jc w:val="both"/>
        <w:rPr>
          <w:sz w:val="22"/>
          <w:szCs w:val="22"/>
        </w:rPr>
      </w:pPr>
    </w:p>
    <w:p w14:paraId="65F9907F" w14:textId="77777777" w:rsidR="00113B44" w:rsidRPr="009526A6" w:rsidRDefault="00113B44" w:rsidP="00113B44">
      <w:pPr>
        <w:jc w:val="both"/>
        <w:rPr>
          <w:i/>
          <w:sz w:val="22"/>
          <w:szCs w:val="22"/>
        </w:rPr>
      </w:pPr>
      <w:r w:rsidRPr="009526A6">
        <w:rPr>
          <w:i/>
          <w:sz w:val="22"/>
          <w:szCs w:val="22"/>
        </w:rPr>
        <w:t>Transfer Disclosure Requirements</w:t>
      </w:r>
    </w:p>
    <w:p w14:paraId="32294E13" w14:textId="1BC55243" w:rsidR="00113B44" w:rsidRPr="009526A6" w:rsidRDefault="00113B44" w:rsidP="00113B44">
      <w:pPr>
        <w:jc w:val="both"/>
        <w:rPr>
          <w:sz w:val="22"/>
          <w:szCs w:val="22"/>
        </w:rPr>
      </w:pPr>
      <w:r w:rsidRPr="009526A6">
        <w:rPr>
          <w:sz w:val="22"/>
          <w:szCs w:val="22"/>
        </w:rPr>
        <w:t xml:space="preserve">GASB </w:t>
      </w:r>
      <w:r w:rsidR="00795553" w:rsidRPr="009526A6">
        <w:rPr>
          <w:sz w:val="22"/>
          <w:szCs w:val="22"/>
        </w:rPr>
        <w:t xml:space="preserve">Codification 2300.106 and .127 </w:t>
      </w:r>
      <w:r w:rsidRPr="009526A6">
        <w:rPr>
          <w:sz w:val="22"/>
          <w:szCs w:val="22"/>
        </w:rPr>
        <w:t xml:space="preserve">requires the following disclosures for </w:t>
      </w:r>
      <w:r w:rsidRPr="009526A6">
        <w:rPr>
          <w:i/>
          <w:sz w:val="22"/>
          <w:szCs w:val="22"/>
        </w:rPr>
        <w:t>transfers</w:t>
      </w:r>
      <w:r w:rsidRPr="009526A6">
        <w:rPr>
          <w:sz w:val="22"/>
          <w:szCs w:val="22"/>
        </w:rPr>
        <w:t>:</w:t>
      </w:r>
    </w:p>
    <w:p w14:paraId="75A504FE" w14:textId="77777777" w:rsidR="00113B44" w:rsidRPr="009526A6" w:rsidRDefault="00113B44" w:rsidP="00A66E45">
      <w:pPr>
        <w:numPr>
          <w:ilvl w:val="0"/>
          <w:numId w:val="17"/>
        </w:numPr>
        <w:jc w:val="both"/>
        <w:rPr>
          <w:sz w:val="22"/>
          <w:szCs w:val="22"/>
        </w:rPr>
      </w:pPr>
      <w:r w:rsidRPr="009526A6">
        <w:rPr>
          <w:sz w:val="22"/>
          <w:szCs w:val="22"/>
        </w:rPr>
        <w:t>A general description of the principal purposes of interfund transfers</w:t>
      </w:r>
      <w:r w:rsidR="002959F7" w:rsidRPr="009526A6">
        <w:rPr>
          <w:sz w:val="22"/>
          <w:szCs w:val="22"/>
        </w:rPr>
        <w:t>.</w:t>
      </w:r>
      <w:r w:rsidRPr="009526A6">
        <w:rPr>
          <w:sz w:val="22"/>
          <w:szCs w:val="22"/>
        </w:rPr>
        <w:t xml:space="preserve"> </w:t>
      </w:r>
    </w:p>
    <w:p w14:paraId="56BD7929" w14:textId="77777777" w:rsidR="00113B44" w:rsidRPr="009526A6" w:rsidRDefault="00113B44" w:rsidP="00A66E45">
      <w:pPr>
        <w:numPr>
          <w:ilvl w:val="0"/>
          <w:numId w:val="17"/>
        </w:numPr>
        <w:jc w:val="both"/>
        <w:rPr>
          <w:sz w:val="22"/>
          <w:szCs w:val="22"/>
        </w:rPr>
      </w:pPr>
      <w:r w:rsidRPr="009526A6">
        <w:rPr>
          <w:sz w:val="22"/>
          <w:szCs w:val="22"/>
        </w:rPr>
        <w:t xml:space="preserve">The intended purpose and the </w:t>
      </w:r>
      <w:proofErr w:type="gramStart"/>
      <w:r w:rsidRPr="009526A6">
        <w:rPr>
          <w:sz w:val="22"/>
          <w:szCs w:val="22"/>
        </w:rPr>
        <w:t>amount</w:t>
      </w:r>
      <w:proofErr w:type="gramEnd"/>
      <w:r w:rsidRPr="009526A6">
        <w:rPr>
          <w:sz w:val="22"/>
          <w:szCs w:val="22"/>
        </w:rPr>
        <w:t xml:space="preserve"> of significant transfers that meet either or both of the following criteria: </w:t>
      </w:r>
    </w:p>
    <w:p w14:paraId="3DDE0185" w14:textId="77777777" w:rsidR="00113B44" w:rsidRPr="009526A6" w:rsidRDefault="00113B44" w:rsidP="00A66E45">
      <w:pPr>
        <w:numPr>
          <w:ilvl w:val="1"/>
          <w:numId w:val="17"/>
        </w:numPr>
        <w:jc w:val="both"/>
        <w:rPr>
          <w:sz w:val="22"/>
          <w:szCs w:val="22"/>
        </w:rPr>
      </w:pPr>
      <w:r w:rsidRPr="009526A6">
        <w:rPr>
          <w:sz w:val="22"/>
          <w:szCs w:val="22"/>
        </w:rPr>
        <w:t xml:space="preserve">Do not occur on a routine </w:t>
      </w:r>
      <w:proofErr w:type="gramStart"/>
      <w:r w:rsidRPr="009526A6">
        <w:rPr>
          <w:sz w:val="22"/>
          <w:szCs w:val="22"/>
        </w:rPr>
        <w:t>basis—</w:t>
      </w:r>
      <w:proofErr w:type="gramEnd"/>
      <w:r w:rsidRPr="009526A6">
        <w:rPr>
          <w:sz w:val="22"/>
          <w:szCs w:val="22"/>
        </w:rPr>
        <w:t>for example, a transfer to a wastewater enterprise fund for the local match of a federal pollution control grant.</w:t>
      </w:r>
    </w:p>
    <w:p w14:paraId="04BB8396" w14:textId="4B110052" w:rsidR="001E254F" w:rsidRPr="009526A6" w:rsidRDefault="00113B44" w:rsidP="00964EDB">
      <w:pPr>
        <w:numPr>
          <w:ilvl w:val="1"/>
          <w:numId w:val="17"/>
        </w:numPr>
        <w:jc w:val="both"/>
        <w:rPr>
          <w:sz w:val="22"/>
          <w:szCs w:val="22"/>
        </w:rPr>
      </w:pPr>
      <w:r w:rsidRPr="009526A6">
        <w:rPr>
          <w:sz w:val="22"/>
          <w:szCs w:val="22"/>
        </w:rPr>
        <w:t xml:space="preserve">Are inconsistent with the activities of the fund making the transfer—for example, a transfer from a sewer operating fund to the debt service fund </w:t>
      </w:r>
      <w:r w:rsidRPr="009526A6">
        <w:rPr>
          <w:i/>
          <w:sz w:val="22"/>
          <w:szCs w:val="22"/>
        </w:rPr>
        <w:t>(because the subdivision mistakenly believed it was required to establish a separate governmental debt service fund to retire the non-Chapter 133, sewer-related debt)</w:t>
      </w:r>
      <w:r w:rsidRPr="009526A6">
        <w:rPr>
          <w:sz w:val="22"/>
          <w:szCs w:val="22"/>
        </w:rPr>
        <w:t>.</w:t>
      </w:r>
    </w:p>
    <w:p w14:paraId="75B61340" w14:textId="75D82B07" w:rsidR="000B1DE2" w:rsidRPr="009526A6" w:rsidRDefault="00864BAC" w:rsidP="000B1DE2">
      <w:pPr>
        <w:numPr>
          <w:ilvl w:val="0"/>
          <w:numId w:val="17"/>
        </w:numPr>
        <w:jc w:val="both"/>
        <w:rPr>
          <w:sz w:val="22"/>
          <w:szCs w:val="22"/>
        </w:rPr>
      </w:pPr>
      <w:r w:rsidRPr="009526A6">
        <w:rPr>
          <w:sz w:val="22"/>
          <w:szCs w:val="22"/>
        </w:rPr>
        <w:t xml:space="preserve">Amounts transferred from other funds by individual major </w:t>
      </w:r>
      <w:proofErr w:type="gramStart"/>
      <w:r w:rsidRPr="009526A6">
        <w:rPr>
          <w:sz w:val="22"/>
          <w:szCs w:val="22"/>
        </w:rPr>
        <w:t>fund</w:t>
      </w:r>
      <w:proofErr w:type="gramEnd"/>
      <w:r w:rsidRPr="009526A6">
        <w:rPr>
          <w:sz w:val="22"/>
          <w:szCs w:val="22"/>
        </w:rPr>
        <w:t>, nonmajor governmental funds in the aggregate, nonmajor enterprise funds in the aggregate, and internal service funds in the aggregate.</w:t>
      </w:r>
    </w:p>
    <w:p w14:paraId="66461A8F" w14:textId="77777777" w:rsidR="001E254F" w:rsidRDefault="001E254F">
      <w:pPr>
        <w:rPr>
          <w:sz w:val="24"/>
          <w:szCs w:val="24"/>
        </w:rPr>
      </w:pPr>
      <w:r>
        <w:rPr>
          <w:sz w:val="24"/>
          <w:szCs w:val="24"/>
        </w:rPr>
        <w:br w:type="page"/>
      </w:r>
    </w:p>
    <w:p w14:paraId="741EB206" w14:textId="05B4FFF2" w:rsidR="00113B44" w:rsidRPr="004B4D9C" w:rsidRDefault="00113B44" w:rsidP="00621F8F">
      <w:pPr>
        <w:pStyle w:val="Title"/>
        <w:shd w:val="clear" w:color="auto" w:fill="A6A6A6" w:themeFill="background1" w:themeFillShade="A6"/>
        <w:ind w:left="0"/>
      </w:pPr>
      <w:bookmarkStart w:id="41" w:name="_Toc214431136"/>
      <w:r>
        <w:t>APPENDIX A-2 Direct Charges</w:t>
      </w:r>
      <w:r w:rsidR="00457C10">
        <w:t xml:space="preserve"> </w:t>
      </w:r>
      <w:r w:rsidR="00457C10" w:rsidRPr="00B765AA">
        <w:rPr>
          <w:i/>
          <w:iCs/>
        </w:rPr>
        <w:t xml:space="preserve">(Applies to </w:t>
      </w:r>
      <w:r w:rsidR="00262A33" w:rsidRPr="00B765AA">
        <w:rPr>
          <w:i/>
          <w:iCs/>
        </w:rPr>
        <w:t>Sections</w:t>
      </w:r>
      <w:r w:rsidR="009403FD" w:rsidRPr="00B765AA">
        <w:rPr>
          <w:i/>
          <w:iCs/>
        </w:rPr>
        <w:t xml:space="preserve"> 1-2</w:t>
      </w:r>
      <w:r w:rsidR="00847234" w:rsidRPr="00B765AA">
        <w:rPr>
          <w:i/>
          <w:iCs/>
        </w:rPr>
        <w:t xml:space="preserve"> &amp; </w:t>
      </w:r>
      <w:r w:rsidR="009403FD" w:rsidRPr="00B765AA">
        <w:rPr>
          <w:i/>
          <w:iCs/>
        </w:rPr>
        <w:t>2A-</w:t>
      </w:r>
      <w:r w:rsidR="00B765AA" w:rsidRPr="00B765AA">
        <w:rPr>
          <w:i/>
          <w:iCs/>
        </w:rPr>
        <w:t>2</w:t>
      </w:r>
      <w:r w:rsidR="00457C10" w:rsidRPr="00B765AA">
        <w:rPr>
          <w:i/>
          <w:iCs/>
        </w:rPr>
        <w:t>)</w:t>
      </w:r>
      <w:bookmarkEnd w:id="41"/>
    </w:p>
    <w:p w14:paraId="6555EC2F" w14:textId="77777777" w:rsidR="00B845EC" w:rsidRPr="009526A6" w:rsidRDefault="00B845EC" w:rsidP="00113B44">
      <w:pPr>
        <w:jc w:val="center"/>
        <w:rPr>
          <w:b/>
          <w:sz w:val="24"/>
          <w:szCs w:val="24"/>
        </w:rPr>
      </w:pPr>
    </w:p>
    <w:p w14:paraId="1F68D876" w14:textId="1BF0E7A3" w:rsidR="00113B44" w:rsidRPr="009526A6" w:rsidRDefault="00113B44" w:rsidP="00113B44">
      <w:pPr>
        <w:jc w:val="center"/>
        <w:rPr>
          <w:b/>
          <w:sz w:val="22"/>
          <w:szCs w:val="22"/>
        </w:rPr>
      </w:pPr>
      <w:r w:rsidRPr="009526A6">
        <w:rPr>
          <w:b/>
          <w:sz w:val="22"/>
          <w:szCs w:val="22"/>
        </w:rPr>
        <w:t>DIRECT CHARGES</w:t>
      </w:r>
    </w:p>
    <w:p w14:paraId="1444EEF4" w14:textId="77777777" w:rsidR="00113B44" w:rsidRPr="009526A6" w:rsidRDefault="00113B44" w:rsidP="00113B44">
      <w:pPr>
        <w:jc w:val="center"/>
        <w:rPr>
          <w:b/>
          <w:sz w:val="22"/>
          <w:szCs w:val="22"/>
        </w:rPr>
      </w:pPr>
      <w:r w:rsidRPr="009526A6">
        <w:rPr>
          <w:b/>
          <w:sz w:val="22"/>
          <w:szCs w:val="22"/>
        </w:rPr>
        <w:t>(i.e. payments not requiring fiscal officer certification / encumbering)</w:t>
      </w:r>
    </w:p>
    <w:p w14:paraId="7FA790C3" w14:textId="77777777" w:rsidR="004F29C3" w:rsidRPr="009526A6" w:rsidRDefault="004F29C3" w:rsidP="000F3918">
      <w:pPr>
        <w:jc w:val="both"/>
        <w:rPr>
          <w:sz w:val="22"/>
          <w:szCs w:val="22"/>
        </w:rPr>
      </w:pPr>
    </w:p>
    <w:p w14:paraId="2A62B3E7" w14:textId="007E12E5" w:rsidR="00113B44" w:rsidRPr="009526A6" w:rsidRDefault="00113B44" w:rsidP="000F3918">
      <w:pPr>
        <w:jc w:val="both"/>
        <w:rPr>
          <w:sz w:val="22"/>
          <w:szCs w:val="22"/>
        </w:rPr>
      </w:pPr>
      <w:r w:rsidRPr="009526A6">
        <w:rPr>
          <w:sz w:val="22"/>
          <w:szCs w:val="22"/>
        </w:rPr>
        <w:t xml:space="preserve">The AOS interprets </w:t>
      </w:r>
      <w:r w:rsidR="009E75D3" w:rsidRPr="009526A6">
        <w:rPr>
          <w:sz w:val="22"/>
          <w:szCs w:val="22"/>
        </w:rPr>
        <w:t xml:space="preserve">Ohio Rev. Code </w:t>
      </w:r>
      <w:r w:rsidR="009B4BF1" w:rsidRPr="009526A6">
        <w:rPr>
          <w:sz w:val="22"/>
          <w:szCs w:val="22"/>
        </w:rPr>
        <w:t>§§ 5</w:t>
      </w:r>
      <w:r w:rsidRPr="009526A6">
        <w:rPr>
          <w:sz w:val="22"/>
          <w:szCs w:val="22"/>
        </w:rPr>
        <w:t>705.41 and 5705.46</w:t>
      </w:r>
      <w:r w:rsidRPr="009526A6">
        <w:rPr>
          <w:rStyle w:val="FootnoteReference"/>
          <w:sz w:val="22"/>
          <w:szCs w:val="22"/>
        </w:rPr>
        <w:footnoteReference w:id="32"/>
      </w:r>
      <w:r w:rsidRPr="009526A6">
        <w:rPr>
          <w:sz w:val="22"/>
          <w:szCs w:val="22"/>
        </w:rPr>
        <w:t xml:space="preserve"> to authorize direct charges (certification/encumbering under 5705.41(D)) is not required). </w:t>
      </w:r>
    </w:p>
    <w:p w14:paraId="279C6715" w14:textId="77777777" w:rsidR="00113B44" w:rsidRPr="009526A6" w:rsidRDefault="00113B44" w:rsidP="000F3918">
      <w:pPr>
        <w:jc w:val="both"/>
        <w:rPr>
          <w:sz w:val="22"/>
          <w:szCs w:val="22"/>
        </w:rPr>
      </w:pPr>
    </w:p>
    <w:p w14:paraId="362B5304" w14:textId="31455A10" w:rsidR="00113B44" w:rsidRPr="009526A6" w:rsidRDefault="00113B44" w:rsidP="000F3918">
      <w:pPr>
        <w:jc w:val="both"/>
        <w:rPr>
          <w:sz w:val="22"/>
          <w:szCs w:val="22"/>
        </w:rPr>
      </w:pPr>
      <w:r w:rsidRPr="009526A6">
        <w:rPr>
          <w:sz w:val="22"/>
          <w:szCs w:val="22"/>
        </w:rPr>
        <w:t xml:space="preserve">Per </w:t>
      </w:r>
      <w:r w:rsidR="009B4BF1" w:rsidRPr="009526A6">
        <w:rPr>
          <w:sz w:val="22"/>
          <w:szCs w:val="22"/>
        </w:rPr>
        <w:t xml:space="preserve">Ohio Rev. Code § </w:t>
      </w:r>
      <w:r w:rsidRPr="009526A6">
        <w:rPr>
          <w:sz w:val="22"/>
          <w:szCs w:val="22"/>
        </w:rPr>
        <w:t>5705.41(D)(3</w:t>
      </w:r>
      <w:r w:rsidR="005E3E8E" w:rsidRPr="009526A6">
        <w:rPr>
          <w:sz w:val="22"/>
          <w:szCs w:val="22"/>
        </w:rPr>
        <w:t>),</w:t>
      </w:r>
      <w:r w:rsidRPr="009526A6">
        <w:rPr>
          <w:sz w:val="22"/>
          <w:szCs w:val="22"/>
        </w:rPr>
        <w:t xml:space="preserve"> “Contract” as used in this section excludes current payrolls of regular employees and officers.  Therefore, the following payroll-related costs do not require certification:</w:t>
      </w:r>
    </w:p>
    <w:p w14:paraId="371C97BF" w14:textId="77777777" w:rsidR="00113B44" w:rsidRPr="009526A6" w:rsidRDefault="00113B44" w:rsidP="00A66E45">
      <w:pPr>
        <w:pStyle w:val="ListParagraph"/>
        <w:numPr>
          <w:ilvl w:val="0"/>
          <w:numId w:val="19"/>
        </w:numPr>
        <w:jc w:val="both"/>
        <w:rPr>
          <w:sz w:val="22"/>
          <w:szCs w:val="22"/>
        </w:rPr>
      </w:pPr>
      <w:r w:rsidRPr="009526A6">
        <w:rPr>
          <w:sz w:val="22"/>
          <w:szCs w:val="22"/>
        </w:rPr>
        <w:t>Salaries</w:t>
      </w:r>
    </w:p>
    <w:p w14:paraId="5EF64550" w14:textId="77777777" w:rsidR="00113B44" w:rsidRPr="009526A6" w:rsidRDefault="00113B44" w:rsidP="00A66E45">
      <w:pPr>
        <w:pStyle w:val="ListParagraph"/>
        <w:numPr>
          <w:ilvl w:val="0"/>
          <w:numId w:val="19"/>
        </w:numPr>
        <w:jc w:val="both"/>
        <w:rPr>
          <w:sz w:val="22"/>
          <w:szCs w:val="22"/>
        </w:rPr>
      </w:pPr>
      <w:r w:rsidRPr="009526A6">
        <w:rPr>
          <w:sz w:val="22"/>
          <w:szCs w:val="22"/>
        </w:rPr>
        <w:t>Employers’ Retirement Contributions</w:t>
      </w:r>
    </w:p>
    <w:p w14:paraId="28CE007B" w14:textId="77777777" w:rsidR="00113B44" w:rsidRPr="009526A6" w:rsidRDefault="00113B44" w:rsidP="00A66E45">
      <w:pPr>
        <w:pStyle w:val="ListParagraph"/>
        <w:numPr>
          <w:ilvl w:val="1"/>
          <w:numId w:val="19"/>
        </w:numPr>
        <w:jc w:val="both"/>
        <w:rPr>
          <w:sz w:val="22"/>
          <w:szCs w:val="22"/>
        </w:rPr>
      </w:pPr>
      <w:r w:rsidRPr="009526A6">
        <w:rPr>
          <w:sz w:val="22"/>
          <w:szCs w:val="22"/>
        </w:rPr>
        <w:t>Ohio Public Employees Retirement System</w:t>
      </w:r>
    </w:p>
    <w:p w14:paraId="01F5302D" w14:textId="77777777" w:rsidR="00113B44" w:rsidRPr="009526A6" w:rsidRDefault="00113B44" w:rsidP="00A66E45">
      <w:pPr>
        <w:pStyle w:val="ListParagraph"/>
        <w:numPr>
          <w:ilvl w:val="1"/>
          <w:numId w:val="19"/>
        </w:numPr>
        <w:jc w:val="both"/>
        <w:rPr>
          <w:sz w:val="22"/>
          <w:szCs w:val="22"/>
        </w:rPr>
      </w:pPr>
      <w:r w:rsidRPr="009526A6">
        <w:rPr>
          <w:sz w:val="22"/>
          <w:szCs w:val="22"/>
        </w:rPr>
        <w:t>Social Security</w:t>
      </w:r>
    </w:p>
    <w:p w14:paraId="3645D862" w14:textId="77777777" w:rsidR="00113B44" w:rsidRPr="009526A6" w:rsidRDefault="00113B44" w:rsidP="00A66E45">
      <w:pPr>
        <w:pStyle w:val="ListParagraph"/>
        <w:numPr>
          <w:ilvl w:val="1"/>
          <w:numId w:val="19"/>
        </w:numPr>
        <w:jc w:val="both"/>
        <w:rPr>
          <w:sz w:val="22"/>
          <w:szCs w:val="22"/>
        </w:rPr>
      </w:pPr>
      <w:r w:rsidRPr="009526A6">
        <w:rPr>
          <w:sz w:val="22"/>
          <w:szCs w:val="22"/>
        </w:rPr>
        <w:t>Medicare</w:t>
      </w:r>
    </w:p>
    <w:p w14:paraId="308AFD9F" w14:textId="77777777" w:rsidR="00113B44" w:rsidRPr="009526A6" w:rsidRDefault="00113B44" w:rsidP="00A66E45">
      <w:pPr>
        <w:pStyle w:val="ListParagraph"/>
        <w:numPr>
          <w:ilvl w:val="1"/>
          <w:numId w:val="19"/>
        </w:numPr>
        <w:jc w:val="both"/>
        <w:rPr>
          <w:sz w:val="22"/>
          <w:szCs w:val="22"/>
        </w:rPr>
      </w:pPr>
      <w:r w:rsidRPr="009526A6">
        <w:rPr>
          <w:sz w:val="22"/>
          <w:szCs w:val="22"/>
        </w:rPr>
        <w:t>Volunteer Firemen’s Dependents Fund</w:t>
      </w:r>
    </w:p>
    <w:p w14:paraId="5F309B52" w14:textId="77777777" w:rsidR="00113B44" w:rsidRPr="009526A6" w:rsidRDefault="00113B44" w:rsidP="00A66E45">
      <w:pPr>
        <w:pStyle w:val="ListParagraph"/>
        <w:numPr>
          <w:ilvl w:val="1"/>
          <w:numId w:val="19"/>
        </w:numPr>
        <w:jc w:val="both"/>
        <w:rPr>
          <w:sz w:val="22"/>
          <w:szCs w:val="22"/>
        </w:rPr>
      </w:pPr>
      <w:r w:rsidRPr="009526A6">
        <w:rPr>
          <w:sz w:val="22"/>
          <w:szCs w:val="22"/>
        </w:rPr>
        <w:t>Ohio Police and Fire Pension Fund</w:t>
      </w:r>
    </w:p>
    <w:p w14:paraId="66C37B78" w14:textId="77777777" w:rsidR="00113B44" w:rsidRPr="009526A6" w:rsidRDefault="00113B44" w:rsidP="00A66E45">
      <w:pPr>
        <w:pStyle w:val="ListParagraph"/>
        <w:numPr>
          <w:ilvl w:val="1"/>
          <w:numId w:val="19"/>
        </w:numPr>
        <w:jc w:val="both"/>
        <w:rPr>
          <w:sz w:val="22"/>
          <w:szCs w:val="22"/>
        </w:rPr>
      </w:pPr>
      <w:r w:rsidRPr="009526A6">
        <w:rPr>
          <w:sz w:val="22"/>
          <w:szCs w:val="22"/>
        </w:rPr>
        <w:t>Other Employer’s Retirement Contributions</w:t>
      </w:r>
    </w:p>
    <w:p w14:paraId="74648CE6" w14:textId="77777777" w:rsidR="00113B44" w:rsidRPr="009526A6" w:rsidRDefault="00113B44" w:rsidP="00A66E45">
      <w:pPr>
        <w:pStyle w:val="ListParagraph"/>
        <w:numPr>
          <w:ilvl w:val="0"/>
          <w:numId w:val="19"/>
        </w:numPr>
        <w:jc w:val="both"/>
        <w:rPr>
          <w:sz w:val="22"/>
          <w:szCs w:val="22"/>
        </w:rPr>
      </w:pPr>
      <w:r w:rsidRPr="009526A6">
        <w:rPr>
          <w:sz w:val="22"/>
          <w:szCs w:val="22"/>
        </w:rPr>
        <w:t>Employee Fringe Benefits</w:t>
      </w:r>
    </w:p>
    <w:p w14:paraId="507E3962" w14:textId="77777777" w:rsidR="00113B44" w:rsidRPr="009526A6" w:rsidRDefault="00113B44" w:rsidP="00A66E45">
      <w:pPr>
        <w:pStyle w:val="ListParagraph"/>
        <w:numPr>
          <w:ilvl w:val="1"/>
          <w:numId w:val="19"/>
        </w:numPr>
        <w:jc w:val="both"/>
        <w:rPr>
          <w:sz w:val="22"/>
          <w:szCs w:val="22"/>
        </w:rPr>
      </w:pPr>
      <w:r w:rsidRPr="009526A6">
        <w:rPr>
          <w:sz w:val="22"/>
          <w:szCs w:val="22"/>
        </w:rPr>
        <w:t>Workers’ Compensation</w:t>
      </w:r>
    </w:p>
    <w:p w14:paraId="156C38C0" w14:textId="77777777" w:rsidR="00113B44" w:rsidRPr="009526A6" w:rsidRDefault="00113B44" w:rsidP="00A66E45">
      <w:pPr>
        <w:pStyle w:val="ListParagraph"/>
        <w:numPr>
          <w:ilvl w:val="1"/>
          <w:numId w:val="19"/>
        </w:numPr>
        <w:jc w:val="both"/>
        <w:rPr>
          <w:sz w:val="22"/>
          <w:szCs w:val="22"/>
        </w:rPr>
      </w:pPr>
      <w:r w:rsidRPr="009526A6">
        <w:rPr>
          <w:sz w:val="22"/>
          <w:szCs w:val="22"/>
        </w:rPr>
        <w:t>Unemployment Compensation</w:t>
      </w:r>
    </w:p>
    <w:p w14:paraId="73C9D08C" w14:textId="77777777" w:rsidR="00113B44" w:rsidRPr="009526A6" w:rsidRDefault="00113B44" w:rsidP="000F3918">
      <w:pPr>
        <w:jc w:val="both"/>
        <w:rPr>
          <w:sz w:val="22"/>
          <w:szCs w:val="22"/>
        </w:rPr>
      </w:pPr>
    </w:p>
    <w:p w14:paraId="205290E9" w14:textId="68AB469F" w:rsidR="00113B44" w:rsidRPr="009526A6" w:rsidRDefault="00113B44" w:rsidP="000F3918">
      <w:pPr>
        <w:jc w:val="both"/>
        <w:rPr>
          <w:sz w:val="22"/>
          <w:szCs w:val="22"/>
        </w:rPr>
      </w:pPr>
      <w:r w:rsidRPr="009526A6">
        <w:rPr>
          <w:sz w:val="22"/>
          <w:szCs w:val="22"/>
        </w:rPr>
        <w:t xml:space="preserve">The following items do not involve a contract, </w:t>
      </w:r>
      <w:r w:rsidR="0025092A" w:rsidRPr="009526A6">
        <w:rPr>
          <w:sz w:val="22"/>
          <w:szCs w:val="22"/>
        </w:rPr>
        <w:t xml:space="preserve">and </w:t>
      </w:r>
      <w:r w:rsidRPr="009526A6">
        <w:rPr>
          <w:sz w:val="22"/>
          <w:szCs w:val="22"/>
        </w:rPr>
        <w:t>therefore, do not require certification:</w:t>
      </w:r>
    </w:p>
    <w:p w14:paraId="4080FA48" w14:textId="453F84B3" w:rsidR="00F81ABA" w:rsidRPr="009526A6" w:rsidRDefault="00113B44" w:rsidP="00F81ABA">
      <w:pPr>
        <w:pStyle w:val="ListParagraph"/>
        <w:numPr>
          <w:ilvl w:val="0"/>
          <w:numId w:val="20"/>
        </w:numPr>
        <w:jc w:val="both"/>
        <w:rPr>
          <w:sz w:val="22"/>
          <w:szCs w:val="22"/>
        </w:rPr>
      </w:pPr>
      <w:r w:rsidRPr="009526A6">
        <w:rPr>
          <w:sz w:val="22"/>
          <w:szCs w:val="22"/>
        </w:rPr>
        <w:t>Tax Collection Fees – Expenses and fees as deducted by the county auditor, county treasurer and the state department of taxation for the collection and administration of taxes including advertising for delinquent taxes</w:t>
      </w:r>
      <w:r w:rsidR="00F81ABA" w:rsidRPr="009526A6">
        <w:rPr>
          <w:sz w:val="22"/>
          <w:szCs w:val="22"/>
        </w:rPr>
        <w:t>.</w:t>
      </w:r>
    </w:p>
    <w:p w14:paraId="51B5AFC7" w14:textId="77777777" w:rsidR="00113B44" w:rsidRPr="009526A6" w:rsidRDefault="00113B44" w:rsidP="00A66E45">
      <w:pPr>
        <w:pStyle w:val="ListParagraph"/>
        <w:numPr>
          <w:ilvl w:val="0"/>
          <w:numId w:val="20"/>
        </w:numPr>
        <w:jc w:val="both"/>
        <w:rPr>
          <w:sz w:val="22"/>
          <w:szCs w:val="22"/>
        </w:rPr>
      </w:pPr>
      <w:r w:rsidRPr="009526A6">
        <w:rPr>
          <w:sz w:val="22"/>
          <w:szCs w:val="22"/>
        </w:rPr>
        <w:t>Taxes and Assessments – General property taxes paid on newly acquired real estate and ass</w:t>
      </w:r>
      <w:r w:rsidR="00BE7DAD" w:rsidRPr="009526A6">
        <w:rPr>
          <w:sz w:val="22"/>
          <w:szCs w:val="22"/>
        </w:rPr>
        <w:t xml:space="preserve">essments paid on real property. </w:t>
      </w:r>
      <w:r w:rsidRPr="009526A6">
        <w:rPr>
          <w:sz w:val="22"/>
          <w:szCs w:val="22"/>
        </w:rPr>
        <w:t xml:space="preserve"> Also included are state sales taxes collected on items sold of a taxable natu</w:t>
      </w:r>
      <w:r w:rsidR="007C767C" w:rsidRPr="009526A6">
        <w:rPr>
          <w:sz w:val="22"/>
          <w:szCs w:val="22"/>
        </w:rPr>
        <w:t>re and later paid to the state.</w:t>
      </w:r>
      <w:r w:rsidRPr="009526A6">
        <w:rPr>
          <w:sz w:val="22"/>
          <w:szCs w:val="22"/>
        </w:rPr>
        <w:t xml:space="preserve"> </w:t>
      </w:r>
    </w:p>
    <w:p w14:paraId="42254C9F" w14:textId="77777777" w:rsidR="00113B44" w:rsidRPr="009526A6" w:rsidRDefault="00113B44" w:rsidP="00A66E45">
      <w:pPr>
        <w:pStyle w:val="ListParagraph"/>
        <w:numPr>
          <w:ilvl w:val="0"/>
          <w:numId w:val="20"/>
        </w:numPr>
        <w:jc w:val="both"/>
        <w:rPr>
          <w:sz w:val="22"/>
          <w:szCs w:val="22"/>
        </w:rPr>
      </w:pPr>
      <w:r w:rsidRPr="009526A6">
        <w:rPr>
          <w:sz w:val="22"/>
          <w:szCs w:val="22"/>
        </w:rPr>
        <w:t>Election Expenses – Election expenses deducted by the county auditor</w:t>
      </w:r>
    </w:p>
    <w:p w14:paraId="2BF935BF" w14:textId="77777777" w:rsidR="00113B44" w:rsidRPr="009526A6" w:rsidRDefault="00113B44" w:rsidP="00A66E45">
      <w:pPr>
        <w:pStyle w:val="ListParagraph"/>
        <w:numPr>
          <w:ilvl w:val="0"/>
          <w:numId w:val="20"/>
        </w:numPr>
        <w:jc w:val="both"/>
        <w:rPr>
          <w:sz w:val="22"/>
          <w:szCs w:val="22"/>
        </w:rPr>
      </w:pPr>
      <w:r w:rsidRPr="009526A6">
        <w:rPr>
          <w:sz w:val="22"/>
          <w:szCs w:val="22"/>
        </w:rPr>
        <w:t xml:space="preserve">Deposits Refunded – Utility Deposits Refunded </w:t>
      </w:r>
    </w:p>
    <w:p w14:paraId="128FACE4" w14:textId="77777777" w:rsidR="00113B44" w:rsidRPr="009526A6" w:rsidRDefault="00113B44" w:rsidP="00A66E45">
      <w:pPr>
        <w:pStyle w:val="ListParagraph"/>
        <w:numPr>
          <w:ilvl w:val="0"/>
          <w:numId w:val="20"/>
        </w:numPr>
        <w:jc w:val="both"/>
        <w:rPr>
          <w:sz w:val="22"/>
          <w:szCs w:val="22"/>
        </w:rPr>
      </w:pPr>
      <w:r w:rsidRPr="009526A6">
        <w:rPr>
          <w:sz w:val="22"/>
          <w:szCs w:val="22"/>
        </w:rPr>
        <w:t xml:space="preserve">Deposits Applied – Utility Deposits Applied </w:t>
      </w:r>
    </w:p>
    <w:p w14:paraId="2CE86BC3" w14:textId="77777777" w:rsidR="00113B44" w:rsidRPr="009526A6" w:rsidRDefault="00113B44" w:rsidP="000F3918">
      <w:pPr>
        <w:pStyle w:val="ListParagraph"/>
        <w:jc w:val="both"/>
        <w:rPr>
          <w:sz w:val="22"/>
          <w:szCs w:val="22"/>
        </w:rPr>
      </w:pPr>
    </w:p>
    <w:p w14:paraId="6B7AF5DF" w14:textId="22576A9B" w:rsidR="00113B44" w:rsidRPr="009526A6" w:rsidRDefault="00113B44" w:rsidP="000F3918">
      <w:pPr>
        <w:jc w:val="both"/>
        <w:rPr>
          <w:sz w:val="22"/>
          <w:szCs w:val="22"/>
        </w:rPr>
      </w:pPr>
      <w:r w:rsidRPr="009526A6">
        <w:rPr>
          <w:sz w:val="22"/>
          <w:szCs w:val="22"/>
        </w:rPr>
        <w:t>The following items require board action</w:t>
      </w:r>
      <w:r w:rsidR="002959F7" w:rsidRPr="009526A6">
        <w:rPr>
          <w:sz w:val="22"/>
          <w:szCs w:val="22"/>
        </w:rPr>
        <w:t>;</w:t>
      </w:r>
      <w:r w:rsidRPr="009526A6">
        <w:rPr>
          <w:sz w:val="22"/>
          <w:szCs w:val="22"/>
        </w:rPr>
        <w:t xml:space="preserve"> </w:t>
      </w:r>
      <w:r w:rsidR="00106ADD" w:rsidRPr="009526A6">
        <w:rPr>
          <w:sz w:val="22"/>
          <w:szCs w:val="22"/>
        </w:rPr>
        <w:t xml:space="preserve">and </w:t>
      </w:r>
      <w:r w:rsidRPr="009526A6">
        <w:rPr>
          <w:sz w:val="22"/>
          <w:szCs w:val="22"/>
        </w:rPr>
        <w:t>therefore, do not require certification:</w:t>
      </w:r>
    </w:p>
    <w:p w14:paraId="67376AA3" w14:textId="77777777" w:rsidR="00113B44" w:rsidRPr="009526A6" w:rsidRDefault="00113B44" w:rsidP="00A66E45">
      <w:pPr>
        <w:pStyle w:val="ListParagraph"/>
        <w:numPr>
          <w:ilvl w:val="0"/>
          <w:numId w:val="21"/>
        </w:numPr>
        <w:jc w:val="both"/>
        <w:rPr>
          <w:sz w:val="22"/>
          <w:szCs w:val="22"/>
        </w:rPr>
      </w:pPr>
      <w:r w:rsidRPr="009526A6">
        <w:rPr>
          <w:sz w:val="22"/>
          <w:szCs w:val="22"/>
        </w:rPr>
        <w:t>Transfers</w:t>
      </w:r>
    </w:p>
    <w:p w14:paraId="5402EE84" w14:textId="77777777" w:rsidR="007C767C" w:rsidRPr="009526A6" w:rsidRDefault="00113B44" w:rsidP="00A66E45">
      <w:pPr>
        <w:pStyle w:val="ListParagraph"/>
        <w:numPr>
          <w:ilvl w:val="0"/>
          <w:numId w:val="21"/>
        </w:numPr>
        <w:jc w:val="both"/>
        <w:rPr>
          <w:sz w:val="22"/>
          <w:szCs w:val="22"/>
        </w:rPr>
      </w:pPr>
      <w:r w:rsidRPr="009526A6">
        <w:rPr>
          <w:sz w:val="22"/>
          <w:szCs w:val="22"/>
        </w:rPr>
        <w:t>Advances</w:t>
      </w:r>
    </w:p>
    <w:p w14:paraId="0F852F19" w14:textId="77777777" w:rsidR="007C767C" w:rsidRPr="009526A6" w:rsidRDefault="007C767C" w:rsidP="007C767C">
      <w:pPr>
        <w:pStyle w:val="ListParagraph"/>
        <w:jc w:val="both"/>
        <w:rPr>
          <w:sz w:val="22"/>
          <w:szCs w:val="22"/>
        </w:rPr>
      </w:pPr>
    </w:p>
    <w:p w14:paraId="036C9034" w14:textId="77777777" w:rsidR="00113B44" w:rsidRPr="009526A6" w:rsidRDefault="00113B44" w:rsidP="007C767C">
      <w:pPr>
        <w:pStyle w:val="ListParagraph"/>
        <w:ind w:left="0"/>
        <w:jc w:val="both"/>
        <w:rPr>
          <w:sz w:val="22"/>
          <w:szCs w:val="22"/>
        </w:rPr>
      </w:pPr>
      <w:r w:rsidRPr="009526A6">
        <w:rPr>
          <w:sz w:val="22"/>
          <w:szCs w:val="22"/>
        </w:rPr>
        <w:t xml:space="preserve">Payments from the utility operating fund do not require certification.  (However, payments from utility grant </w:t>
      </w:r>
      <w:r w:rsidR="007C767C" w:rsidRPr="009526A6">
        <w:rPr>
          <w:sz w:val="22"/>
          <w:szCs w:val="22"/>
        </w:rPr>
        <w:t xml:space="preserve">funds DO require certification per Ohio Rev. Code </w:t>
      </w:r>
      <w:r w:rsidR="009B4BF1" w:rsidRPr="009526A6">
        <w:rPr>
          <w:sz w:val="22"/>
          <w:szCs w:val="22"/>
        </w:rPr>
        <w:t xml:space="preserve">§ </w:t>
      </w:r>
      <w:r w:rsidR="007C767C" w:rsidRPr="009526A6">
        <w:rPr>
          <w:sz w:val="22"/>
          <w:szCs w:val="22"/>
        </w:rPr>
        <w:t>5705.44.</w:t>
      </w:r>
      <w:r w:rsidR="00B555F1" w:rsidRPr="009526A6">
        <w:rPr>
          <w:sz w:val="22"/>
          <w:szCs w:val="22"/>
        </w:rPr>
        <w:t>)</w:t>
      </w:r>
    </w:p>
    <w:p w14:paraId="1E7000D7" w14:textId="6B68DB6C" w:rsidR="001A62F8" w:rsidRPr="00432648" w:rsidRDefault="001A62F8" w:rsidP="001A62F8">
      <w:pPr>
        <w:rPr>
          <w:sz w:val="24"/>
          <w:szCs w:val="24"/>
        </w:rPr>
      </w:pPr>
    </w:p>
    <w:p w14:paraId="57EED5DB" w14:textId="080396C4" w:rsidR="001A62F8" w:rsidRPr="009526A6" w:rsidRDefault="001A62F8" w:rsidP="001A62F8">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r w:rsidRPr="009526A6">
        <w:rPr>
          <w:b/>
          <w:sz w:val="22"/>
          <w:szCs w:val="22"/>
        </w:rPr>
        <w:t xml:space="preserve">Note: </w:t>
      </w:r>
      <w:r w:rsidRPr="009526A6">
        <w:rPr>
          <w:i/>
          <w:sz w:val="22"/>
          <w:szCs w:val="22"/>
        </w:rPr>
        <w:t>Advertising</w:t>
      </w:r>
      <w:r w:rsidRPr="009526A6">
        <w:rPr>
          <w:sz w:val="22"/>
          <w:szCs w:val="22"/>
        </w:rPr>
        <w:t xml:space="preserve"> and </w:t>
      </w:r>
      <w:r w:rsidRPr="009526A6">
        <w:rPr>
          <w:i/>
          <w:sz w:val="22"/>
          <w:szCs w:val="22"/>
        </w:rPr>
        <w:t>payments to another political subdivision</w:t>
      </w:r>
      <w:r w:rsidRPr="009526A6">
        <w:rPr>
          <w:sz w:val="22"/>
          <w:szCs w:val="22"/>
        </w:rPr>
        <w:t xml:space="preserve"> </w:t>
      </w:r>
      <w:r w:rsidRPr="009526A6">
        <w:rPr>
          <w:sz w:val="22"/>
          <w:szCs w:val="22"/>
          <w:u w:val="single"/>
        </w:rPr>
        <w:t>require a certification</w:t>
      </w:r>
      <w:r w:rsidRPr="009526A6">
        <w:rPr>
          <w:sz w:val="22"/>
          <w:szCs w:val="22"/>
        </w:rPr>
        <w:t xml:space="preserve"> because direct charges are not allowed. </w:t>
      </w:r>
    </w:p>
    <w:p w14:paraId="008F0788" w14:textId="77777777" w:rsidR="001A62F8" w:rsidRPr="009526A6" w:rsidRDefault="001A62F8" w:rsidP="001A62F8">
      <w:pPr>
        <w:pBdr>
          <w:top w:val="single" w:sz="4" w:space="1" w:color="auto"/>
          <w:left w:val="single" w:sz="4" w:space="4" w:color="auto"/>
          <w:bottom w:val="single" w:sz="4" w:space="1" w:color="auto"/>
          <w:right w:val="single" w:sz="4" w:space="4" w:color="auto"/>
        </w:pBdr>
        <w:shd w:val="clear" w:color="auto" w:fill="C6D9F1" w:themeFill="text2" w:themeFillTint="33"/>
        <w:jc w:val="both"/>
        <w:rPr>
          <w:i/>
          <w:sz w:val="22"/>
          <w:szCs w:val="22"/>
        </w:rPr>
      </w:pPr>
    </w:p>
    <w:p w14:paraId="0A209F23" w14:textId="77777777" w:rsidR="001A62F8" w:rsidRPr="009526A6" w:rsidRDefault="001A62F8" w:rsidP="001A62F8">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r w:rsidRPr="009526A6">
        <w:rPr>
          <w:i/>
          <w:sz w:val="22"/>
          <w:szCs w:val="22"/>
        </w:rPr>
        <w:t>Advertising</w:t>
      </w:r>
      <w:r w:rsidRPr="009526A6">
        <w:rPr>
          <w:sz w:val="22"/>
          <w:szCs w:val="22"/>
        </w:rPr>
        <w:t xml:space="preserve"> – Includes expenses for publication of official notes, ads, legal advertising in newspapers and periodicals. </w:t>
      </w:r>
    </w:p>
    <w:p w14:paraId="2085B412" w14:textId="77777777" w:rsidR="001A62F8" w:rsidRPr="009526A6" w:rsidRDefault="001A62F8" w:rsidP="001A62F8">
      <w:pPr>
        <w:pBdr>
          <w:top w:val="single" w:sz="4" w:space="1" w:color="auto"/>
          <w:left w:val="single" w:sz="4" w:space="4" w:color="auto"/>
          <w:bottom w:val="single" w:sz="4" w:space="1" w:color="auto"/>
          <w:right w:val="single" w:sz="4" w:space="4" w:color="auto"/>
        </w:pBdr>
        <w:shd w:val="clear" w:color="auto" w:fill="C6D9F1" w:themeFill="text2" w:themeFillTint="33"/>
        <w:rPr>
          <w:i/>
          <w:sz w:val="22"/>
          <w:szCs w:val="22"/>
        </w:rPr>
      </w:pPr>
    </w:p>
    <w:p w14:paraId="4459D7EA" w14:textId="77777777" w:rsidR="001A62F8" w:rsidRPr="009526A6" w:rsidRDefault="001A62F8" w:rsidP="001A62F8">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r w:rsidRPr="009526A6">
        <w:rPr>
          <w:i/>
          <w:sz w:val="22"/>
          <w:szCs w:val="22"/>
        </w:rPr>
        <w:t>Payment to Another Political Subdivision</w:t>
      </w:r>
      <w:r w:rsidRPr="009526A6">
        <w:rPr>
          <w:sz w:val="22"/>
          <w:szCs w:val="22"/>
        </w:rPr>
        <w:t xml:space="preserve"> – Payments made to another political subdivision for contracted services provided to the township, such as fire protection, county health fees, police services, EMS, garbage and refuse.</w:t>
      </w:r>
    </w:p>
    <w:p w14:paraId="56659B06" w14:textId="2681C92D" w:rsidR="00271B7B" w:rsidRDefault="00271B7B">
      <w:pPr>
        <w:rPr>
          <w:sz w:val="22"/>
          <w:szCs w:val="22"/>
        </w:rPr>
        <w:sectPr w:rsidR="00271B7B" w:rsidSect="000B5D0D">
          <w:pgSz w:w="12240" w:h="15840"/>
          <w:pgMar w:top="1152" w:right="1152" w:bottom="720" w:left="1152" w:header="720" w:footer="720" w:gutter="0"/>
          <w:cols w:space="720"/>
          <w:noEndnote/>
        </w:sectPr>
      </w:pPr>
    </w:p>
    <w:p w14:paraId="12F922A7" w14:textId="407FD433" w:rsidR="00113B44" w:rsidRDefault="00113B44" w:rsidP="00621F8F">
      <w:pPr>
        <w:pStyle w:val="Subtitle"/>
        <w:shd w:val="clear" w:color="auto" w:fill="A6A6A6" w:themeFill="background1" w:themeFillShade="A6"/>
      </w:pPr>
      <w:bookmarkStart w:id="42" w:name="_Toc214431137"/>
      <w:r>
        <w:t>APPENDIX B – Contracts and Expenditures</w:t>
      </w:r>
      <w:bookmarkEnd w:id="42"/>
      <w:r w:rsidR="00457C10">
        <w:t xml:space="preserve"> </w:t>
      </w:r>
    </w:p>
    <w:p w14:paraId="7AB3229A" w14:textId="77777777" w:rsidR="00113B44" w:rsidRPr="008C2A4E" w:rsidRDefault="00113B44" w:rsidP="00113B44">
      <w:pPr>
        <w:rPr>
          <w:sz w:val="24"/>
          <w:szCs w:val="24"/>
          <w:lang w:eastAsia="ja-JP"/>
        </w:rPr>
      </w:pPr>
    </w:p>
    <w:p w14:paraId="45436827" w14:textId="77777777" w:rsidR="00113B44" w:rsidRPr="009526A6" w:rsidRDefault="00113B44" w:rsidP="00113B44">
      <w:pPr>
        <w:jc w:val="both"/>
        <w:rPr>
          <w:sz w:val="22"/>
          <w:szCs w:val="22"/>
        </w:rPr>
      </w:pPr>
      <w:r w:rsidRPr="009526A6">
        <w:rPr>
          <w:sz w:val="22"/>
          <w:szCs w:val="22"/>
        </w:rPr>
        <w:t xml:space="preserve">In addition to using tax budgets and appropriations to control </w:t>
      </w:r>
      <w:proofErr w:type="gramStart"/>
      <w:r w:rsidRPr="009526A6">
        <w:rPr>
          <w:sz w:val="22"/>
          <w:szCs w:val="22"/>
        </w:rPr>
        <w:t>expenditures</w:t>
      </w:r>
      <w:proofErr w:type="gramEnd"/>
      <w:r w:rsidRPr="009526A6">
        <w:rPr>
          <w:sz w:val="22"/>
          <w:szCs w:val="22"/>
        </w:rPr>
        <w:t>, there are several specific laws concerning contracts and the expenditure of public money.  Some of these laws are in the Ohio Rev. Code, while others are in local governments’ charters, ordinances, and resolutions.  Therefore, prior to auditing these requirements, the auditor should determine what the legislative authority’s powers and restrictions are in relation to contracts and expending public money.</w:t>
      </w:r>
    </w:p>
    <w:p w14:paraId="0D7A4CE8" w14:textId="77777777" w:rsidR="007737BF" w:rsidRPr="009526A6" w:rsidRDefault="007737BF" w:rsidP="007737BF">
      <w:pPr>
        <w:jc w:val="both"/>
        <w:rPr>
          <w:sz w:val="22"/>
          <w:szCs w:val="22"/>
        </w:rPr>
      </w:pPr>
    </w:p>
    <w:p w14:paraId="27E51B8D" w14:textId="746F6029" w:rsidR="007737BF" w:rsidRPr="009526A6" w:rsidRDefault="007737BF" w:rsidP="007737BF">
      <w:pPr>
        <w:jc w:val="both"/>
        <w:rPr>
          <w:b/>
          <w:bCs/>
          <w:color w:val="FF0000"/>
          <w:sz w:val="22"/>
          <w:szCs w:val="22"/>
        </w:rPr>
      </w:pPr>
      <w:r w:rsidRPr="009526A6">
        <w:rPr>
          <w:b/>
          <w:bCs/>
          <w:color w:val="FF0000"/>
          <w:sz w:val="22"/>
          <w:szCs w:val="22"/>
        </w:rPr>
        <w:t xml:space="preserve">Note: </w:t>
      </w:r>
      <w:r w:rsidRPr="009526A6">
        <w:rPr>
          <w:b/>
          <w:color w:val="FF0000"/>
          <w:sz w:val="22"/>
          <w:szCs w:val="22"/>
        </w:rPr>
        <w:t xml:space="preserve">Auditors should carefully consider whether contract </w:t>
      </w:r>
      <w:proofErr w:type="gramStart"/>
      <w:r w:rsidRPr="009526A6">
        <w:rPr>
          <w:b/>
          <w:color w:val="FF0000"/>
          <w:sz w:val="22"/>
          <w:szCs w:val="22"/>
        </w:rPr>
        <w:t>expenditures are</w:t>
      </w:r>
      <w:proofErr w:type="gramEnd"/>
      <w:r w:rsidRPr="009526A6">
        <w:rPr>
          <w:b/>
          <w:color w:val="FF0000"/>
          <w:sz w:val="22"/>
          <w:szCs w:val="22"/>
        </w:rPr>
        <w:t xml:space="preserve"> direct and material to their audit.  Among other federal assistance, local governments are receiving historical levels of federal funding as part of the ARPA Coronavirus State and Local Fiscal Recovery Funds and Infrastructure Investment and Jobs Act.  These programs include significant provisions for water, sewer, broadband and other potential infrastructure-oriented projects. </w:t>
      </w:r>
      <w:r w:rsidRPr="009526A6">
        <w:rPr>
          <w:b/>
          <w:bCs/>
          <w:color w:val="FF0000"/>
          <w:sz w:val="22"/>
          <w:szCs w:val="22"/>
        </w:rPr>
        <w:t xml:space="preserve">Contracts charged, in whole or in part, to federal programs may need to follow Federal Procurement Rules described in the Uniform Guidance </w:t>
      </w:r>
      <w:r w:rsidRPr="009526A6">
        <w:rPr>
          <w:b/>
          <w:bCs/>
          <w:i/>
          <w:color w:val="FF0000"/>
          <w:sz w:val="22"/>
          <w:szCs w:val="22"/>
        </w:rPr>
        <w:t>(note however, that Federal Procurement Rules do not apply to the ARPA SLFRF Revenue Loss category based on Treasury’s July 2022 revision to its Final Rule FAQs)</w:t>
      </w:r>
      <w:r w:rsidRPr="009526A6">
        <w:rPr>
          <w:b/>
          <w:bCs/>
          <w:color w:val="FF0000"/>
          <w:sz w:val="22"/>
          <w:szCs w:val="22"/>
        </w:rPr>
        <w:t>.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Pr="009526A6">
        <w:rPr>
          <w:b/>
          <w:bCs/>
          <w:sz w:val="22"/>
          <w:szCs w:val="22"/>
        </w:rPr>
        <w:t xml:space="preserve"> </w:t>
      </w:r>
      <w:r w:rsidRPr="009526A6">
        <w:rPr>
          <w:b/>
          <w:color w:val="FF0000"/>
          <w:sz w:val="22"/>
          <w:szCs w:val="22"/>
        </w:rPr>
        <w:t>See</w:t>
      </w:r>
      <w:r w:rsidRPr="009526A6">
        <w:rPr>
          <w:color w:val="FF0000"/>
          <w:sz w:val="22"/>
          <w:szCs w:val="22"/>
        </w:rPr>
        <w:t xml:space="preserve"> </w:t>
      </w:r>
      <w:hyperlink r:id="rId41" w:history="1">
        <w:r w:rsidRPr="009526A6">
          <w:rPr>
            <w:rStyle w:val="Hyperlink"/>
            <w:b/>
            <w:sz w:val="22"/>
            <w:szCs w:val="22"/>
          </w:rPr>
          <w:t>AOS COVID-19 FAQ’s</w:t>
        </w:r>
      </w:hyperlink>
      <w:r w:rsidRPr="009526A6">
        <w:rPr>
          <w:b/>
          <w:sz w:val="22"/>
          <w:szCs w:val="22"/>
        </w:rPr>
        <w:t xml:space="preserve"> </w:t>
      </w:r>
      <w:r w:rsidRPr="009526A6">
        <w:rPr>
          <w:b/>
          <w:color w:val="FF0000"/>
          <w:sz w:val="22"/>
          <w:szCs w:val="22"/>
        </w:rPr>
        <w:t xml:space="preserve">for additional procurement guidance related to certain COVID funding and the Federal Procurement guidance for clients listed on </w:t>
      </w:r>
      <w:hyperlink r:id="rId42" w:history="1">
        <w:r w:rsidRPr="009526A6">
          <w:rPr>
            <w:rStyle w:val="Hyperlink"/>
            <w:b/>
            <w:sz w:val="22"/>
            <w:szCs w:val="22"/>
          </w:rPr>
          <w:t>AOS’s w</w:t>
        </w:r>
        <w:bookmarkStart w:id="43" w:name="_Hlt146883835"/>
        <w:bookmarkStart w:id="44" w:name="_Hlt146883836"/>
        <w:r w:rsidRPr="009526A6">
          <w:rPr>
            <w:rStyle w:val="Hyperlink"/>
            <w:b/>
            <w:sz w:val="22"/>
            <w:szCs w:val="22"/>
          </w:rPr>
          <w:t>e</w:t>
        </w:r>
        <w:bookmarkEnd w:id="43"/>
        <w:bookmarkEnd w:id="44"/>
        <w:r w:rsidRPr="009526A6">
          <w:rPr>
            <w:rStyle w:val="Hyperlink"/>
            <w:b/>
            <w:sz w:val="22"/>
            <w:szCs w:val="22"/>
          </w:rPr>
          <w:t>bsite</w:t>
        </w:r>
      </w:hyperlink>
      <w:r w:rsidRPr="009526A6">
        <w:rPr>
          <w:b/>
          <w:color w:val="FF0000"/>
          <w:sz w:val="22"/>
          <w:szCs w:val="22"/>
        </w:rPr>
        <w:t xml:space="preserve">.  </w:t>
      </w:r>
      <w:r w:rsidRPr="009526A6">
        <w:rPr>
          <w:b/>
          <w:bCs/>
          <w:color w:val="FF0000"/>
          <w:sz w:val="22"/>
          <w:szCs w:val="22"/>
        </w:rPr>
        <w:t>AOS auditors should consult with CFAE via the</w:t>
      </w:r>
      <w:r w:rsidR="00872668">
        <w:rPr>
          <w:b/>
          <w:bCs/>
          <w:color w:val="FF0000"/>
          <w:sz w:val="22"/>
          <w:szCs w:val="22"/>
        </w:rPr>
        <w:t xml:space="preserve"> </w:t>
      </w:r>
      <w:r w:rsidR="00872668" w:rsidRPr="00872668">
        <w:rPr>
          <w:b/>
          <w:bCs/>
          <w:color w:val="FF0000"/>
          <w:sz w:val="22"/>
          <w:szCs w:val="22"/>
          <w:u w:val="wave"/>
        </w:rPr>
        <w:t>Federal and</w:t>
      </w:r>
      <w:r w:rsidRPr="009526A6">
        <w:rPr>
          <w:b/>
          <w:bCs/>
          <w:color w:val="FF0000"/>
          <w:sz w:val="22"/>
          <w:szCs w:val="22"/>
        </w:rPr>
        <w:t xml:space="preserve"> FACCR Specialty in </w:t>
      </w:r>
      <w:r w:rsidR="00097343" w:rsidRPr="00097343">
        <w:rPr>
          <w:b/>
          <w:bCs/>
          <w:color w:val="FF0000"/>
          <w:sz w:val="22"/>
          <w:szCs w:val="22"/>
          <w:u w:val="wave"/>
        </w:rPr>
        <w:t>Happy</w:t>
      </w:r>
      <w:r w:rsidR="00FE68A4">
        <w:rPr>
          <w:b/>
          <w:bCs/>
          <w:color w:val="FF0000"/>
          <w:sz w:val="22"/>
          <w:szCs w:val="22"/>
          <w:u w:val="wave"/>
        </w:rPr>
        <w:t xml:space="preserve"> </w:t>
      </w:r>
      <w:r w:rsidR="00097343" w:rsidRPr="00097343">
        <w:rPr>
          <w:b/>
          <w:bCs/>
          <w:color w:val="FF0000"/>
          <w:sz w:val="22"/>
          <w:szCs w:val="22"/>
          <w:u w:val="wave"/>
        </w:rPr>
        <w:t>Fox</w:t>
      </w:r>
      <w:r w:rsidR="00097343">
        <w:rPr>
          <w:b/>
          <w:bCs/>
          <w:color w:val="FF0000"/>
          <w:sz w:val="22"/>
          <w:szCs w:val="22"/>
        </w:rPr>
        <w:t xml:space="preserve"> </w:t>
      </w:r>
      <w:r w:rsidRPr="00097343">
        <w:rPr>
          <w:b/>
          <w:bCs/>
          <w:strike/>
          <w:color w:val="FF0000"/>
          <w:sz w:val="22"/>
          <w:szCs w:val="22"/>
        </w:rPr>
        <w:t>Spiceworks</w:t>
      </w:r>
      <w:r w:rsidRPr="009526A6">
        <w:rPr>
          <w:b/>
          <w:bCs/>
          <w:color w:val="FF0000"/>
          <w:sz w:val="22"/>
          <w:szCs w:val="22"/>
        </w:rPr>
        <w:t xml:space="preserve"> if noncompliance with Federal procurement requirements is identified for a non-major program or a major program for which procurement is not tested in the FACCR.</w:t>
      </w:r>
    </w:p>
    <w:p w14:paraId="45FF83E6" w14:textId="77777777" w:rsidR="00340DC7" w:rsidRPr="009526A6" w:rsidRDefault="00340DC7" w:rsidP="00113B44">
      <w:pPr>
        <w:jc w:val="both"/>
        <w:rPr>
          <w:sz w:val="22"/>
          <w:szCs w:val="22"/>
        </w:rPr>
      </w:pPr>
    </w:p>
    <w:p w14:paraId="49D1B172" w14:textId="766D2FDD" w:rsidR="00D951B2" w:rsidRPr="009526A6" w:rsidRDefault="00D951B2" w:rsidP="6BC2188D">
      <w:pPr>
        <w:jc w:val="both"/>
        <w:rPr>
          <w:i/>
          <w:iCs/>
          <w:sz w:val="22"/>
          <w:szCs w:val="22"/>
        </w:rPr>
      </w:pPr>
      <w:r w:rsidRPr="009526A6">
        <w:rPr>
          <w:i/>
          <w:iCs/>
          <w:sz w:val="22"/>
          <w:szCs w:val="22"/>
        </w:rPr>
        <w:t>Purchase Orders as Contracts</w:t>
      </w:r>
    </w:p>
    <w:p w14:paraId="7A89BBC0" w14:textId="733D8542" w:rsidR="00D951B2" w:rsidRPr="009526A6" w:rsidRDefault="00704AF7" w:rsidP="00D951B2">
      <w:pPr>
        <w:jc w:val="both"/>
        <w:rPr>
          <w:sz w:val="22"/>
          <w:szCs w:val="22"/>
        </w:rPr>
      </w:pPr>
      <w:r w:rsidRPr="009526A6">
        <w:rPr>
          <w:sz w:val="22"/>
          <w:szCs w:val="22"/>
        </w:rPr>
        <w:t>N</w:t>
      </w:r>
      <w:r w:rsidR="00D951B2" w:rsidRPr="009526A6">
        <w:rPr>
          <w:sz w:val="22"/>
          <w:szCs w:val="22"/>
        </w:rPr>
        <w:t>ote that a purchase order can constitute a contract but only if certain elements/characteristics are present: (1) offer; (2) acceptance; (3) mutual assent; and (4) consideration.  When federal dollars are used to make a purchase, “acceptance” is present either by the buyer signing the purchase order or by the vendor and the buyer performing under the terms of the purchase order.  Performance would be the vendor supplying the service or goods and the buyer paying for them.  When AOS auditors encounter a purchase order and would like to know whether it can be viewed as a contract, we recommend that they reach out to the attorneys in Legal for an evaluation.</w:t>
      </w:r>
    </w:p>
    <w:p w14:paraId="2F4BDE6C" w14:textId="77777777" w:rsidR="00342F16" w:rsidRPr="009526A6" w:rsidRDefault="00342F16">
      <w:pPr>
        <w:rPr>
          <w:sz w:val="22"/>
          <w:szCs w:val="22"/>
          <w:lang w:eastAsia="ja-JP"/>
        </w:rPr>
      </w:pPr>
    </w:p>
    <w:p w14:paraId="078C6A11" w14:textId="51A2713B" w:rsidR="00342F16" w:rsidRPr="009526A6" w:rsidRDefault="00342F16" w:rsidP="356C5848">
      <w:pPr>
        <w:rPr>
          <w:i/>
          <w:iCs/>
          <w:sz w:val="22"/>
          <w:szCs w:val="22"/>
          <w:lang w:eastAsia="ja-JP"/>
        </w:rPr>
      </w:pPr>
      <w:r w:rsidRPr="009526A6">
        <w:rPr>
          <w:i/>
          <w:iCs/>
          <w:sz w:val="22"/>
          <w:szCs w:val="22"/>
          <w:lang w:eastAsia="ja-JP"/>
        </w:rPr>
        <w:t>Competitive Bidding Thresholds</w:t>
      </w:r>
    </w:p>
    <w:p w14:paraId="4279795E" w14:textId="502266BA" w:rsidR="00342F16" w:rsidRPr="009526A6" w:rsidRDefault="59A478DE" w:rsidP="00342F16">
      <w:pPr>
        <w:jc w:val="both"/>
        <w:rPr>
          <w:sz w:val="22"/>
          <w:szCs w:val="22"/>
          <w:lang w:eastAsia="ja-JP"/>
        </w:rPr>
      </w:pPr>
      <w:r w:rsidRPr="00682A81">
        <w:rPr>
          <w:strike/>
          <w:sz w:val="22"/>
          <w:szCs w:val="22"/>
          <w:lang w:eastAsia="ja-JP"/>
        </w:rPr>
        <w:t>Effective October 3, 2023,</w:t>
      </w:r>
      <w:r w:rsidRPr="009526A6">
        <w:rPr>
          <w:sz w:val="22"/>
          <w:szCs w:val="22"/>
          <w:lang w:eastAsia="ja-JP"/>
        </w:rPr>
        <w:t xml:space="preserve"> </w:t>
      </w:r>
      <w:r w:rsidR="00682A81">
        <w:rPr>
          <w:sz w:val="22"/>
          <w:szCs w:val="22"/>
          <w:lang w:eastAsia="ja-JP"/>
        </w:rPr>
        <w:t>C</w:t>
      </w:r>
      <w:r w:rsidRPr="009526A6">
        <w:rPr>
          <w:sz w:val="22"/>
          <w:szCs w:val="22"/>
          <w:lang w:eastAsia="ja-JP"/>
        </w:rPr>
        <w:t xml:space="preserve">ertain competitive bidding thresholds are established by Ohio Rev. Code § 9.17 which states the amount for purposes of a provision of the Revised Code that references this section shall be (1) beginning on the effective date of this section through calendar year 2024, $75,000; and (2) for each calendar year thereafter, the amount for the previous calendar year increased by three percent as determined and published by the director of commerce.  </w:t>
      </w:r>
      <w:r w:rsidR="011AF8BD" w:rsidRPr="009526A6">
        <w:rPr>
          <w:sz w:val="22"/>
          <w:szCs w:val="22"/>
          <w:lang w:eastAsia="ja-JP"/>
        </w:rPr>
        <w:t xml:space="preserve">Where the Ohio </w:t>
      </w:r>
      <w:r w:rsidR="1A05FAA3" w:rsidRPr="009526A6">
        <w:rPr>
          <w:sz w:val="22"/>
          <w:szCs w:val="22"/>
          <w:lang w:eastAsia="ja-JP"/>
        </w:rPr>
        <w:t>Compliance Supplement</w:t>
      </w:r>
      <w:r w:rsidR="011AF8BD" w:rsidRPr="009526A6">
        <w:rPr>
          <w:sz w:val="22"/>
          <w:szCs w:val="22"/>
          <w:lang w:eastAsia="ja-JP"/>
        </w:rPr>
        <w:t xml:space="preserve"> references Ohio Rev. Code § 9.17, t</w:t>
      </w:r>
      <w:r w:rsidRPr="009526A6">
        <w:rPr>
          <w:sz w:val="22"/>
          <w:szCs w:val="22"/>
          <w:lang w:eastAsia="ja-JP"/>
        </w:rPr>
        <w:t>he thresholds were as follows for the following time periods</w:t>
      </w:r>
      <w:r w:rsidR="00770E67" w:rsidRPr="009526A6">
        <w:rPr>
          <w:rStyle w:val="FootnoteReference"/>
          <w:sz w:val="22"/>
          <w:szCs w:val="22"/>
          <w:lang w:eastAsia="ja-JP"/>
        </w:rPr>
        <w:footnoteReference w:id="33"/>
      </w:r>
      <w:r w:rsidRPr="009526A6">
        <w:rPr>
          <w:sz w:val="22"/>
          <w:szCs w:val="22"/>
          <w:lang w:eastAsia="ja-JP"/>
        </w:rPr>
        <w:t>:</w:t>
      </w:r>
    </w:p>
    <w:p w14:paraId="42449625" w14:textId="77777777" w:rsidR="00C07B5D" w:rsidRDefault="00C07B5D" w:rsidP="00342F16">
      <w:pPr>
        <w:jc w:val="both"/>
        <w:rPr>
          <w:sz w:val="24"/>
          <w:szCs w:val="24"/>
          <w:lang w:eastAsia="ja-JP"/>
        </w:rPr>
      </w:pPr>
    </w:p>
    <w:tbl>
      <w:tblPr>
        <w:tblStyle w:val="TableGrid"/>
        <w:tblW w:w="0" w:type="auto"/>
        <w:jc w:val="center"/>
        <w:tblInd w:w="0" w:type="dxa"/>
        <w:tblCellMar>
          <w:left w:w="108" w:type="dxa"/>
          <w:right w:w="108" w:type="dxa"/>
        </w:tblCellMar>
        <w:tblLook w:val="04A0" w:firstRow="1" w:lastRow="0" w:firstColumn="1" w:lastColumn="0" w:noHBand="0" w:noVBand="1"/>
      </w:tblPr>
      <w:tblGrid>
        <w:gridCol w:w="2160"/>
        <w:gridCol w:w="2039"/>
        <w:gridCol w:w="1814"/>
        <w:gridCol w:w="1814"/>
      </w:tblGrid>
      <w:tr w:rsidR="00682A81" w:rsidRPr="00DB24AE" w14:paraId="665C7FB7" w14:textId="76FE3E0B" w:rsidTr="00CB4CCC">
        <w:trPr>
          <w:trHeight w:hRule="exact" w:val="576"/>
          <w:jc w:val="center"/>
        </w:trPr>
        <w:tc>
          <w:tcPr>
            <w:tcW w:w="2160" w:type="dxa"/>
            <w:tcBorders>
              <w:bottom w:val="single" w:sz="4" w:space="0" w:color="auto"/>
            </w:tcBorders>
            <w:shd w:val="clear" w:color="auto" w:fill="4F81BD" w:themeFill="accent1"/>
            <w:noWrap/>
            <w:hideMark/>
          </w:tcPr>
          <w:p w14:paraId="4890D390" w14:textId="35D64DD3" w:rsidR="00682A81" w:rsidRPr="00682A81" w:rsidRDefault="00682A81" w:rsidP="00E27636">
            <w:pPr>
              <w:jc w:val="center"/>
              <w:rPr>
                <w:b/>
                <w:bCs/>
                <w:strike/>
                <w:color w:val="FFFFFF" w:themeColor="background1"/>
                <w:sz w:val="22"/>
                <w:szCs w:val="22"/>
              </w:rPr>
            </w:pPr>
            <w:r w:rsidRPr="00682A81">
              <w:rPr>
                <w:b/>
                <w:bCs/>
                <w:strike/>
                <w:color w:val="FFFFFF" w:themeColor="background1"/>
                <w:sz w:val="22"/>
                <w:szCs w:val="22"/>
              </w:rPr>
              <w:t>Before Oct. 3, 2023</w:t>
            </w:r>
          </w:p>
        </w:tc>
        <w:tc>
          <w:tcPr>
            <w:tcW w:w="2039" w:type="dxa"/>
            <w:tcBorders>
              <w:bottom w:val="single" w:sz="4" w:space="0" w:color="auto"/>
            </w:tcBorders>
            <w:shd w:val="clear" w:color="auto" w:fill="4F81BD" w:themeFill="accent1"/>
            <w:noWrap/>
            <w:hideMark/>
          </w:tcPr>
          <w:p w14:paraId="77111B98" w14:textId="6EDECF90" w:rsidR="00682A81" w:rsidRPr="00C909C3" w:rsidRDefault="00682A81" w:rsidP="00E27636">
            <w:pPr>
              <w:jc w:val="center"/>
              <w:rPr>
                <w:b/>
                <w:bCs/>
                <w:color w:val="FFFFFF" w:themeColor="background1"/>
                <w:sz w:val="22"/>
                <w:szCs w:val="22"/>
              </w:rPr>
            </w:pPr>
            <w:r w:rsidRPr="00C909C3">
              <w:rPr>
                <w:b/>
                <w:bCs/>
                <w:color w:val="FFFFFF" w:themeColor="background1"/>
                <w:sz w:val="22"/>
                <w:szCs w:val="22"/>
              </w:rPr>
              <w:t>Oct. 3, 2023 – December 31, 2024</w:t>
            </w:r>
          </w:p>
        </w:tc>
        <w:tc>
          <w:tcPr>
            <w:tcW w:w="1814" w:type="dxa"/>
            <w:tcBorders>
              <w:bottom w:val="single" w:sz="4" w:space="0" w:color="auto"/>
            </w:tcBorders>
            <w:shd w:val="clear" w:color="auto" w:fill="4F81BD" w:themeFill="accent1"/>
          </w:tcPr>
          <w:p w14:paraId="7112C4F6" w14:textId="1FBEF4D5" w:rsidR="00682A81" w:rsidRPr="00387AB4" w:rsidRDefault="00682A81" w:rsidP="00720194">
            <w:pPr>
              <w:jc w:val="center"/>
              <w:rPr>
                <w:b/>
                <w:bCs/>
                <w:color w:val="FFFFFF" w:themeColor="background1"/>
                <w:sz w:val="22"/>
                <w:szCs w:val="22"/>
              </w:rPr>
            </w:pPr>
            <w:r w:rsidRPr="00387AB4">
              <w:rPr>
                <w:b/>
                <w:bCs/>
                <w:color w:val="FFFFFF" w:themeColor="background1"/>
                <w:sz w:val="22"/>
                <w:szCs w:val="22"/>
              </w:rPr>
              <w:t>Calendar Year</w:t>
            </w:r>
          </w:p>
          <w:p w14:paraId="46051CB4" w14:textId="622E3673" w:rsidR="00682A81" w:rsidRPr="00387AB4" w:rsidRDefault="00682A81" w:rsidP="00720194">
            <w:pPr>
              <w:jc w:val="center"/>
              <w:rPr>
                <w:b/>
                <w:bCs/>
                <w:color w:val="FFFFFF" w:themeColor="background1"/>
                <w:sz w:val="22"/>
                <w:szCs w:val="22"/>
              </w:rPr>
            </w:pPr>
            <w:r w:rsidRPr="00387AB4">
              <w:rPr>
                <w:b/>
                <w:bCs/>
                <w:color w:val="FFFFFF" w:themeColor="background1"/>
                <w:sz w:val="22"/>
                <w:szCs w:val="22"/>
              </w:rPr>
              <w:t>2025</w:t>
            </w:r>
          </w:p>
        </w:tc>
        <w:tc>
          <w:tcPr>
            <w:tcW w:w="1814" w:type="dxa"/>
            <w:tcBorders>
              <w:bottom w:val="single" w:sz="4" w:space="0" w:color="auto"/>
            </w:tcBorders>
            <w:shd w:val="clear" w:color="auto" w:fill="4F81BD" w:themeFill="accent1"/>
          </w:tcPr>
          <w:p w14:paraId="554619F4" w14:textId="77777777" w:rsidR="00682A81" w:rsidRPr="00682A81" w:rsidRDefault="00682A81" w:rsidP="00720194">
            <w:pPr>
              <w:jc w:val="center"/>
              <w:rPr>
                <w:b/>
                <w:bCs/>
                <w:color w:val="FFFFFF" w:themeColor="background1"/>
                <w:sz w:val="22"/>
                <w:szCs w:val="22"/>
                <w:u w:val="wave"/>
              </w:rPr>
            </w:pPr>
            <w:r w:rsidRPr="00682A81">
              <w:rPr>
                <w:b/>
                <w:bCs/>
                <w:color w:val="FFFFFF" w:themeColor="background1"/>
                <w:sz w:val="22"/>
                <w:szCs w:val="22"/>
                <w:u w:val="wave"/>
              </w:rPr>
              <w:t>Calendar Year</w:t>
            </w:r>
          </w:p>
          <w:p w14:paraId="129F2F59" w14:textId="7680F3E2" w:rsidR="00682A81" w:rsidRPr="00682A81" w:rsidRDefault="00682A81" w:rsidP="00720194">
            <w:pPr>
              <w:jc w:val="center"/>
              <w:rPr>
                <w:b/>
                <w:bCs/>
                <w:color w:val="FFFFFF" w:themeColor="background1"/>
                <w:sz w:val="22"/>
                <w:szCs w:val="22"/>
                <w:u w:val="wave"/>
              </w:rPr>
            </w:pPr>
            <w:r w:rsidRPr="00682A81">
              <w:rPr>
                <w:b/>
                <w:bCs/>
                <w:color w:val="FFFFFF" w:themeColor="background1"/>
                <w:sz w:val="22"/>
                <w:szCs w:val="22"/>
                <w:u w:val="wave"/>
              </w:rPr>
              <w:t>2026</w:t>
            </w:r>
            <w:r w:rsidRPr="00387AB4">
              <w:rPr>
                <w:rStyle w:val="FootnoteReference"/>
                <w:b/>
                <w:bCs/>
                <w:color w:val="FFFFFF" w:themeColor="background1"/>
                <w:sz w:val="22"/>
                <w:szCs w:val="22"/>
              </w:rPr>
              <w:footnoteReference w:id="34"/>
            </w:r>
          </w:p>
        </w:tc>
      </w:tr>
      <w:tr w:rsidR="00682A81" w:rsidRPr="00707371" w14:paraId="7C662C90" w14:textId="6C91DA89" w:rsidTr="00CB4CCC">
        <w:trPr>
          <w:trHeight w:hRule="exact" w:val="288"/>
          <w:jc w:val="center"/>
        </w:trPr>
        <w:tc>
          <w:tcPr>
            <w:tcW w:w="2160" w:type="dxa"/>
            <w:tcBorders>
              <w:bottom w:val="single" w:sz="4" w:space="0" w:color="auto"/>
            </w:tcBorders>
            <w:noWrap/>
          </w:tcPr>
          <w:p w14:paraId="17E95657" w14:textId="5C69C134" w:rsidR="00682A81" w:rsidRPr="00682A81" w:rsidRDefault="00682A81" w:rsidP="00720194">
            <w:pPr>
              <w:jc w:val="center"/>
              <w:rPr>
                <w:strike/>
                <w:sz w:val="22"/>
                <w:szCs w:val="22"/>
              </w:rPr>
            </w:pPr>
            <w:r w:rsidRPr="00682A81">
              <w:rPr>
                <w:strike/>
                <w:sz w:val="22"/>
                <w:szCs w:val="22"/>
              </w:rPr>
              <w:t>$50,000</w:t>
            </w:r>
          </w:p>
        </w:tc>
        <w:tc>
          <w:tcPr>
            <w:tcW w:w="2039" w:type="dxa"/>
            <w:tcBorders>
              <w:bottom w:val="single" w:sz="4" w:space="0" w:color="auto"/>
            </w:tcBorders>
            <w:noWrap/>
          </w:tcPr>
          <w:p w14:paraId="6DA209FD" w14:textId="07C88CB7" w:rsidR="00682A81" w:rsidRPr="00C909C3" w:rsidRDefault="00682A81" w:rsidP="00720194">
            <w:pPr>
              <w:jc w:val="center"/>
              <w:rPr>
                <w:sz w:val="22"/>
                <w:szCs w:val="22"/>
              </w:rPr>
            </w:pPr>
            <w:r w:rsidRPr="00C909C3">
              <w:rPr>
                <w:sz w:val="22"/>
                <w:szCs w:val="22"/>
              </w:rPr>
              <w:t>$75,000</w:t>
            </w:r>
          </w:p>
        </w:tc>
        <w:tc>
          <w:tcPr>
            <w:tcW w:w="1814" w:type="dxa"/>
            <w:tcBorders>
              <w:bottom w:val="single" w:sz="4" w:space="0" w:color="auto"/>
            </w:tcBorders>
          </w:tcPr>
          <w:p w14:paraId="52AD6FE9" w14:textId="1D26DA90" w:rsidR="00682A81" w:rsidRPr="00387AB4" w:rsidRDefault="00682A81" w:rsidP="00720194">
            <w:pPr>
              <w:jc w:val="center"/>
              <w:rPr>
                <w:sz w:val="22"/>
                <w:szCs w:val="22"/>
              </w:rPr>
            </w:pPr>
            <w:r w:rsidRPr="00387AB4">
              <w:rPr>
                <w:sz w:val="22"/>
                <w:szCs w:val="22"/>
              </w:rPr>
              <w:t>$77,250</w:t>
            </w:r>
          </w:p>
        </w:tc>
        <w:tc>
          <w:tcPr>
            <w:tcW w:w="1814" w:type="dxa"/>
            <w:tcBorders>
              <w:bottom w:val="single" w:sz="4" w:space="0" w:color="auto"/>
            </w:tcBorders>
          </w:tcPr>
          <w:p w14:paraId="32799DF3" w14:textId="6318C5AD" w:rsidR="00682A81" w:rsidRPr="00682A81" w:rsidRDefault="00682A81" w:rsidP="00720194">
            <w:pPr>
              <w:jc w:val="center"/>
              <w:rPr>
                <w:sz w:val="22"/>
                <w:szCs w:val="22"/>
                <w:u w:val="wave"/>
              </w:rPr>
            </w:pPr>
            <w:r>
              <w:rPr>
                <w:sz w:val="22"/>
                <w:szCs w:val="22"/>
                <w:u w:val="wave"/>
              </w:rPr>
              <w:t>$79,568</w:t>
            </w:r>
          </w:p>
        </w:tc>
      </w:tr>
    </w:tbl>
    <w:p w14:paraId="38522263" w14:textId="51078F18" w:rsidR="00147BB0" w:rsidRPr="008C2A4E" w:rsidRDefault="00147BB0">
      <w:pPr>
        <w:rPr>
          <w:sz w:val="24"/>
          <w:szCs w:val="24"/>
          <w:lang w:eastAsia="ja-JP"/>
        </w:rPr>
      </w:pPr>
    </w:p>
    <w:p w14:paraId="48554652" w14:textId="7862FC78" w:rsidR="00147BB0" w:rsidRPr="009526A6" w:rsidRDefault="00586E9E" w:rsidP="2A98F9B3">
      <w:pPr>
        <w:rPr>
          <w:i/>
          <w:iCs/>
          <w:sz w:val="22"/>
          <w:szCs w:val="22"/>
          <w:lang w:eastAsia="ja-JP"/>
        </w:rPr>
      </w:pPr>
      <w:r w:rsidRPr="009526A6">
        <w:rPr>
          <w:i/>
          <w:iCs/>
          <w:sz w:val="22"/>
          <w:szCs w:val="22"/>
          <w:lang w:eastAsia="ja-JP"/>
        </w:rPr>
        <w:t>Bid Evaluation</w:t>
      </w:r>
      <w:r w:rsidR="00CB3C7C" w:rsidRPr="009526A6">
        <w:rPr>
          <w:i/>
          <w:iCs/>
          <w:sz w:val="22"/>
          <w:szCs w:val="22"/>
          <w:lang w:eastAsia="ja-JP"/>
        </w:rPr>
        <w:t xml:space="preserve"> Standards</w:t>
      </w:r>
    </w:p>
    <w:p w14:paraId="27382C79" w14:textId="77777777" w:rsidR="00320E61" w:rsidRPr="009526A6" w:rsidRDefault="00FD6BD4" w:rsidP="001A0D69">
      <w:pPr>
        <w:jc w:val="both"/>
        <w:rPr>
          <w:sz w:val="22"/>
          <w:szCs w:val="22"/>
          <w:lang w:eastAsia="ja-JP"/>
        </w:rPr>
      </w:pPr>
      <w:r w:rsidRPr="009526A6">
        <w:rPr>
          <w:sz w:val="22"/>
          <w:szCs w:val="22"/>
          <w:lang w:eastAsia="ja-JP"/>
        </w:rPr>
        <w:t xml:space="preserve">Certain statutes </w:t>
      </w:r>
      <w:r w:rsidR="006F6D8C" w:rsidRPr="009526A6">
        <w:rPr>
          <w:sz w:val="22"/>
          <w:szCs w:val="22"/>
          <w:lang w:eastAsia="ja-JP"/>
        </w:rPr>
        <w:t>outline different standards regarding the evaluation of bids</w:t>
      </w:r>
      <w:r w:rsidR="00040497" w:rsidRPr="009526A6">
        <w:rPr>
          <w:sz w:val="22"/>
          <w:szCs w:val="22"/>
          <w:lang w:eastAsia="ja-JP"/>
        </w:rPr>
        <w:t xml:space="preserve"> such as “lowest and best</w:t>
      </w:r>
      <w:r w:rsidR="00411C93" w:rsidRPr="009526A6">
        <w:rPr>
          <w:sz w:val="22"/>
          <w:szCs w:val="22"/>
          <w:lang w:eastAsia="ja-JP"/>
        </w:rPr>
        <w:t xml:space="preserve"> bidder</w:t>
      </w:r>
      <w:r w:rsidR="00040497" w:rsidRPr="009526A6">
        <w:rPr>
          <w:sz w:val="22"/>
          <w:szCs w:val="22"/>
          <w:lang w:eastAsia="ja-JP"/>
        </w:rPr>
        <w:t>” and “lowest responsible</w:t>
      </w:r>
      <w:r w:rsidR="00411C93" w:rsidRPr="009526A6">
        <w:rPr>
          <w:sz w:val="22"/>
          <w:szCs w:val="22"/>
          <w:lang w:eastAsia="ja-JP"/>
        </w:rPr>
        <w:t xml:space="preserve"> bidder</w:t>
      </w:r>
      <w:r w:rsidR="00040497" w:rsidRPr="009526A6">
        <w:rPr>
          <w:sz w:val="22"/>
          <w:szCs w:val="22"/>
          <w:lang w:eastAsia="ja-JP"/>
        </w:rPr>
        <w:t xml:space="preserve">.”  </w:t>
      </w:r>
      <w:r w:rsidR="00005BFD" w:rsidRPr="009526A6">
        <w:rPr>
          <w:sz w:val="22"/>
          <w:szCs w:val="22"/>
          <w:lang w:eastAsia="ja-JP"/>
        </w:rPr>
        <w:t xml:space="preserve">In addition, Ohio Rev. Code § 9.312 offers </w:t>
      </w:r>
      <w:r w:rsidR="00411C93" w:rsidRPr="009526A6">
        <w:rPr>
          <w:sz w:val="22"/>
          <w:szCs w:val="22"/>
          <w:lang w:eastAsia="ja-JP"/>
        </w:rPr>
        <w:t>an additional evaluation standard for competitive bidding called “lowest respons</w:t>
      </w:r>
      <w:r w:rsidR="00C414EF" w:rsidRPr="009526A6">
        <w:rPr>
          <w:sz w:val="22"/>
          <w:szCs w:val="22"/>
          <w:lang w:eastAsia="ja-JP"/>
        </w:rPr>
        <w:t xml:space="preserve">ive and responsible bidder.”  Ohio Rev. Code § 9.312 applies when either </w:t>
      </w:r>
      <w:r w:rsidR="0077383B" w:rsidRPr="009526A6">
        <w:rPr>
          <w:sz w:val="22"/>
          <w:szCs w:val="22"/>
          <w:lang w:eastAsia="ja-JP"/>
        </w:rPr>
        <w:t>1) another law requires the standard to apply or 2) a</w:t>
      </w:r>
      <w:r w:rsidR="0093625E" w:rsidRPr="009526A6">
        <w:rPr>
          <w:sz w:val="22"/>
          <w:szCs w:val="22"/>
          <w:lang w:eastAsia="ja-JP"/>
        </w:rPr>
        <w:t xml:space="preserve"> political subdivision </w:t>
      </w:r>
      <w:r w:rsidR="00EE1DD9" w:rsidRPr="009526A6">
        <w:rPr>
          <w:sz w:val="22"/>
          <w:szCs w:val="22"/>
          <w:lang w:eastAsia="ja-JP"/>
        </w:rPr>
        <w:t>required by law to award contracts by competitive bidding</w:t>
      </w:r>
      <w:r w:rsidR="00A33A96" w:rsidRPr="009526A6">
        <w:rPr>
          <w:sz w:val="22"/>
          <w:szCs w:val="22"/>
          <w:lang w:eastAsia="ja-JP"/>
        </w:rPr>
        <w:t xml:space="preserve"> adopts an ordinance or resolution to adopt a policy requiring </w:t>
      </w:r>
      <w:r w:rsidR="004834F6" w:rsidRPr="009526A6">
        <w:rPr>
          <w:sz w:val="22"/>
          <w:szCs w:val="22"/>
          <w:lang w:eastAsia="ja-JP"/>
        </w:rPr>
        <w:t>its contracts to be awarded to the lowest responsive and responsible bidder in accordance with Ohio Rev. Code § 9.312.</w:t>
      </w:r>
      <w:r w:rsidR="00132A49" w:rsidRPr="009526A6">
        <w:rPr>
          <w:sz w:val="22"/>
          <w:szCs w:val="22"/>
          <w:lang w:eastAsia="ja-JP"/>
        </w:rPr>
        <w:t xml:space="preserve"> </w:t>
      </w:r>
      <w:r w:rsidR="002539EA" w:rsidRPr="009526A6">
        <w:rPr>
          <w:sz w:val="22"/>
          <w:szCs w:val="22"/>
          <w:lang w:eastAsia="ja-JP"/>
        </w:rPr>
        <w:t xml:space="preserve"> </w:t>
      </w:r>
    </w:p>
    <w:p w14:paraId="2328E29B" w14:textId="77777777" w:rsidR="00320E61" w:rsidRPr="009526A6" w:rsidRDefault="00320E61" w:rsidP="001A0D69">
      <w:pPr>
        <w:jc w:val="both"/>
        <w:rPr>
          <w:sz w:val="22"/>
          <w:szCs w:val="22"/>
          <w:lang w:eastAsia="ja-JP"/>
        </w:rPr>
      </w:pPr>
    </w:p>
    <w:p w14:paraId="27D5A244" w14:textId="775EB596" w:rsidR="00147BB0" w:rsidRPr="009526A6" w:rsidRDefault="00645A38" w:rsidP="001A0D69">
      <w:pPr>
        <w:jc w:val="both"/>
        <w:rPr>
          <w:sz w:val="22"/>
          <w:szCs w:val="22"/>
          <w:lang w:eastAsia="ja-JP"/>
        </w:rPr>
      </w:pPr>
      <w:r w:rsidRPr="009526A6">
        <w:rPr>
          <w:sz w:val="22"/>
          <w:szCs w:val="22"/>
          <w:lang w:eastAsia="ja-JP"/>
        </w:rPr>
        <w:t xml:space="preserve">A bid is considered responsive if the bidder’s proposal responds to bid specifications in all material respects and contains no irregularities or deviations from the specifications </w:t>
      </w:r>
      <w:r w:rsidR="00320E61" w:rsidRPr="009526A6">
        <w:rPr>
          <w:sz w:val="22"/>
          <w:szCs w:val="22"/>
          <w:lang w:eastAsia="ja-JP"/>
        </w:rPr>
        <w:t xml:space="preserve">which would affect the amount of the bid or otherwise give the </w:t>
      </w:r>
      <w:proofErr w:type="gramStart"/>
      <w:r w:rsidR="00320E61" w:rsidRPr="009526A6">
        <w:rPr>
          <w:sz w:val="22"/>
          <w:szCs w:val="22"/>
          <w:lang w:eastAsia="ja-JP"/>
        </w:rPr>
        <w:t>bidder</w:t>
      </w:r>
      <w:proofErr w:type="gramEnd"/>
      <w:r w:rsidR="00320E61" w:rsidRPr="009526A6">
        <w:rPr>
          <w:sz w:val="22"/>
          <w:szCs w:val="22"/>
          <w:lang w:eastAsia="ja-JP"/>
        </w:rPr>
        <w:t xml:space="preserve"> a competitive advantage.  </w:t>
      </w:r>
      <w:r w:rsidR="00B05625" w:rsidRPr="009526A6">
        <w:rPr>
          <w:sz w:val="22"/>
          <w:szCs w:val="22"/>
          <w:lang w:eastAsia="ja-JP"/>
        </w:rPr>
        <w:t xml:space="preserve">The factors which should be considered in </w:t>
      </w:r>
      <w:proofErr w:type="gramStart"/>
      <w:r w:rsidR="00B05625" w:rsidRPr="009526A6">
        <w:rPr>
          <w:sz w:val="22"/>
          <w:szCs w:val="22"/>
          <w:lang w:eastAsia="ja-JP"/>
        </w:rPr>
        <w:t>determining</w:t>
      </w:r>
      <w:proofErr w:type="gramEnd"/>
      <w:r w:rsidR="00B05625" w:rsidRPr="009526A6">
        <w:rPr>
          <w:sz w:val="22"/>
          <w:szCs w:val="22"/>
          <w:lang w:eastAsia="ja-JP"/>
        </w:rPr>
        <w:t xml:space="preserve"> </w:t>
      </w:r>
      <w:r w:rsidR="00A015D1" w:rsidRPr="009526A6">
        <w:rPr>
          <w:sz w:val="22"/>
          <w:szCs w:val="22"/>
          <w:lang w:eastAsia="ja-JP"/>
        </w:rPr>
        <w:t>a bidder is responsible</w:t>
      </w:r>
      <w:r w:rsidR="00B05625" w:rsidRPr="009526A6">
        <w:rPr>
          <w:sz w:val="22"/>
          <w:szCs w:val="22"/>
          <w:lang w:eastAsia="ja-JP"/>
        </w:rPr>
        <w:t xml:space="preserve"> include the experience of the bidder, the bidder’s financial condition</w:t>
      </w:r>
      <w:r w:rsidR="00F61AAD" w:rsidRPr="009526A6">
        <w:rPr>
          <w:sz w:val="22"/>
          <w:szCs w:val="22"/>
          <w:lang w:eastAsia="ja-JP"/>
        </w:rPr>
        <w:t>, conduct and performance on previous contracts, facilities, management skills, and ability to execute the contract properly.</w:t>
      </w:r>
    </w:p>
    <w:p w14:paraId="48696EFD" w14:textId="77777777" w:rsidR="00F61AAD" w:rsidRPr="009526A6" w:rsidRDefault="00F61AAD" w:rsidP="001A0D69">
      <w:pPr>
        <w:jc w:val="both"/>
        <w:rPr>
          <w:sz w:val="22"/>
          <w:szCs w:val="22"/>
          <w:lang w:eastAsia="ja-JP"/>
        </w:rPr>
      </w:pPr>
    </w:p>
    <w:p w14:paraId="30579815" w14:textId="426852FF" w:rsidR="00293D15" w:rsidRPr="009526A6" w:rsidRDefault="00293D15" w:rsidP="00293D15">
      <w:pPr>
        <w:jc w:val="both"/>
        <w:rPr>
          <w:sz w:val="22"/>
          <w:szCs w:val="22"/>
        </w:rPr>
      </w:pPr>
      <w:r w:rsidRPr="009526A6">
        <w:rPr>
          <w:sz w:val="22"/>
          <w:szCs w:val="22"/>
        </w:rPr>
        <w:t xml:space="preserve">An apparent low bidder found not to be responsive and responsible is to be notified by the </w:t>
      </w:r>
      <w:r w:rsidR="00D6551B" w:rsidRPr="009526A6">
        <w:rPr>
          <w:sz w:val="22"/>
          <w:szCs w:val="22"/>
        </w:rPr>
        <w:t>political subdivision</w:t>
      </w:r>
      <w:r w:rsidRPr="009526A6">
        <w:rPr>
          <w:sz w:val="22"/>
          <w:szCs w:val="22"/>
        </w:rPr>
        <w:t xml:space="preserve"> of the finding and the reasons for it.  The notification is given in </w:t>
      </w:r>
      <w:proofErr w:type="gramStart"/>
      <w:r w:rsidRPr="009526A6">
        <w:rPr>
          <w:sz w:val="22"/>
          <w:szCs w:val="22"/>
        </w:rPr>
        <w:t xml:space="preserve">writing </w:t>
      </w:r>
      <w:r w:rsidRPr="00AF11BB">
        <w:rPr>
          <w:strike/>
          <w:sz w:val="22"/>
          <w:szCs w:val="22"/>
        </w:rPr>
        <w:t>and</w:t>
      </w:r>
      <w:proofErr w:type="gramEnd"/>
      <w:r w:rsidRPr="00AF11BB">
        <w:rPr>
          <w:strike/>
          <w:sz w:val="22"/>
          <w:szCs w:val="22"/>
        </w:rPr>
        <w:t xml:space="preserve"> either</w:t>
      </w:r>
      <w:r w:rsidRPr="009526A6">
        <w:rPr>
          <w:sz w:val="22"/>
          <w:szCs w:val="22"/>
        </w:rPr>
        <w:t xml:space="preserve"> by </w:t>
      </w:r>
      <w:r w:rsidRPr="00AF11BB">
        <w:rPr>
          <w:strike/>
          <w:sz w:val="22"/>
          <w:szCs w:val="22"/>
        </w:rPr>
        <w:t xml:space="preserve">certified mail </w:t>
      </w:r>
      <w:proofErr w:type="gramStart"/>
      <w:r w:rsidRPr="00AF11BB">
        <w:rPr>
          <w:strike/>
          <w:sz w:val="22"/>
          <w:szCs w:val="22"/>
        </w:rPr>
        <w:t>or,</w:t>
      </w:r>
      <w:proofErr w:type="gramEnd"/>
      <w:r w:rsidRPr="00AF11BB">
        <w:rPr>
          <w:strike/>
          <w:sz w:val="22"/>
          <w:szCs w:val="22"/>
        </w:rPr>
        <w:t xml:space="preserve"> if the political subdivision has record of</w:t>
      </w:r>
      <w:r w:rsidRPr="009526A6">
        <w:rPr>
          <w:sz w:val="22"/>
          <w:szCs w:val="22"/>
        </w:rPr>
        <w:t xml:space="preserve"> an internet identifier of record associated with the bidder, </w:t>
      </w:r>
      <w:r w:rsidR="00AF11BB" w:rsidRPr="00AF11BB">
        <w:rPr>
          <w:sz w:val="22"/>
          <w:szCs w:val="22"/>
          <w:u w:val="double"/>
        </w:rPr>
        <w:t>or</w:t>
      </w:r>
      <w:r w:rsidR="00AF11BB">
        <w:rPr>
          <w:sz w:val="22"/>
          <w:szCs w:val="22"/>
        </w:rPr>
        <w:t xml:space="preserve"> </w:t>
      </w:r>
      <w:r w:rsidRPr="009526A6">
        <w:rPr>
          <w:sz w:val="22"/>
          <w:szCs w:val="22"/>
        </w:rPr>
        <w:t xml:space="preserve">by </w:t>
      </w:r>
      <w:r w:rsidRPr="00AF11BB">
        <w:rPr>
          <w:strike/>
          <w:sz w:val="22"/>
          <w:szCs w:val="22"/>
        </w:rPr>
        <w:t>ordinary</w:t>
      </w:r>
      <w:r w:rsidRPr="009526A6">
        <w:rPr>
          <w:sz w:val="22"/>
          <w:szCs w:val="22"/>
        </w:rPr>
        <w:t xml:space="preserve"> </w:t>
      </w:r>
      <w:r w:rsidR="00AF11BB" w:rsidRPr="00AF11BB">
        <w:rPr>
          <w:sz w:val="22"/>
          <w:szCs w:val="22"/>
          <w:u w:val="double"/>
        </w:rPr>
        <w:t>certified</w:t>
      </w:r>
      <w:r w:rsidR="00AF11BB">
        <w:rPr>
          <w:sz w:val="22"/>
          <w:szCs w:val="22"/>
        </w:rPr>
        <w:t xml:space="preserve"> </w:t>
      </w:r>
      <w:r w:rsidRPr="009526A6">
        <w:rPr>
          <w:sz w:val="22"/>
          <w:szCs w:val="22"/>
        </w:rPr>
        <w:t xml:space="preserve">mail </w:t>
      </w:r>
      <w:r w:rsidRPr="00AF11BB">
        <w:rPr>
          <w:strike/>
          <w:sz w:val="22"/>
          <w:szCs w:val="22"/>
        </w:rPr>
        <w:t>and by that</w:t>
      </w:r>
      <w:r w:rsidRPr="009526A6">
        <w:rPr>
          <w:sz w:val="22"/>
          <w:szCs w:val="22"/>
        </w:rPr>
        <w:t xml:space="preserve"> </w:t>
      </w:r>
      <w:r w:rsidR="00AF11BB" w:rsidRPr="00AF11BB">
        <w:rPr>
          <w:sz w:val="22"/>
          <w:szCs w:val="22"/>
          <w:u w:val="double"/>
        </w:rPr>
        <w:t>if no</w:t>
      </w:r>
      <w:r w:rsidR="00AF11BB">
        <w:rPr>
          <w:sz w:val="22"/>
          <w:szCs w:val="22"/>
        </w:rPr>
        <w:t xml:space="preserve"> </w:t>
      </w:r>
      <w:r w:rsidRPr="009526A6">
        <w:rPr>
          <w:sz w:val="22"/>
          <w:szCs w:val="22"/>
        </w:rPr>
        <w:t>internet identifier of record</w:t>
      </w:r>
      <w:r w:rsidR="00AF11BB">
        <w:rPr>
          <w:sz w:val="22"/>
          <w:szCs w:val="22"/>
        </w:rPr>
        <w:t xml:space="preserve"> </w:t>
      </w:r>
      <w:r w:rsidR="00AF11BB" w:rsidRPr="00AF11BB">
        <w:rPr>
          <w:sz w:val="22"/>
          <w:szCs w:val="22"/>
          <w:u w:val="double"/>
        </w:rPr>
        <w:t>is available</w:t>
      </w:r>
      <w:r w:rsidRPr="009526A6">
        <w:rPr>
          <w:sz w:val="22"/>
          <w:szCs w:val="22"/>
        </w:rPr>
        <w:t>.</w:t>
      </w:r>
    </w:p>
    <w:p w14:paraId="2B722F9A" w14:textId="77777777" w:rsidR="00293D15" w:rsidRPr="009526A6" w:rsidRDefault="00293D15" w:rsidP="00293D15">
      <w:pPr>
        <w:ind w:left="360"/>
        <w:jc w:val="both"/>
        <w:rPr>
          <w:sz w:val="22"/>
          <w:szCs w:val="22"/>
        </w:rPr>
      </w:pPr>
    </w:p>
    <w:p w14:paraId="5698F5D8" w14:textId="3EC91C49" w:rsidR="00293D15" w:rsidRPr="009526A6" w:rsidRDefault="00293D15" w:rsidP="00293D15">
      <w:pPr>
        <w:jc w:val="both"/>
        <w:rPr>
          <w:sz w:val="22"/>
          <w:szCs w:val="22"/>
        </w:rPr>
      </w:pPr>
      <w:r w:rsidRPr="009526A6">
        <w:rPr>
          <w:sz w:val="22"/>
          <w:szCs w:val="22"/>
        </w:rPr>
        <w:t xml:space="preserve">When the contract is awarded to a bidder other than the apparent low bidder or bidders, the </w:t>
      </w:r>
      <w:r w:rsidR="00594236" w:rsidRPr="009526A6">
        <w:rPr>
          <w:sz w:val="22"/>
          <w:szCs w:val="22"/>
        </w:rPr>
        <w:t>political subdivision</w:t>
      </w:r>
      <w:r w:rsidRPr="009526A6">
        <w:rPr>
          <w:sz w:val="22"/>
          <w:szCs w:val="22"/>
        </w:rPr>
        <w:t xml:space="preserve"> is required to meet with the apparent low bidder or bidders upon filing of a timely written protest.  The protest must be received within five days of the notification required above.  No final award can be made until the </w:t>
      </w:r>
      <w:r w:rsidR="00594236" w:rsidRPr="009526A6">
        <w:rPr>
          <w:sz w:val="22"/>
          <w:szCs w:val="22"/>
        </w:rPr>
        <w:t>political subdivision</w:t>
      </w:r>
      <w:r w:rsidRPr="009526A6">
        <w:rPr>
          <w:sz w:val="22"/>
          <w:szCs w:val="22"/>
        </w:rPr>
        <w:t xml:space="preserve"> either affirms or reverses its earlier determination.  </w:t>
      </w:r>
    </w:p>
    <w:p w14:paraId="7673DF53" w14:textId="0A778FD5" w:rsidR="00147BB0" w:rsidRPr="008C2A4E" w:rsidRDefault="00147BB0">
      <w:pPr>
        <w:rPr>
          <w:sz w:val="24"/>
          <w:szCs w:val="24"/>
          <w:lang w:eastAsia="ja-JP"/>
        </w:rPr>
      </w:pPr>
      <w:r w:rsidRPr="008C2A4E">
        <w:rPr>
          <w:sz w:val="24"/>
          <w:szCs w:val="24"/>
          <w:lang w:eastAsia="ja-JP"/>
        </w:rPr>
        <w:br w:type="page"/>
      </w:r>
    </w:p>
    <w:p w14:paraId="353B2640" w14:textId="77777777" w:rsidR="00271B7B" w:rsidRDefault="00271B7B">
      <w:pPr>
        <w:rPr>
          <w:lang w:eastAsia="ja-JP"/>
        </w:rPr>
        <w:sectPr w:rsidR="00271B7B" w:rsidSect="000B5D0D">
          <w:headerReference w:type="default" r:id="rId43"/>
          <w:pgSz w:w="12240" w:h="15840"/>
          <w:pgMar w:top="1152" w:right="1152" w:bottom="720" w:left="1152" w:header="720" w:footer="720" w:gutter="0"/>
          <w:cols w:space="720"/>
          <w:noEndnote/>
        </w:sectPr>
      </w:pPr>
    </w:p>
    <w:p w14:paraId="267B887B" w14:textId="47C57A5E" w:rsidR="00340DC7" w:rsidRPr="00113B44" w:rsidRDefault="00340DC7" w:rsidP="00621F8F">
      <w:pPr>
        <w:pStyle w:val="Subtitle"/>
        <w:shd w:val="clear" w:color="auto" w:fill="A6A6A6" w:themeFill="background1" w:themeFillShade="A6"/>
      </w:pPr>
      <w:bookmarkStart w:id="45" w:name="_Toc214431138"/>
      <w:r>
        <w:t xml:space="preserve">APPENDIX C </w:t>
      </w:r>
      <w:r w:rsidR="00CF3EE6">
        <w:t>–</w:t>
      </w:r>
      <w:r>
        <w:t xml:space="preserve"> Debt</w:t>
      </w:r>
      <w:r w:rsidR="00CF3EE6">
        <w:t xml:space="preserve"> (Applies to Chapter 1)</w:t>
      </w:r>
      <w:bookmarkEnd w:id="45"/>
    </w:p>
    <w:p w14:paraId="6C2FA4E8" w14:textId="77777777" w:rsidR="00E511BA" w:rsidRPr="008C2A4E" w:rsidRDefault="00E511BA" w:rsidP="0049323D">
      <w:pPr>
        <w:rPr>
          <w:sz w:val="24"/>
          <w:szCs w:val="24"/>
        </w:rPr>
      </w:pPr>
    </w:p>
    <w:p w14:paraId="7AD64A65" w14:textId="77777777" w:rsidR="00340DC7" w:rsidRPr="009526A6" w:rsidRDefault="00340DC7" w:rsidP="00340DC7">
      <w:pPr>
        <w:jc w:val="both"/>
        <w:rPr>
          <w:sz w:val="22"/>
          <w:szCs w:val="22"/>
        </w:rPr>
      </w:pPr>
      <w:r w:rsidRPr="009526A6">
        <w:rPr>
          <w:sz w:val="22"/>
          <w:szCs w:val="22"/>
        </w:rPr>
        <w:t xml:space="preserve">The power of a taxing authority to incur debt for public purposes is a power of local self-government provided by the Ohio Rev. Code through Chapter 133, the Uniform Public Securities Law.  In addition, the taxing authority's charter, ordinances and resolutions may place further restrictions (or, in the case of a charter, fewer restrictions) on the taxing authority’s power to incur debt.  </w:t>
      </w:r>
    </w:p>
    <w:p w14:paraId="09F0F71C" w14:textId="77777777" w:rsidR="00340DC7" w:rsidRPr="009526A6" w:rsidRDefault="00340DC7" w:rsidP="00340DC7">
      <w:pPr>
        <w:jc w:val="both"/>
        <w:rPr>
          <w:sz w:val="22"/>
          <w:szCs w:val="22"/>
        </w:rPr>
      </w:pPr>
    </w:p>
    <w:p w14:paraId="7C44AEBB" w14:textId="77777777" w:rsidR="00340DC7" w:rsidRPr="009526A6" w:rsidRDefault="00340DC7" w:rsidP="00340DC7">
      <w:pPr>
        <w:jc w:val="both"/>
        <w:rPr>
          <w:sz w:val="22"/>
          <w:szCs w:val="22"/>
        </w:rPr>
      </w:pPr>
      <w:r w:rsidRPr="009526A6">
        <w:rPr>
          <w:sz w:val="22"/>
          <w:szCs w:val="22"/>
        </w:rPr>
        <w:t>In issuing debt, many governments either engage bond counsel or use a local financial institution to advise them regarding compliance with debt-related laws. Using legal counsel experienced with debt compliance can help a government meet Ohio Rev. Code Chapter 133 (and other requirements.)  Auditors should consider this when determining the nature and extent of testing in this area.</w:t>
      </w:r>
    </w:p>
    <w:p w14:paraId="71F039A9" w14:textId="77777777" w:rsidR="00340DC7" w:rsidRPr="009526A6" w:rsidRDefault="00340DC7" w:rsidP="00340DC7">
      <w:pPr>
        <w:jc w:val="both"/>
        <w:rPr>
          <w:sz w:val="22"/>
          <w:szCs w:val="22"/>
        </w:rPr>
      </w:pPr>
    </w:p>
    <w:p w14:paraId="27E100CE" w14:textId="14FB26E3" w:rsidR="00340DC7" w:rsidRPr="009526A6" w:rsidRDefault="00340DC7" w:rsidP="00340DC7">
      <w:pPr>
        <w:pBdr>
          <w:top w:val="single" w:sz="6" w:space="1" w:color="auto"/>
          <w:left w:val="single" w:sz="6" w:space="4" w:color="auto"/>
          <w:bottom w:val="single" w:sz="6" w:space="1" w:color="auto"/>
          <w:right w:val="single" w:sz="6" w:space="4" w:color="auto"/>
        </w:pBdr>
        <w:jc w:val="both"/>
        <w:rPr>
          <w:b/>
          <w:sz w:val="22"/>
          <w:szCs w:val="22"/>
        </w:rPr>
      </w:pPr>
      <w:r w:rsidRPr="009526A6">
        <w:rPr>
          <w:b/>
          <w:i/>
          <w:sz w:val="22"/>
          <w:szCs w:val="22"/>
        </w:rPr>
        <w:t>Note</w:t>
      </w:r>
      <w:r w:rsidRPr="009526A6">
        <w:rPr>
          <w:sz w:val="22"/>
          <w:szCs w:val="22"/>
        </w:rPr>
        <w:t xml:space="preserve">: There are many </w:t>
      </w:r>
      <w:r w:rsidR="00561DE0" w:rsidRPr="009526A6">
        <w:rPr>
          <w:sz w:val="22"/>
          <w:szCs w:val="22"/>
        </w:rPr>
        <w:t>Revised</w:t>
      </w:r>
      <w:r w:rsidRPr="009526A6">
        <w:rPr>
          <w:sz w:val="22"/>
          <w:szCs w:val="22"/>
        </w:rPr>
        <w:t xml:space="preserve"> Code Sections authorizing governmental debt, in addition to Chapter 133.  Many requirements from other chapters refer to, and require compliance with certain Ohio Rev. Code </w:t>
      </w:r>
      <w:r w:rsidR="006C3139" w:rsidRPr="009526A6">
        <w:rPr>
          <w:sz w:val="22"/>
          <w:szCs w:val="22"/>
        </w:rPr>
        <w:t xml:space="preserve">Chapter </w:t>
      </w:r>
      <w:r w:rsidRPr="009526A6">
        <w:rPr>
          <w:sz w:val="22"/>
          <w:szCs w:val="22"/>
        </w:rPr>
        <w:t xml:space="preserve">133.  It is impractical to describe every Rev. Code debt requirement in </w:t>
      </w:r>
      <w:r w:rsidR="00D02892" w:rsidRPr="009526A6">
        <w:rPr>
          <w:sz w:val="22"/>
          <w:szCs w:val="22"/>
        </w:rPr>
        <w:t>the OCS</w:t>
      </w:r>
      <w:r w:rsidRPr="009526A6">
        <w:rPr>
          <w:sz w:val="22"/>
          <w:szCs w:val="22"/>
        </w:rPr>
        <w:t xml:space="preserve">.  </w:t>
      </w:r>
      <w:r w:rsidR="00D02892" w:rsidRPr="009526A6">
        <w:rPr>
          <w:sz w:val="22"/>
          <w:szCs w:val="22"/>
        </w:rPr>
        <w:t>Chapter 1</w:t>
      </w:r>
      <w:r w:rsidRPr="009526A6">
        <w:rPr>
          <w:sz w:val="22"/>
          <w:szCs w:val="22"/>
        </w:rPr>
        <w:t xml:space="preserve"> focuses on some of the most common requirements applicable to local government securities. </w:t>
      </w:r>
      <w:r w:rsidRPr="009526A6">
        <w:rPr>
          <w:b/>
          <w:sz w:val="22"/>
          <w:szCs w:val="22"/>
        </w:rPr>
        <w:t xml:space="preserve">However, auditors may need to refer to other Ohio Rev. Code sections, and amend the steps </w:t>
      </w:r>
      <w:r w:rsidR="00D02892" w:rsidRPr="009526A6">
        <w:rPr>
          <w:b/>
          <w:sz w:val="22"/>
          <w:szCs w:val="22"/>
        </w:rPr>
        <w:t>in</w:t>
      </w:r>
      <w:r w:rsidRPr="009526A6">
        <w:rPr>
          <w:b/>
          <w:sz w:val="22"/>
          <w:szCs w:val="22"/>
        </w:rPr>
        <w:t xml:space="preserve"> </w:t>
      </w:r>
      <w:r w:rsidR="00E71E84" w:rsidRPr="009526A6">
        <w:rPr>
          <w:b/>
          <w:sz w:val="22"/>
          <w:szCs w:val="22"/>
        </w:rPr>
        <w:t>OCS</w:t>
      </w:r>
      <w:r w:rsidRPr="009526A6">
        <w:rPr>
          <w:b/>
          <w:sz w:val="22"/>
          <w:szCs w:val="22"/>
        </w:rPr>
        <w:t xml:space="preserve"> Chapter</w:t>
      </w:r>
      <w:r w:rsidR="00D02892" w:rsidRPr="009526A6">
        <w:rPr>
          <w:b/>
          <w:sz w:val="22"/>
          <w:szCs w:val="22"/>
        </w:rPr>
        <w:t xml:space="preserve"> 1</w:t>
      </w:r>
      <w:r w:rsidRPr="009526A6">
        <w:rPr>
          <w:b/>
          <w:sz w:val="22"/>
          <w:szCs w:val="22"/>
        </w:rPr>
        <w:t xml:space="preserve"> for debt issued under other Ohio Rev. Code sections.</w:t>
      </w:r>
    </w:p>
    <w:p w14:paraId="7DE8B4C6" w14:textId="77777777" w:rsidR="00340DC7" w:rsidRPr="009526A6" w:rsidRDefault="00340DC7" w:rsidP="00340DC7">
      <w:pPr>
        <w:jc w:val="both"/>
        <w:rPr>
          <w:b/>
          <w:sz w:val="22"/>
          <w:szCs w:val="22"/>
        </w:rPr>
      </w:pPr>
    </w:p>
    <w:p w14:paraId="636C1D3E" w14:textId="77777777" w:rsidR="00340DC7" w:rsidRPr="009526A6" w:rsidRDefault="00340DC7" w:rsidP="00DB24AE">
      <w:pPr>
        <w:pBdr>
          <w:top w:val="single" w:sz="4" w:space="1" w:color="auto"/>
          <w:left w:val="single" w:sz="4" w:space="4" w:color="auto"/>
          <w:bottom w:val="single" w:sz="4" w:space="1" w:color="auto"/>
          <w:right w:val="single" w:sz="4" w:space="4" w:color="auto"/>
        </w:pBdr>
        <w:shd w:val="clear" w:color="auto" w:fill="C6D9F1" w:themeFill="text2" w:themeFillTint="33"/>
        <w:jc w:val="center"/>
        <w:rPr>
          <w:b/>
          <w:sz w:val="22"/>
          <w:szCs w:val="22"/>
        </w:rPr>
      </w:pPr>
      <w:r w:rsidRPr="009526A6">
        <w:rPr>
          <w:b/>
          <w:sz w:val="22"/>
          <w:szCs w:val="22"/>
        </w:rPr>
        <w:t>POSSIBLE NONCOMPLIANCE RISK FACTORS:</w:t>
      </w:r>
    </w:p>
    <w:p w14:paraId="45AAC38B" w14:textId="77777777" w:rsidR="00340DC7" w:rsidRPr="009526A6" w:rsidRDefault="00340DC7"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sz w:val="22"/>
          <w:szCs w:val="22"/>
        </w:rPr>
      </w:pPr>
    </w:p>
    <w:p w14:paraId="431C742D" w14:textId="25A345F4" w:rsidR="00340DC7" w:rsidRPr="009526A6" w:rsidRDefault="00340DC7"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sz w:val="22"/>
          <w:szCs w:val="22"/>
        </w:rPr>
      </w:pPr>
      <w:r w:rsidRPr="009526A6">
        <w:rPr>
          <w:b/>
          <w:i/>
          <w:sz w:val="22"/>
          <w:szCs w:val="22"/>
        </w:rPr>
        <w:t>Note</w:t>
      </w:r>
      <w:r w:rsidRPr="009526A6">
        <w:rPr>
          <w:b/>
          <w:sz w:val="22"/>
          <w:szCs w:val="22"/>
        </w:rPr>
        <w:t xml:space="preserve">: </w:t>
      </w:r>
      <w:r w:rsidRPr="009526A6">
        <w:rPr>
          <w:sz w:val="22"/>
          <w:szCs w:val="22"/>
        </w:rPr>
        <w:t xml:space="preserve">In assessing the risk of noncompliance, auditors should consider whether the government has utilized the assistance of bond counsel for all debt issuances.  Typically, bond counsel will evaluate (and possibly opine) on a government’s compliance with certain laws and regulations related to debt </w:t>
      </w:r>
      <w:r w:rsidRPr="009526A6">
        <w:rPr>
          <w:i/>
          <w:sz w:val="22"/>
          <w:szCs w:val="22"/>
        </w:rPr>
        <w:t>issuance</w:t>
      </w:r>
      <w:r w:rsidRPr="009526A6">
        <w:rPr>
          <w:sz w:val="22"/>
          <w:szCs w:val="22"/>
        </w:rPr>
        <w:t xml:space="preserve">.  An opinion or evaluation by bond counsel may lower the risk of noncompliance pertaining to recent debt </w:t>
      </w:r>
      <w:proofErr w:type="gramStart"/>
      <w:r w:rsidRPr="009526A6">
        <w:rPr>
          <w:i/>
          <w:sz w:val="22"/>
          <w:szCs w:val="22"/>
        </w:rPr>
        <w:t>issuances</w:t>
      </w:r>
      <w:proofErr w:type="gramEnd"/>
      <w:r w:rsidRPr="009526A6">
        <w:rPr>
          <w:sz w:val="22"/>
          <w:szCs w:val="22"/>
        </w:rPr>
        <w:t xml:space="preserve">.  However, an opinion from bond counsel will not mitigate the risk of noncompliance relating to covenants, debt retirement or reporting related to transactions or events occurring </w:t>
      </w:r>
      <w:r w:rsidRPr="009526A6">
        <w:rPr>
          <w:i/>
          <w:sz w:val="22"/>
          <w:szCs w:val="22"/>
        </w:rPr>
        <w:t>after</w:t>
      </w:r>
      <w:r w:rsidRPr="009526A6">
        <w:rPr>
          <w:sz w:val="22"/>
          <w:szCs w:val="22"/>
        </w:rPr>
        <w:t xml:space="preserve"> the debt’s issuance.</w:t>
      </w:r>
      <w:r w:rsidRPr="009526A6">
        <w:rPr>
          <w:b/>
          <w:sz w:val="22"/>
          <w:szCs w:val="22"/>
        </w:rPr>
        <w:t xml:space="preserve">  </w:t>
      </w:r>
    </w:p>
    <w:p w14:paraId="35A1C388" w14:textId="77777777" w:rsidR="00340DC7" w:rsidRPr="009526A6" w:rsidRDefault="00340DC7"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sz w:val="22"/>
          <w:szCs w:val="22"/>
        </w:rPr>
      </w:pPr>
    </w:p>
    <w:p w14:paraId="19D70270" w14:textId="03BF70FE" w:rsidR="00340DC7" w:rsidRPr="009526A6" w:rsidRDefault="00340DC7"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sz w:val="22"/>
          <w:szCs w:val="22"/>
        </w:rPr>
      </w:pPr>
      <w:r w:rsidRPr="009526A6">
        <w:rPr>
          <w:b/>
          <w:i/>
          <w:sz w:val="22"/>
          <w:szCs w:val="22"/>
        </w:rPr>
        <w:t>For example:</w:t>
      </w:r>
      <w:r w:rsidRPr="009526A6">
        <w:rPr>
          <w:b/>
          <w:sz w:val="22"/>
          <w:szCs w:val="22"/>
        </w:rPr>
        <w:t xml:space="preserve"> </w:t>
      </w:r>
      <w:r w:rsidRPr="009526A6">
        <w:rPr>
          <w:sz w:val="22"/>
          <w:szCs w:val="22"/>
        </w:rPr>
        <w:t xml:space="preserve">where bond counsel was involved with debt issues we are testing, we usually can rely on documents they have prepared or opined on, as evidence that legislation authorizing the securities complies with statute.  However, bond counsel would not “audit” the government’s </w:t>
      </w:r>
      <w:r w:rsidRPr="009526A6">
        <w:rPr>
          <w:i/>
          <w:sz w:val="22"/>
          <w:szCs w:val="22"/>
        </w:rPr>
        <w:t>subsequent</w:t>
      </w:r>
      <w:r w:rsidRPr="009526A6">
        <w:rPr>
          <w:sz w:val="22"/>
          <w:szCs w:val="22"/>
        </w:rPr>
        <w:t xml:space="preserve"> compliance with requirements.  For example, we would not expect bond counsel to determine how the government accounted for debt proceeds or whether the proceeds were spent for authorized purposes.</w:t>
      </w:r>
    </w:p>
    <w:p w14:paraId="688547D8" w14:textId="77777777" w:rsidR="00432648" w:rsidRDefault="00432648">
      <w:pPr>
        <w:rPr>
          <w:b/>
          <w:sz w:val="24"/>
          <w:szCs w:val="24"/>
        </w:rPr>
      </w:pPr>
      <w:r>
        <w:rPr>
          <w:b/>
          <w:sz w:val="24"/>
          <w:szCs w:val="24"/>
        </w:rPr>
        <w:br w:type="page"/>
      </w:r>
    </w:p>
    <w:p w14:paraId="23A8B40D" w14:textId="3BC167EC" w:rsidR="00340DC7" w:rsidRPr="001944CC" w:rsidRDefault="00340DC7" w:rsidP="00621F8F">
      <w:pPr>
        <w:pStyle w:val="Title"/>
        <w:shd w:val="clear" w:color="auto" w:fill="A6A6A6" w:themeFill="background1" w:themeFillShade="A6"/>
        <w:ind w:left="0"/>
      </w:pPr>
      <w:bookmarkStart w:id="46" w:name="_Toc214431139"/>
      <w:r>
        <w:t xml:space="preserve">APPENDIX C-1 </w:t>
      </w:r>
      <w:r w:rsidRPr="001944CC">
        <w:t>Tax and Revenue Anticipation Notes</w:t>
      </w:r>
      <w:r w:rsidR="00457C10">
        <w:t xml:space="preserve"> </w:t>
      </w:r>
      <w:r w:rsidR="00457C10" w:rsidRPr="00851AB7">
        <w:rPr>
          <w:i/>
          <w:iCs/>
        </w:rPr>
        <w:t xml:space="preserve">(Applies to </w:t>
      </w:r>
      <w:r w:rsidR="00851AB7" w:rsidRPr="00851AB7">
        <w:rPr>
          <w:i/>
          <w:iCs/>
        </w:rPr>
        <w:t>Section</w:t>
      </w:r>
      <w:r w:rsidR="00457C10" w:rsidRPr="00851AB7">
        <w:rPr>
          <w:i/>
          <w:iCs/>
        </w:rPr>
        <w:t xml:space="preserve"> 1</w:t>
      </w:r>
      <w:r w:rsidR="00851AB7" w:rsidRPr="00851AB7">
        <w:rPr>
          <w:i/>
          <w:iCs/>
        </w:rPr>
        <w:t>-11</w:t>
      </w:r>
      <w:r w:rsidR="00457C10" w:rsidRPr="00851AB7">
        <w:rPr>
          <w:i/>
          <w:iCs/>
        </w:rPr>
        <w:t>)</w:t>
      </w:r>
      <w:bookmarkEnd w:id="46"/>
    </w:p>
    <w:p w14:paraId="1A100A47" w14:textId="77777777" w:rsidR="00340DC7" w:rsidRDefault="00340DC7" w:rsidP="00340DC7">
      <w:pPr>
        <w:pStyle w:val="Title"/>
        <w:outlineLvl w:val="9"/>
      </w:pP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790"/>
        <w:gridCol w:w="3240"/>
        <w:gridCol w:w="5940"/>
      </w:tblGrid>
      <w:tr w:rsidR="00340DC7" w:rsidRPr="001944CC" w14:paraId="2FCA96F3" w14:textId="77777777" w:rsidTr="00306C4D">
        <w:trPr>
          <w:tblHeader/>
        </w:trPr>
        <w:tc>
          <w:tcPr>
            <w:tcW w:w="13950" w:type="dxa"/>
            <w:gridSpan w:val="4"/>
            <w:shd w:val="clear" w:color="auto" w:fill="4F81BD" w:themeFill="accent1"/>
          </w:tcPr>
          <w:p w14:paraId="2D479FCF" w14:textId="1AE466C7" w:rsidR="00340DC7" w:rsidRPr="00DB24AE" w:rsidRDefault="00340DC7" w:rsidP="00DB24AE">
            <w:pPr>
              <w:jc w:val="center"/>
              <w:rPr>
                <w:b/>
                <w:color w:val="FFFFFF" w:themeColor="background1"/>
                <w:sz w:val="22"/>
                <w:szCs w:val="22"/>
              </w:rPr>
            </w:pPr>
            <w:r w:rsidRPr="00DB24AE">
              <w:rPr>
                <w:b/>
                <w:color w:val="FFFFFF" w:themeColor="background1"/>
                <w:sz w:val="28"/>
                <w:szCs w:val="28"/>
              </w:rPr>
              <w:t>Tax and Revenue Anticipation Notes</w:t>
            </w:r>
          </w:p>
        </w:tc>
      </w:tr>
      <w:tr w:rsidR="009F2601" w:rsidRPr="001944CC" w14:paraId="0780959C" w14:textId="77777777" w:rsidTr="00306C4D">
        <w:trPr>
          <w:tblHeader/>
        </w:trPr>
        <w:tc>
          <w:tcPr>
            <w:tcW w:w="1980" w:type="dxa"/>
            <w:shd w:val="clear" w:color="auto" w:fill="4F81BD" w:themeFill="accent1"/>
            <w:vAlign w:val="bottom"/>
          </w:tcPr>
          <w:p w14:paraId="0A0DBE73" w14:textId="77777777" w:rsidR="00340DC7" w:rsidRPr="00DB24AE" w:rsidRDefault="00340DC7" w:rsidP="004E5970">
            <w:pPr>
              <w:jc w:val="center"/>
              <w:rPr>
                <w:b/>
                <w:color w:val="FFFFFF" w:themeColor="background1"/>
                <w:sz w:val="22"/>
                <w:szCs w:val="22"/>
              </w:rPr>
            </w:pPr>
            <w:r w:rsidRPr="00DB24AE">
              <w:rPr>
                <w:b/>
                <w:color w:val="FFFFFF" w:themeColor="background1"/>
                <w:sz w:val="22"/>
                <w:szCs w:val="22"/>
              </w:rPr>
              <w:t>Ohio Rev. Code § and Entities to which it applies</w:t>
            </w:r>
          </w:p>
        </w:tc>
        <w:tc>
          <w:tcPr>
            <w:tcW w:w="2790" w:type="dxa"/>
            <w:shd w:val="clear" w:color="auto" w:fill="4F81BD" w:themeFill="accent1"/>
            <w:vAlign w:val="bottom"/>
          </w:tcPr>
          <w:p w14:paraId="4C4FF0E8" w14:textId="77777777" w:rsidR="00340DC7" w:rsidRPr="00DB24AE" w:rsidRDefault="00340DC7" w:rsidP="004E5970">
            <w:pPr>
              <w:jc w:val="center"/>
              <w:rPr>
                <w:b/>
                <w:color w:val="FFFFFF" w:themeColor="background1"/>
                <w:sz w:val="22"/>
                <w:szCs w:val="22"/>
              </w:rPr>
            </w:pPr>
            <w:r w:rsidRPr="00DB24AE">
              <w:rPr>
                <w:b/>
                <w:color w:val="FFFFFF" w:themeColor="background1"/>
                <w:sz w:val="22"/>
                <w:szCs w:val="22"/>
              </w:rPr>
              <w:t>Purpose</w:t>
            </w:r>
          </w:p>
        </w:tc>
        <w:tc>
          <w:tcPr>
            <w:tcW w:w="3240" w:type="dxa"/>
            <w:shd w:val="clear" w:color="auto" w:fill="4F81BD" w:themeFill="accent1"/>
            <w:vAlign w:val="bottom"/>
          </w:tcPr>
          <w:p w14:paraId="31D9D7CA" w14:textId="77777777" w:rsidR="00340DC7" w:rsidRPr="00DB24AE" w:rsidRDefault="00340DC7" w:rsidP="004E5970">
            <w:pPr>
              <w:jc w:val="center"/>
              <w:rPr>
                <w:b/>
                <w:color w:val="FFFFFF" w:themeColor="background1"/>
                <w:sz w:val="22"/>
                <w:szCs w:val="22"/>
              </w:rPr>
            </w:pPr>
            <w:r w:rsidRPr="00DB24AE">
              <w:rPr>
                <w:b/>
                <w:color w:val="FFFFFF" w:themeColor="background1"/>
                <w:sz w:val="22"/>
                <w:szCs w:val="22"/>
              </w:rPr>
              <w:t>Reference to</w:t>
            </w:r>
          </w:p>
          <w:p w14:paraId="0D381C41" w14:textId="77777777" w:rsidR="00340DC7" w:rsidRPr="00DB24AE" w:rsidRDefault="009E75D3" w:rsidP="004E5970">
            <w:pPr>
              <w:jc w:val="center"/>
              <w:rPr>
                <w:b/>
                <w:color w:val="FFFFFF" w:themeColor="background1"/>
                <w:sz w:val="22"/>
                <w:szCs w:val="22"/>
              </w:rPr>
            </w:pPr>
            <w:r w:rsidRPr="00DB24AE">
              <w:rPr>
                <w:b/>
                <w:color w:val="FFFFFF" w:themeColor="background1"/>
                <w:sz w:val="22"/>
                <w:szCs w:val="22"/>
              </w:rPr>
              <w:t>Ohio Rev. Code</w:t>
            </w:r>
            <w:r w:rsidR="00340DC7" w:rsidRPr="00DB24AE">
              <w:rPr>
                <w:b/>
                <w:color w:val="FFFFFF" w:themeColor="background1"/>
                <w:sz w:val="22"/>
                <w:szCs w:val="22"/>
              </w:rPr>
              <w:t xml:space="preserve"> </w:t>
            </w:r>
            <w:r w:rsidR="009B4BF1" w:rsidRPr="00DB24AE">
              <w:rPr>
                <w:b/>
                <w:color w:val="FFFFFF" w:themeColor="background1"/>
                <w:sz w:val="22"/>
                <w:szCs w:val="22"/>
              </w:rPr>
              <w:t>§ 1</w:t>
            </w:r>
            <w:r w:rsidR="00340DC7" w:rsidRPr="00DB24AE">
              <w:rPr>
                <w:b/>
                <w:color w:val="FFFFFF" w:themeColor="background1"/>
                <w:sz w:val="22"/>
                <w:szCs w:val="22"/>
              </w:rPr>
              <w:t>33.10</w:t>
            </w:r>
          </w:p>
        </w:tc>
        <w:tc>
          <w:tcPr>
            <w:tcW w:w="5940" w:type="dxa"/>
            <w:shd w:val="clear" w:color="auto" w:fill="4F81BD" w:themeFill="accent1"/>
            <w:vAlign w:val="bottom"/>
          </w:tcPr>
          <w:p w14:paraId="3CA0A21C" w14:textId="77777777" w:rsidR="00340DC7" w:rsidRPr="00DB24AE" w:rsidRDefault="00340DC7" w:rsidP="004E5970">
            <w:pPr>
              <w:jc w:val="center"/>
              <w:rPr>
                <w:b/>
                <w:color w:val="FFFFFF" w:themeColor="background1"/>
                <w:sz w:val="22"/>
                <w:szCs w:val="22"/>
              </w:rPr>
            </w:pPr>
            <w:r w:rsidRPr="00DB24AE">
              <w:rPr>
                <w:b/>
                <w:color w:val="FFFFFF" w:themeColor="background1"/>
                <w:sz w:val="22"/>
                <w:szCs w:val="22"/>
              </w:rPr>
              <w:t>Reference to</w:t>
            </w:r>
          </w:p>
          <w:p w14:paraId="7977E45C" w14:textId="77777777" w:rsidR="00340DC7" w:rsidRPr="00DB24AE" w:rsidRDefault="009E75D3" w:rsidP="004E5970">
            <w:pPr>
              <w:jc w:val="center"/>
              <w:rPr>
                <w:b/>
                <w:color w:val="FFFFFF" w:themeColor="background1"/>
                <w:sz w:val="22"/>
                <w:szCs w:val="22"/>
              </w:rPr>
            </w:pPr>
            <w:r w:rsidRPr="00DB24AE">
              <w:rPr>
                <w:b/>
                <w:color w:val="FFFFFF" w:themeColor="background1"/>
                <w:sz w:val="22"/>
                <w:szCs w:val="22"/>
              </w:rPr>
              <w:t>Ohio Rev. Code</w:t>
            </w:r>
            <w:r w:rsidR="00340DC7" w:rsidRPr="00DB24AE">
              <w:rPr>
                <w:b/>
                <w:color w:val="FFFFFF" w:themeColor="background1"/>
                <w:sz w:val="22"/>
                <w:szCs w:val="22"/>
              </w:rPr>
              <w:t xml:space="preserve"> </w:t>
            </w:r>
            <w:r w:rsidR="009B4BF1" w:rsidRPr="00DB24AE">
              <w:rPr>
                <w:b/>
                <w:color w:val="FFFFFF" w:themeColor="background1"/>
                <w:sz w:val="22"/>
                <w:szCs w:val="22"/>
              </w:rPr>
              <w:t>§ 1</w:t>
            </w:r>
            <w:r w:rsidR="00340DC7" w:rsidRPr="00DB24AE">
              <w:rPr>
                <w:b/>
                <w:color w:val="FFFFFF" w:themeColor="background1"/>
                <w:sz w:val="22"/>
                <w:szCs w:val="22"/>
              </w:rPr>
              <w:t>33.24</w:t>
            </w:r>
          </w:p>
        </w:tc>
      </w:tr>
      <w:tr w:rsidR="00340DC7" w:rsidRPr="001944CC" w14:paraId="478DAFB6" w14:textId="77777777" w:rsidTr="00306C4D">
        <w:tc>
          <w:tcPr>
            <w:tcW w:w="1980" w:type="dxa"/>
          </w:tcPr>
          <w:p w14:paraId="6AF842A2" w14:textId="77777777" w:rsidR="00340DC7" w:rsidRPr="001C04A2" w:rsidRDefault="009B4BF1" w:rsidP="00FE2ACE">
            <w:r w:rsidRPr="001C04A2">
              <w:t>§ 1</w:t>
            </w:r>
            <w:r w:rsidR="00340DC7" w:rsidRPr="001C04A2">
              <w:t>18.17.  Issuance of local government fund notes</w:t>
            </w:r>
            <w:r w:rsidRPr="001C04A2">
              <w:t xml:space="preserve"> (during fiscal emergency)</w:t>
            </w:r>
            <w:r w:rsidR="00340DC7" w:rsidRPr="001C04A2">
              <w:t xml:space="preserve"> </w:t>
            </w:r>
          </w:p>
          <w:p w14:paraId="51212D32" w14:textId="77777777" w:rsidR="00340DC7" w:rsidRPr="001C04A2" w:rsidRDefault="00340DC7" w:rsidP="00FE2ACE"/>
          <w:p w14:paraId="00CFCA2F" w14:textId="77777777" w:rsidR="00340DC7" w:rsidRPr="001C04A2" w:rsidRDefault="00340DC7" w:rsidP="00FE2ACE">
            <w:r w:rsidRPr="001C04A2">
              <w:t>Municipal corporation, county, or township (during fiscal emergency periods)</w:t>
            </w:r>
          </w:p>
        </w:tc>
        <w:tc>
          <w:tcPr>
            <w:tcW w:w="2790" w:type="dxa"/>
          </w:tcPr>
          <w:p w14:paraId="3E8C1995" w14:textId="77777777" w:rsidR="00340DC7" w:rsidRPr="001C04A2" w:rsidRDefault="00340DC7" w:rsidP="00FE2ACE">
            <w:r w:rsidRPr="001C04A2">
              <w:t>Current operating expenses the commission approves</w:t>
            </w:r>
          </w:p>
        </w:tc>
        <w:tc>
          <w:tcPr>
            <w:tcW w:w="3240" w:type="dxa"/>
          </w:tcPr>
          <w:p w14:paraId="1FBE3EED" w14:textId="77777777" w:rsidR="00340DC7" w:rsidRPr="001C04A2" w:rsidRDefault="009B4BF1" w:rsidP="00B82F36">
            <w:r w:rsidRPr="001C04A2">
              <w:t>§ 1</w:t>
            </w:r>
            <w:r w:rsidR="00340DC7" w:rsidRPr="001C04A2">
              <w:t xml:space="preserve">18.17(C)(3) </w:t>
            </w:r>
            <w:r w:rsidR="001B661C" w:rsidRPr="001C04A2">
              <w:t>states, in part, “</w:t>
            </w:r>
            <w:r w:rsidR="00340DC7" w:rsidRPr="001C04A2">
              <w:t>Current revenue notes" means debt obligations described in 133.10 or Chapter 5705 of the Ohio Rev. Code or any other debt obligations issued to obtain funds for current operating expenses.”</w:t>
            </w:r>
          </w:p>
        </w:tc>
        <w:tc>
          <w:tcPr>
            <w:tcW w:w="5940" w:type="dxa"/>
          </w:tcPr>
          <w:p w14:paraId="6080C836" w14:textId="77777777" w:rsidR="00340DC7" w:rsidRPr="001C04A2" w:rsidRDefault="00340DC7" w:rsidP="00FE2ACE">
            <w:r w:rsidRPr="001C04A2">
              <w:t>No</w:t>
            </w:r>
          </w:p>
        </w:tc>
      </w:tr>
      <w:tr w:rsidR="00340DC7" w:rsidRPr="001944CC" w14:paraId="0829D3F3" w14:textId="77777777" w:rsidTr="00306C4D">
        <w:tc>
          <w:tcPr>
            <w:tcW w:w="1980" w:type="dxa"/>
          </w:tcPr>
          <w:p w14:paraId="219AA8C5" w14:textId="77777777" w:rsidR="00340DC7" w:rsidRPr="001C04A2" w:rsidRDefault="009B4BF1" w:rsidP="00FE2ACE">
            <w:r w:rsidRPr="001C04A2">
              <w:t>§ 1</w:t>
            </w:r>
            <w:r w:rsidR="00340DC7" w:rsidRPr="001C04A2">
              <w:t>18.23.  Current revenue notes issued during fiscal emergency</w:t>
            </w:r>
          </w:p>
          <w:p w14:paraId="45494444" w14:textId="77777777" w:rsidR="00340DC7" w:rsidRPr="001C04A2" w:rsidRDefault="00340DC7" w:rsidP="00FE2ACE"/>
          <w:p w14:paraId="26CCAF1C" w14:textId="77777777" w:rsidR="00340DC7" w:rsidRPr="001C04A2" w:rsidRDefault="00340DC7" w:rsidP="00FE2ACE">
            <w:r w:rsidRPr="001C04A2">
              <w:t>Municipal corporation, county, or township (during fiscal emergency periods)</w:t>
            </w:r>
          </w:p>
        </w:tc>
        <w:tc>
          <w:tcPr>
            <w:tcW w:w="2790" w:type="dxa"/>
          </w:tcPr>
          <w:p w14:paraId="156686D0" w14:textId="77777777" w:rsidR="00340DC7" w:rsidRPr="001C04A2" w:rsidRDefault="00340DC7" w:rsidP="00FE2ACE">
            <w:r w:rsidRPr="001C04A2">
              <w:t>Current operating expenses the commission approves</w:t>
            </w:r>
          </w:p>
        </w:tc>
        <w:tc>
          <w:tcPr>
            <w:tcW w:w="3240" w:type="dxa"/>
          </w:tcPr>
          <w:p w14:paraId="194E9189" w14:textId="77777777" w:rsidR="00340DC7" w:rsidRPr="001C04A2" w:rsidRDefault="009B4BF1" w:rsidP="00FE2ACE">
            <w:r w:rsidRPr="001C04A2">
              <w:t>§ 1</w:t>
            </w:r>
            <w:r w:rsidR="00340DC7" w:rsidRPr="001C04A2">
              <w:t xml:space="preserve">18.23(A) states “This section shall be applicable to current revenue notes approved by the financial planning and supervision commission or, when authorized by the commission, the financial supervisor pursuant to </w:t>
            </w:r>
            <w:r w:rsidRPr="001C04A2">
              <w:t>§ 1</w:t>
            </w:r>
            <w:r w:rsidR="00340DC7" w:rsidRPr="001C04A2">
              <w:t xml:space="preserve">18.15 of the Ohio Rev. Code and issued by a municipal corporation, county, or township pursuant to </w:t>
            </w:r>
            <w:r w:rsidRPr="001C04A2">
              <w:t>§ 1</w:t>
            </w:r>
            <w:r w:rsidR="00340DC7" w:rsidRPr="001C04A2">
              <w:t>33.10 of the Ohio Rev. Code and this section during a fiscal emergency period.”</w:t>
            </w:r>
          </w:p>
          <w:p w14:paraId="7632028B" w14:textId="77777777" w:rsidR="00340DC7" w:rsidRPr="001C04A2" w:rsidRDefault="00340DC7" w:rsidP="00FE2ACE"/>
          <w:p w14:paraId="77987D2A" w14:textId="77777777" w:rsidR="00340DC7" w:rsidRPr="001C04A2" w:rsidRDefault="009B4BF1" w:rsidP="00FE2ACE">
            <w:r w:rsidRPr="001C04A2">
              <w:t>§ 1</w:t>
            </w:r>
            <w:r w:rsidR="00340DC7" w:rsidRPr="001C04A2">
              <w:t>18.23(G) states “ Current revenue notes of a municipal corporation, county, or township issued during a fiscal emergency period may mature on or before the thirty-first day of December of the calendar year in which issued, may, when issued in anticipation of the collection of current tax revenues, anticipate one-half of the amount that the budget commission estimates the subdivision will receive from all property taxes that are to be distributed to the subdivision from all settlements of taxes that are to be made in the remainder of that year, other than taxes to be received for the payment of debt charges, and less all advances, and may, if issued during the last two months of the calendar year in which the fiscal emergency period commenced, anticipate one-half the estimated amount of ad valorem property taxes levied in that year for the tax budget of the following year which were authorized to be levied by the municipal charter or otherwise authorized by vote of the electorate of the municipal corporation, county, or township and may mature not later than the thirty-first day of December of the year following the year in which such notes are issued, notwithstanding (i.e. in spite of) section 133.10 of the Ohio Rev. Code.”</w:t>
            </w:r>
          </w:p>
        </w:tc>
        <w:tc>
          <w:tcPr>
            <w:tcW w:w="5940" w:type="dxa"/>
          </w:tcPr>
          <w:p w14:paraId="3006990A" w14:textId="77777777" w:rsidR="00340DC7" w:rsidRPr="001C04A2" w:rsidRDefault="00340DC7" w:rsidP="00FE2ACE">
            <w:r w:rsidRPr="001C04A2">
              <w:t>No</w:t>
            </w:r>
          </w:p>
        </w:tc>
      </w:tr>
      <w:tr w:rsidR="00340DC7" w:rsidRPr="001944CC" w14:paraId="5848DD87" w14:textId="77777777" w:rsidTr="00306C4D">
        <w:tc>
          <w:tcPr>
            <w:tcW w:w="1980" w:type="dxa"/>
          </w:tcPr>
          <w:p w14:paraId="47B4D769" w14:textId="77777777" w:rsidR="00340DC7" w:rsidRPr="001C04A2" w:rsidRDefault="009B4BF1" w:rsidP="00FE2ACE">
            <w:r w:rsidRPr="001C04A2">
              <w:t>§ 1</w:t>
            </w:r>
            <w:r w:rsidR="00340DC7" w:rsidRPr="001C04A2">
              <w:t>18.24.  Advance tax payment notes</w:t>
            </w:r>
            <w:r w:rsidRPr="001C04A2">
              <w:t xml:space="preserve"> (during fiscal emergency)</w:t>
            </w:r>
          </w:p>
          <w:p w14:paraId="7FB8B194" w14:textId="77777777" w:rsidR="00340DC7" w:rsidRPr="001C04A2" w:rsidRDefault="00340DC7" w:rsidP="00FE2ACE"/>
          <w:p w14:paraId="6B81842F" w14:textId="77777777" w:rsidR="00340DC7" w:rsidRPr="001C04A2" w:rsidRDefault="00340DC7" w:rsidP="00FE2ACE">
            <w:r w:rsidRPr="001C04A2">
              <w:t>Municipal corporation, county, or township (during fiscal emergency periods)</w:t>
            </w:r>
          </w:p>
          <w:p w14:paraId="62B8DE02" w14:textId="77777777" w:rsidR="00340DC7" w:rsidRPr="001C04A2" w:rsidRDefault="00340DC7" w:rsidP="00FE2ACE"/>
          <w:p w14:paraId="6929D1F5" w14:textId="625E8176" w:rsidR="00340DC7" w:rsidRPr="001C04A2" w:rsidRDefault="00340DC7" w:rsidP="003B59DF">
            <w:r w:rsidRPr="001C04A2">
              <w:t xml:space="preserve">Note: </w:t>
            </w:r>
            <w:r w:rsidRPr="001C04A2">
              <w:rPr>
                <w:i/>
              </w:rPr>
              <w:t>Advance tax payment notes</w:t>
            </w:r>
            <w:r w:rsidRPr="001C04A2">
              <w:t xml:space="preserve"> are not common, but involve a taxpayer prepaying </w:t>
            </w:r>
            <w:proofErr w:type="gramStart"/>
            <w:r w:rsidRPr="001C04A2">
              <w:t>taxes</w:t>
            </w:r>
            <w:proofErr w:type="gramEnd"/>
            <w:r w:rsidRPr="001C04A2">
              <w:t>.  In return, the government issues a note to the taxpayer.  The face amount of the note = the tax prepayment + interest the government credits to the taxpayer over the life of the note.  Therefore, these are discount notes.  The taxpayer receives credit for the prepayment + accrued interest upon redemption.</w:t>
            </w:r>
          </w:p>
        </w:tc>
        <w:tc>
          <w:tcPr>
            <w:tcW w:w="2790" w:type="dxa"/>
          </w:tcPr>
          <w:p w14:paraId="04689F0A" w14:textId="77777777" w:rsidR="00340DC7" w:rsidRPr="001C04A2" w:rsidRDefault="00340DC7" w:rsidP="00FE2ACE">
            <w:r w:rsidRPr="001C04A2">
              <w:t xml:space="preserve">For purposes the commission approves per </w:t>
            </w:r>
            <w:r w:rsidR="009B4BF1" w:rsidRPr="001C04A2">
              <w:t>§ 1</w:t>
            </w:r>
            <w:r w:rsidRPr="001C04A2">
              <w:t>18.15</w:t>
            </w:r>
          </w:p>
        </w:tc>
        <w:tc>
          <w:tcPr>
            <w:tcW w:w="3240" w:type="dxa"/>
          </w:tcPr>
          <w:p w14:paraId="3CA9FFDA" w14:textId="77777777" w:rsidR="00340DC7" w:rsidRPr="001C04A2" w:rsidRDefault="009B4BF1" w:rsidP="00FE2ACE">
            <w:r w:rsidRPr="001C04A2">
              <w:t>§ 1</w:t>
            </w:r>
            <w:r w:rsidR="00340DC7" w:rsidRPr="001C04A2">
              <w:t xml:space="preserve">18.24(H) states, “As used in this section </w:t>
            </w:r>
            <w:r w:rsidR="00340DC7" w:rsidRPr="001C04A2">
              <w:rPr>
                <w:i/>
              </w:rPr>
              <w:t>interest factor</w:t>
            </w:r>
            <w:r w:rsidR="00340DC7" w:rsidRPr="001C04A2">
              <w:t xml:space="preserve"> means the amount calculated based on an interest rate, as determined by the fiscal officer as of the date of such note, that would have been paid by the municipal corporation, county, or township on current tax revenue notes, maturing in six months, issued on that date pursuant to </w:t>
            </w:r>
            <w:r w:rsidRPr="001C04A2">
              <w:t>§ 1</w:t>
            </w:r>
            <w:r w:rsidR="00340DC7" w:rsidRPr="001C04A2">
              <w:t>33.10 of the Ohio Rev. Code. The face amount of the note less the amount of the advance tax payment made in the purchase of such note, shall be and shall be deemed to be interest paid and received on such note.”</w:t>
            </w:r>
          </w:p>
          <w:p w14:paraId="60C91108" w14:textId="77777777" w:rsidR="00340DC7" w:rsidRPr="001C04A2" w:rsidRDefault="00340DC7" w:rsidP="00FE2ACE"/>
          <w:p w14:paraId="1C9F3AA6" w14:textId="77777777" w:rsidR="00340DC7" w:rsidRPr="001C04A2" w:rsidRDefault="009B4BF1" w:rsidP="003B59DF">
            <w:pPr>
              <w:rPr>
                <w:highlight w:val="green"/>
              </w:rPr>
            </w:pPr>
            <w:r w:rsidRPr="001C04A2">
              <w:t>§ 1</w:t>
            </w:r>
            <w:r w:rsidR="00340DC7" w:rsidRPr="001C04A2">
              <w:t xml:space="preserve">18.24(I) states “The aggregate principal amount of advance tax payment notes, together with the aggregate principal amount of any current revenue notes issued under </w:t>
            </w:r>
            <w:r w:rsidRPr="001C04A2">
              <w:t>§ 1</w:t>
            </w:r>
            <w:r w:rsidR="00340DC7" w:rsidRPr="001C04A2">
              <w:t xml:space="preserve">33.10 of the Ohio Rev. Code in anticipation of ad valorem property taxes for the same year that are outstanding at the time of issuance, shall not exceed one-half of the amount that the budget commission estimates the municipal corporation, county, or township will receive from all property taxes that are to be distributed to the municipality from all settlements of taxes that are to be made in the remainder of that year, after subtracting from such amount advances thereon and property taxes to be received for the payment of debt service on debt obligations or to be deposited with a fiscal agent as provided in </w:t>
            </w:r>
            <w:r w:rsidRPr="001C04A2">
              <w:t>§ 1</w:t>
            </w:r>
            <w:r w:rsidR="00340DC7" w:rsidRPr="001C04A2">
              <w:t>18.20 of the Ohio Rev. Code.”</w:t>
            </w:r>
          </w:p>
        </w:tc>
        <w:tc>
          <w:tcPr>
            <w:tcW w:w="5940" w:type="dxa"/>
          </w:tcPr>
          <w:p w14:paraId="2399A482" w14:textId="77777777" w:rsidR="00340DC7" w:rsidRPr="001C04A2" w:rsidRDefault="00340DC7" w:rsidP="00FE2ACE">
            <w:r w:rsidRPr="001C04A2">
              <w:t>No</w:t>
            </w:r>
          </w:p>
        </w:tc>
      </w:tr>
      <w:tr w:rsidR="00340DC7" w:rsidRPr="001944CC" w14:paraId="15172FCC" w14:textId="77777777" w:rsidTr="00306C4D">
        <w:tc>
          <w:tcPr>
            <w:tcW w:w="1980" w:type="dxa"/>
          </w:tcPr>
          <w:p w14:paraId="7E6756C3" w14:textId="77777777" w:rsidR="00340DC7" w:rsidRPr="001C04A2" w:rsidRDefault="009B4BF1" w:rsidP="00FE2ACE">
            <w:r w:rsidRPr="001C04A2">
              <w:t>§ 3</w:t>
            </w:r>
            <w:r w:rsidR="00340DC7" w:rsidRPr="001C04A2">
              <w:t>06.49.  Annual tax levy; purpose</w:t>
            </w:r>
          </w:p>
          <w:p w14:paraId="5D78650F" w14:textId="77777777" w:rsidR="00340DC7" w:rsidRPr="001C04A2" w:rsidRDefault="00340DC7" w:rsidP="00FE2ACE"/>
          <w:p w14:paraId="6EC9D1C7" w14:textId="77777777" w:rsidR="00340DC7" w:rsidRPr="001C04A2" w:rsidRDefault="00340DC7" w:rsidP="00FE2ACE">
            <w:r w:rsidRPr="001C04A2">
              <w:t>Regional Transit Authority</w:t>
            </w:r>
          </w:p>
        </w:tc>
        <w:tc>
          <w:tcPr>
            <w:tcW w:w="2790" w:type="dxa"/>
          </w:tcPr>
          <w:p w14:paraId="4F81BD9F" w14:textId="77777777" w:rsidR="00340DC7" w:rsidRPr="001C04A2" w:rsidRDefault="00340DC7" w:rsidP="007C767C">
            <w:r w:rsidRPr="001C04A2">
              <w:t>Current expenses (</w:t>
            </w:r>
            <w:r w:rsidR="009B4BF1" w:rsidRPr="001C04A2">
              <w:t>§ 1</w:t>
            </w:r>
            <w:r w:rsidRPr="001C04A2">
              <w:t>33.10) or Permanent improvements (</w:t>
            </w:r>
            <w:r w:rsidR="009B4BF1" w:rsidRPr="001C04A2">
              <w:t>§ 1</w:t>
            </w:r>
            <w:r w:rsidRPr="001C04A2">
              <w:t>33.24)</w:t>
            </w:r>
          </w:p>
        </w:tc>
        <w:tc>
          <w:tcPr>
            <w:tcW w:w="3240" w:type="dxa"/>
          </w:tcPr>
          <w:p w14:paraId="3F546031" w14:textId="77777777" w:rsidR="00340DC7" w:rsidRPr="001C04A2" w:rsidRDefault="009B4BF1" w:rsidP="001B661C">
            <w:r w:rsidRPr="001C04A2">
              <w:t>§ 3</w:t>
            </w:r>
            <w:r w:rsidR="00340DC7" w:rsidRPr="001C04A2">
              <w:t xml:space="preserve">06.49(A) States in part:  </w:t>
            </w:r>
            <w:r w:rsidR="001B661C" w:rsidRPr="001C04A2">
              <w:t>“[t]</w:t>
            </w:r>
            <w:r w:rsidR="00340DC7" w:rsidRPr="001C04A2">
              <w:t xml:space="preserve">he regional transit authority may borrow money in anticipation of the collection of current revenues as provided in </w:t>
            </w:r>
            <w:r w:rsidRPr="001C04A2">
              <w:t>§ 1</w:t>
            </w:r>
            <w:r w:rsidR="00340DC7" w:rsidRPr="001C04A2">
              <w:t>33.10 of the Ohio Rev. Code.”</w:t>
            </w:r>
          </w:p>
        </w:tc>
        <w:tc>
          <w:tcPr>
            <w:tcW w:w="5940" w:type="dxa"/>
          </w:tcPr>
          <w:p w14:paraId="22FB1311" w14:textId="77777777" w:rsidR="00340DC7" w:rsidRPr="001C04A2" w:rsidRDefault="009B4BF1" w:rsidP="001B661C">
            <w:r w:rsidRPr="001C04A2">
              <w:t>§ 3</w:t>
            </w:r>
            <w:r w:rsidR="00340DC7" w:rsidRPr="001C04A2">
              <w:t xml:space="preserve">06.49(A) </w:t>
            </w:r>
            <w:r w:rsidR="00340DC7" w:rsidRPr="001C04A2">
              <w:rPr>
                <w:i/>
              </w:rPr>
              <w:t>also</w:t>
            </w:r>
            <w:r w:rsidR="00340DC7" w:rsidRPr="001C04A2">
              <w:t xml:space="preserve"> </w:t>
            </w:r>
            <w:r w:rsidR="001B661C" w:rsidRPr="001C04A2">
              <w:t>states, in part, “</w:t>
            </w:r>
            <w:r w:rsidR="00340DC7" w:rsidRPr="001C04A2">
              <w:t xml:space="preserve">. . . the regional transit authority may levy upon the property within its territorial boundaries a tax, for all purposes other than bond debt charges, not </w:t>
            </w:r>
            <w:proofErr w:type="gramStart"/>
            <w:r w:rsidR="00340DC7" w:rsidRPr="001C04A2">
              <w:t>in excess of</w:t>
            </w:r>
            <w:proofErr w:type="gramEnd"/>
            <w:r w:rsidR="00340DC7" w:rsidRPr="001C04A2">
              <w:t xml:space="preserve"> five mills annually on the total value of all property as listed and assessed for taxation for any period not exceeding ten years. Such election shall be called, held, canvassed, and certified in the same manner as is provided for elections held pursuant to </w:t>
            </w:r>
            <w:r w:rsidRPr="001C04A2">
              <w:t>§ 5</w:t>
            </w:r>
            <w:r w:rsidR="00340DC7" w:rsidRPr="001C04A2">
              <w:t>705.191</w:t>
            </w:r>
            <w:r w:rsidR="001B661C" w:rsidRPr="001C04A2">
              <w:t xml:space="preserve"> of the Ohio Rev. Code</w:t>
            </w:r>
            <w:r w:rsidR="00340DC7" w:rsidRPr="001C04A2">
              <w:t xml:space="preserve"> (</w:t>
            </w:r>
            <w:r w:rsidR="001B661C" w:rsidRPr="001C04A2">
              <w:t>R</w:t>
            </w:r>
            <w:r w:rsidR="00340DC7" w:rsidRPr="001C04A2">
              <w:t xml:space="preserve">efers to </w:t>
            </w:r>
            <w:r w:rsidR="009E75D3" w:rsidRPr="001C04A2">
              <w:t>Ohio Rev. Code</w:t>
            </w:r>
            <w:r w:rsidR="00340DC7" w:rsidRPr="001C04A2">
              <w:t xml:space="preserve"> </w:t>
            </w:r>
            <w:r w:rsidRPr="001C04A2">
              <w:t>§ 1</w:t>
            </w:r>
            <w:r w:rsidR="00340DC7" w:rsidRPr="001C04A2">
              <w:t xml:space="preserve">33.24.  See separate description for </w:t>
            </w:r>
            <w:r w:rsidRPr="001C04A2">
              <w:t>§ 5</w:t>
            </w:r>
            <w:r w:rsidR="001B661C" w:rsidRPr="001C04A2">
              <w:t>705.191 below</w:t>
            </w:r>
            <w:r w:rsidR="00340DC7" w:rsidRPr="001C04A2">
              <w:t>)</w:t>
            </w:r>
            <w:r w:rsidR="001B661C" w:rsidRPr="001C04A2">
              <w:t>.</w:t>
            </w:r>
            <w:r w:rsidR="00340DC7" w:rsidRPr="001C04A2">
              <w:t xml:space="preserve"> On approval of such a levy, notes may be issued in anticipation of the collection of the proceeds thereof, in the amount and manner and at the times as are provided in </w:t>
            </w:r>
            <w:r w:rsidRPr="001C04A2">
              <w:t>§ 5</w:t>
            </w:r>
            <w:r w:rsidR="00340DC7" w:rsidRPr="001C04A2">
              <w:t>705.193</w:t>
            </w:r>
            <w:r w:rsidR="001B661C" w:rsidRPr="001C04A2">
              <w:t xml:space="preserve"> of the Ohio Rev. Code.”</w:t>
            </w:r>
            <w:r w:rsidR="00340DC7" w:rsidRPr="001C04A2">
              <w:t xml:space="preserve"> (this section refers to </w:t>
            </w:r>
            <w:r w:rsidRPr="001C04A2">
              <w:t>§ 1</w:t>
            </w:r>
            <w:r w:rsidR="00340DC7" w:rsidRPr="001C04A2">
              <w:t>33.24 and is for permanent improvements)</w:t>
            </w:r>
            <w:r w:rsidR="001B661C" w:rsidRPr="001C04A2">
              <w:t>.</w:t>
            </w:r>
            <w:r w:rsidR="00340DC7" w:rsidRPr="001C04A2">
              <w:t xml:space="preserve"> </w:t>
            </w:r>
          </w:p>
        </w:tc>
      </w:tr>
      <w:tr w:rsidR="00340DC7" w:rsidRPr="001944CC" w14:paraId="11BC4ABA" w14:textId="77777777" w:rsidTr="00306C4D">
        <w:tc>
          <w:tcPr>
            <w:tcW w:w="1980" w:type="dxa"/>
          </w:tcPr>
          <w:p w14:paraId="35915690" w14:textId="77777777" w:rsidR="00340DC7" w:rsidRPr="001C04A2" w:rsidRDefault="009B4BF1" w:rsidP="00FE2ACE">
            <w:r w:rsidRPr="001C04A2">
              <w:t>§ 1</w:t>
            </w:r>
            <w:r w:rsidR="00340DC7" w:rsidRPr="001C04A2">
              <w:t xml:space="preserve">545.21.  Election of tax levy for use of district; anticipation bonds  </w:t>
            </w:r>
          </w:p>
          <w:p w14:paraId="23B2A7A8" w14:textId="77777777" w:rsidR="00340DC7" w:rsidRPr="001C04A2" w:rsidRDefault="00340DC7" w:rsidP="00FE2ACE"/>
          <w:p w14:paraId="17D6AD9A" w14:textId="77777777" w:rsidR="00340DC7" w:rsidRPr="001C04A2" w:rsidRDefault="00340DC7" w:rsidP="00FE2ACE">
            <w:r w:rsidRPr="001C04A2">
              <w:t>Park District</w:t>
            </w:r>
          </w:p>
        </w:tc>
        <w:tc>
          <w:tcPr>
            <w:tcW w:w="2790" w:type="dxa"/>
          </w:tcPr>
          <w:p w14:paraId="21CEB10F" w14:textId="77777777" w:rsidR="00340DC7" w:rsidRPr="001C04A2" w:rsidRDefault="00340DC7" w:rsidP="00FE2ACE">
            <w:r w:rsidRPr="001C04A2">
              <w:t>Acquiring and improving land</w:t>
            </w:r>
          </w:p>
        </w:tc>
        <w:tc>
          <w:tcPr>
            <w:tcW w:w="3240" w:type="dxa"/>
          </w:tcPr>
          <w:p w14:paraId="116B4433" w14:textId="77777777" w:rsidR="00340DC7" w:rsidRPr="001C04A2" w:rsidRDefault="00340DC7" w:rsidP="00FE2ACE">
            <w:r w:rsidRPr="001C04A2">
              <w:t>No</w:t>
            </w:r>
          </w:p>
        </w:tc>
        <w:tc>
          <w:tcPr>
            <w:tcW w:w="5940" w:type="dxa"/>
          </w:tcPr>
          <w:p w14:paraId="5B241166" w14:textId="436E1E9E" w:rsidR="00340DC7" w:rsidRPr="001C04A2" w:rsidRDefault="009B4BF1" w:rsidP="00FD4EB9">
            <w:r w:rsidRPr="001C04A2">
              <w:t>§ 1</w:t>
            </w:r>
            <w:r w:rsidR="00340DC7" w:rsidRPr="001C04A2">
              <w:t xml:space="preserve">545.21 </w:t>
            </w:r>
            <w:r w:rsidR="00C4726E" w:rsidRPr="00C909C3">
              <w:t>(C)</w:t>
            </w:r>
            <w:r w:rsidR="00C4726E">
              <w:t xml:space="preserve"> </w:t>
            </w:r>
            <w:r w:rsidR="00340DC7" w:rsidRPr="001C04A2">
              <w:t>states</w:t>
            </w:r>
            <w:r w:rsidR="001B661C" w:rsidRPr="001C04A2">
              <w:t>,</w:t>
            </w:r>
            <w:r w:rsidR="00340DC7" w:rsidRPr="001C04A2">
              <w:t xml:space="preserve"> in part</w:t>
            </w:r>
            <w:r w:rsidR="001B661C" w:rsidRPr="001C04A2">
              <w:t>,</w:t>
            </w:r>
            <w:r w:rsidR="00340DC7" w:rsidRPr="001C04A2">
              <w:t xml:space="preserve"> “When a tax levy has been authorized as provided in this section or in </w:t>
            </w:r>
            <w:r w:rsidR="00FD4EB9" w:rsidRPr="001C04A2">
              <w:t>Ohio Rev. Code</w:t>
            </w:r>
            <w:r w:rsidR="00FD4EB9">
              <w:t xml:space="preserve"> </w:t>
            </w:r>
            <w:r w:rsidRPr="001C04A2">
              <w:t>§ 1</w:t>
            </w:r>
            <w:r w:rsidR="00FD4EB9">
              <w:t>545.041</w:t>
            </w:r>
            <w:r w:rsidR="00340DC7" w:rsidRPr="001C04A2">
              <w:t>, the board of park commissioners may issue bonds</w:t>
            </w:r>
            <w:r w:rsidR="00340DC7" w:rsidRPr="001C04A2">
              <w:rPr>
                <w:rStyle w:val="FootnoteReference"/>
              </w:rPr>
              <w:footnoteReference w:id="35"/>
            </w:r>
            <w:r w:rsidR="00340DC7" w:rsidRPr="001C04A2">
              <w:t xml:space="preserve"> pursuant to </w:t>
            </w:r>
            <w:r w:rsidRPr="001C04A2">
              <w:t>§ 1</w:t>
            </w:r>
            <w:r w:rsidR="00340DC7" w:rsidRPr="001C04A2">
              <w:t>33.24 of the Ohio Rev. Code in anticipation of the collection of such levy, provided that such bonds shall be issued only for the purpose of acquiring and improving lands.”</w:t>
            </w:r>
          </w:p>
        </w:tc>
      </w:tr>
      <w:tr w:rsidR="00340DC7" w:rsidRPr="001944CC" w14:paraId="2BE07E27" w14:textId="77777777" w:rsidTr="00306C4D">
        <w:tc>
          <w:tcPr>
            <w:tcW w:w="1980" w:type="dxa"/>
          </w:tcPr>
          <w:p w14:paraId="7F8B7EC8" w14:textId="77777777" w:rsidR="00340DC7" w:rsidRPr="001C04A2" w:rsidRDefault="009B4BF1" w:rsidP="00FE2ACE">
            <w:r w:rsidRPr="001C04A2">
              <w:t>§ 3</w:t>
            </w:r>
            <w:r w:rsidR="00340DC7" w:rsidRPr="001C04A2">
              <w:t>313.483.  Closing or delaying opening for financial reasons prohibited; plan for implementing reductions; loans agreement</w:t>
            </w:r>
          </w:p>
          <w:p w14:paraId="258BCE39" w14:textId="77777777" w:rsidR="00340DC7" w:rsidRPr="001C04A2" w:rsidRDefault="00340DC7" w:rsidP="00FE2ACE"/>
          <w:p w14:paraId="7F731514" w14:textId="77777777" w:rsidR="00340DC7" w:rsidRPr="001C04A2" w:rsidRDefault="00340DC7" w:rsidP="00FE2ACE">
            <w:r w:rsidRPr="001C04A2">
              <w:t>School District</w:t>
            </w:r>
          </w:p>
        </w:tc>
        <w:tc>
          <w:tcPr>
            <w:tcW w:w="2790" w:type="dxa"/>
          </w:tcPr>
          <w:p w14:paraId="7CFC9F31" w14:textId="77777777" w:rsidR="00340DC7" w:rsidRPr="001C04A2" w:rsidRDefault="00340DC7" w:rsidP="00FE2ACE">
            <w:r w:rsidRPr="001C04A2">
              <w:t>Permits obtaining various types of debt, including “</w:t>
            </w:r>
            <w:r w:rsidR="009B4BF1" w:rsidRPr="001C04A2">
              <w:t>§ 1</w:t>
            </w:r>
            <w:r w:rsidRPr="001C04A2">
              <w:t>33.10 notes,” up to the amount of the deficit the AOS certifies.</w:t>
            </w:r>
          </w:p>
        </w:tc>
        <w:tc>
          <w:tcPr>
            <w:tcW w:w="3240" w:type="dxa"/>
          </w:tcPr>
          <w:p w14:paraId="02740F9E" w14:textId="255012DC" w:rsidR="00340DC7" w:rsidRPr="001C04A2" w:rsidRDefault="009B4BF1" w:rsidP="00B66C0F">
            <w:r w:rsidRPr="001C04A2">
              <w:t>§ 3</w:t>
            </w:r>
            <w:r w:rsidR="00340DC7" w:rsidRPr="001C04A2">
              <w:t>313.483(E)(4) states</w:t>
            </w:r>
            <w:r w:rsidR="001B661C" w:rsidRPr="001C04A2">
              <w:t>,</w:t>
            </w:r>
            <w:r w:rsidR="00340DC7" w:rsidRPr="001C04A2">
              <w:t xml:space="preserve"> “Pursuant to the terms of such a loan, a board of education may issue its notes in anticipation of the collection of its voted levies for current expenses or its receipt of such state funds or both. Such notes shall be issued in accordance with division (E) of </w:t>
            </w:r>
            <w:r w:rsidRPr="001C04A2">
              <w:t>§ 1</w:t>
            </w:r>
            <w:r w:rsidR="00340DC7" w:rsidRPr="001C04A2">
              <w:t xml:space="preserve">33.10 of the Ohio Rev. Code and constitute Chapter 133 securities to the extent such division and the otherwise applicable provisions of Chapter 133 of the Ohio Rev. Code are not inconsistent with this section, provided that in any event </w:t>
            </w:r>
            <w:r w:rsidRPr="001C04A2">
              <w:t>§ 1</w:t>
            </w:r>
            <w:r w:rsidR="00340DC7" w:rsidRPr="001C04A2">
              <w:t xml:space="preserve">33.24 and </w:t>
            </w:r>
            <w:r w:rsidRPr="001C04A2">
              <w:t>§ 5</w:t>
            </w:r>
            <w:r w:rsidR="00964B70" w:rsidRPr="001C04A2">
              <w:t>705.21 and divisions (</w:t>
            </w:r>
            <w:r w:rsidR="00340DC7" w:rsidRPr="001C04A2">
              <w:t xml:space="preserve">A), (B), (C), and (E)(2) of </w:t>
            </w:r>
            <w:r w:rsidRPr="001C04A2">
              <w:t>§ 1</w:t>
            </w:r>
            <w:r w:rsidR="00340DC7" w:rsidRPr="001C04A2">
              <w:t>33.10 of the Ohio Rev. Code do not apply to these notes.”</w:t>
            </w:r>
          </w:p>
        </w:tc>
        <w:tc>
          <w:tcPr>
            <w:tcW w:w="5940" w:type="dxa"/>
          </w:tcPr>
          <w:p w14:paraId="3987DAC5" w14:textId="77777777" w:rsidR="00340DC7" w:rsidRPr="001C04A2" w:rsidRDefault="00340DC7" w:rsidP="00FE2ACE">
            <w:r w:rsidRPr="001C04A2">
              <w:t>No</w:t>
            </w:r>
          </w:p>
        </w:tc>
      </w:tr>
      <w:tr w:rsidR="00340DC7" w:rsidRPr="001944CC" w14:paraId="5B61091E" w14:textId="77777777" w:rsidTr="00306C4D">
        <w:tc>
          <w:tcPr>
            <w:tcW w:w="1980" w:type="dxa"/>
          </w:tcPr>
          <w:p w14:paraId="5E546CB1" w14:textId="77777777" w:rsidR="00340DC7" w:rsidRPr="001C04A2" w:rsidRDefault="009B4BF1" w:rsidP="00FE2ACE">
            <w:r w:rsidRPr="001C04A2">
              <w:t>§ 3</w:t>
            </w:r>
            <w:r w:rsidR="00340DC7" w:rsidRPr="001C04A2">
              <w:t>318.052.  Payment of district’s portion of basic project cost from available tax proceeds; credits; issuance of securities</w:t>
            </w:r>
          </w:p>
          <w:p w14:paraId="67DAA9ED" w14:textId="77777777" w:rsidR="00340DC7" w:rsidRPr="001C04A2" w:rsidRDefault="00340DC7" w:rsidP="00FE2ACE"/>
          <w:p w14:paraId="4AB5CAF4" w14:textId="77777777" w:rsidR="00340DC7" w:rsidRPr="001C04A2" w:rsidRDefault="00340DC7" w:rsidP="00FE2ACE">
            <w:r w:rsidRPr="001C04A2">
              <w:t>School District</w:t>
            </w:r>
          </w:p>
        </w:tc>
        <w:tc>
          <w:tcPr>
            <w:tcW w:w="2790" w:type="dxa"/>
          </w:tcPr>
          <w:p w14:paraId="3B37D506" w14:textId="77777777" w:rsidR="00340DC7" w:rsidRPr="001C04A2" w:rsidRDefault="00340DC7" w:rsidP="00FE2ACE">
            <w:r w:rsidRPr="001C04A2">
              <w:t xml:space="preserve">Permanent improvement levy for a stated number of years, per </w:t>
            </w:r>
            <w:r w:rsidR="009B4BF1" w:rsidRPr="001C04A2">
              <w:t>§ 5</w:t>
            </w:r>
            <w:r w:rsidRPr="001C04A2">
              <w:t>705.21</w:t>
            </w:r>
            <w:r w:rsidR="005E4C4F" w:rsidRPr="001C04A2">
              <w:t xml:space="preserve"> or 5705.21</w:t>
            </w:r>
            <w:r w:rsidRPr="001C04A2">
              <w:t>8</w:t>
            </w:r>
          </w:p>
        </w:tc>
        <w:tc>
          <w:tcPr>
            <w:tcW w:w="3240" w:type="dxa"/>
          </w:tcPr>
          <w:p w14:paraId="67F40D9C" w14:textId="77777777" w:rsidR="00340DC7" w:rsidRPr="001C04A2" w:rsidRDefault="00340DC7" w:rsidP="00FE2ACE">
            <w:r w:rsidRPr="001C04A2">
              <w:t>No</w:t>
            </w:r>
          </w:p>
        </w:tc>
        <w:tc>
          <w:tcPr>
            <w:tcW w:w="5940" w:type="dxa"/>
          </w:tcPr>
          <w:p w14:paraId="18BB0FFD" w14:textId="7A897567" w:rsidR="00340DC7" w:rsidRPr="001C04A2" w:rsidRDefault="009B4BF1" w:rsidP="00FE2ACE">
            <w:r w:rsidRPr="001C04A2">
              <w:t>§ 3</w:t>
            </w:r>
            <w:r w:rsidR="00340DC7" w:rsidRPr="001C04A2">
              <w:t xml:space="preserve">318.052 (E) </w:t>
            </w:r>
            <w:r w:rsidR="001B661C" w:rsidRPr="001C04A2">
              <w:t xml:space="preserve">states, in part, that a school district board may, “Issue </w:t>
            </w:r>
            <w:r w:rsidR="00340DC7" w:rsidRPr="001C04A2">
              <w:t xml:space="preserve">securities to provide moneys to pay all or part of the district's portion of the basic project cost of its classroom facilities project in accordance with an agreement </w:t>
            </w:r>
            <w:proofErr w:type="gramStart"/>
            <w:r w:rsidR="00340DC7" w:rsidRPr="001C04A2">
              <w:t>entered into</w:t>
            </w:r>
            <w:proofErr w:type="gramEnd"/>
            <w:r w:rsidR="00340DC7" w:rsidRPr="001C04A2">
              <w:t xml:space="preserve"> under division (A) of this section. Securities issued under this section shall be Chapter 133. securities and may be issued as general obligation securities or issued in anticipation of a school district income tax or as property tax anticipation notes under </w:t>
            </w:r>
            <w:r w:rsidRPr="001C04A2">
              <w:t>§ 1</w:t>
            </w:r>
            <w:r w:rsidR="00340DC7" w:rsidRPr="001C04A2">
              <w:t>33.24 of the Ohio Rev. Code.”</w:t>
            </w:r>
          </w:p>
        </w:tc>
      </w:tr>
      <w:tr w:rsidR="00340DC7" w:rsidRPr="001944CC" w14:paraId="68848CFC" w14:textId="77777777" w:rsidTr="00306C4D">
        <w:tc>
          <w:tcPr>
            <w:tcW w:w="1980" w:type="dxa"/>
          </w:tcPr>
          <w:p w14:paraId="34A7A42F" w14:textId="77777777" w:rsidR="00340DC7" w:rsidRPr="001C04A2" w:rsidRDefault="009B4BF1" w:rsidP="00FE2ACE">
            <w:r w:rsidRPr="001C04A2">
              <w:t>§ 3</w:t>
            </w:r>
            <w:r w:rsidR="00340DC7" w:rsidRPr="001C04A2">
              <w:t>381.16. Tax levy upon affirmative vote; authorized uses of funds; anticipation notes and borrowing; resubmission of levy</w:t>
            </w:r>
          </w:p>
          <w:p w14:paraId="1E526236" w14:textId="77777777" w:rsidR="00340DC7" w:rsidRPr="001C04A2" w:rsidRDefault="00340DC7" w:rsidP="00FE2ACE"/>
          <w:p w14:paraId="598E81DD" w14:textId="77777777" w:rsidR="00340DC7" w:rsidRPr="001C04A2" w:rsidRDefault="00340DC7" w:rsidP="00FE2ACE">
            <w:r w:rsidRPr="001C04A2">
              <w:t>Regional Arts and Cultural District</w:t>
            </w:r>
          </w:p>
        </w:tc>
        <w:tc>
          <w:tcPr>
            <w:tcW w:w="2790" w:type="dxa"/>
          </w:tcPr>
          <w:p w14:paraId="4B18E9BB" w14:textId="77777777" w:rsidR="00340DC7" w:rsidRPr="001C04A2" w:rsidRDefault="00340DC7" w:rsidP="00FE2ACE">
            <w:r w:rsidRPr="001C04A2">
              <w:t xml:space="preserve">To grant money to other arts and cultural </w:t>
            </w:r>
            <w:r w:rsidR="001F58B9" w:rsidRPr="001C04A2">
              <w:t>organizations</w:t>
            </w:r>
            <w:r w:rsidRPr="001C04A2">
              <w:t xml:space="preserve"> or for the District’s operating or capital asset costs.</w:t>
            </w:r>
          </w:p>
        </w:tc>
        <w:tc>
          <w:tcPr>
            <w:tcW w:w="3240" w:type="dxa"/>
          </w:tcPr>
          <w:p w14:paraId="15CB7ABC" w14:textId="77777777" w:rsidR="00340DC7" w:rsidRPr="001C04A2" w:rsidRDefault="009B4BF1" w:rsidP="00FE2ACE">
            <w:r w:rsidRPr="001C04A2">
              <w:t>§ 3</w:t>
            </w:r>
            <w:r w:rsidR="00340DC7" w:rsidRPr="001C04A2">
              <w:t xml:space="preserve">381.16(A) states in part: The district may borrow money in anticipation of current revenues as provided in </w:t>
            </w:r>
            <w:r w:rsidRPr="001C04A2">
              <w:t>§ 1</w:t>
            </w:r>
            <w:r w:rsidR="00340DC7" w:rsidRPr="001C04A2">
              <w:t>33.10 of the Ohio Rev. Code.”</w:t>
            </w:r>
          </w:p>
        </w:tc>
        <w:tc>
          <w:tcPr>
            <w:tcW w:w="5940" w:type="dxa"/>
          </w:tcPr>
          <w:p w14:paraId="3A3042EF" w14:textId="77777777" w:rsidR="00340DC7" w:rsidRPr="001C04A2" w:rsidRDefault="001B661C" w:rsidP="00F94ED9">
            <w:r w:rsidRPr="001C04A2">
              <w:t xml:space="preserve">§ 3381.16(A) </w:t>
            </w:r>
            <w:r w:rsidRPr="001C04A2">
              <w:rPr>
                <w:i/>
              </w:rPr>
              <w:t>also</w:t>
            </w:r>
            <w:r w:rsidRPr="001C04A2">
              <w:t xml:space="preserve"> states, in part, “On approval of such a levy, notes may be issued in anticipation of the collection of the proceeds thereof, in the amount and manner and at the times as are provided in § 5705.193 of the Ohio Rev. Code, (This section refers to § 133.24 and is for permanent improvements) for the issuance of notes in anticipation of the proceeds of a tax levy.”</w:t>
            </w:r>
          </w:p>
        </w:tc>
      </w:tr>
      <w:tr w:rsidR="00340DC7" w:rsidRPr="001944CC" w14:paraId="434E7164" w14:textId="77777777" w:rsidTr="00306C4D">
        <w:trPr>
          <w:cantSplit/>
        </w:trPr>
        <w:tc>
          <w:tcPr>
            <w:tcW w:w="1980" w:type="dxa"/>
          </w:tcPr>
          <w:p w14:paraId="4021884C" w14:textId="77777777" w:rsidR="00340DC7" w:rsidRPr="001C04A2" w:rsidRDefault="009B4BF1" w:rsidP="00FE2ACE">
            <w:r w:rsidRPr="001C04A2">
              <w:t>§ 4</w:t>
            </w:r>
            <w:r w:rsidR="00340DC7" w:rsidRPr="001C04A2">
              <w:t>582.14.  Tax levy; anticipatory notes</w:t>
            </w:r>
          </w:p>
          <w:p w14:paraId="6176A2E6" w14:textId="77777777" w:rsidR="00340DC7" w:rsidRPr="001C04A2" w:rsidRDefault="00340DC7" w:rsidP="00FE2ACE"/>
          <w:p w14:paraId="1F5442D9" w14:textId="77777777" w:rsidR="00340DC7" w:rsidRPr="001C04A2" w:rsidRDefault="00340DC7" w:rsidP="004E5970">
            <w:r w:rsidRPr="001C04A2">
              <w:t>Port Authority</w:t>
            </w:r>
          </w:p>
        </w:tc>
        <w:tc>
          <w:tcPr>
            <w:tcW w:w="2790" w:type="dxa"/>
          </w:tcPr>
          <w:p w14:paraId="7E954AE1" w14:textId="77777777" w:rsidR="00340DC7" w:rsidRPr="001C04A2" w:rsidRDefault="00340DC7" w:rsidP="00FE2ACE">
            <w:r w:rsidRPr="001C04A2">
              <w:t>Any allowable port authority expense including debt charges.</w:t>
            </w:r>
          </w:p>
        </w:tc>
        <w:tc>
          <w:tcPr>
            <w:tcW w:w="3240" w:type="dxa"/>
          </w:tcPr>
          <w:p w14:paraId="4066A7F4" w14:textId="77777777" w:rsidR="00340DC7" w:rsidRPr="001C04A2" w:rsidRDefault="009B4BF1" w:rsidP="00FE2ACE">
            <w:r w:rsidRPr="001C04A2">
              <w:t>§ 4</w:t>
            </w:r>
            <w:r w:rsidR="00340DC7" w:rsidRPr="001C04A2">
              <w:t>582.14 states</w:t>
            </w:r>
            <w:r w:rsidR="001B661C" w:rsidRPr="001C04A2">
              <w:t>,</w:t>
            </w:r>
            <w:r w:rsidR="00340DC7" w:rsidRPr="001C04A2">
              <w:t xml:space="preserve"> in part, “The port authority may borrow money </w:t>
            </w:r>
            <w:r w:rsidR="005E4C4F" w:rsidRPr="001C04A2">
              <w:t xml:space="preserve">in anticipation of the collection of </w:t>
            </w:r>
            <w:r w:rsidR="00340DC7" w:rsidRPr="001C04A2">
              <w:t xml:space="preserve">current revenues as provided in </w:t>
            </w:r>
            <w:r w:rsidRPr="001C04A2">
              <w:t>§ 1</w:t>
            </w:r>
            <w:r w:rsidR="00340DC7" w:rsidRPr="001C04A2">
              <w:t>33.10 of the Ohio Rev. Code.”</w:t>
            </w:r>
          </w:p>
        </w:tc>
        <w:tc>
          <w:tcPr>
            <w:tcW w:w="5940" w:type="dxa"/>
          </w:tcPr>
          <w:p w14:paraId="3D460C30" w14:textId="77777777" w:rsidR="00340DC7" w:rsidRPr="001C04A2" w:rsidRDefault="009B4BF1" w:rsidP="00FE2ACE">
            <w:r w:rsidRPr="001C04A2">
              <w:t>§ 4</w:t>
            </w:r>
            <w:r w:rsidR="00340DC7" w:rsidRPr="001C04A2">
              <w:t xml:space="preserve">582.14 </w:t>
            </w:r>
            <w:r w:rsidR="00340DC7" w:rsidRPr="001C04A2">
              <w:rPr>
                <w:i/>
              </w:rPr>
              <w:t>also</w:t>
            </w:r>
            <w:r w:rsidR="00340DC7" w:rsidRPr="001C04A2">
              <w:t xml:space="preserve"> states</w:t>
            </w:r>
            <w:r w:rsidR="001B661C" w:rsidRPr="001C04A2">
              <w:t>,</w:t>
            </w:r>
            <w:r w:rsidR="00340DC7" w:rsidRPr="001C04A2">
              <w:t xml:space="preserve"> in part</w:t>
            </w:r>
            <w:r w:rsidR="001B661C" w:rsidRPr="001C04A2">
              <w:t>,</w:t>
            </w:r>
            <w:r w:rsidR="00340DC7" w:rsidRPr="001C04A2">
              <w:t xml:space="preserve"> “. . . the port authority may levy upon the property within its jurisdiction a tax, for all purposes including bond debt charges, not in excess of one mill annually on the total value of all property as listed and assessed for taxation for any period not exceeding five years, except that when the tax is for the payment of bond debt charges, such tax shall be for the life of the bond indebtedness. On approval of such a levy, notes may be issued in anticipation of the collection of the proceeds thereof, other than the proceeds to be received for the payment of bond debt charges, in the amount and manner and at the times as are provided in </w:t>
            </w:r>
            <w:r w:rsidRPr="001C04A2">
              <w:t>§ 5</w:t>
            </w:r>
            <w:r w:rsidR="00340DC7" w:rsidRPr="001C04A2">
              <w:t xml:space="preserve">705.193 of the Ohio Rev. Code (this section refers to </w:t>
            </w:r>
            <w:r w:rsidR="001B661C" w:rsidRPr="001C04A2">
              <w:t xml:space="preserve">§ </w:t>
            </w:r>
            <w:r w:rsidR="00340DC7" w:rsidRPr="001C04A2">
              <w:t>133.24 and is for permanent improvements), for the issuance of notes by a county in anticipation of the proceeds of a tax levy.</w:t>
            </w:r>
            <w:r w:rsidR="001B661C" w:rsidRPr="001C04A2">
              <w:t>”</w:t>
            </w:r>
          </w:p>
        </w:tc>
      </w:tr>
      <w:tr w:rsidR="00340DC7" w:rsidRPr="001944CC" w14:paraId="2901BFDA" w14:textId="77777777" w:rsidTr="00306C4D">
        <w:tc>
          <w:tcPr>
            <w:tcW w:w="1980" w:type="dxa"/>
          </w:tcPr>
          <w:p w14:paraId="3360EF02" w14:textId="77777777" w:rsidR="00340DC7" w:rsidRPr="001C04A2" w:rsidRDefault="009B4BF1" w:rsidP="00FE2ACE">
            <w:r w:rsidRPr="001C04A2">
              <w:t>§ 4</w:t>
            </w:r>
            <w:r w:rsidR="00340DC7" w:rsidRPr="001C04A2">
              <w:t>582.40.  Tax levy to provide necessary funds</w:t>
            </w:r>
          </w:p>
          <w:p w14:paraId="28BDE5DC" w14:textId="77777777" w:rsidR="00340DC7" w:rsidRPr="001C04A2" w:rsidRDefault="00340DC7" w:rsidP="00FE2ACE"/>
          <w:p w14:paraId="1828035D" w14:textId="77777777" w:rsidR="00340DC7" w:rsidRPr="001C04A2" w:rsidRDefault="00340DC7" w:rsidP="00FE2ACE">
            <w:r w:rsidRPr="001C04A2">
              <w:t>Newly created port authorities</w:t>
            </w:r>
          </w:p>
        </w:tc>
        <w:tc>
          <w:tcPr>
            <w:tcW w:w="2790" w:type="dxa"/>
          </w:tcPr>
          <w:p w14:paraId="5215C37A" w14:textId="77777777" w:rsidR="00340DC7" w:rsidRPr="001C04A2" w:rsidRDefault="00340DC7" w:rsidP="00FE2ACE">
            <w:r w:rsidRPr="001C04A2">
              <w:t>Any allowable port authority expense including debt charges.</w:t>
            </w:r>
          </w:p>
        </w:tc>
        <w:tc>
          <w:tcPr>
            <w:tcW w:w="3240" w:type="dxa"/>
          </w:tcPr>
          <w:p w14:paraId="27F8FE1B" w14:textId="77777777" w:rsidR="00340DC7" w:rsidRPr="001C04A2" w:rsidRDefault="009B4BF1" w:rsidP="00FE2ACE">
            <w:pPr>
              <w:rPr>
                <w:highlight w:val="green"/>
              </w:rPr>
            </w:pPr>
            <w:r w:rsidRPr="001C04A2">
              <w:t>§ 4</w:t>
            </w:r>
            <w:r w:rsidR="00340DC7" w:rsidRPr="001C04A2">
              <w:t>582.40 states</w:t>
            </w:r>
            <w:r w:rsidR="001B661C" w:rsidRPr="001C04A2">
              <w:t>,</w:t>
            </w:r>
            <w:r w:rsidR="00340DC7" w:rsidRPr="001C04A2">
              <w:t xml:space="preserve"> in part</w:t>
            </w:r>
            <w:r w:rsidR="001B661C" w:rsidRPr="001C04A2">
              <w:t>,</w:t>
            </w:r>
            <w:r w:rsidR="00340DC7" w:rsidRPr="001C04A2">
              <w:t xml:space="preserve"> “. . . The port authority may borrow money in anticipation of the collection of current revenues as provided in </w:t>
            </w:r>
            <w:r w:rsidRPr="001C04A2">
              <w:t>§ 1</w:t>
            </w:r>
            <w:r w:rsidR="00340DC7" w:rsidRPr="001C04A2">
              <w:t>33.10 of the Ohio Rev. Code.”</w:t>
            </w:r>
          </w:p>
        </w:tc>
        <w:tc>
          <w:tcPr>
            <w:tcW w:w="5940" w:type="dxa"/>
          </w:tcPr>
          <w:p w14:paraId="16392309" w14:textId="77777777" w:rsidR="00340DC7" w:rsidRPr="001C04A2" w:rsidRDefault="009B4BF1" w:rsidP="00FE2ACE">
            <w:pPr>
              <w:rPr>
                <w:highlight w:val="green"/>
              </w:rPr>
            </w:pPr>
            <w:r w:rsidRPr="001C04A2">
              <w:t>§ 4</w:t>
            </w:r>
            <w:r w:rsidR="00340DC7" w:rsidRPr="001C04A2">
              <w:t xml:space="preserve">582.40 </w:t>
            </w:r>
            <w:r w:rsidR="00340DC7" w:rsidRPr="001C04A2">
              <w:rPr>
                <w:i/>
              </w:rPr>
              <w:t>also</w:t>
            </w:r>
            <w:r w:rsidR="00340DC7" w:rsidRPr="001C04A2">
              <w:t xml:space="preserve"> states</w:t>
            </w:r>
            <w:r w:rsidR="001B661C" w:rsidRPr="001C04A2">
              <w:t>,</w:t>
            </w:r>
            <w:r w:rsidR="00340DC7" w:rsidRPr="001C04A2">
              <w:t xml:space="preserve"> in part</w:t>
            </w:r>
            <w:r w:rsidR="001B661C" w:rsidRPr="001C04A2">
              <w:t>,</w:t>
            </w:r>
            <w:r w:rsidR="00340DC7" w:rsidRPr="001C04A2">
              <w:t xml:space="preserve"> “. . . the port authority may levy upon the property within its jurisdiction a tax, for all purposes including bond debt charges, not in excess of one mill annually on the total value of all property as listed and assessed for taxation for any period </w:t>
            </w:r>
            <w:r w:rsidR="00340DC7" w:rsidRPr="001C04A2">
              <w:rPr>
                <w:u w:val="single"/>
              </w:rPr>
              <w:t xml:space="preserve">not </w:t>
            </w:r>
            <w:r w:rsidR="00340DC7" w:rsidRPr="001C04A2">
              <w:t xml:space="preserve">exceeding five years, except that when the tax is to pay bond debt charges, the tax shall be for the life of the bond indebtedness. On approval of such a levy, notes may be issued in anticipation of the collection of the proceeds of the tax levy, other than the proceeds to be received for the payment of bond debt charges, in the amount and manner and at the times as are provided in </w:t>
            </w:r>
            <w:r w:rsidRPr="001C04A2">
              <w:t xml:space="preserve">§ </w:t>
            </w:r>
            <w:r w:rsidR="001B661C" w:rsidRPr="001C04A2">
              <w:t>5705.193 of the Ohio Rev. Code (this section refers to § 133.24 and is for permanent improvements), for the issuance of notes by a county in anticipation of the proceeds of a tax levy.”</w:t>
            </w:r>
          </w:p>
        </w:tc>
      </w:tr>
      <w:tr w:rsidR="00340DC7" w:rsidRPr="001944CC" w14:paraId="254A4930" w14:textId="77777777" w:rsidTr="00306C4D">
        <w:trPr>
          <w:cantSplit/>
        </w:trPr>
        <w:tc>
          <w:tcPr>
            <w:tcW w:w="1980" w:type="dxa"/>
          </w:tcPr>
          <w:p w14:paraId="4329CEC9" w14:textId="77777777" w:rsidR="00340DC7" w:rsidRPr="001C04A2" w:rsidRDefault="009B4BF1" w:rsidP="00FE2ACE">
            <w:r w:rsidRPr="001C04A2">
              <w:t>§ 5</w:t>
            </w:r>
            <w:r w:rsidR="00340DC7" w:rsidRPr="001C04A2">
              <w:t>705.191.  Approval of excess levy; issuing notes</w:t>
            </w:r>
          </w:p>
          <w:p w14:paraId="35EEBE86" w14:textId="77777777" w:rsidR="00340DC7" w:rsidRPr="001C04A2" w:rsidRDefault="00340DC7" w:rsidP="00FE2ACE"/>
          <w:p w14:paraId="230FFBCA" w14:textId="77777777" w:rsidR="00340DC7" w:rsidRPr="001C04A2" w:rsidRDefault="00340DC7" w:rsidP="00FE2ACE">
            <w:r w:rsidRPr="001C04A2">
              <w:t>Any subdivision, other than the board of education of a school district or the taxing authority of a county school financing district</w:t>
            </w:r>
          </w:p>
        </w:tc>
        <w:tc>
          <w:tcPr>
            <w:tcW w:w="2790" w:type="dxa"/>
          </w:tcPr>
          <w:p w14:paraId="373B3772" w14:textId="77777777" w:rsidR="00340DC7" w:rsidRPr="001C04A2" w:rsidRDefault="00340DC7" w:rsidP="00A212E5">
            <w:r w:rsidRPr="001C04A2">
              <w:t xml:space="preserve">If it is necessary to levy a tax in excess of the 10 mill limit for any of the purposes in </w:t>
            </w:r>
            <w:r w:rsidR="009E75D3" w:rsidRPr="001C04A2">
              <w:t xml:space="preserve">Ohio Rev. Code </w:t>
            </w:r>
            <w:r w:rsidR="009B4BF1" w:rsidRPr="001C04A2">
              <w:t>§ 5</w:t>
            </w:r>
            <w:r w:rsidRPr="001C04A2">
              <w:t>705.19, or to supplement the general fund for one or more of the following purposes: public assistance, human or social services, relief, welfare, hospitalization, health, and support of general hospitals, and that the question of such additional tax levy shall be submitted to the electors of the subdivision at a general, primary, or special election to be held at a time therein specified.</w:t>
            </w:r>
          </w:p>
        </w:tc>
        <w:tc>
          <w:tcPr>
            <w:tcW w:w="3240" w:type="dxa"/>
          </w:tcPr>
          <w:p w14:paraId="75CAD9B1" w14:textId="77777777" w:rsidR="00340DC7" w:rsidRPr="001C04A2" w:rsidRDefault="00340DC7" w:rsidP="00FE2ACE">
            <w:r w:rsidRPr="001C04A2">
              <w:t>No</w:t>
            </w:r>
          </w:p>
        </w:tc>
        <w:tc>
          <w:tcPr>
            <w:tcW w:w="5940" w:type="dxa"/>
          </w:tcPr>
          <w:p w14:paraId="020E4DDF" w14:textId="77777777" w:rsidR="00340DC7" w:rsidRPr="001C04A2" w:rsidRDefault="009B4BF1" w:rsidP="00FE2ACE">
            <w:r w:rsidRPr="001C04A2">
              <w:t>§ 5</w:t>
            </w:r>
            <w:r w:rsidR="00340DC7" w:rsidRPr="001C04A2">
              <w:t>705.191 states</w:t>
            </w:r>
            <w:r w:rsidR="001B661C" w:rsidRPr="001C04A2">
              <w:t>,</w:t>
            </w:r>
            <w:r w:rsidR="00340DC7" w:rsidRPr="001C04A2">
              <w:t xml:space="preserve"> in part:  “The notes shall be issued as provided in </w:t>
            </w:r>
            <w:r w:rsidRPr="001C04A2">
              <w:t>§ 1</w:t>
            </w:r>
            <w:r w:rsidR="00340DC7" w:rsidRPr="001C04A2">
              <w:t>33.24 of the Ohio Rev. Code, shall have principal payments during each year after the year of their issuance over a period not exceeding the life of the levy anticipated, and may have a principal payment in the year of their issuance.”</w:t>
            </w:r>
          </w:p>
          <w:p w14:paraId="79CE0D25" w14:textId="77777777" w:rsidR="00340DC7" w:rsidRPr="001C04A2" w:rsidRDefault="00340DC7" w:rsidP="00FE2ACE"/>
          <w:p w14:paraId="70DB39EE" w14:textId="77777777" w:rsidR="00340DC7" w:rsidRPr="001C04A2" w:rsidRDefault="00340DC7" w:rsidP="00FE2ACE">
            <w:r w:rsidRPr="001C04A2">
              <w:t xml:space="preserve">An entity can also </w:t>
            </w:r>
            <w:proofErr w:type="gramStart"/>
            <w:r w:rsidRPr="001C04A2">
              <w:t>levy</w:t>
            </w:r>
            <w:proofErr w:type="gramEnd"/>
            <w:r w:rsidRPr="001C04A2">
              <w:t xml:space="preserve"> for operating expenses.  The notes cannot exceed 50% of the proceeds of the levy.   Notes issued for operations can mature over the life of a fixed-term levy.  For </w:t>
            </w:r>
            <w:proofErr w:type="gramStart"/>
            <w:r w:rsidRPr="001C04A2">
              <w:t>an unlimited</w:t>
            </w:r>
            <w:proofErr w:type="gramEnd"/>
            <w:r w:rsidRPr="001C04A2">
              <w:t xml:space="preserve"> life levy, these notes must mature within 10 years.</w:t>
            </w:r>
          </w:p>
        </w:tc>
      </w:tr>
      <w:tr w:rsidR="00340DC7" w:rsidRPr="001944CC" w14:paraId="7391E7C6" w14:textId="77777777" w:rsidTr="00306C4D">
        <w:tc>
          <w:tcPr>
            <w:tcW w:w="1980" w:type="dxa"/>
          </w:tcPr>
          <w:p w14:paraId="2DE6754E" w14:textId="77777777" w:rsidR="00340DC7" w:rsidRPr="001C04A2" w:rsidRDefault="009B4BF1" w:rsidP="00FE2ACE">
            <w:r w:rsidRPr="001C04A2">
              <w:t>§ 5</w:t>
            </w:r>
            <w:r w:rsidR="00340DC7" w:rsidRPr="001C04A2">
              <w:t xml:space="preserve">705.193 </w:t>
            </w:r>
          </w:p>
          <w:p w14:paraId="7D2EF405" w14:textId="77777777" w:rsidR="004E5970" w:rsidRPr="001C04A2" w:rsidRDefault="004E5970" w:rsidP="00FE2ACE"/>
          <w:p w14:paraId="0D5456FC" w14:textId="77777777" w:rsidR="00340DC7" w:rsidRPr="001C04A2" w:rsidRDefault="00340DC7" w:rsidP="00FE2ACE">
            <w:r w:rsidRPr="001C04A2">
              <w:t>County</w:t>
            </w:r>
          </w:p>
        </w:tc>
        <w:tc>
          <w:tcPr>
            <w:tcW w:w="2790" w:type="dxa"/>
          </w:tcPr>
          <w:p w14:paraId="7799BC10" w14:textId="77777777" w:rsidR="00340DC7" w:rsidRPr="001C04A2" w:rsidRDefault="00340DC7" w:rsidP="00FE2ACE">
            <w:r w:rsidRPr="001C04A2">
              <w:t>Permanent Improvement</w:t>
            </w:r>
          </w:p>
        </w:tc>
        <w:tc>
          <w:tcPr>
            <w:tcW w:w="3240" w:type="dxa"/>
          </w:tcPr>
          <w:p w14:paraId="5FD0ACB1" w14:textId="77777777" w:rsidR="00340DC7" w:rsidRPr="001C04A2" w:rsidRDefault="00340DC7" w:rsidP="00FE2ACE">
            <w:r w:rsidRPr="001C04A2">
              <w:t>No</w:t>
            </w:r>
          </w:p>
        </w:tc>
        <w:tc>
          <w:tcPr>
            <w:tcW w:w="5940" w:type="dxa"/>
          </w:tcPr>
          <w:p w14:paraId="637DFE4E" w14:textId="77777777" w:rsidR="00340DC7" w:rsidRPr="001C04A2" w:rsidRDefault="009B4BF1" w:rsidP="00FE2ACE">
            <w:r w:rsidRPr="001C04A2">
              <w:t>§ 5</w:t>
            </w:r>
            <w:r w:rsidR="00340DC7" w:rsidRPr="001C04A2">
              <w:t>705.193 states</w:t>
            </w:r>
            <w:r w:rsidR="001B661C" w:rsidRPr="001C04A2">
              <w:t>,</w:t>
            </w:r>
            <w:r w:rsidR="00340DC7" w:rsidRPr="001C04A2">
              <w:t xml:space="preserve"> in part</w:t>
            </w:r>
            <w:r w:rsidR="001B661C" w:rsidRPr="001C04A2">
              <w:t>,</w:t>
            </w:r>
            <w:r w:rsidR="00340DC7" w:rsidRPr="001C04A2">
              <w:t xml:space="preserve"> “Such notes shall be issued as provided in </w:t>
            </w:r>
            <w:r w:rsidRPr="001C04A2">
              <w:t>§ 1</w:t>
            </w:r>
            <w:r w:rsidR="00340DC7" w:rsidRPr="001C04A2">
              <w:t>33.24 of the Ohio Rev. Code, shall have principal payments during each remaining year of the life of the levy after the year of their issuance, and may have a principal payment in the year of their issuance.”</w:t>
            </w:r>
          </w:p>
        </w:tc>
      </w:tr>
      <w:tr w:rsidR="00340DC7" w:rsidRPr="001944CC" w14:paraId="21656338" w14:textId="77777777" w:rsidTr="00306C4D">
        <w:tc>
          <w:tcPr>
            <w:tcW w:w="1980" w:type="dxa"/>
          </w:tcPr>
          <w:p w14:paraId="3F759748" w14:textId="77777777" w:rsidR="00340DC7" w:rsidRPr="001C04A2" w:rsidRDefault="009B4BF1" w:rsidP="00FE2ACE">
            <w:r w:rsidRPr="001C04A2">
              <w:t>§ 5</w:t>
            </w:r>
            <w:r w:rsidR="00340DC7" w:rsidRPr="001C04A2">
              <w:t>705.194</w:t>
            </w:r>
          </w:p>
          <w:p w14:paraId="1D3984D8" w14:textId="77777777" w:rsidR="004E5970" w:rsidRPr="001C04A2" w:rsidRDefault="004E5970" w:rsidP="00FE2ACE"/>
          <w:p w14:paraId="42AA0439" w14:textId="77777777" w:rsidR="00340DC7" w:rsidRPr="001C04A2" w:rsidRDefault="00340DC7" w:rsidP="00FE2ACE">
            <w:r w:rsidRPr="001C04A2">
              <w:t>School District</w:t>
            </w:r>
          </w:p>
        </w:tc>
        <w:tc>
          <w:tcPr>
            <w:tcW w:w="2790" w:type="dxa"/>
          </w:tcPr>
          <w:p w14:paraId="0F70C990" w14:textId="77777777" w:rsidR="00340DC7" w:rsidRPr="001C04A2" w:rsidRDefault="00340DC7" w:rsidP="00FE2ACE">
            <w:r w:rsidRPr="001C04A2">
              <w:t>Emergency levy</w:t>
            </w:r>
          </w:p>
        </w:tc>
        <w:tc>
          <w:tcPr>
            <w:tcW w:w="3240" w:type="dxa"/>
          </w:tcPr>
          <w:p w14:paraId="74F15E65" w14:textId="77777777" w:rsidR="00340DC7" w:rsidRPr="001C04A2" w:rsidRDefault="00340DC7" w:rsidP="00FE2ACE">
            <w:r w:rsidRPr="001C04A2">
              <w:t>No</w:t>
            </w:r>
          </w:p>
        </w:tc>
        <w:tc>
          <w:tcPr>
            <w:tcW w:w="5940" w:type="dxa"/>
          </w:tcPr>
          <w:p w14:paraId="6ABF34A9" w14:textId="77777777" w:rsidR="00340DC7" w:rsidRPr="001C04A2" w:rsidRDefault="009B4BF1" w:rsidP="00FE2ACE">
            <w:r w:rsidRPr="001C04A2">
              <w:t>§ 5</w:t>
            </w:r>
            <w:r w:rsidR="00340DC7" w:rsidRPr="001C04A2">
              <w:t>705.194 states</w:t>
            </w:r>
            <w:r w:rsidR="001B661C" w:rsidRPr="001C04A2">
              <w:t>,</w:t>
            </w:r>
            <w:r w:rsidR="00340DC7" w:rsidRPr="001C04A2">
              <w:t xml:space="preserve"> in part</w:t>
            </w:r>
            <w:r w:rsidR="001B661C" w:rsidRPr="001C04A2">
              <w:t>,</w:t>
            </w:r>
            <w:r w:rsidR="00340DC7" w:rsidRPr="001C04A2">
              <w:t xml:space="preserve"> “After the approval of the levy and prior to the time when the first tax collection from the levy can be made, the board of education may anticipate a fraction of the proceeds of the levy and issue anticipation notes in an amount not exceeding the total estimated proceeds of the levy to be collected during the first year of the levy.</w:t>
            </w:r>
          </w:p>
          <w:p w14:paraId="44542DDB" w14:textId="77777777" w:rsidR="00340DC7" w:rsidRPr="001C04A2" w:rsidRDefault="00340DC7" w:rsidP="00FE2ACE"/>
          <w:p w14:paraId="6C700B10" w14:textId="77777777" w:rsidR="00340DC7" w:rsidRPr="001C04A2" w:rsidRDefault="00340DC7" w:rsidP="00FE2ACE">
            <w:r w:rsidRPr="001C04A2">
              <w:t xml:space="preserve">   The notes shall be issued as provided in </w:t>
            </w:r>
            <w:r w:rsidR="009B4BF1" w:rsidRPr="001C04A2">
              <w:t>§ 1</w:t>
            </w:r>
            <w:r w:rsidRPr="001C04A2">
              <w:t>33.24 of the Ohio Rev. Code, shall have principal payments during each year after the year of their issuance over a period not to exceed five years, and may have principal payment in the year of their issuance.”</w:t>
            </w:r>
          </w:p>
        </w:tc>
      </w:tr>
      <w:tr w:rsidR="00340DC7" w:rsidRPr="001944CC" w14:paraId="790A3CBB" w14:textId="77777777" w:rsidTr="00306C4D">
        <w:tc>
          <w:tcPr>
            <w:tcW w:w="1980" w:type="dxa"/>
          </w:tcPr>
          <w:p w14:paraId="499C1F4E" w14:textId="77777777" w:rsidR="004E5970" w:rsidRPr="001C04A2" w:rsidRDefault="009B4BF1" w:rsidP="004E5970">
            <w:r w:rsidRPr="001C04A2">
              <w:t>§ 5</w:t>
            </w:r>
            <w:r w:rsidR="00340DC7" w:rsidRPr="001C04A2">
              <w:t xml:space="preserve">705.198.  Levy </w:t>
            </w:r>
            <w:proofErr w:type="gramStart"/>
            <w:r w:rsidR="00340DC7" w:rsidRPr="001C04A2">
              <w:t>by</w:t>
            </w:r>
            <w:proofErr w:type="gramEnd"/>
            <w:r w:rsidR="00340DC7" w:rsidRPr="001C04A2">
              <w:t xml:space="preserve"> </w:t>
            </w:r>
          </w:p>
          <w:p w14:paraId="0569C383" w14:textId="77777777" w:rsidR="004E5970" w:rsidRPr="001C04A2" w:rsidRDefault="004E5970" w:rsidP="004E5970"/>
          <w:p w14:paraId="457E39B4" w14:textId="77777777" w:rsidR="00340DC7" w:rsidRPr="001C04A2" w:rsidRDefault="004E5970" w:rsidP="004E5970">
            <w:r w:rsidRPr="001C04A2">
              <w:t>Joint Recreation D</w:t>
            </w:r>
            <w:r w:rsidR="00340DC7" w:rsidRPr="001C04A2">
              <w:t>istrict</w:t>
            </w:r>
          </w:p>
        </w:tc>
        <w:tc>
          <w:tcPr>
            <w:tcW w:w="2790" w:type="dxa"/>
          </w:tcPr>
          <w:p w14:paraId="16788250" w14:textId="77777777" w:rsidR="00340DC7" w:rsidRPr="001C04A2" w:rsidRDefault="00340DC7" w:rsidP="00176077">
            <w:r w:rsidRPr="001C04A2">
              <w:t xml:space="preserve">Parks and recreational purposes per </w:t>
            </w:r>
            <w:r w:rsidR="009B4BF1" w:rsidRPr="001C04A2">
              <w:t>§ 5</w:t>
            </w:r>
            <w:r w:rsidR="00176077" w:rsidRPr="001C04A2">
              <w:t>705.19(</w:t>
            </w:r>
            <w:r w:rsidRPr="001C04A2">
              <w:t>H)</w:t>
            </w:r>
          </w:p>
        </w:tc>
        <w:tc>
          <w:tcPr>
            <w:tcW w:w="3240" w:type="dxa"/>
          </w:tcPr>
          <w:p w14:paraId="282BFB53" w14:textId="77777777" w:rsidR="00340DC7" w:rsidRPr="001C04A2" w:rsidRDefault="00340DC7" w:rsidP="00FE2ACE">
            <w:r w:rsidRPr="001C04A2">
              <w:t>No</w:t>
            </w:r>
          </w:p>
        </w:tc>
        <w:tc>
          <w:tcPr>
            <w:tcW w:w="5940" w:type="dxa"/>
          </w:tcPr>
          <w:p w14:paraId="3A5564D6" w14:textId="77777777" w:rsidR="00340DC7" w:rsidRPr="001C04A2" w:rsidRDefault="009B4BF1" w:rsidP="00FE2ACE">
            <w:r w:rsidRPr="001C04A2">
              <w:t>§ 5</w:t>
            </w:r>
            <w:r w:rsidR="00340DC7" w:rsidRPr="001C04A2">
              <w:t xml:space="preserve">705.198 (limited to a fraction of the proceeds of that levy) “such notes shall be issued as provided in </w:t>
            </w:r>
            <w:r w:rsidRPr="001C04A2">
              <w:t>§ 1</w:t>
            </w:r>
            <w:r w:rsidR="00340DC7" w:rsidRPr="001C04A2">
              <w:t>33.24 of the Ohio Rev. Code.”  These notes must mature by December 31 of the 5th year after the levy’s passage.</w:t>
            </w:r>
          </w:p>
        </w:tc>
      </w:tr>
      <w:tr w:rsidR="00340DC7" w:rsidRPr="001944CC" w14:paraId="4EFE0F15" w14:textId="77777777" w:rsidTr="00306C4D">
        <w:tc>
          <w:tcPr>
            <w:tcW w:w="1980" w:type="dxa"/>
          </w:tcPr>
          <w:p w14:paraId="18C8CDB8" w14:textId="77777777" w:rsidR="00340DC7" w:rsidRPr="001C04A2" w:rsidRDefault="009B4BF1" w:rsidP="00FE2ACE">
            <w:r w:rsidRPr="001C04A2">
              <w:t>§ 5</w:t>
            </w:r>
            <w:r w:rsidR="00340DC7" w:rsidRPr="001C04A2">
              <w:t>705.21.  Special election on additional school levy</w:t>
            </w:r>
          </w:p>
          <w:p w14:paraId="6A88C204" w14:textId="77777777" w:rsidR="00340DC7" w:rsidRPr="001C04A2" w:rsidRDefault="00340DC7" w:rsidP="00FE2ACE"/>
          <w:p w14:paraId="1B87F9CF" w14:textId="77777777" w:rsidR="00340DC7" w:rsidRPr="001C04A2" w:rsidRDefault="00340DC7" w:rsidP="00FE2ACE">
            <w:r w:rsidRPr="001C04A2">
              <w:t>School District</w:t>
            </w:r>
          </w:p>
          <w:p w14:paraId="4A873252" w14:textId="77777777" w:rsidR="00340DC7" w:rsidRPr="001C04A2" w:rsidRDefault="00340DC7" w:rsidP="00FE2ACE"/>
        </w:tc>
        <w:tc>
          <w:tcPr>
            <w:tcW w:w="2790" w:type="dxa"/>
          </w:tcPr>
          <w:p w14:paraId="3FA24F80" w14:textId="77777777" w:rsidR="00340DC7" w:rsidRPr="001C04A2" w:rsidRDefault="00340DC7" w:rsidP="00FE2ACE">
            <w:r w:rsidRPr="001C04A2">
              <w:t>Permanent improvements</w:t>
            </w:r>
          </w:p>
        </w:tc>
        <w:tc>
          <w:tcPr>
            <w:tcW w:w="3240" w:type="dxa"/>
          </w:tcPr>
          <w:p w14:paraId="50D0C7ED" w14:textId="77777777" w:rsidR="00340DC7" w:rsidRPr="001C04A2" w:rsidRDefault="00340DC7" w:rsidP="00FE2ACE">
            <w:r w:rsidRPr="001C04A2">
              <w:t>No</w:t>
            </w:r>
          </w:p>
        </w:tc>
        <w:tc>
          <w:tcPr>
            <w:tcW w:w="5940" w:type="dxa"/>
          </w:tcPr>
          <w:p w14:paraId="7492B48C" w14:textId="77777777" w:rsidR="00340DC7" w:rsidRPr="001C04A2" w:rsidRDefault="009B4BF1" w:rsidP="00FE2ACE">
            <w:r w:rsidRPr="001C04A2">
              <w:t>§ 5</w:t>
            </w:r>
            <w:r w:rsidR="00340DC7" w:rsidRPr="001C04A2">
              <w:t>705.21(</w:t>
            </w:r>
            <w:r w:rsidR="00704235" w:rsidRPr="001C04A2">
              <w:t>D</w:t>
            </w:r>
            <w:r w:rsidR="00340DC7" w:rsidRPr="001C04A2">
              <w:t>)(2) states</w:t>
            </w:r>
            <w:r w:rsidR="001B661C" w:rsidRPr="001C04A2">
              <w:t>, “</w:t>
            </w:r>
            <w:r w:rsidR="00340DC7" w:rsidRPr="001C04A2">
              <w:t xml:space="preserve">After the approval of a levy for general permanent improvements for a specified number of years, or for permanent improvements having the purpose specified in division (F) of </w:t>
            </w:r>
            <w:r w:rsidRPr="001C04A2">
              <w:t>§ 5</w:t>
            </w:r>
            <w:r w:rsidR="00340DC7" w:rsidRPr="001C04A2">
              <w:t>705.19 of the Ohio Rev. Code, the board of education may anticipate a fraction of the proceeds of the levy and issue anticipation notes in a principal amount not exceeding fifty per cent of the total estimated proceeds of the levy remaining to be collected in each year over a period of five years after the issuance of the notes.</w:t>
            </w:r>
          </w:p>
          <w:p w14:paraId="3B255CD1" w14:textId="77777777" w:rsidR="00340DC7" w:rsidRPr="001C04A2" w:rsidRDefault="00340DC7" w:rsidP="00FE2ACE"/>
          <w:p w14:paraId="23667E71" w14:textId="77777777" w:rsidR="00340DC7" w:rsidRPr="001C04A2" w:rsidRDefault="00340DC7" w:rsidP="00FE2ACE">
            <w:r w:rsidRPr="001C04A2">
              <w:t xml:space="preserve">   The notes shall be issued as provided in </w:t>
            </w:r>
            <w:r w:rsidR="009B4BF1" w:rsidRPr="001C04A2">
              <w:t>§ 1</w:t>
            </w:r>
            <w:r w:rsidRPr="001C04A2">
              <w:t>33.24 of the Ohio Rev. Code, shall have principal payments during each year after the year of their issuance over a period not to exceed five years, and may have a principal payment in the year of their issuance.”</w:t>
            </w:r>
          </w:p>
          <w:p w14:paraId="2E0D7797" w14:textId="77777777" w:rsidR="00340DC7" w:rsidRPr="001C04A2" w:rsidRDefault="00340DC7" w:rsidP="00FE2ACE"/>
          <w:p w14:paraId="55B19AB8" w14:textId="77777777" w:rsidR="00340DC7" w:rsidRPr="001C04A2" w:rsidRDefault="009B4BF1" w:rsidP="00FE2ACE">
            <w:r w:rsidRPr="001C04A2">
              <w:t>§ 5</w:t>
            </w:r>
            <w:r w:rsidR="00340DC7" w:rsidRPr="001C04A2">
              <w:t>705.21(</w:t>
            </w:r>
            <w:r w:rsidR="00704235" w:rsidRPr="001C04A2">
              <w:t>D</w:t>
            </w:r>
            <w:r w:rsidR="00340DC7" w:rsidRPr="001C04A2">
              <w:t>)(3) states</w:t>
            </w:r>
            <w:r w:rsidR="001B661C" w:rsidRPr="001C04A2">
              <w:t>,</w:t>
            </w:r>
            <w:r w:rsidR="00340DC7" w:rsidRPr="001C04A2">
              <w:t xml:space="preserve"> “After approval of a levy for general permanent improvements for a continuing period of time [i.e. an unlimited life levy], the board of education may anticipate a fraction of the proceeds of the levy and issue anticipation notes in a principal amount not exceeding fifty per cent of the total estimated proceeds of the levy to be collected in each year over a specified period of years, not exceeding ten, after the issuance of the notes.</w:t>
            </w:r>
          </w:p>
          <w:p w14:paraId="19896DE5" w14:textId="77777777" w:rsidR="00340DC7" w:rsidRPr="001C04A2" w:rsidRDefault="00340DC7" w:rsidP="00FE2ACE"/>
          <w:p w14:paraId="4849B6FE" w14:textId="77777777" w:rsidR="00340DC7" w:rsidRPr="001C04A2" w:rsidRDefault="00340DC7" w:rsidP="004E5970">
            <w:r w:rsidRPr="001C04A2">
              <w:t xml:space="preserve">   The notes shall be issued as provided in </w:t>
            </w:r>
            <w:r w:rsidR="009B4BF1" w:rsidRPr="001C04A2">
              <w:t>§ 1</w:t>
            </w:r>
            <w:r w:rsidRPr="001C04A2">
              <w:t xml:space="preserve">33.24 of the Ohio Rev. </w:t>
            </w:r>
            <w:proofErr w:type="gramStart"/>
            <w:r w:rsidRPr="001C04A2">
              <w:t>Code,</w:t>
            </w:r>
            <w:proofErr w:type="gramEnd"/>
            <w:r w:rsidRPr="001C04A2">
              <w:t xml:space="preserve"> shall have principal payments during each year after the year of their issuance over a period not to exceed ten years, and may have a principal payment in the year of their issuance.”</w:t>
            </w:r>
          </w:p>
        </w:tc>
      </w:tr>
      <w:tr w:rsidR="00821654" w:rsidRPr="001944CC" w14:paraId="31799CA2" w14:textId="77777777" w:rsidTr="00306C4D">
        <w:tc>
          <w:tcPr>
            <w:tcW w:w="1980" w:type="dxa"/>
          </w:tcPr>
          <w:p w14:paraId="0395662F" w14:textId="77777777" w:rsidR="00821654" w:rsidRPr="001C04A2" w:rsidRDefault="009B4BF1" w:rsidP="00821654">
            <w:r w:rsidRPr="001C04A2">
              <w:t>§ 5</w:t>
            </w:r>
            <w:r w:rsidR="00821654" w:rsidRPr="001C04A2">
              <w:t>705.2112.  Career-technical compact facilities</w:t>
            </w:r>
          </w:p>
          <w:p w14:paraId="157DCC7A" w14:textId="77777777" w:rsidR="00821654" w:rsidRPr="001C04A2" w:rsidRDefault="00821654" w:rsidP="00821654"/>
          <w:p w14:paraId="161A2F07" w14:textId="77777777" w:rsidR="00821654" w:rsidRPr="001C04A2" w:rsidRDefault="00821654" w:rsidP="004E5970">
            <w:r w:rsidRPr="001C04A2">
              <w:t>STEM School</w:t>
            </w:r>
          </w:p>
        </w:tc>
        <w:tc>
          <w:tcPr>
            <w:tcW w:w="2790" w:type="dxa"/>
          </w:tcPr>
          <w:p w14:paraId="058AD6B2" w14:textId="77777777" w:rsidR="00821654" w:rsidRPr="001C04A2" w:rsidRDefault="00821654" w:rsidP="00FE2ACE">
            <w:r w:rsidRPr="001C04A2">
              <w:t>Acquisition of classroom facilities.</w:t>
            </w:r>
          </w:p>
        </w:tc>
        <w:tc>
          <w:tcPr>
            <w:tcW w:w="3240" w:type="dxa"/>
          </w:tcPr>
          <w:p w14:paraId="3A5B1227" w14:textId="77777777" w:rsidR="00821654" w:rsidRPr="001C04A2" w:rsidRDefault="00821654" w:rsidP="00FE2ACE">
            <w:r w:rsidRPr="001C04A2">
              <w:t>No</w:t>
            </w:r>
          </w:p>
        </w:tc>
        <w:tc>
          <w:tcPr>
            <w:tcW w:w="5940" w:type="dxa"/>
          </w:tcPr>
          <w:p w14:paraId="3EB6C78F" w14:textId="3FFF4BCA" w:rsidR="00DF49C4" w:rsidRDefault="009B4BF1" w:rsidP="00B8561E">
            <w:r w:rsidRPr="001C04A2">
              <w:t>§ 5</w:t>
            </w:r>
            <w:r w:rsidR="00821654" w:rsidRPr="001C04A2">
              <w:t>705.2112(F)</w:t>
            </w:r>
            <w:r w:rsidR="00A2777A">
              <w:t xml:space="preserve">(1) </w:t>
            </w:r>
            <w:r w:rsidR="00A2777A" w:rsidRPr="00DF49C4">
              <w:rPr>
                <w:u w:val="wave"/>
              </w:rPr>
              <w:t>states  “After the approval of a levy under this section for a specified number of years, the fiscal board of qualifying partnership may anticipate a fraction of the proceeds of the levy and issue anticipation notes in the principal amount not exceeding seventy-five percent of the total estimated proceeds of the levy remaining to be collected in each year over a period of ten years after the issuance of the notes</w:t>
            </w:r>
            <w:r w:rsidR="00DF49C4" w:rsidRPr="00DF49C4">
              <w:rPr>
                <w:u w:val="wave"/>
              </w:rPr>
              <w:t>.</w:t>
            </w:r>
            <w:r w:rsidR="00821654" w:rsidRPr="00DF49C4">
              <w:rPr>
                <w:u w:val="wave"/>
              </w:rPr>
              <w:t xml:space="preserve"> </w:t>
            </w:r>
          </w:p>
          <w:p w14:paraId="3317D242" w14:textId="77777777" w:rsidR="00DF49C4" w:rsidRDefault="00DF49C4" w:rsidP="00B8561E"/>
          <w:p w14:paraId="52D43171" w14:textId="051288D4" w:rsidR="00821654" w:rsidRPr="001C04A2" w:rsidRDefault="00821654" w:rsidP="00B8561E">
            <w:r w:rsidRPr="001C04A2">
              <w:t xml:space="preserve">The notes shall be issued as provided in </w:t>
            </w:r>
            <w:r w:rsidR="009B4BF1" w:rsidRPr="001C04A2">
              <w:t>§ 1</w:t>
            </w:r>
            <w:r w:rsidRPr="001C04A2">
              <w:t xml:space="preserve">33.24 of the Ohio Rev. </w:t>
            </w:r>
            <w:proofErr w:type="gramStart"/>
            <w:r w:rsidRPr="001C04A2">
              <w:t>Code,</w:t>
            </w:r>
            <w:proofErr w:type="gramEnd"/>
            <w:r w:rsidRPr="001C04A2">
              <w:t xml:space="preserve"> shall have principal payments during each year after the year of their issuance over a period not to exceed </w:t>
            </w:r>
            <w:r w:rsidR="001B661C" w:rsidRPr="001C04A2">
              <w:t>ten</w:t>
            </w:r>
            <w:r w:rsidRPr="001C04A2">
              <w:t xml:space="preserve"> years, and may have a principal payment in the year of their issuance.”</w:t>
            </w:r>
          </w:p>
        </w:tc>
      </w:tr>
      <w:tr w:rsidR="00340DC7" w:rsidRPr="001944CC" w14:paraId="535A4D9A" w14:textId="77777777" w:rsidTr="00306C4D">
        <w:tc>
          <w:tcPr>
            <w:tcW w:w="1980" w:type="dxa"/>
          </w:tcPr>
          <w:p w14:paraId="217AD1DD" w14:textId="77777777" w:rsidR="00340DC7" w:rsidRPr="001C04A2" w:rsidRDefault="009B4BF1" w:rsidP="00FE2ACE">
            <w:r w:rsidRPr="001C04A2">
              <w:t>§ 5</w:t>
            </w:r>
            <w:r w:rsidR="00340DC7" w:rsidRPr="001C04A2">
              <w:t>705.217.  Special elections on additional tax for school district purposes; anticipation notes</w:t>
            </w:r>
          </w:p>
          <w:p w14:paraId="7FD1CB0C" w14:textId="77777777" w:rsidR="00340DC7" w:rsidRPr="001C04A2" w:rsidRDefault="00340DC7" w:rsidP="00FE2ACE"/>
          <w:p w14:paraId="2E677B4E" w14:textId="77777777" w:rsidR="00340DC7" w:rsidRPr="001C04A2" w:rsidRDefault="00340DC7" w:rsidP="00FE2ACE">
            <w:r w:rsidRPr="001C04A2">
              <w:t>School District</w:t>
            </w:r>
          </w:p>
        </w:tc>
        <w:tc>
          <w:tcPr>
            <w:tcW w:w="2790" w:type="dxa"/>
          </w:tcPr>
          <w:p w14:paraId="52F22132" w14:textId="77777777" w:rsidR="00340DC7" w:rsidRPr="001C04A2" w:rsidRDefault="00340DC7" w:rsidP="00FE2ACE">
            <w:r w:rsidRPr="001C04A2">
              <w:t>Current operating expenses and permanent improvements</w:t>
            </w:r>
          </w:p>
        </w:tc>
        <w:tc>
          <w:tcPr>
            <w:tcW w:w="3240" w:type="dxa"/>
          </w:tcPr>
          <w:p w14:paraId="2DF06E68" w14:textId="77777777" w:rsidR="00340DC7" w:rsidRPr="001C04A2" w:rsidRDefault="00340DC7" w:rsidP="00FE2ACE">
            <w:r w:rsidRPr="001C04A2">
              <w:t>No</w:t>
            </w:r>
          </w:p>
        </w:tc>
        <w:tc>
          <w:tcPr>
            <w:tcW w:w="5940" w:type="dxa"/>
          </w:tcPr>
          <w:p w14:paraId="7BC84D31" w14:textId="11E977B8" w:rsidR="00340DC7" w:rsidRPr="001C04A2" w:rsidRDefault="009B4BF1" w:rsidP="00FE2ACE">
            <w:r w:rsidRPr="001C04A2">
              <w:t>§ 5</w:t>
            </w:r>
            <w:r w:rsidR="00340DC7" w:rsidRPr="001C04A2">
              <w:t>705.217(B)(3) provides</w:t>
            </w:r>
            <w:r w:rsidR="001B661C" w:rsidRPr="001C04A2">
              <w:t>,</w:t>
            </w:r>
            <w:r w:rsidR="00340DC7" w:rsidRPr="001C04A2">
              <w:t xml:space="preserve"> “</w:t>
            </w:r>
            <w:r w:rsidR="001B661C" w:rsidRPr="001C04A2">
              <w:t>A</w:t>
            </w:r>
            <w:r w:rsidR="00340DC7" w:rsidRPr="001C04A2">
              <w:t>fter approval of a levy for general permanent improvements for a continuing period of time, the board of education may anticipate a fraction of the proceeds of the levy and issue anticipation notes in a principal amount not exceeding fifty per cent of the total estimated proceeds of the levy to be collected in each year over a specified period of years, not exceeding ten, after the issuance of the notes.</w:t>
            </w:r>
          </w:p>
          <w:p w14:paraId="4E464098" w14:textId="77777777" w:rsidR="00340DC7" w:rsidRPr="001C04A2" w:rsidRDefault="00340DC7" w:rsidP="00FE2ACE"/>
          <w:p w14:paraId="7828E15B" w14:textId="77777777" w:rsidR="00340DC7" w:rsidRPr="001C04A2" w:rsidRDefault="00B8561E" w:rsidP="00B8561E">
            <w:r w:rsidRPr="001C04A2">
              <w:t xml:space="preserve"> </w:t>
            </w:r>
            <w:r w:rsidR="001B661C" w:rsidRPr="001C04A2">
              <w:t>Anticipation notes under this section</w:t>
            </w:r>
            <w:r w:rsidRPr="001C04A2">
              <w:t xml:space="preserve"> </w:t>
            </w:r>
            <w:r w:rsidR="00340DC7" w:rsidRPr="001C04A2">
              <w:t xml:space="preserve">shall be issued as provided in </w:t>
            </w:r>
            <w:r w:rsidR="009B4BF1" w:rsidRPr="001C04A2">
              <w:t>§ 1</w:t>
            </w:r>
            <w:r w:rsidR="00340DC7" w:rsidRPr="001C04A2">
              <w:t xml:space="preserve">33.24 of the Ohio Rev. Code, shall have principal payments during each year after the year of their issuance over a period not to exceed  </w:t>
            </w:r>
            <w:r w:rsidR="001B661C" w:rsidRPr="001C04A2">
              <w:t xml:space="preserve">ten </w:t>
            </w:r>
            <w:r w:rsidR="00340DC7" w:rsidRPr="001C04A2">
              <w:t>years, and may have a principal payment in the year of their issuance.”</w:t>
            </w:r>
          </w:p>
        </w:tc>
      </w:tr>
      <w:tr w:rsidR="00340DC7" w:rsidRPr="001944CC" w14:paraId="7707BA42" w14:textId="77777777" w:rsidTr="00306C4D">
        <w:tc>
          <w:tcPr>
            <w:tcW w:w="1980" w:type="dxa"/>
          </w:tcPr>
          <w:p w14:paraId="4A5FFC5D" w14:textId="77777777" w:rsidR="00340DC7" w:rsidRPr="001C04A2" w:rsidRDefault="009B4BF1" w:rsidP="00FE2ACE">
            <w:r w:rsidRPr="001C04A2">
              <w:t>§ 5</w:t>
            </w:r>
            <w:r w:rsidR="00340DC7" w:rsidRPr="001C04A2">
              <w:t>705.218.  Special elections on school district bond issues and tax levies; anticipation notes</w:t>
            </w:r>
          </w:p>
          <w:p w14:paraId="5F615972" w14:textId="77777777" w:rsidR="00340DC7" w:rsidRPr="001C04A2" w:rsidRDefault="00340DC7" w:rsidP="00FE2ACE"/>
          <w:p w14:paraId="34B14634" w14:textId="77777777" w:rsidR="00340DC7" w:rsidRPr="001C04A2" w:rsidRDefault="00340DC7" w:rsidP="00FE2ACE">
            <w:r w:rsidRPr="001C04A2">
              <w:t>School Districts</w:t>
            </w:r>
          </w:p>
        </w:tc>
        <w:tc>
          <w:tcPr>
            <w:tcW w:w="2790" w:type="dxa"/>
          </w:tcPr>
          <w:p w14:paraId="0FDEFFED" w14:textId="77777777" w:rsidR="00340DC7" w:rsidRPr="001C04A2" w:rsidRDefault="00340DC7" w:rsidP="00FE2ACE">
            <w:r w:rsidRPr="001C04A2">
              <w:t>Bonds or BAN for permanent improvements and current operating expenses</w:t>
            </w:r>
          </w:p>
        </w:tc>
        <w:tc>
          <w:tcPr>
            <w:tcW w:w="3240" w:type="dxa"/>
          </w:tcPr>
          <w:p w14:paraId="790CE210" w14:textId="77777777" w:rsidR="00340DC7" w:rsidRPr="001C04A2" w:rsidRDefault="00340DC7" w:rsidP="00FE2ACE">
            <w:r w:rsidRPr="001C04A2">
              <w:t>No</w:t>
            </w:r>
          </w:p>
        </w:tc>
        <w:tc>
          <w:tcPr>
            <w:tcW w:w="5940" w:type="dxa"/>
          </w:tcPr>
          <w:p w14:paraId="7E497E23" w14:textId="77777777" w:rsidR="001B661C" w:rsidRPr="001C04A2" w:rsidRDefault="001B661C" w:rsidP="001B661C">
            <w:r w:rsidRPr="001C04A2">
              <w:t>§ 5705.218(F)(3) states, “After the approval of a tax for general, on-going permanent improvements as defined under § 5705.21 of the Revised Code, the board of education may anticipate a fraction of the proceeds of such tax and issue anticipation notes in a principal amount not exceeding fifty per cent of the total estimated proceeds of the tax to be collected in each year over a specified period of years, not exceeding ten, after issuance of the notes.</w:t>
            </w:r>
          </w:p>
          <w:p w14:paraId="64790E82" w14:textId="77777777" w:rsidR="001B661C" w:rsidRPr="001C04A2" w:rsidRDefault="001B661C" w:rsidP="001B661C"/>
          <w:p w14:paraId="132E6C91" w14:textId="77777777" w:rsidR="00340DC7" w:rsidRPr="001C04A2" w:rsidRDefault="001B661C" w:rsidP="001B661C">
            <w:r w:rsidRPr="001C04A2">
              <w:t xml:space="preserve">   Anticipation notes under this section shall be issued as provided in § 133.24 of the Ohio Rev. Code.  Notes issued under division (F)(1) (for current operating expenses) mature within the next fiscal year) or (F)(2) (specific permanent improvements) shall have principal payments during each year after the year of their issuance over a period not to exceed five years, and may have a principal payment in the year of their issuance. Notes issued under division (F)(3) (ongoing permanent improvements) shall have principal payments during each year after the year of their issuance over a period not to exceed ten years, and may have a principal payment in the year of their issuance.”</w:t>
            </w:r>
          </w:p>
        </w:tc>
      </w:tr>
      <w:tr w:rsidR="00340DC7" w:rsidRPr="001944CC" w14:paraId="6B424C36" w14:textId="77777777" w:rsidTr="00306C4D">
        <w:tc>
          <w:tcPr>
            <w:tcW w:w="1980" w:type="dxa"/>
          </w:tcPr>
          <w:p w14:paraId="7E817008" w14:textId="77777777" w:rsidR="00340DC7" w:rsidRPr="001C04A2" w:rsidRDefault="009B4BF1" w:rsidP="00FE2ACE">
            <w:r w:rsidRPr="001C04A2">
              <w:t>§ 5</w:t>
            </w:r>
            <w:r w:rsidR="00340DC7" w:rsidRPr="001C04A2">
              <w:t>705.23.  Resolution for special levy for public library; submission to electors</w:t>
            </w:r>
          </w:p>
          <w:p w14:paraId="46B3DF10" w14:textId="77777777" w:rsidR="00340DC7" w:rsidRPr="001C04A2" w:rsidRDefault="00340DC7" w:rsidP="00FE2ACE"/>
          <w:p w14:paraId="7D8141E6" w14:textId="77777777" w:rsidR="00340DC7" w:rsidRPr="001C04A2" w:rsidRDefault="00340DC7" w:rsidP="00FE2ACE">
            <w:r w:rsidRPr="001C04A2">
              <w:t>Public Library</w:t>
            </w:r>
          </w:p>
        </w:tc>
        <w:tc>
          <w:tcPr>
            <w:tcW w:w="2790" w:type="dxa"/>
          </w:tcPr>
          <w:p w14:paraId="62CA13A2" w14:textId="77777777" w:rsidR="00340DC7" w:rsidRPr="001C04A2" w:rsidRDefault="00340DC7" w:rsidP="00FE2ACE">
            <w:r w:rsidRPr="001C04A2">
              <w:t>Current expenses  or for  constructing   specific permanent improvements</w:t>
            </w:r>
          </w:p>
        </w:tc>
        <w:tc>
          <w:tcPr>
            <w:tcW w:w="3240" w:type="dxa"/>
          </w:tcPr>
          <w:p w14:paraId="7D600A16" w14:textId="77777777" w:rsidR="00340DC7" w:rsidRPr="001C04A2" w:rsidRDefault="00340DC7" w:rsidP="00FE2ACE">
            <w:r w:rsidRPr="001C04A2">
              <w:t>No</w:t>
            </w:r>
          </w:p>
        </w:tc>
        <w:tc>
          <w:tcPr>
            <w:tcW w:w="5940" w:type="dxa"/>
          </w:tcPr>
          <w:p w14:paraId="686FDED5" w14:textId="77777777" w:rsidR="00340DC7" w:rsidRPr="001C04A2" w:rsidRDefault="009B4BF1" w:rsidP="00FE2ACE">
            <w:r w:rsidRPr="001C04A2">
              <w:t>§ 5</w:t>
            </w:r>
            <w:r w:rsidR="00340DC7" w:rsidRPr="001C04A2">
              <w:t xml:space="preserve">705.23 </w:t>
            </w:r>
            <w:r w:rsidR="001B661C" w:rsidRPr="001C04A2">
              <w:t>states, in part, “</w:t>
            </w:r>
            <w:r w:rsidR="00340DC7" w:rsidRPr="001C04A2">
              <w:t xml:space="preserve">After the approval of a levy on the current tax list and duplicate to provide an increase in current expenses, and prior to the time when the first tax collection from such levy can be made, the taxing authority at the request of the board of library trustees may anticipate a fraction of the proceeds of such levy and issue anticipation notes in an amount not exceeding fifty per cent of the total estimated proceeds of the levy to be collected during the first year of the levy.   </w:t>
            </w:r>
          </w:p>
          <w:p w14:paraId="26C48080" w14:textId="77777777" w:rsidR="00340DC7" w:rsidRPr="001C04A2" w:rsidRDefault="00340DC7" w:rsidP="00FE2ACE"/>
          <w:p w14:paraId="5B827049" w14:textId="77777777" w:rsidR="00340DC7" w:rsidRPr="001C04A2" w:rsidRDefault="00340DC7" w:rsidP="00FE2ACE">
            <w:r w:rsidRPr="001C04A2">
              <w:t xml:space="preserve">   After the approval of a levy to provide revenues for the construction or acquisition of any specific permanent improvement or class of improvements, the taxing authority at the request of the board of library trustees may anticipate a fraction of the proceeds of such levy and issue anticipation notes in a principal amount not exceeding fifty per cent of the total estimated proceeds of the levy to be collected in each year over a period of ten years after the issuance of such notes.</w:t>
            </w:r>
          </w:p>
          <w:p w14:paraId="361A8CCB" w14:textId="77777777" w:rsidR="00340DC7" w:rsidRPr="001C04A2" w:rsidRDefault="00340DC7" w:rsidP="00FE2ACE">
            <w:r w:rsidRPr="001C04A2">
              <w:t xml:space="preserve"> </w:t>
            </w:r>
          </w:p>
          <w:p w14:paraId="33980D48" w14:textId="77777777" w:rsidR="00340DC7" w:rsidRPr="001C04A2" w:rsidRDefault="00340DC7" w:rsidP="00FE2ACE">
            <w:r w:rsidRPr="001C04A2">
              <w:t xml:space="preserve">   The notes shall be issued as provided in </w:t>
            </w:r>
            <w:r w:rsidR="009B4BF1" w:rsidRPr="001C04A2">
              <w:t>§ 1</w:t>
            </w:r>
            <w:r w:rsidRPr="001C04A2">
              <w:t xml:space="preserve">33.24 of the Ohio Rev. </w:t>
            </w:r>
            <w:proofErr w:type="gramStart"/>
            <w:r w:rsidRPr="001C04A2">
              <w:t>Code,</w:t>
            </w:r>
            <w:proofErr w:type="gramEnd"/>
            <w:r w:rsidRPr="001C04A2">
              <w:t xml:space="preserve"> shall have principal payments during each year after the year of their issuance over a period not to exceed ten years, and may have a principal payment in the year of their issuance.”</w:t>
            </w:r>
          </w:p>
        </w:tc>
      </w:tr>
      <w:tr w:rsidR="00543E62" w:rsidRPr="00543E62" w14:paraId="05F5F1DB" w14:textId="77777777" w:rsidTr="00306C4D">
        <w:tc>
          <w:tcPr>
            <w:tcW w:w="1980" w:type="dxa"/>
          </w:tcPr>
          <w:p w14:paraId="29CFA709" w14:textId="4AF8DA35" w:rsidR="00543E62" w:rsidRPr="00543E62" w:rsidRDefault="00543E62" w:rsidP="00C76B03">
            <w:pPr>
              <w:pStyle w:val="TableParagraph"/>
              <w:kinsoku w:val="0"/>
              <w:overflowPunct w:val="0"/>
              <w:ind w:left="0" w:right="215"/>
              <w:rPr>
                <w:sz w:val="20"/>
                <w:szCs w:val="20"/>
                <w:u w:val="wave"/>
              </w:rPr>
            </w:pPr>
            <w:r w:rsidRPr="00543E62">
              <w:rPr>
                <w:sz w:val="20"/>
                <w:szCs w:val="20"/>
                <w:u w:val="wave"/>
              </w:rPr>
              <w:t>§ 5705.233.</w:t>
            </w:r>
          </w:p>
          <w:p w14:paraId="1E47CD08" w14:textId="0C488856" w:rsidR="00543E62" w:rsidRPr="00543E62" w:rsidRDefault="00543E62" w:rsidP="00C76B03">
            <w:pPr>
              <w:pStyle w:val="TableParagraph"/>
              <w:kinsoku w:val="0"/>
              <w:overflowPunct w:val="0"/>
              <w:ind w:left="0" w:right="215"/>
              <w:rPr>
                <w:sz w:val="20"/>
                <w:szCs w:val="20"/>
                <w:u w:val="wave"/>
              </w:rPr>
            </w:pPr>
            <w:r w:rsidRPr="00543E62">
              <w:rPr>
                <w:sz w:val="20"/>
                <w:szCs w:val="20"/>
                <w:u w:val="wave"/>
              </w:rPr>
              <w:t>General obligation bonds</w:t>
            </w:r>
            <w:r w:rsidR="00C76B03">
              <w:rPr>
                <w:sz w:val="20"/>
                <w:szCs w:val="20"/>
                <w:u w:val="wave"/>
              </w:rPr>
              <w:t xml:space="preserve"> </w:t>
            </w:r>
            <w:r w:rsidRPr="00543E62">
              <w:rPr>
                <w:sz w:val="20"/>
                <w:szCs w:val="20"/>
                <w:u w:val="wave"/>
              </w:rPr>
              <w:t>for permanent improvements to criminal justice facilities</w:t>
            </w:r>
          </w:p>
          <w:p w14:paraId="43915E55" w14:textId="77777777" w:rsidR="00543E62" w:rsidRPr="00543E62" w:rsidRDefault="00543E62" w:rsidP="00C76B03">
            <w:pPr>
              <w:pStyle w:val="TableParagraph"/>
              <w:kinsoku w:val="0"/>
              <w:overflowPunct w:val="0"/>
              <w:ind w:right="215"/>
              <w:rPr>
                <w:sz w:val="20"/>
                <w:szCs w:val="20"/>
                <w:u w:val="wave"/>
              </w:rPr>
            </w:pPr>
          </w:p>
          <w:p w14:paraId="27B4D2A7" w14:textId="3ADCC616" w:rsidR="00543E62" w:rsidRPr="00543E62" w:rsidRDefault="00543E62" w:rsidP="00C76B03">
            <w:pPr>
              <w:rPr>
                <w:u w:val="wave"/>
              </w:rPr>
            </w:pPr>
            <w:r w:rsidRPr="00543E62">
              <w:rPr>
                <w:u w:val="wave"/>
              </w:rPr>
              <w:t>County</w:t>
            </w:r>
          </w:p>
        </w:tc>
        <w:tc>
          <w:tcPr>
            <w:tcW w:w="2790" w:type="dxa"/>
          </w:tcPr>
          <w:p w14:paraId="5F0207AA" w14:textId="42A8005A" w:rsidR="00543E62" w:rsidRPr="00543E62" w:rsidRDefault="00543E62" w:rsidP="00543E62">
            <w:pPr>
              <w:jc w:val="both"/>
              <w:rPr>
                <w:u w:val="wave"/>
              </w:rPr>
            </w:pPr>
            <w:r w:rsidRPr="00543E62">
              <w:rPr>
                <w:u w:val="wave"/>
              </w:rPr>
              <w:t>Current expenses or permanent improvements to a criminal justice facility</w:t>
            </w:r>
          </w:p>
        </w:tc>
        <w:tc>
          <w:tcPr>
            <w:tcW w:w="3240" w:type="dxa"/>
          </w:tcPr>
          <w:p w14:paraId="6BECEB08" w14:textId="422245AD" w:rsidR="00543E62" w:rsidRPr="00543E62" w:rsidRDefault="00543E62" w:rsidP="00543E62">
            <w:pPr>
              <w:jc w:val="both"/>
              <w:rPr>
                <w:u w:val="wave"/>
              </w:rPr>
            </w:pPr>
            <w:r w:rsidRPr="00543E62">
              <w:rPr>
                <w:u w:val="wave"/>
              </w:rPr>
              <w:t>No</w:t>
            </w:r>
          </w:p>
        </w:tc>
        <w:tc>
          <w:tcPr>
            <w:tcW w:w="5940" w:type="dxa"/>
          </w:tcPr>
          <w:p w14:paraId="37D7D48A" w14:textId="1AA70E91" w:rsidR="00543E62" w:rsidRPr="00543E62" w:rsidRDefault="00543E62" w:rsidP="00543E62">
            <w:pPr>
              <w:pStyle w:val="TableParagraph"/>
              <w:kinsoku w:val="0"/>
              <w:overflowPunct w:val="0"/>
              <w:ind w:left="0"/>
              <w:jc w:val="both"/>
              <w:rPr>
                <w:sz w:val="20"/>
                <w:szCs w:val="20"/>
                <w:u w:val="wave"/>
              </w:rPr>
            </w:pPr>
            <w:r w:rsidRPr="00543E62">
              <w:rPr>
                <w:sz w:val="20"/>
                <w:szCs w:val="20"/>
                <w:u w:val="wave"/>
              </w:rPr>
              <w:t xml:space="preserve">§ 5705.233 (G)(1)-(2) states, </w:t>
            </w:r>
            <w:r w:rsidR="00E21F74">
              <w:rPr>
                <w:sz w:val="20"/>
                <w:szCs w:val="20"/>
                <w:u w:val="wave"/>
              </w:rPr>
              <w:t>“</w:t>
            </w:r>
            <w:r w:rsidRPr="00543E62">
              <w:rPr>
                <w:sz w:val="20"/>
                <w:szCs w:val="20"/>
                <w:u w:val="wave"/>
              </w:rPr>
              <w:t>After the approval of a tax for operating expenses and criminal justice services under this section and before the time the first collection and distribution from the levy can be made, the board of county commissioners may anticipate a fraction of the proceeds of the levy and issue anticipation notes in a principal amount not exceeding fifty per cent of the total estimated proceeds of the tax to be collected during the first year of the levy.</w:t>
            </w:r>
          </w:p>
          <w:p w14:paraId="6E01920A" w14:textId="77777777" w:rsidR="00543E62" w:rsidRPr="00543E62" w:rsidRDefault="00543E62" w:rsidP="00543E62">
            <w:pPr>
              <w:pStyle w:val="TableParagraph"/>
              <w:kinsoku w:val="0"/>
              <w:overflowPunct w:val="0"/>
              <w:ind w:right="226"/>
              <w:jc w:val="both"/>
              <w:rPr>
                <w:sz w:val="20"/>
                <w:szCs w:val="20"/>
                <w:u w:val="wave"/>
              </w:rPr>
            </w:pPr>
          </w:p>
          <w:p w14:paraId="4D4C76A7" w14:textId="13AFD636" w:rsidR="00543E62" w:rsidRPr="00543E62" w:rsidRDefault="00C76B03" w:rsidP="00572285">
            <w:pPr>
              <w:pStyle w:val="TableParagraph"/>
              <w:kinsoku w:val="0"/>
              <w:overflowPunct w:val="0"/>
              <w:ind w:left="0" w:right="-12"/>
              <w:jc w:val="both"/>
              <w:rPr>
                <w:sz w:val="20"/>
                <w:szCs w:val="20"/>
                <w:u w:val="wave"/>
              </w:rPr>
            </w:pPr>
            <w:r>
              <w:rPr>
                <w:sz w:val="20"/>
                <w:szCs w:val="20"/>
                <w:u w:val="wave"/>
              </w:rPr>
              <w:t xml:space="preserve">   </w:t>
            </w:r>
            <w:r w:rsidR="00543E62" w:rsidRPr="00543E62">
              <w:rPr>
                <w:sz w:val="20"/>
                <w:szCs w:val="20"/>
                <w:u w:val="wave"/>
              </w:rPr>
              <w:t>After the approval of a tax under this section for permanent improvements to a criminal justice facility, the board of county commissioners may anticipate a fraction of the proceeds of the tax and issue anticipation notes in a principal amount not exceeding fifty per cent of the total estimated proceeds of the tax remaining to be collected in each year over a period of five years after issuance of the notes.</w:t>
            </w:r>
          </w:p>
          <w:p w14:paraId="0970C99A" w14:textId="77777777" w:rsidR="00543E62" w:rsidRPr="00543E62" w:rsidRDefault="00543E62" w:rsidP="00572285">
            <w:pPr>
              <w:pStyle w:val="TableParagraph"/>
              <w:kinsoku w:val="0"/>
              <w:overflowPunct w:val="0"/>
              <w:ind w:right="-12"/>
              <w:jc w:val="both"/>
              <w:rPr>
                <w:sz w:val="20"/>
                <w:szCs w:val="20"/>
                <w:u w:val="wave"/>
              </w:rPr>
            </w:pPr>
          </w:p>
          <w:p w14:paraId="7B018FC8" w14:textId="4C5C7543" w:rsidR="00543E62" w:rsidRPr="00543E62" w:rsidRDefault="00C76B03" w:rsidP="009E69B3">
            <w:pPr>
              <w:pStyle w:val="TableParagraph"/>
              <w:kinsoku w:val="0"/>
              <w:overflowPunct w:val="0"/>
              <w:ind w:left="0" w:right="-12"/>
              <w:jc w:val="both"/>
              <w:rPr>
                <w:u w:val="wave"/>
              </w:rPr>
            </w:pPr>
            <w:r>
              <w:rPr>
                <w:sz w:val="20"/>
                <w:szCs w:val="20"/>
                <w:u w:val="wave"/>
              </w:rPr>
              <w:t xml:space="preserve">   </w:t>
            </w:r>
            <w:r w:rsidR="00543E62" w:rsidRPr="00543E62">
              <w:rPr>
                <w:sz w:val="20"/>
                <w:szCs w:val="20"/>
                <w:u w:val="wave"/>
              </w:rPr>
              <w:t xml:space="preserve">Anticipation notes under this section shall be issued as provided in </w:t>
            </w:r>
            <w:r w:rsidR="00526CB0" w:rsidRPr="007C2F68">
              <w:rPr>
                <w:u w:val="wave"/>
              </w:rPr>
              <w:t>§</w:t>
            </w:r>
            <w:r w:rsidR="00543E62" w:rsidRPr="007C2F68">
              <w:rPr>
                <w:sz w:val="20"/>
                <w:szCs w:val="20"/>
                <w:u w:val="wave"/>
              </w:rPr>
              <w:t>133.24</w:t>
            </w:r>
            <w:r w:rsidR="00435049" w:rsidRPr="007C2F68">
              <w:rPr>
                <w:u w:val="wave"/>
              </w:rPr>
              <w:t xml:space="preserve"> </w:t>
            </w:r>
            <w:r w:rsidR="00543E62" w:rsidRPr="00543E62">
              <w:rPr>
                <w:sz w:val="20"/>
                <w:szCs w:val="20"/>
                <w:u w:val="wave"/>
              </w:rPr>
              <w:t xml:space="preserve">of the </w:t>
            </w:r>
            <w:r w:rsidR="008F1EC4">
              <w:rPr>
                <w:sz w:val="20"/>
                <w:szCs w:val="20"/>
                <w:u w:val="wave"/>
              </w:rPr>
              <w:t>Ohio Rev.</w:t>
            </w:r>
            <w:r w:rsidR="00543E62" w:rsidRPr="00543E62">
              <w:rPr>
                <w:sz w:val="20"/>
                <w:szCs w:val="20"/>
                <w:u w:val="wave"/>
              </w:rPr>
              <w:t xml:space="preserve"> Code. Notes issued under division (G) of this section shall have principal payments during each year after the year of their issuance over a period not to exceed five years, and may have a principal payment in the year of their issuance.</w:t>
            </w:r>
            <w:r w:rsidR="00E21F74">
              <w:rPr>
                <w:sz w:val="20"/>
                <w:szCs w:val="20"/>
                <w:u w:val="wave"/>
              </w:rPr>
              <w:t>”</w:t>
            </w:r>
          </w:p>
        </w:tc>
      </w:tr>
      <w:tr w:rsidR="00340DC7" w:rsidRPr="001944CC" w14:paraId="4A7841ED" w14:textId="77777777" w:rsidTr="00306C4D">
        <w:tc>
          <w:tcPr>
            <w:tcW w:w="1980" w:type="dxa"/>
          </w:tcPr>
          <w:p w14:paraId="69729146" w14:textId="77777777" w:rsidR="00340DC7" w:rsidRPr="001C04A2" w:rsidRDefault="009B4BF1" w:rsidP="00FE2ACE">
            <w:r w:rsidRPr="001C04A2">
              <w:t>§ 5</w:t>
            </w:r>
            <w:r w:rsidR="00340DC7" w:rsidRPr="001C04A2">
              <w:t>705.24.  County tax levy for children services</w:t>
            </w:r>
          </w:p>
          <w:p w14:paraId="6B3C2CBA" w14:textId="77777777" w:rsidR="00340DC7" w:rsidRPr="001C04A2" w:rsidRDefault="00340DC7" w:rsidP="00FE2ACE"/>
          <w:p w14:paraId="7E8CD6E6" w14:textId="77777777" w:rsidR="00340DC7" w:rsidRPr="001C04A2" w:rsidRDefault="00340DC7" w:rsidP="00FE2ACE">
            <w:r w:rsidRPr="001C04A2">
              <w:t>County</w:t>
            </w:r>
          </w:p>
        </w:tc>
        <w:tc>
          <w:tcPr>
            <w:tcW w:w="2790" w:type="dxa"/>
          </w:tcPr>
          <w:p w14:paraId="7C1D3527" w14:textId="77777777" w:rsidR="00340DC7" w:rsidRPr="001C04A2" w:rsidRDefault="00340DC7" w:rsidP="00FE2ACE">
            <w:r w:rsidRPr="001C04A2">
              <w:t xml:space="preserve">Operating or capital improvement expenditure necessary for the support of </w:t>
            </w:r>
            <w:proofErr w:type="gramStart"/>
            <w:r w:rsidRPr="001C04A2">
              <w:t>children</w:t>
            </w:r>
            <w:proofErr w:type="gramEnd"/>
            <w:r w:rsidRPr="001C04A2">
              <w:t xml:space="preserve"> services and the care and placement of children</w:t>
            </w:r>
          </w:p>
        </w:tc>
        <w:tc>
          <w:tcPr>
            <w:tcW w:w="3240" w:type="dxa"/>
          </w:tcPr>
          <w:p w14:paraId="078D2643" w14:textId="77777777" w:rsidR="00340DC7" w:rsidRPr="001C04A2" w:rsidRDefault="00340DC7" w:rsidP="00FE2ACE">
            <w:r w:rsidRPr="001C04A2">
              <w:t>No</w:t>
            </w:r>
          </w:p>
        </w:tc>
        <w:tc>
          <w:tcPr>
            <w:tcW w:w="5940" w:type="dxa"/>
          </w:tcPr>
          <w:p w14:paraId="4D018D04" w14:textId="77777777" w:rsidR="00340DC7" w:rsidRPr="001C04A2" w:rsidRDefault="009B4BF1" w:rsidP="00FE2ACE">
            <w:r w:rsidRPr="001C04A2">
              <w:t>§ 5</w:t>
            </w:r>
            <w:r w:rsidR="00340DC7" w:rsidRPr="001C04A2">
              <w:t>705.24 states</w:t>
            </w:r>
            <w:r w:rsidR="001B661C" w:rsidRPr="001C04A2">
              <w:t>,</w:t>
            </w:r>
            <w:r w:rsidR="00340DC7" w:rsidRPr="001C04A2">
              <w:t xml:space="preserve"> in part</w:t>
            </w:r>
            <w:r w:rsidR="001B661C" w:rsidRPr="001C04A2">
              <w:t>,</w:t>
            </w:r>
            <w:r w:rsidR="00340DC7" w:rsidRPr="001C04A2">
              <w:t xml:space="preserve"> “After the approval of such levy and prior to the time when the first tax collection from such levy can be made, the board of county commissioners may anticipate a fraction of the proceeds of such levy and issue anticipation notes in a principal amount not to exceed fifty per cent of the total estimated proceeds of the levy throughout its life.</w:t>
            </w:r>
          </w:p>
          <w:p w14:paraId="4F8BA087" w14:textId="77777777" w:rsidR="00340DC7" w:rsidRPr="001C04A2" w:rsidRDefault="00340DC7" w:rsidP="00FE2ACE">
            <w:r w:rsidRPr="001C04A2">
              <w:t xml:space="preserve"> </w:t>
            </w:r>
          </w:p>
          <w:p w14:paraId="3A9A3F39" w14:textId="77777777" w:rsidR="00340DC7" w:rsidRPr="001C04A2" w:rsidRDefault="00340DC7" w:rsidP="00FE2ACE">
            <w:r w:rsidRPr="001C04A2">
              <w:t xml:space="preserve">   Such notes shall be issued as provided in </w:t>
            </w:r>
            <w:r w:rsidR="009B4BF1" w:rsidRPr="001C04A2">
              <w:t>§ 1</w:t>
            </w:r>
            <w:r w:rsidRPr="001C04A2">
              <w:t>33.24 of the Ohio Rev. Code, shall have principal payments during each year after the year of their issuance over a period not exceeding the life of the levy, and may have a principal payment in the year of their issuance.”</w:t>
            </w:r>
          </w:p>
        </w:tc>
      </w:tr>
      <w:tr w:rsidR="00340DC7" w:rsidRPr="001944CC" w14:paraId="3CCEC4E8" w14:textId="77777777" w:rsidTr="00306C4D">
        <w:tc>
          <w:tcPr>
            <w:tcW w:w="1980" w:type="dxa"/>
          </w:tcPr>
          <w:p w14:paraId="0286013C" w14:textId="77777777" w:rsidR="00340DC7" w:rsidRPr="001C04A2" w:rsidRDefault="009B4BF1" w:rsidP="00FE2ACE">
            <w:r w:rsidRPr="001C04A2">
              <w:t>§ 5</w:t>
            </w:r>
            <w:r w:rsidR="00340DC7" w:rsidRPr="001C04A2">
              <w:t>748.05.  Income tax anticipation notes</w:t>
            </w:r>
          </w:p>
          <w:p w14:paraId="69EA0FFE" w14:textId="77777777" w:rsidR="00340DC7" w:rsidRPr="001C04A2" w:rsidRDefault="00340DC7" w:rsidP="00FE2ACE"/>
          <w:p w14:paraId="53748221" w14:textId="77777777" w:rsidR="00340DC7" w:rsidRPr="001C04A2" w:rsidRDefault="00340DC7" w:rsidP="00FE2ACE">
            <w:r w:rsidRPr="001C04A2">
              <w:t>School District</w:t>
            </w:r>
          </w:p>
        </w:tc>
        <w:tc>
          <w:tcPr>
            <w:tcW w:w="2790" w:type="dxa"/>
          </w:tcPr>
          <w:p w14:paraId="37B10A53" w14:textId="77777777" w:rsidR="00340DC7" w:rsidRPr="001C04A2" w:rsidRDefault="00340DC7" w:rsidP="00FE2ACE">
            <w:r w:rsidRPr="001C04A2">
              <w:t>Current operating expenses or permanent improvements</w:t>
            </w:r>
          </w:p>
        </w:tc>
        <w:tc>
          <w:tcPr>
            <w:tcW w:w="3240" w:type="dxa"/>
          </w:tcPr>
          <w:p w14:paraId="1DE5DFEE" w14:textId="77777777" w:rsidR="00340DC7" w:rsidRPr="001C04A2" w:rsidRDefault="00340DC7" w:rsidP="00FE2ACE">
            <w:r w:rsidRPr="001C04A2">
              <w:t>No</w:t>
            </w:r>
          </w:p>
        </w:tc>
        <w:tc>
          <w:tcPr>
            <w:tcW w:w="5940" w:type="dxa"/>
          </w:tcPr>
          <w:p w14:paraId="16CC75C5" w14:textId="77777777" w:rsidR="00340DC7" w:rsidRPr="001C04A2" w:rsidRDefault="001B661C" w:rsidP="00FE2ACE">
            <w:r w:rsidRPr="001C04A2">
              <w:t xml:space="preserve">§ 5748.05 states, in part, “[A] board of </w:t>
            </w:r>
            <w:r w:rsidR="00340DC7" w:rsidRPr="001C04A2">
              <w:t>education may anticipate a fraction of the proceeds of the tax and issue anticipation notes in an amount not exceeding fifty per cent of the total estimated proceeds of the tax to be collected for its first year of collection as estimated by the tax commissioner. The ant</w:t>
            </w:r>
            <w:r w:rsidR="009650DB" w:rsidRPr="001C04A2">
              <w:t>icipation notes are Chapter 133</w:t>
            </w:r>
            <w:r w:rsidR="00340DC7" w:rsidRPr="001C04A2">
              <w:t xml:space="preserve"> securities and shall be issued as provided in </w:t>
            </w:r>
            <w:r w:rsidR="009B4BF1" w:rsidRPr="001C04A2">
              <w:t>§ 1</w:t>
            </w:r>
            <w:r w:rsidR="00340DC7" w:rsidRPr="001C04A2">
              <w:t>33.24 of the Ohio Rev. Code as if property tax anticipation notes.”</w:t>
            </w:r>
          </w:p>
        </w:tc>
      </w:tr>
      <w:tr w:rsidR="00340DC7" w:rsidRPr="001944CC" w14:paraId="6EAFDE29" w14:textId="77777777" w:rsidTr="00306C4D">
        <w:trPr>
          <w:cantSplit/>
        </w:trPr>
        <w:tc>
          <w:tcPr>
            <w:tcW w:w="1980" w:type="dxa"/>
          </w:tcPr>
          <w:p w14:paraId="6364D6EA" w14:textId="77777777" w:rsidR="00340DC7" w:rsidRPr="001C04A2" w:rsidRDefault="009B4BF1" w:rsidP="00FE2ACE">
            <w:r w:rsidRPr="001C04A2">
              <w:t>§ 5</w:t>
            </w:r>
            <w:r w:rsidR="00340DC7" w:rsidRPr="001C04A2">
              <w:t>748.08.  Election on income tax and bond issue as one ballot question</w:t>
            </w:r>
          </w:p>
          <w:p w14:paraId="2E95B8A8" w14:textId="77777777" w:rsidR="00340DC7" w:rsidRPr="001C04A2" w:rsidRDefault="00340DC7" w:rsidP="00FE2ACE"/>
          <w:p w14:paraId="40D9E337" w14:textId="77777777" w:rsidR="00340DC7" w:rsidRPr="001C04A2" w:rsidRDefault="00340DC7" w:rsidP="00FE2ACE">
            <w:r w:rsidRPr="001C04A2">
              <w:t>School District</w:t>
            </w:r>
          </w:p>
        </w:tc>
        <w:tc>
          <w:tcPr>
            <w:tcW w:w="2790" w:type="dxa"/>
          </w:tcPr>
          <w:p w14:paraId="01EE9B30" w14:textId="77777777" w:rsidR="00340DC7" w:rsidRPr="001C04A2" w:rsidRDefault="00340DC7" w:rsidP="00FE2ACE">
            <w:r w:rsidRPr="001C04A2">
              <w:t>Permanent improvement bonds or BAN</w:t>
            </w:r>
          </w:p>
        </w:tc>
        <w:tc>
          <w:tcPr>
            <w:tcW w:w="3240" w:type="dxa"/>
          </w:tcPr>
          <w:p w14:paraId="39C42A9F" w14:textId="77777777" w:rsidR="00340DC7" w:rsidRPr="001C04A2" w:rsidRDefault="00340DC7" w:rsidP="00FE2ACE">
            <w:r w:rsidRPr="001C04A2">
              <w:t>No</w:t>
            </w:r>
          </w:p>
        </w:tc>
        <w:tc>
          <w:tcPr>
            <w:tcW w:w="5940" w:type="dxa"/>
          </w:tcPr>
          <w:p w14:paraId="35A3F9B8" w14:textId="77777777" w:rsidR="00340DC7" w:rsidRPr="001C04A2" w:rsidRDefault="009B4BF1" w:rsidP="00FE2ACE">
            <w:r w:rsidRPr="001C04A2">
              <w:t>§ 5</w:t>
            </w:r>
            <w:r w:rsidR="00340DC7" w:rsidRPr="001C04A2">
              <w:t>748.08(G) states</w:t>
            </w:r>
            <w:r w:rsidR="001B661C" w:rsidRPr="001C04A2">
              <w:t>,</w:t>
            </w:r>
            <w:r w:rsidR="00340DC7" w:rsidRPr="001C04A2">
              <w:t xml:space="preserve"> “After approval of a question under this section, the board of education may anticipate a fraction of the proceeds of the school district income tax in accordance with </w:t>
            </w:r>
            <w:r w:rsidRPr="001C04A2">
              <w:t>§ 5</w:t>
            </w:r>
            <w:r w:rsidR="00340DC7" w:rsidRPr="001C04A2">
              <w:t xml:space="preserve">748.05 of the Ohio Rev. Code. Any anticipation notes under this division shall be issued as provided in </w:t>
            </w:r>
            <w:r w:rsidRPr="001C04A2">
              <w:t>§ 1</w:t>
            </w:r>
            <w:r w:rsidR="00340DC7" w:rsidRPr="001C04A2">
              <w:t>33.24 of the Ohio Rev. Code, shall have principal payments during each year after the year of their issuance over a period not to exceed five years, and may have a principal payment in the year of their issuance.”</w:t>
            </w:r>
          </w:p>
        </w:tc>
      </w:tr>
    </w:tbl>
    <w:p w14:paraId="6BEAAE52" w14:textId="77777777" w:rsidR="00340DC7" w:rsidRPr="00767420" w:rsidRDefault="00340DC7" w:rsidP="00340DC7">
      <w:pPr>
        <w:rPr>
          <w:sz w:val="22"/>
          <w:szCs w:val="22"/>
        </w:rPr>
      </w:pPr>
    </w:p>
    <w:p w14:paraId="252E817E" w14:textId="77777777" w:rsidR="003F7AE2" w:rsidRDefault="00271B7B" w:rsidP="00271B7B">
      <w:pPr>
        <w:rPr>
          <w:b/>
          <w:sz w:val="22"/>
          <w:szCs w:val="22"/>
        </w:rPr>
        <w:sectPr w:rsidR="003F7AE2" w:rsidSect="002A3762">
          <w:headerReference w:type="default" r:id="rId44"/>
          <w:pgSz w:w="15840" w:h="12240" w:orient="landscape"/>
          <w:pgMar w:top="1152" w:right="1152" w:bottom="1152" w:left="720" w:header="720" w:footer="720" w:gutter="0"/>
          <w:cols w:space="720"/>
          <w:noEndnote/>
          <w:docGrid w:linePitch="272"/>
        </w:sectPr>
      </w:pPr>
      <w:r>
        <w:rPr>
          <w:b/>
          <w:sz w:val="22"/>
          <w:szCs w:val="22"/>
        </w:rPr>
        <w:br w:type="page"/>
      </w:r>
    </w:p>
    <w:p w14:paraId="042A8270" w14:textId="2D0A4922" w:rsidR="00340DC7" w:rsidRDefault="00FE2ACE" w:rsidP="00621F8F">
      <w:pPr>
        <w:pStyle w:val="Subtitle"/>
        <w:shd w:val="clear" w:color="auto" w:fill="A6A6A6" w:themeFill="background1" w:themeFillShade="A6"/>
      </w:pPr>
      <w:bookmarkStart w:id="47" w:name="_Toc214431140"/>
      <w:r>
        <w:t>APPENDIX D</w:t>
      </w:r>
      <w:r w:rsidR="00902D69" w:rsidRPr="00B84392">
        <w:t xml:space="preserve"> – Not Used</w:t>
      </w:r>
      <w:bookmarkEnd w:id="47"/>
    </w:p>
    <w:p w14:paraId="1999024E" w14:textId="46A92BF7" w:rsidR="00261129" w:rsidRDefault="00261129" w:rsidP="00FE2ACE">
      <w:pPr>
        <w:tabs>
          <w:tab w:val="left" w:pos="720"/>
          <w:tab w:val="right" w:leader="dot" w:pos="8640"/>
        </w:tabs>
        <w:jc w:val="both"/>
        <w:rPr>
          <w:sz w:val="24"/>
          <w:szCs w:val="24"/>
        </w:rPr>
      </w:pPr>
    </w:p>
    <w:p w14:paraId="50A077CE" w14:textId="77777777" w:rsidR="00271B7B" w:rsidRPr="00731D77" w:rsidRDefault="00271B7B" w:rsidP="00261129">
      <w:pPr>
        <w:rPr>
          <w:sz w:val="22"/>
          <w:szCs w:val="22"/>
        </w:rPr>
        <w:sectPr w:rsidR="00271B7B" w:rsidRPr="00731D77" w:rsidSect="002A3762">
          <w:headerReference w:type="default" r:id="rId45"/>
          <w:pgSz w:w="12240" w:h="15840"/>
          <w:pgMar w:top="1152" w:right="1152" w:bottom="720" w:left="1152" w:header="720" w:footer="720" w:gutter="0"/>
          <w:cols w:space="720"/>
          <w:noEndnote/>
        </w:sectPr>
      </w:pPr>
      <w:r w:rsidRPr="00731D77">
        <w:rPr>
          <w:sz w:val="24"/>
          <w:szCs w:val="24"/>
        </w:rPr>
        <w:br w:type="page"/>
      </w:r>
    </w:p>
    <w:p w14:paraId="37210BF4" w14:textId="091649AA" w:rsidR="00FE2ACE" w:rsidRDefault="00FE2ACE" w:rsidP="00FE2ACE">
      <w:pPr>
        <w:pStyle w:val="Subtitle"/>
      </w:pPr>
      <w:bookmarkStart w:id="48" w:name="_Toc214431141"/>
      <w:r>
        <w:t>APPENDIX E – Deposits and Investments</w:t>
      </w:r>
      <w:r w:rsidR="00CF3EE6">
        <w:t xml:space="preserve"> (Applies to </w:t>
      </w:r>
      <w:r w:rsidR="00CF3EE6" w:rsidRPr="00457C10">
        <w:t xml:space="preserve">Chapter </w:t>
      </w:r>
      <w:r w:rsidR="00B808CD" w:rsidRPr="00457C10">
        <w:t>2</w:t>
      </w:r>
      <w:r w:rsidR="00CF3EE6" w:rsidRPr="00457C10">
        <w:t>)</w:t>
      </w:r>
      <w:bookmarkEnd w:id="48"/>
    </w:p>
    <w:p w14:paraId="09D45B9F" w14:textId="77777777" w:rsidR="005A15D5" w:rsidRDefault="005A15D5" w:rsidP="00FE2ACE">
      <w:pPr>
        <w:tabs>
          <w:tab w:val="left" w:pos="360"/>
        </w:tabs>
        <w:jc w:val="both"/>
        <w:rPr>
          <w:sz w:val="22"/>
          <w:szCs w:val="22"/>
        </w:rPr>
      </w:pPr>
    </w:p>
    <w:p w14:paraId="32CB9D48" w14:textId="7CD2E6C2" w:rsidR="00FE2ACE" w:rsidRPr="009526A6" w:rsidRDefault="00FE2ACE" w:rsidP="00FE2ACE">
      <w:pPr>
        <w:tabs>
          <w:tab w:val="left" w:pos="360"/>
        </w:tabs>
        <w:jc w:val="both"/>
        <w:rPr>
          <w:sz w:val="22"/>
          <w:szCs w:val="22"/>
        </w:rPr>
      </w:pPr>
      <w:r w:rsidRPr="009526A6">
        <w:rPr>
          <w:sz w:val="22"/>
          <w:szCs w:val="22"/>
        </w:rPr>
        <w:t>Depository and investment regulations for political subdivisions from Ohio Rev. Code Chapter 135 generally apply to all public offices, other than to charter municipalities which have exempted themselves by charter or ordinance and community schools.</w:t>
      </w:r>
      <w:r w:rsidRPr="009526A6">
        <w:rPr>
          <w:rStyle w:val="FootnoteReference"/>
          <w:sz w:val="22"/>
          <w:szCs w:val="22"/>
        </w:rPr>
        <w:footnoteReference w:id="36"/>
      </w:r>
      <w:r w:rsidRPr="009526A6">
        <w:rPr>
          <w:sz w:val="22"/>
          <w:szCs w:val="22"/>
        </w:rPr>
        <w:t xml:space="preserve"> </w:t>
      </w:r>
      <w:r w:rsidRPr="009526A6">
        <w:rPr>
          <w:rStyle w:val="FootnoteReference"/>
          <w:sz w:val="22"/>
          <w:szCs w:val="22"/>
        </w:rPr>
        <w:footnoteReference w:id="37"/>
      </w:r>
      <w:r w:rsidRPr="009526A6">
        <w:rPr>
          <w:sz w:val="22"/>
          <w:szCs w:val="22"/>
        </w:rPr>
        <w:t xml:space="preserve">  (See the OCS Legal Matrices Appendix for more specific guidance regarding the applicability of the requirements in </w:t>
      </w:r>
      <w:r w:rsidR="00B555F1" w:rsidRPr="009526A6">
        <w:rPr>
          <w:sz w:val="22"/>
          <w:szCs w:val="22"/>
        </w:rPr>
        <w:t>C</w:t>
      </w:r>
      <w:r w:rsidR="00A43011" w:rsidRPr="009526A6">
        <w:rPr>
          <w:sz w:val="22"/>
          <w:szCs w:val="22"/>
        </w:rPr>
        <w:t>hapter 2</w:t>
      </w:r>
      <w:r w:rsidR="00D02892" w:rsidRPr="009526A6">
        <w:rPr>
          <w:sz w:val="22"/>
          <w:szCs w:val="22"/>
        </w:rPr>
        <w:t xml:space="preserve"> </w:t>
      </w:r>
      <w:r w:rsidRPr="009526A6">
        <w:rPr>
          <w:sz w:val="22"/>
          <w:szCs w:val="22"/>
        </w:rPr>
        <w:t xml:space="preserve">to particular entity types.)  Auditors should design audit procedures based on charter municipalities’ own investment and deposit provisions. Provisions of </w:t>
      </w:r>
      <w:r w:rsidR="00CC6DAF" w:rsidRPr="009526A6">
        <w:rPr>
          <w:sz w:val="22"/>
          <w:szCs w:val="22"/>
        </w:rPr>
        <w:t xml:space="preserve">Ohio Rev. Code </w:t>
      </w:r>
      <w:r w:rsidRPr="009526A6">
        <w:rPr>
          <w:sz w:val="22"/>
          <w:szCs w:val="22"/>
        </w:rPr>
        <w:t>Chapter 135 relating to counties are separate from those pertaining to other subdivisions.</w:t>
      </w:r>
    </w:p>
    <w:p w14:paraId="485DA7AD" w14:textId="77777777" w:rsidR="00FE2ACE" w:rsidRPr="009526A6" w:rsidRDefault="00FE2ACE" w:rsidP="00FE2ACE">
      <w:pPr>
        <w:tabs>
          <w:tab w:val="left" w:pos="360"/>
        </w:tabs>
        <w:jc w:val="both"/>
        <w:rPr>
          <w:sz w:val="22"/>
          <w:szCs w:val="22"/>
        </w:rPr>
      </w:pPr>
    </w:p>
    <w:p w14:paraId="4BF66D7E" w14:textId="77777777" w:rsidR="00FE2ACE" w:rsidRPr="009526A6" w:rsidRDefault="00FE2ACE" w:rsidP="00DB24AE">
      <w:pPr>
        <w:pBdr>
          <w:top w:val="single" w:sz="4" w:space="1" w:color="auto"/>
          <w:left w:val="single" w:sz="4" w:space="4" w:color="auto"/>
          <w:bottom w:val="single" w:sz="4" w:space="1" w:color="auto"/>
          <w:right w:val="single" w:sz="4" w:space="4" w:color="auto"/>
        </w:pBdr>
        <w:shd w:val="clear" w:color="auto" w:fill="C6D9F1" w:themeFill="text2" w:themeFillTint="33"/>
        <w:jc w:val="center"/>
        <w:rPr>
          <w:b/>
          <w:sz w:val="22"/>
          <w:szCs w:val="22"/>
        </w:rPr>
      </w:pPr>
      <w:r w:rsidRPr="009526A6">
        <w:rPr>
          <w:b/>
          <w:sz w:val="22"/>
          <w:szCs w:val="22"/>
        </w:rPr>
        <w:t>POSSIBLE NONCOMPLIANCE RISK FACTORS:</w:t>
      </w:r>
    </w:p>
    <w:p w14:paraId="47D345DA" w14:textId="5E9966C1" w:rsidR="00FE2ACE" w:rsidRPr="009526A6" w:rsidRDefault="00FE2ACE"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r w:rsidRPr="009526A6">
        <w:rPr>
          <w:b/>
          <w:i/>
          <w:sz w:val="22"/>
          <w:szCs w:val="22"/>
        </w:rPr>
        <w:t>Note</w:t>
      </w:r>
      <w:r w:rsidRPr="009526A6">
        <w:rPr>
          <w:b/>
          <w:sz w:val="22"/>
          <w:szCs w:val="22"/>
        </w:rPr>
        <w:t xml:space="preserve">: </w:t>
      </w:r>
      <w:r w:rsidRPr="009526A6">
        <w:rPr>
          <w:sz w:val="22"/>
          <w:szCs w:val="22"/>
        </w:rPr>
        <w:t>In assessing the risk of noncompliance, auditors should consider whether governments have adopted detailed deposit and investment policies and historically complied with those policies.  Additionally, adequate training, segregation of duties, and supervisory monitoring controls can help mitigate the risk of noncompliance with deposits and investments requirements.</w:t>
      </w:r>
    </w:p>
    <w:p w14:paraId="0F2B9630" w14:textId="77777777" w:rsidR="00FE2ACE" w:rsidRPr="009526A6" w:rsidRDefault="00FE2ACE"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p>
    <w:p w14:paraId="162D68B0" w14:textId="5F38FF36" w:rsidR="00FE2ACE" w:rsidRPr="009526A6" w:rsidRDefault="00FE2ACE"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sz w:val="22"/>
          <w:szCs w:val="22"/>
        </w:rPr>
      </w:pPr>
      <w:r w:rsidRPr="009526A6">
        <w:rPr>
          <w:sz w:val="22"/>
          <w:szCs w:val="22"/>
        </w:rPr>
        <w:t xml:space="preserve">In assessing the adequacy of </w:t>
      </w:r>
      <w:r w:rsidRPr="009526A6">
        <w:rPr>
          <w:i/>
          <w:sz w:val="22"/>
          <w:szCs w:val="22"/>
        </w:rPr>
        <w:t>policies</w:t>
      </w:r>
      <w:r w:rsidRPr="009526A6">
        <w:rPr>
          <w:sz w:val="22"/>
          <w:szCs w:val="22"/>
        </w:rPr>
        <w:t xml:space="preserve">, remember </w:t>
      </w:r>
      <w:r w:rsidR="009E75D3" w:rsidRPr="009526A6">
        <w:rPr>
          <w:sz w:val="22"/>
          <w:szCs w:val="22"/>
        </w:rPr>
        <w:t xml:space="preserve">Ohio Rev. Code </w:t>
      </w:r>
      <w:r w:rsidR="00991650" w:rsidRPr="009526A6">
        <w:rPr>
          <w:sz w:val="22"/>
          <w:szCs w:val="22"/>
        </w:rPr>
        <w:t>Chapter</w:t>
      </w:r>
      <w:r w:rsidRPr="009526A6">
        <w:rPr>
          <w:sz w:val="22"/>
          <w:szCs w:val="22"/>
        </w:rPr>
        <w:t xml:space="preserve"> 135 </w:t>
      </w:r>
      <w:r w:rsidRPr="009526A6">
        <w:rPr>
          <w:i/>
          <w:sz w:val="22"/>
          <w:szCs w:val="22"/>
        </w:rPr>
        <w:t>is</w:t>
      </w:r>
      <w:r w:rsidRPr="009526A6">
        <w:rPr>
          <w:sz w:val="22"/>
          <w:szCs w:val="22"/>
        </w:rPr>
        <w:t xml:space="preserve"> a policy in many respects.  For example, it prescribes allowable investments, collateral requirements, etc. designed to help safeguard assets.  However, </w:t>
      </w:r>
      <w:r w:rsidR="006005EA" w:rsidRPr="009526A6">
        <w:rPr>
          <w:sz w:val="22"/>
          <w:szCs w:val="22"/>
        </w:rPr>
        <w:t xml:space="preserve">OCS </w:t>
      </w:r>
      <w:r w:rsidR="00432648" w:rsidRPr="009526A6">
        <w:rPr>
          <w:sz w:val="22"/>
          <w:szCs w:val="22"/>
        </w:rPr>
        <w:t>Section</w:t>
      </w:r>
      <w:r w:rsidR="00C80EF0" w:rsidRPr="009526A6">
        <w:rPr>
          <w:sz w:val="22"/>
          <w:szCs w:val="22"/>
        </w:rPr>
        <w:t xml:space="preserve"> </w:t>
      </w:r>
      <w:r w:rsidR="00EE5CF9" w:rsidRPr="009526A6">
        <w:rPr>
          <w:sz w:val="22"/>
          <w:szCs w:val="22"/>
        </w:rPr>
        <w:t>2A-15</w:t>
      </w:r>
      <w:r w:rsidRPr="009526A6">
        <w:rPr>
          <w:sz w:val="22"/>
          <w:szCs w:val="22"/>
        </w:rPr>
        <w:t xml:space="preserve"> requires governments to adopt their own policy based on </w:t>
      </w:r>
      <w:r w:rsidR="009E75D3" w:rsidRPr="009526A6">
        <w:rPr>
          <w:sz w:val="22"/>
          <w:szCs w:val="22"/>
        </w:rPr>
        <w:t xml:space="preserve">Ohio Rev. </w:t>
      </w:r>
      <w:r w:rsidR="00CC6DAF" w:rsidRPr="009526A6">
        <w:rPr>
          <w:sz w:val="22"/>
          <w:szCs w:val="22"/>
        </w:rPr>
        <w:t xml:space="preserve">Code </w:t>
      </w:r>
      <w:r w:rsidR="009E75D3" w:rsidRPr="009526A6">
        <w:rPr>
          <w:sz w:val="22"/>
          <w:szCs w:val="22"/>
        </w:rPr>
        <w:t>Chapter</w:t>
      </w:r>
      <w:r w:rsidRPr="009526A6">
        <w:rPr>
          <w:sz w:val="22"/>
          <w:szCs w:val="22"/>
        </w:rPr>
        <w:t xml:space="preserve"> 135.  </w:t>
      </w:r>
    </w:p>
    <w:p w14:paraId="6715D2B8" w14:textId="77777777" w:rsidR="00FE2ACE" w:rsidRPr="00432648" w:rsidRDefault="00FE2ACE" w:rsidP="00DB24AE">
      <w:pPr>
        <w:pBdr>
          <w:top w:val="single" w:sz="4" w:space="1" w:color="auto"/>
          <w:left w:val="single" w:sz="4" w:space="4" w:color="auto"/>
          <w:bottom w:val="single" w:sz="4" w:space="1" w:color="auto"/>
          <w:right w:val="single" w:sz="4" w:space="4" w:color="auto"/>
        </w:pBdr>
        <w:shd w:val="clear" w:color="auto" w:fill="C6D9F1" w:themeFill="text2" w:themeFillTint="33"/>
        <w:jc w:val="both"/>
        <w:rPr>
          <w:b/>
          <w:sz w:val="24"/>
          <w:szCs w:val="24"/>
        </w:rPr>
      </w:pPr>
    </w:p>
    <w:p w14:paraId="4B41D22E" w14:textId="77777777" w:rsidR="004E5970" w:rsidRDefault="004E5970">
      <w:pPr>
        <w:rPr>
          <w:sz w:val="22"/>
          <w:szCs w:val="22"/>
        </w:rPr>
      </w:pPr>
      <w:r>
        <w:rPr>
          <w:sz w:val="22"/>
          <w:szCs w:val="22"/>
        </w:rPr>
        <w:br w:type="page"/>
      </w:r>
    </w:p>
    <w:p w14:paraId="3ECEFD26" w14:textId="038AAC6B" w:rsidR="008F54A4" w:rsidRPr="0027440D" w:rsidRDefault="008F54A4" w:rsidP="0027440D">
      <w:pPr>
        <w:pStyle w:val="Title"/>
        <w:shd w:val="clear" w:color="auto" w:fill="A6A6A6" w:themeFill="background1" w:themeFillShade="A6"/>
        <w:ind w:left="0"/>
      </w:pPr>
      <w:bookmarkStart w:id="49" w:name="_Toc214431142"/>
      <w:r>
        <w:t xml:space="preserve">APPENDIX E-1 </w:t>
      </w:r>
      <w:r w:rsidRPr="00476AD1">
        <w:t>Federal Agencies</w:t>
      </w:r>
      <w:r w:rsidR="00457C10">
        <w:t xml:space="preserve"> </w:t>
      </w:r>
      <w:r w:rsidR="00457C10" w:rsidRPr="00102112">
        <w:rPr>
          <w:i/>
          <w:iCs/>
        </w:rPr>
        <w:t xml:space="preserve">(Applies to </w:t>
      </w:r>
      <w:r w:rsidR="0063596B" w:rsidRPr="00102112">
        <w:rPr>
          <w:i/>
          <w:iCs/>
        </w:rPr>
        <w:t xml:space="preserve">Section </w:t>
      </w:r>
      <w:r w:rsidR="00457C10" w:rsidRPr="00102112">
        <w:rPr>
          <w:i/>
          <w:iCs/>
        </w:rPr>
        <w:t>2</w:t>
      </w:r>
      <w:r w:rsidR="0063596B" w:rsidRPr="00102112">
        <w:rPr>
          <w:i/>
          <w:iCs/>
        </w:rPr>
        <w:t>A-14</w:t>
      </w:r>
      <w:r w:rsidR="00457C10" w:rsidRPr="00102112">
        <w:rPr>
          <w:i/>
          <w:iCs/>
        </w:rPr>
        <w:t>)</w:t>
      </w:r>
      <w:bookmarkEnd w:id="49"/>
    </w:p>
    <w:p w14:paraId="25D27F6F" w14:textId="77777777" w:rsidR="008F54A4" w:rsidRPr="00476AD1" w:rsidRDefault="008F54A4" w:rsidP="008F54A4">
      <w:pPr>
        <w:tabs>
          <w:tab w:val="left" w:pos="360"/>
        </w:tabs>
        <w:jc w:val="both"/>
        <w:rPr>
          <w:sz w:val="22"/>
          <w:szCs w:val="22"/>
        </w:rPr>
      </w:pPr>
    </w:p>
    <w:p w14:paraId="176F9CFE" w14:textId="4FE00FBF" w:rsidR="00BF7A5D" w:rsidRDefault="008E6EA8" w:rsidP="008F54A4">
      <w:pPr>
        <w:tabs>
          <w:tab w:val="left" w:pos="360"/>
        </w:tabs>
        <w:jc w:val="both"/>
        <w:rPr>
          <w:sz w:val="22"/>
          <w:szCs w:val="22"/>
        </w:rPr>
      </w:pPr>
      <w:r>
        <w:rPr>
          <w:sz w:val="22"/>
          <w:szCs w:val="22"/>
        </w:rPr>
        <w:t xml:space="preserve">The table below describes the level of Federal guarantee, as well as other information.  The “full faith and credit” language describes an </w:t>
      </w:r>
      <w:r w:rsidRPr="007B4535">
        <w:rPr>
          <w:b/>
          <w:i/>
          <w:sz w:val="22"/>
          <w:szCs w:val="22"/>
        </w:rPr>
        <w:t>explicit</w:t>
      </w:r>
      <w:r>
        <w:rPr>
          <w:sz w:val="22"/>
          <w:szCs w:val="22"/>
        </w:rPr>
        <w:t xml:space="preserve"> guarantee.  GASB 40 does not require (though it does not prohibit) disclosing the credit risk for securities with explicit US guarantees.   Credit risk must be disclosed for Federal Agency securities with implied US guarantees.</w:t>
      </w:r>
    </w:p>
    <w:p w14:paraId="2FE683AE" w14:textId="77777777" w:rsidR="000F0E0C" w:rsidRDefault="000F0E0C" w:rsidP="008F54A4">
      <w:pPr>
        <w:tabs>
          <w:tab w:val="left" w:pos="360"/>
        </w:tabs>
        <w:jc w:val="both"/>
        <w:rPr>
          <w:sz w:val="22"/>
          <w:szCs w:val="22"/>
        </w:rPr>
      </w:pPr>
    </w:p>
    <w:tbl>
      <w:tblPr>
        <w:tblStyle w:val="TableGrid"/>
        <w:tblW w:w="0" w:type="auto"/>
        <w:tblInd w:w="0" w:type="dxa"/>
        <w:tblCellMar>
          <w:top w:w="58" w:type="dxa"/>
          <w:left w:w="115" w:type="dxa"/>
          <w:bottom w:w="29" w:type="dxa"/>
          <w:right w:w="115" w:type="dxa"/>
        </w:tblCellMar>
        <w:tblLook w:val="04A0" w:firstRow="1" w:lastRow="0" w:firstColumn="1" w:lastColumn="0" w:noHBand="0" w:noVBand="1"/>
      </w:tblPr>
      <w:tblGrid>
        <w:gridCol w:w="3974"/>
        <w:gridCol w:w="2113"/>
        <w:gridCol w:w="2025"/>
        <w:gridCol w:w="1814"/>
      </w:tblGrid>
      <w:tr w:rsidR="008E6EA8" w:rsidRPr="00707371" w14:paraId="5E83EEDE" w14:textId="77777777" w:rsidTr="77DD9EC8">
        <w:trPr>
          <w:trHeight w:hRule="exact" w:val="577"/>
        </w:trPr>
        <w:tc>
          <w:tcPr>
            <w:tcW w:w="3974" w:type="dxa"/>
            <w:tcBorders>
              <w:bottom w:val="single" w:sz="4" w:space="0" w:color="auto"/>
            </w:tcBorders>
            <w:shd w:val="clear" w:color="auto" w:fill="4F81BD" w:themeFill="accent1"/>
            <w:noWrap/>
            <w:vAlign w:val="bottom"/>
            <w:hideMark/>
          </w:tcPr>
          <w:p w14:paraId="39568806" w14:textId="77777777" w:rsidR="008E6EA8" w:rsidRPr="00DB24AE" w:rsidRDefault="008E6EA8" w:rsidP="00707371">
            <w:pPr>
              <w:rPr>
                <w:b/>
                <w:bCs/>
                <w:color w:val="FFFFFF" w:themeColor="background1"/>
              </w:rPr>
            </w:pPr>
            <w:r w:rsidRPr="00DB24AE">
              <w:rPr>
                <w:b/>
                <w:bCs/>
                <w:color w:val="FFFFFF" w:themeColor="background1"/>
              </w:rPr>
              <w:t>Security</w:t>
            </w:r>
            <w:r w:rsidRPr="00DB24AE">
              <w:rPr>
                <w:color w:val="FFFFFF" w:themeColor="background1"/>
              </w:rPr>
              <w:t> </w:t>
            </w:r>
          </w:p>
        </w:tc>
        <w:tc>
          <w:tcPr>
            <w:tcW w:w="2113" w:type="dxa"/>
            <w:tcBorders>
              <w:bottom w:val="single" w:sz="4" w:space="0" w:color="auto"/>
            </w:tcBorders>
            <w:shd w:val="clear" w:color="auto" w:fill="4F81BD" w:themeFill="accent1"/>
            <w:noWrap/>
            <w:vAlign w:val="bottom"/>
            <w:hideMark/>
          </w:tcPr>
          <w:p w14:paraId="47AD118A" w14:textId="77777777" w:rsidR="008E6EA8" w:rsidRPr="00DB24AE" w:rsidRDefault="000F0E0C" w:rsidP="00707371">
            <w:pPr>
              <w:rPr>
                <w:b/>
                <w:bCs/>
                <w:color w:val="FFFFFF" w:themeColor="background1"/>
              </w:rPr>
            </w:pPr>
            <w:r w:rsidRPr="00DB24AE">
              <w:rPr>
                <w:b/>
                <w:bCs/>
                <w:color w:val="FFFFFF" w:themeColor="background1"/>
              </w:rPr>
              <w:t xml:space="preserve">U.S. Gov’t </w:t>
            </w:r>
            <w:r w:rsidR="008E6EA8" w:rsidRPr="00DB24AE">
              <w:rPr>
                <w:b/>
                <w:bCs/>
                <w:color w:val="FFFFFF" w:themeColor="background1"/>
              </w:rPr>
              <w:t>Guarantee</w:t>
            </w:r>
          </w:p>
        </w:tc>
        <w:tc>
          <w:tcPr>
            <w:tcW w:w="2025" w:type="dxa"/>
            <w:tcBorders>
              <w:bottom w:val="single" w:sz="4" w:space="0" w:color="auto"/>
            </w:tcBorders>
            <w:shd w:val="clear" w:color="auto" w:fill="4F81BD" w:themeFill="accent1"/>
            <w:noWrap/>
            <w:vAlign w:val="bottom"/>
            <w:hideMark/>
          </w:tcPr>
          <w:p w14:paraId="5586C049" w14:textId="77777777" w:rsidR="008E6EA8" w:rsidRPr="00DB24AE" w:rsidRDefault="008E6EA8" w:rsidP="00707371">
            <w:pPr>
              <w:rPr>
                <w:b/>
                <w:bCs/>
                <w:color w:val="FFFFFF" w:themeColor="background1"/>
              </w:rPr>
            </w:pPr>
            <w:r w:rsidRPr="00DB24AE">
              <w:rPr>
                <w:b/>
                <w:bCs/>
                <w:color w:val="FFFFFF" w:themeColor="background1"/>
              </w:rPr>
              <w:t>Interest payment schedule</w:t>
            </w:r>
          </w:p>
        </w:tc>
        <w:tc>
          <w:tcPr>
            <w:tcW w:w="1814" w:type="dxa"/>
            <w:tcBorders>
              <w:bottom w:val="single" w:sz="4" w:space="0" w:color="auto"/>
            </w:tcBorders>
            <w:shd w:val="clear" w:color="auto" w:fill="4F81BD" w:themeFill="accent1"/>
            <w:noWrap/>
            <w:vAlign w:val="bottom"/>
            <w:hideMark/>
          </w:tcPr>
          <w:p w14:paraId="2D8B929A" w14:textId="17B76DA0" w:rsidR="008E6EA8" w:rsidRPr="00DB24AE" w:rsidRDefault="008E6EA8" w:rsidP="00707371">
            <w:pPr>
              <w:rPr>
                <w:b/>
                <w:bCs/>
                <w:color w:val="FFFFFF" w:themeColor="background1"/>
              </w:rPr>
            </w:pPr>
            <w:r w:rsidRPr="00DB24AE">
              <w:rPr>
                <w:b/>
                <w:bCs/>
                <w:color w:val="FFFFFF" w:themeColor="background1"/>
              </w:rPr>
              <w:t>Maturity range</w:t>
            </w:r>
          </w:p>
        </w:tc>
      </w:tr>
      <w:tr w:rsidR="008E6EA8" w:rsidRPr="00707371" w14:paraId="029D45B5" w14:textId="77777777" w:rsidTr="77DD9EC8">
        <w:trPr>
          <w:trHeight w:val="215"/>
        </w:trPr>
        <w:tc>
          <w:tcPr>
            <w:tcW w:w="9926" w:type="dxa"/>
            <w:gridSpan w:val="4"/>
            <w:shd w:val="clear" w:color="auto" w:fill="C6D9F1" w:themeFill="text2" w:themeFillTint="33"/>
            <w:noWrap/>
            <w:vAlign w:val="bottom"/>
            <w:hideMark/>
          </w:tcPr>
          <w:p w14:paraId="066F9B16" w14:textId="77777777" w:rsidR="008E6EA8" w:rsidRPr="00707371" w:rsidRDefault="008E6EA8" w:rsidP="00707371">
            <w:pPr>
              <w:rPr>
                <w:i/>
                <w:u w:val="single"/>
              </w:rPr>
            </w:pPr>
            <w:r w:rsidRPr="00707371">
              <w:rPr>
                <w:i/>
                <w:u w:val="single"/>
              </w:rPr>
              <w:t>Government securities</w:t>
            </w:r>
          </w:p>
        </w:tc>
      </w:tr>
      <w:tr w:rsidR="008E6EA8" w:rsidRPr="00707371" w14:paraId="43E2227A" w14:textId="77777777" w:rsidTr="00A61F44">
        <w:trPr>
          <w:trHeight w:hRule="exact" w:val="590"/>
        </w:trPr>
        <w:tc>
          <w:tcPr>
            <w:tcW w:w="3974" w:type="dxa"/>
            <w:noWrap/>
            <w:hideMark/>
          </w:tcPr>
          <w:p w14:paraId="6687D265" w14:textId="77777777" w:rsidR="008E6EA8" w:rsidRPr="00707371" w:rsidRDefault="008E6EA8">
            <w:r w:rsidRPr="00707371">
              <w:t>U.S. Treasury bills</w:t>
            </w:r>
          </w:p>
        </w:tc>
        <w:tc>
          <w:tcPr>
            <w:tcW w:w="2113" w:type="dxa"/>
            <w:noWrap/>
            <w:hideMark/>
          </w:tcPr>
          <w:p w14:paraId="039F5BE4" w14:textId="77777777" w:rsidR="008E6EA8" w:rsidRPr="00707371" w:rsidRDefault="008E6EA8" w:rsidP="000F0E0C">
            <w:r w:rsidRPr="00707371">
              <w:t>Full faith &amp; credit</w:t>
            </w:r>
          </w:p>
        </w:tc>
        <w:tc>
          <w:tcPr>
            <w:tcW w:w="2025" w:type="dxa"/>
            <w:noWrap/>
            <w:hideMark/>
          </w:tcPr>
          <w:p w14:paraId="1394F33A" w14:textId="77777777" w:rsidR="008E6EA8" w:rsidRPr="00707371" w:rsidRDefault="008E6EA8">
            <w:r w:rsidRPr="00707371">
              <w:t>Face value at maturity</w:t>
            </w:r>
          </w:p>
        </w:tc>
        <w:tc>
          <w:tcPr>
            <w:tcW w:w="1814" w:type="dxa"/>
            <w:noWrap/>
            <w:hideMark/>
          </w:tcPr>
          <w:p w14:paraId="5443B0CA" w14:textId="3F75C86F" w:rsidR="008E6EA8" w:rsidRPr="00707371" w:rsidRDefault="008E6EA8" w:rsidP="008E6EA8">
            <w:r w:rsidRPr="00A61F44">
              <w:rPr>
                <w:strike/>
              </w:rPr>
              <w:t>1 day</w:t>
            </w:r>
            <w:r w:rsidRPr="00707371">
              <w:t xml:space="preserve"> </w:t>
            </w:r>
            <w:r w:rsidR="00A61F44" w:rsidRPr="00A61F44">
              <w:rPr>
                <w:u w:val="wave"/>
              </w:rPr>
              <w:t>4 weeks</w:t>
            </w:r>
            <w:r w:rsidR="00A61F44">
              <w:t xml:space="preserve"> </w:t>
            </w:r>
            <w:r w:rsidRPr="00707371">
              <w:t>to 1 year</w:t>
            </w:r>
          </w:p>
        </w:tc>
      </w:tr>
      <w:tr w:rsidR="000F0E0C" w:rsidRPr="00707371" w14:paraId="393913BB" w14:textId="77777777" w:rsidTr="77DD9EC8">
        <w:trPr>
          <w:trHeight w:hRule="exact" w:val="671"/>
        </w:trPr>
        <w:tc>
          <w:tcPr>
            <w:tcW w:w="3974" w:type="dxa"/>
            <w:noWrap/>
            <w:hideMark/>
          </w:tcPr>
          <w:p w14:paraId="55518E24" w14:textId="77777777" w:rsidR="000F0E0C" w:rsidRPr="00707371" w:rsidRDefault="0BE7765F">
            <w:r>
              <w:t>U.S. Treasury notes</w:t>
            </w:r>
          </w:p>
        </w:tc>
        <w:tc>
          <w:tcPr>
            <w:tcW w:w="2113" w:type="dxa"/>
            <w:noWrap/>
            <w:hideMark/>
          </w:tcPr>
          <w:p w14:paraId="34C6E387" w14:textId="77777777" w:rsidR="000F0E0C" w:rsidRPr="00707371" w:rsidRDefault="000F0E0C">
            <w:r w:rsidRPr="00707371">
              <w:t xml:space="preserve">Full faith &amp; credit </w:t>
            </w:r>
          </w:p>
        </w:tc>
        <w:tc>
          <w:tcPr>
            <w:tcW w:w="2025" w:type="dxa"/>
            <w:noWrap/>
            <w:hideMark/>
          </w:tcPr>
          <w:p w14:paraId="4D1393D3" w14:textId="77777777" w:rsidR="000F0E0C" w:rsidRPr="00707371" w:rsidRDefault="000F0E0C">
            <w:r w:rsidRPr="00707371">
              <w:t>Semi-annual</w:t>
            </w:r>
          </w:p>
        </w:tc>
        <w:tc>
          <w:tcPr>
            <w:tcW w:w="1814" w:type="dxa"/>
            <w:noWrap/>
            <w:hideMark/>
          </w:tcPr>
          <w:p w14:paraId="031AE112" w14:textId="37D6A9D4" w:rsidR="000F0E0C" w:rsidRPr="00707371" w:rsidRDefault="25193A68" w:rsidP="008E6EA8">
            <w:r w:rsidRPr="00C909C3">
              <w:t>2, 3, 5</w:t>
            </w:r>
            <w:r w:rsidR="00A61F44">
              <w:t xml:space="preserve">, </w:t>
            </w:r>
            <w:r w:rsidR="00A61F44" w:rsidRPr="00A61F44">
              <w:rPr>
                <w:u w:val="wave"/>
              </w:rPr>
              <w:t>7</w:t>
            </w:r>
            <w:r w:rsidRPr="00A61F44">
              <w:rPr>
                <w:u w:val="wave"/>
              </w:rPr>
              <w:t xml:space="preserve"> </w:t>
            </w:r>
            <w:r w:rsidRPr="00C909C3">
              <w:t xml:space="preserve">and 10 </w:t>
            </w:r>
            <w:r w:rsidR="0BE7765F">
              <w:t>years</w:t>
            </w:r>
          </w:p>
        </w:tc>
      </w:tr>
      <w:tr w:rsidR="000F0E0C" w:rsidRPr="00707371" w14:paraId="60B72D0B" w14:textId="77777777" w:rsidTr="77DD9EC8">
        <w:trPr>
          <w:trHeight w:hRule="exact" w:val="770"/>
        </w:trPr>
        <w:tc>
          <w:tcPr>
            <w:tcW w:w="3974" w:type="dxa"/>
            <w:noWrap/>
            <w:hideMark/>
          </w:tcPr>
          <w:p w14:paraId="5DB6BC82" w14:textId="77777777" w:rsidR="000F0E0C" w:rsidRPr="00707371" w:rsidRDefault="000F0E0C">
            <w:r w:rsidRPr="00707371">
              <w:t>U.S. Treasury bonds</w:t>
            </w:r>
          </w:p>
        </w:tc>
        <w:tc>
          <w:tcPr>
            <w:tcW w:w="2113" w:type="dxa"/>
            <w:noWrap/>
            <w:hideMark/>
          </w:tcPr>
          <w:p w14:paraId="466AB452" w14:textId="77777777" w:rsidR="000F0E0C" w:rsidRPr="00707371" w:rsidRDefault="000F0E0C">
            <w:r w:rsidRPr="00707371">
              <w:t xml:space="preserve">Full faith &amp; credit </w:t>
            </w:r>
          </w:p>
        </w:tc>
        <w:tc>
          <w:tcPr>
            <w:tcW w:w="2025" w:type="dxa"/>
            <w:noWrap/>
            <w:hideMark/>
          </w:tcPr>
          <w:p w14:paraId="0694999D" w14:textId="77777777" w:rsidR="000F0E0C" w:rsidRPr="00707371" w:rsidRDefault="000F0E0C">
            <w:r w:rsidRPr="00707371">
              <w:t>Semi-annual</w:t>
            </w:r>
          </w:p>
        </w:tc>
        <w:tc>
          <w:tcPr>
            <w:tcW w:w="1814" w:type="dxa"/>
            <w:noWrap/>
            <w:hideMark/>
          </w:tcPr>
          <w:p w14:paraId="0DD5DE20" w14:textId="3AF6EBF5" w:rsidR="000F0E0C" w:rsidRPr="00707371" w:rsidRDefault="00A61F44" w:rsidP="008E6EA8">
            <w:r w:rsidRPr="00A61F44">
              <w:rPr>
                <w:u w:val="wave"/>
              </w:rPr>
              <w:t>20 or</w:t>
            </w:r>
            <w:r>
              <w:t xml:space="preserve"> </w:t>
            </w:r>
            <w:r w:rsidR="00E93C19" w:rsidRPr="00C909C3">
              <w:t>30</w:t>
            </w:r>
            <w:r w:rsidR="00E93C19">
              <w:t xml:space="preserve"> </w:t>
            </w:r>
            <w:r w:rsidR="00745AD2" w:rsidRPr="00707371">
              <w:t>yrs.</w:t>
            </w:r>
          </w:p>
        </w:tc>
      </w:tr>
      <w:tr w:rsidR="000F0E0C" w:rsidRPr="00707371" w14:paraId="20728433" w14:textId="77777777" w:rsidTr="77DD9EC8">
        <w:trPr>
          <w:trHeight w:hRule="exact" w:val="698"/>
        </w:trPr>
        <w:tc>
          <w:tcPr>
            <w:tcW w:w="3974" w:type="dxa"/>
            <w:noWrap/>
            <w:hideMark/>
          </w:tcPr>
          <w:p w14:paraId="6E47DA68" w14:textId="569C43D0" w:rsidR="000F0E0C" w:rsidRPr="00707371" w:rsidRDefault="000F0E0C">
            <w:r w:rsidRPr="00707371">
              <w:t>U.S. Treasury Strip</w:t>
            </w:r>
          </w:p>
        </w:tc>
        <w:tc>
          <w:tcPr>
            <w:tcW w:w="2113" w:type="dxa"/>
            <w:noWrap/>
            <w:hideMark/>
          </w:tcPr>
          <w:p w14:paraId="5592B8B2" w14:textId="77777777" w:rsidR="000F0E0C" w:rsidRPr="00707371" w:rsidRDefault="000F0E0C">
            <w:r w:rsidRPr="00707371">
              <w:t xml:space="preserve">Full faith &amp; credit </w:t>
            </w:r>
          </w:p>
        </w:tc>
        <w:tc>
          <w:tcPr>
            <w:tcW w:w="2025" w:type="dxa"/>
            <w:noWrap/>
            <w:hideMark/>
          </w:tcPr>
          <w:p w14:paraId="78C47AAC" w14:textId="77777777" w:rsidR="000F0E0C" w:rsidRPr="00707371" w:rsidRDefault="000F0E0C">
            <w:r w:rsidRPr="00707371">
              <w:t>Face value at maturity</w:t>
            </w:r>
          </w:p>
        </w:tc>
        <w:tc>
          <w:tcPr>
            <w:tcW w:w="1814" w:type="dxa"/>
            <w:noWrap/>
            <w:hideMark/>
          </w:tcPr>
          <w:p w14:paraId="3B008E9D" w14:textId="77777777" w:rsidR="000F0E0C" w:rsidRDefault="000F0E0C" w:rsidP="008E6EA8">
            <w:pPr>
              <w:rPr>
                <w:strike/>
              </w:rPr>
            </w:pPr>
            <w:r w:rsidRPr="00A61F44">
              <w:rPr>
                <w:strike/>
              </w:rPr>
              <w:t xml:space="preserve">3 months to 30 </w:t>
            </w:r>
            <w:r w:rsidR="00745AD2" w:rsidRPr="00A61F44">
              <w:rPr>
                <w:strike/>
              </w:rPr>
              <w:t>yrs.</w:t>
            </w:r>
          </w:p>
          <w:p w14:paraId="24A31BE9" w14:textId="0B00EDBF" w:rsidR="00A61F44" w:rsidRPr="00A61F44" w:rsidRDefault="00A61F44" w:rsidP="008E6EA8">
            <w:pPr>
              <w:rPr>
                <w:u w:val="wave"/>
              </w:rPr>
            </w:pPr>
            <w:r w:rsidRPr="00A61F44">
              <w:rPr>
                <w:u w:val="wave"/>
              </w:rPr>
              <w:t>Varies</w:t>
            </w:r>
          </w:p>
        </w:tc>
      </w:tr>
      <w:tr w:rsidR="000F0E0C" w:rsidRPr="00707371" w14:paraId="14883DE4" w14:textId="77777777" w:rsidTr="77DD9EC8">
        <w:trPr>
          <w:trHeight w:hRule="exact" w:val="698"/>
        </w:trPr>
        <w:tc>
          <w:tcPr>
            <w:tcW w:w="3974" w:type="dxa"/>
            <w:tcBorders>
              <w:bottom w:val="single" w:sz="4" w:space="0" w:color="auto"/>
            </w:tcBorders>
            <w:noWrap/>
            <w:hideMark/>
          </w:tcPr>
          <w:p w14:paraId="64466819" w14:textId="77777777" w:rsidR="000F0E0C" w:rsidRPr="00707371" w:rsidRDefault="000F0E0C">
            <w:r w:rsidRPr="00707371">
              <w:t>Treasury Inflation Protected Securities (TIPS)</w:t>
            </w:r>
          </w:p>
        </w:tc>
        <w:tc>
          <w:tcPr>
            <w:tcW w:w="2113" w:type="dxa"/>
            <w:tcBorders>
              <w:bottom w:val="single" w:sz="4" w:space="0" w:color="auto"/>
            </w:tcBorders>
            <w:noWrap/>
            <w:hideMark/>
          </w:tcPr>
          <w:p w14:paraId="7C148389" w14:textId="77777777" w:rsidR="000F0E0C" w:rsidRPr="00707371" w:rsidRDefault="000F0E0C">
            <w:r w:rsidRPr="00707371">
              <w:t xml:space="preserve">Full faith &amp; credit </w:t>
            </w:r>
          </w:p>
        </w:tc>
        <w:tc>
          <w:tcPr>
            <w:tcW w:w="2025" w:type="dxa"/>
            <w:tcBorders>
              <w:bottom w:val="single" w:sz="4" w:space="0" w:color="auto"/>
            </w:tcBorders>
            <w:noWrap/>
            <w:hideMark/>
          </w:tcPr>
          <w:p w14:paraId="3A0713A9" w14:textId="77777777" w:rsidR="000F0E0C" w:rsidRPr="00707371" w:rsidRDefault="000F0E0C">
            <w:r w:rsidRPr="00707371">
              <w:t>Semi-annual</w:t>
            </w:r>
          </w:p>
        </w:tc>
        <w:tc>
          <w:tcPr>
            <w:tcW w:w="1814" w:type="dxa"/>
            <w:tcBorders>
              <w:bottom w:val="single" w:sz="4" w:space="0" w:color="auto"/>
            </w:tcBorders>
            <w:noWrap/>
            <w:hideMark/>
          </w:tcPr>
          <w:p w14:paraId="3C89FBA8" w14:textId="77777777" w:rsidR="000F0E0C" w:rsidRPr="00707371" w:rsidRDefault="000F0E0C" w:rsidP="008E6EA8">
            <w:r w:rsidRPr="00707371">
              <w:t xml:space="preserve">5 to 30 </w:t>
            </w:r>
            <w:r w:rsidR="00745AD2" w:rsidRPr="00707371">
              <w:t>yrs.</w:t>
            </w:r>
          </w:p>
        </w:tc>
      </w:tr>
      <w:tr w:rsidR="008E6EA8" w:rsidRPr="00707371" w14:paraId="285BBE44" w14:textId="77777777" w:rsidTr="77DD9EC8">
        <w:trPr>
          <w:trHeight w:hRule="exact" w:val="383"/>
        </w:trPr>
        <w:tc>
          <w:tcPr>
            <w:tcW w:w="9926" w:type="dxa"/>
            <w:gridSpan w:val="4"/>
            <w:shd w:val="clear" w:color="auto" w:fill="C6D9F1" w:themeFill="text2" w:themeFillTint="33"/>
            <w:noWrap/>
            <w:hideMark/>
          </w:tcPr>
          <w:p w14:paraId="49BB0FD8" w14:textId="77777777" w:rsidR="008E6EA8" w:rsidRPr="00707371" w:rsidRDefault="008E6EA8" w:rsidP="00071694">
            <w:pPr>
              <w:rPr>
                <w:i/>
                <w:u w:val="single"/>
              </w:rPr>
            </w:pPr>
            <w:r w:rsidRPr="00707371">
              <w:rPr>
                <w:i/>
                <w:u w:val="single"/>
              </w:rPr>
              <w:t>Mortgage-backed securities</w:t>
            </w:r>
          </w:p>
        </w:tc>
      </w:tr>
      <w:tr w:rsidR="008E6EA8" w:rsidRPr="00707371" w14:paraId="17C9B079" w14:textId="77777777" w:rsidTr="00A61F44">
        <w:trPr>
          <w:trHeight w:hRule="exact" w:val="923"/>
        </w:trPr>
        <w:tc>
          <w:tcPr>
            <w:tcW w:w="3974" w:type="dxa"/>
            <w:tcBorders>
              <w:bottom w:val="single" w:sz="4" w:space="0" w:color="auto"/>
            </w:tcBorders>
            <w:noWrap/>
            <w:hideMark/>
          </w:tcPr>
          <w:p w14:paraId="629F06A6" w14:textId="77777777" w:rsidR="008E6EA8" w:rsidRPr="00707371" w:rsidRDefault="008E6EA8">
            <w:r w:rsidRPr="00707371">
              <w:t>Government National Mortgage Association (GNMA)</w:t>
            </w:r>
          </w:p>
        </w:tc>
        <w:tc>
          <w:tcPr>
            <w:tcW w:w="2113" w:type="dxa"/>
            <w:tcBorders>
              <w:bottom w:val="single" w:sz="4" w:space="0" w:color="auto"/>
            </w:tcBorders>
            <w:noWrap/>
            <w:hideMark/>
          </w:tcPr>
          <w:p w14:paraId="09CF073E" w14:textId="77777777" w:rsidR="008E6EA8" w:rsidRPr="00707371" w:rsidRDefault="000F0E0C">
            <w:r w:rsidRPr="00707371">
              <w:t xml:space="preserve">Full faith &amp; credit </w:t>
            </w:r>
          </w:p>
        </w:tc>
        <w:tc>
          <w:tcPr>
            <w:tcW w:w="2025" w:type="dxa"/>
            <w:tcBorders>
              <w:bottom w:val="single" w:sz="4" w:space="0" w:color="auto"/>
            </w:tcBorders>
            <w:noWrap/>
            <w:hideMark/>
          </w:tcPr>
          <w:p w14:paraId="66558F71" w14:textId="77777777" w:rsidR="008E6EA8" w:rsidRPr="00707371" w:rsidRDefault="008E6EA8">
            <w:r w:rsidRPr="00707371">
              <w:t>Monthly principal &amp; interest</w:t>
            </w:r>
          </w:p>
        </w:tc>
        <w:tc>
          <w:tcPr>
            <w:tcW w:w="1814" w:type="dxa"/>
            <w:tcBorders>
              <w:bottom w:val="single" w:sz="4" w:space="0" w:color="auto"/>
            </w:tcBorders>
            <w:noWrap/>
            <w:hideMark/>
          </w:tcPr>
          <w:p w14:paraId="7B6CCB8C" w14:textId="686FE973" w:rsidR="008E6EA8" w:rsidRPr="00A61F44" w:rsidRDefault="008E6EA8" w:rsidP="008E6EA8">
            <w:pPr>
              <w:rPr>
                <w:strike/>
              </w:rPr>
            </w:pPr>
            <w:r w:rsidRPr="00A61F44">
              <w:rPr>
                <w:strike/>
              </w:rPr>
              <w:t>30</w:t>
            </w:r>
            <w:r w:rsidR="00AE5DBF" w:rsidRPr="00A61F44">
              <w:rPr>
                <w:strike/>
              </w:rPr>
              <w:t xml:space="preserve">, 15, 7 or 5 </w:t>
            </w:r>
            <w:r w:rsidRPr="00A61F44">
              <w:rPr>
                <w:strike/>
              </w:rPr>
              <w:t>year maturity</w:t>
            </w:r>
            <w:r w:rsidR="00A61F44" w:rsidRPr="00A61F44">
              <w:rPr>
                <w:u w:val="wave"/>
              </w:rPr>
              <w:t xml:space="preserve"> Up to 30 yrs.</w:t>
            </w:r>
          </w:p>
        </w:tc>
      </w:tr>
      <w:tr w:rsidR="008E6EA8" w:rsidRPr="00707371" w14:paraId="7053614D" w14:textId="77777777" w:rsidTr="77DD9EC8">
        <w:trPr>
          <w:trHeight w:hRule="exact" w:val="392"/>
        </w:trPr>
        <w:tc>
          <w:tcPr>
            <w:tcW w:w="9926" w:type="dxa"/>
            <w:gridSpan w:val="4"/>
            <w:shd w:val="clear" w:color="auto" w:fill="C6D9F1" w:themeFill="text2" w:themeFillTint="33"/>
            <w:noWrap/>
            <w:hideMark/>
          </w:tcPr>
          <w:p w14:paraId="2F83DA1D" w14:textId="28DC3DE0" w:rsidR="008E6EA8" w:rsidRPr="00707371" w:rsidRDefault="008E6EA8" w:rsidP="00071694">
            <w:pPr>
              <w:rPr>
                <w:i/>
                <w:u w:val="single"/>
              </w:rPr>
            </w:pPr>
            <w:r w:rsidRPr="00707371">
              <w:rPr>
                <w:i/>
                <w:u w:val="single"/>
              </w:rPr>
              <w:t>Agencies</w:t>
            </w:r>
          </w:p>
        </w:tc>
      </w:tr>
      <w:tr w:rsidR="008E6EA8" w:rsidRPr="00707371" w14:paraId="1C71FAEC" w14:textId="77777777" w:rsidTr="77DD9EC8">
        <w:trPr>
          <w:trHeight w:val="255"/>
        </w:trPr>
        <w:tc>
          <w:tcPr>
            <w:tcW w:w="3974" w:type="dxa"/>
            <w:noWrap/>
            <w:hideMark/>
          </w:tcPr>
          <w:p w14:paraId="49C8ADD9" w14:textId="77777777" w:rsidR="008E6EA8" w:rsidRPr="00707371" w:rsidRDefault="008E6EA8">
            <w:r w:rsidRPr="00707371">
              <w:t>Federal Home Loan Mortgage Corporation (FHLMC)</w:t>
            </w:r>
          </w:p>
        </w:tc>
        <w:tc>
          <w:tcPr>
            <w:tcW w:w="2113" w:type="dxa"/>
            <w:noWrap/>
            <w:hideMark/>
          </w:tcPr>
          <w:p w14:paraId="32C246CF" w14:textId="77777777" w:rsidR="008E6EA8" w:rsidRPr="00707371" w:rsidRDefault="008E6EA8" w:rsidP="000F0E0C">
            <w:r w:rsidRPr="00707371">
              <w:t xml:space="preserve">Implied backing </w:t>
            </w:r>
          </w:p>
        </w:tc>
        <w:tc>
          <w:tcPr>
            <w:tcW w:w="2025" w:type="dxa"/>
            <w:noWrap/>
            <w:hideMark/>
          </w:tcPr>
          <w:p w14:paraId="62233908" w14:textId="77777777" w:rsidR="008E6EA8" w:rsidRPr="00707371" w:rsidRDefault="008E6EA8">
            <w:r w:rsidRPr="00707371">
              <w:t>Semi-annual</w:t>
            </w:r>
          </w:p>
        </w:tc>
        <w:tc>
          <w:tcPr>
            <w:tcW w:w="1814" w:type="dxa"/>
            <w:noWrap/>
            <w:hideMark/>
          </w:tcPr>
          <w:p w14:paraId="7C4FCCD5" w14:textId="5469E46D" w:rsidR="008E6EA8" w:rsidRPr="00CC23EC" w:rsidRDefault="00373003" w:rsidP="008E6EA8">
            <w:pPr>
              <w:rPr>
                <w:strike/>
              </w:rPr>
            </w:pPr>
            <w:r w:rsidRPr="00CC23EC">
              <w:rPr>
                <w:strike/>
              </w:rPr>
              <w:t>30, 15, 7, or 5 year maturity</w:t>
            </w:r>
            <w:r w:rsidR="00CC23EC" w:rsidRPr="00CC23EC">
              <w:rPr>
                <w:u w:val="wave"/>
              </w:rPr>
              <w:t xml:space="preserve"> Up to 30 yrs.</w:t>
            </w:r>
          </w:p>
        </w:tc>
      </w:tr>
      <w:tr w:rsidR="000F0E0C" w:rsidRPr="00707371" w14:paraId="2E83E97F" w14:textId="77777777" w:rsidTr="77DD9EC8">
        <w:trPr>
          <w:trHeight w:val="255"/>
        </w:trPr>
        <w:tc>
          <w:tcPr>
            <w:tcW w:w="3974" w:type="dxa"/>
            <w:noWrap/>
            <w:hideMark/>
          </w:tcPr>
          <w:p w14:paraId="5BB3E6CE" w14:textId="77777777" w:rsidR="000F0E0C" w:rsidRPr="00707371" w:rsidRDefault="000F0E0C">
            <w:r w:rsidRPr="00707371">
              <w:t>Federal National Mortgage Association (FNMA)</w:t>
            </w:r>
          </w:p>
        </w:tc>
        <w:tc>
          <w:tcPr>
            <w:tcW w:w="2113" w:type="dxa"/>
            <w:noWrap/>
            <w:hideMark/>
          </w:tcPr>
          <w:p w14:paraId="1FAA5A15" w14:textId="77777777" w:rsidR="000F0E0C" w:rsidRPr="00707371" w:rsidRDefault="000F0E0C" w:rsidP="00707371">
            <w:r w:rsidRPr="00707371">
              <w:t xml:space="preserve">Implied backing </w:t>
            </w:r>
          </w:p>
        </w:tc>
        <w:tc>
          <w:tcPr>
            <w:tcW w:w="2025" w:type="dxa"/>
            <w:noWrap/>
            <w:hideMark/>
          </w:tcPr>
          <w:p w14:paraId="654EAB06" w14:textId="77777777" w:rsidR="000F0E0C" w:rsidRPr="00707371" w:rsidRDefault="000F0E0C">
            <w:r w:rsidRPr="00707371">
              <w:t>Semi-annual</w:t>
            </w:r>
          </w:p>
        </w:tc>
        <w:tc>
          <w:tcPr>
            <w:tcW w:w="1814" w:type="dxa"/>
            <w:noWrap/>
            <w:hideMark/>
          </w:tcPr>
          <w:p w14:paraId="1603E564" w14:textId="6DF03545" w:rsidR="000F0E0C" w:rsidRPr="00CC23EC" w:rsidRDefault="00373003" w:rsidP="008E6EA8">
            <w:pPr>
              <w:rPr>
                <w:strike/>
              </w:rPr>
            </w:pPr>
            <w:r w:rsidRPr="00CC23EC">
              <w:rPr>
                <w:strike/>
              </w:rPr>
              <w:t>30, 15, 7, or 5 year maturity</w:t>
            </w:r>
            <w:r w:rsidR="00CC23EC">
              <w:rPr>
                <w:strike/>
              </w:rPr>
              <w:t xml:space="preserve"> </w:t>
            </w:r>
            <w:r w:rsidR="00CC23EC" w:rsidRPr="00CC23EC">
              <w:rPr>
                <w:u w:val="wave"/>
              </w:rPr>
              <w:t>Up to 30 yrs.</w:t>
            </w:r>
          </w:p>
        </w:tc>
      </w:tr>
      <w:tr w:rsidR="000F0E0C" w:rsidRPr="00707371" w14:paraId="2EE4ACDD" w14:textId="77777777" w:rsidTr="77DD9EC8">
        <w:trPr>
          <w:trHeight w:val="255"/>
        </w:trPr>
        <w:tc>
          <w:tcPr>
            <w:tcW w:w="3974" w:type="dxa"/>
            <w:noWrap/>
            <w:hideMark/>
          </w:tcPr>
          <w:p w14:paraId="15A18182" w14:textId="77777777" w:rsidR="000F0E0C" w:rsidRPr="00707371" w:rsidRDefault="000F0E0C">
            <w:r w:rsidRPr="00707371">
              <w:t>Federal Home Loan Bank (FHLB)</w:t>
            </w:r>
          </w:p>
        </w:tc>
        <w:tc>
          <w:tcPr>
            <w:tcW w:w="2113" w:type="dxa"/>
            <w:noWrap/>
            <w:hideMark/>
          </w:tcPr>
          <w:p w14:paraId="6FF21FEE" w14:textId="77777777" w:rsidR="000F0E0C" w:rsidRPr="00707371" w:rsidRDefault="000F0E0C" w:rsidP="00707371">
            <w:r w:rsidRPr="00707371">
              <w:t xml:space="preserve">Implied backing </w:t>
            </w:r>
          </w:p>
        </w:tc>
        <w:tc>
          <w:tcPr>
            <w:tcW w:w="2025" w:type="dxa"/>
            <w:noWrap/>
            <w:hideMark/>
          </w:tcPr>
          <w:p w14:paraId="36BFE725" w14:textId="77777777" w:rsidR="000F0E0C" w:rsidRPr="00707371" w:rsidRDefault="000F0E0C">
            <w:r w:rsidRPr="00707371">
              <w:t>Semi-annual</w:t>
            </w:r>
          </w:p>
        </w:tc>
        <w:tc>
          <w:tcPr>
            <w:tcW w:w="1814" w:type="dxa"/>
            <w:noWrap/>
            <w:hideMark/>
          </w:tcPr>
          <w:p w14:paraId="7B134FAD" w14:textId="698B738A" w:rsidR="000F0E0C" w:rsidRPr="00707371" w:rsidRDefault="00CB7FB9" w:rsidP="008E6EA8">
            <w:r w:rsidRPr="00CC23EC">
              <w:rPr>
                <w:strike/>
              </w:rPr>
              <w:t>1 day</w:t>
            </w:r>
            <w:r w:rsidRPr="00387AB4">
              <w:t xml:space="preserve"> </w:t>
            </w:r>
            <w:r w:rsidR="00CC23EC" w:rsidRPr="00CC23EC">
              <w:rPr>
                <w:u w:val="wave"/>
              </w:rPr>
              <w:t>Up</w:t>
            </w:r>
            <w:r w:rsidR="00CC23EC">
              <w:t xml:space="preserve"> </w:t>
            </w:r>
            <w:r w:rsidRPr="00387AB4">
              <w:t>to 30</w:t>
            </w:r>
            <w:r>
              <w:t xml:space="preserve"> </w:t>
            </w:r>
            <w:r w:rsidRPr="00707371">
              <w:t>yrs.</w:t>
            </w:r>
            <w:r w:rsidR="00CC23EC">
              <w:t xml:space="preserve"> </w:t>
            </w:r>
          </w:p>
        </w:tc>
      </w:tr>
      <w:tr w:rsidR="00EE6690" w:rsidRPr="00707371" w14:paraId="6611542B" w14:textId="77777777" w:rsidTr="77DD9EC8">
        <w:trPr>
          <w:trHeight w:val="255"/>
        </w:trPr>
        <w:tc>
          <w:tcPr>
            <w:tcW w:w="3974" w:type="dxa"/>
            <w:noWrap/>
            <w:hideMark/>
          </w:tcPr>
          <w:p w14:paraId="4C9B19BD" w14:textId="77777777" w:rsidR="00EE6690" w:rsidRPr="00707371" w:rsidRDefault="00EE6690" w:rsidP="00EE6690">
            <w:r w:rsidRPr="00707371">
              <w:t>Resolution Funding Corporation (REFCORP)</w:t>
            </w:r>
          </w:p>
        </w:tc>
        <w:tc>
          <w:tcPr>
            <w:tcW w:w="2113" w:type="dxa"/>
            <w:noWrap/>
            <w:hideMark/>
          </w:tcPr>
          <w:p w14:paraId="753753A1" w14:textId="77777777" w:rsidR="00EE6690" w:rsidRPr="00707371" w:rsidRDefault="00EE6690" w:rsidP="00EE6690">
            <w:r w:rsidRPr="00707371">
              <w:t xml:space="preserve">Implied backing </w:t>
            </w:r>
          </w:p>
        </w:tc>
        <w:tc>
          <w:tcPr>
            <w:tcW w:w="2025" w:type="dxa"/>
            <w:noWrap/>
            <w:hideMark/>
          </w:tcPr>
          <w:p w14:paraId="66903DDF" w14:textId="77777777" w:rsidR="00EE6690" w:rsidRPr="00707371" w:rsidRDefault="00EE6690" w:rsidP="00EE6690">
            <w:r w:rsidRPr="00707371">
              <w:t>Semi-annual Zeros at maturity</w:t>
            </w:r>
          </w:p>
        </w:tc>
        <w:tc>
          <w:tcPr>
            <w:tcW w:w="1814" w:type="dxa"/>
            <w:noWrap/>
            <w:hideMark/>
          </w:tcPr>
          <w:p w14:paraId="46A293EA" w14:textId="09D46E7F" w:rsidR="00EE6690" w:rsidRPr="00CC23EC" w:rsidRDefault="00EE6690" w:rsidP="00EE6690">
            <w:pPr>
              <w:rPr>
                <w:strike/>
              </w:rPr>
            </w:pPr>
            <w:r w:rsidRPr="00CC23EC">
              <w:rPr>
                <w:strike/>
              </w:rPr>
              <w:t>1 to 50 yrs.</w:t>
            </w:r>
            <w:r w:rsidR="002E1A39">
              <w:rPr>
                <w:strike/>
              </w:rPr>
              <w:t xml:space="preserve"> </w:t>
            </w:r>
            <w:r w:rsidR="002E1A39" w:rsidRPr="002E1A39">
              <w:rPr>
                <w:u w:val="wave"/>
              </w:rPr>
              <w:t>Up to April 2030</w:t>
            </w:r>
          </w:p>
        </w:tc>
      </w:tr>
      <w:tr w:rsidR="00EE6690" w:rsidRPr="00707371" w14:paraId="126310DF" w14:textId="77777777" w:rsidTr="77DD9EC8">
        <w:trPr>
          <w:trHeight w:val="255"/>
        </w:trPr>
        <w:tc>
          <w:tcPr>
            <w:tcW w:w="3974" w:type="dxa"/>
            <w:noWrap/>
            <w:hideMark/>
          </w:tcPr>
          <w:p w14:paraId="41D6DF7F" w14:textId="77777777" w:rsidR="00EE6690" w:rsidRPr="00707371" w:rsidRDefault="00EE6690" w:rsidP="00EE6690">
            <w:r w:rsidRPr="00707371">
              <w:t>Tennessee Valley Authority (T VA)</w:t>
            </w:r>
          </w:p>
        </w:tc>
        <w:tc>
          <w:tcPr>
            <w:tcW w:w="2113" w:type="dxa"/>
            <w:noWrap/>
            <w:hideMark/>
          </w:tcPr>
          <w:p w14:paraId="6B48D7DC" w14:textId="77777777" w:rsidR="00EE6690" w:rsidRPr="00707371" w:rsidRDefault="00EE6690" w:rsidP="00EE6690">
            <w:r w:rsidRPr="00707371">
              <w:t xml:space="preserve">Implied backing </w:t>
            </w:r>
          </w:p>
        </w:tc>
        <w:tc>
          <w:tcPr>
            <w:tcW w:w="2025" w:type="dxa"/>
            <w:noWrap/>
            <w:hideMark/>
          </w:tcPr>
          <w:p w14:paraId="648E131F" w14:textId="77777777" w:rsidR="00EE6690" w:rsidRPr="00707371" w:rsidRDefault="00EE6690" w:rsidP="00EE6690">
            <w:r w:rsidRPr="00707371">
              <w:t>Semi-annual Zeros at maturity</w:t>
            </w:r>
          </w:p>
        </w:tc>
        <w:tc>
          <w:tcPr>
            <w:tcW w:w="1814" w:type="dxa"/>
            <w:noWrap/>
            <w:hideMark/>
          </w:tcPr>
          <w:p w14:paraId="3980845F" w14:textId="5BEAD8F4" w:rsidR="00EE6690" w:rsidRPr="00707371" w:rsidRDefault="00EE6690" w:rsidP="00EE6690">
            <w:r w:rsidRPr="002E1A39">
              <w:rPr>
                <w:strike/>
              </w:rPr>
              <w:t>1</w:t>
            </w:r>
            <w:r w:rsidRPr="00B9536B">
              <w:t xml:space="preserve"> </w:t>
            </w:r>
            <w:r w:rsidR="002E1A39" w:rsidRPr="002E1A39">
              <w:rPr>
                <w:u w:val="wave"/>
              </w:rPr>
              <w:t>Up</w:t>
            </w:r>
            <w:r w:rsidR="002E1A39">
              <w:t xml:space="preserve"> </w:t>
            </w:r>
            <w:r w:rsidRPr="00B9536B">
              <w:t>to 50 yrs.</w:t>
            </w:r>
          </w:p>
        </w:tc>
      </w:tr>
      <w:tr w:rsidR="000F0E0C" w:rsidRPr="00707371" w14:paraId="1C935F56" w14:textId="77777777" w:rsidTr="77DD9EC8">
        <w:trPr>
          <w:trHeight w:val="255"/>
        </w:trPr>
        <w:tc>
          <w:tcPr>
            <w:tcW w:w="3974" w:type="dxa"/>
            <w:noWrap/>
            <w:hideMark/>
          </w:tcPr>
          <w:p w14:paraId="7D8B051D" w14:textId="77777777" w:rsidR="000F0E0C" w:rsidRPr="00707371" w:rsidRDefault="000F0E0C">
            <w:r w:rsidRPr="00707371">
              <w:t>Federal Farm Credit Bank (FFCB)</w:t>
            </w:r>
          </w:p>
        </w:tc>
        <w:tc>
          <w:tcPr>
            <w:tcW w:w="2113" w:type="dxa"/>
            <w:noWrap/>
            <w:hideMark/>
          </w:tcPr>
          <w:p w14:paraId="59501C06" w14:textId="77777777" w:rsidR="000F0E0C" w:rsidRPr="00707371" w:rsidRDefault="000F0E0C" w:rsidP="00707371">
            <w:r w:rsidRPr="00707371">
              <w:t xml:space="preserve">Implied backing </w:t>
            </w:r>
          </w:p>
        </w:tc>
        <w:tc>
          <w:tcPr>
            <w:tcW w:w="2025" w:type="dxa"/>
            <w:noWrap/>
            <w:hideMark/>
          </w:tcPr>
          <w:p w14:paraId="715000FF" w14:textId="77777777" w:rsidR="000F0E0C" w:rsidRPr="00707371" w:rsidRDefault="000F0E0C">
            <w:r w:rsidRPr="00707371">
              <w:t>Semi-annual</w:t>
            </w:r>
          </w:p>
        </w:tc>
        <w:tc>
          <w:tcPr>
            <w:tcW w:w="1814" w:type="dxa"/>
            <w:noWrap/>
            <w:hideMark/>
          </w:tcPr>
          <w:p w14:paraId="25432947" w14:textId="3A137F3C" w:rsidR="000F0E0C" w:rsidRPr="00707371" w:rsidRDefault="002E1E5C" w:rsidP="008E6EA8">
            <w:r w:rsidRPr="002E1A39">
              <w:rPr>
                <w:strike/>
              </w:rPr>
              <w:t>1</w:t>
            </w:r>
            <w:r w:rsidRPr="00387AB4">
              <w:t xml:space="preserve"> </w:t>
            </w:r>
            <w:r w:rsidR="002E1A39" w:rsidRPr="002E1A39">
              <w:rPr>
                <w:u w:val="wave"/>
              </w:rPr>
              <w:t>Up</w:t>
            </w:r>
            <w:r w:rsidR="002E1A39">
              <w:t xml:space="preserve"> </w:t>
            </w:r>
            <w:r w:rsidRPr="00387AB4">
              <w:t>to 30 yrs.</w:t>
            </w:r>
          </w:p>
        </w:tc>
      </w:tr>
    </w:tbl>
    <w:p w14:paraId="4AAD994A" w14:textId="77777777" w:rsidR="00CF46C9" w:rsidRDefault="00FA5F05">
      <w:pPr>
        <w:sectPr w:rsidR="00CF46C9" w:rsidSect="002A3762">
          <w:headerReference w:type="default" r:id="rId46"/>
          <w:type w:val="continuous"/>
          <w:pgSz w:w="12240" w:h="15840"/>
          <w:pgMar w:top="1152" w:right="1152" w:bottom="720" w:left="1152" w:header="720" w:footer="720" w:gutter="0"/>
          <w:cols w:space="720"/>
          <w:noEndnote/>
        </w:sectPr>
      </w:pPr>
      <w:r>
        <w:br w:type="page"/>
      </w:r>
    </w:p>
    <w:p w14:paraId="622264E1" w14:textId="1B0A98CF" w:rsidR="00BF7A5D" w:rsidRPr="008820FE" w:rsidRDefault="00BF7A5D" w:rsidP="00621F8F">
      <w:pPr>
        <w:pStyle w:val="Title"/>
        <w:shd w:val="clear" w:color="auto" w:fill="A6A6A6" w:themeFill="background1" w:themeFillShade="A6"/>
        <w:ind w:left="0"/>
      </w:pPr>
      <w:bookmarkStart w:id="50" w:name="_Toc214431143"/>
      <w:r w:rsidRPr="00CF3EE6">
        <w:t>APPENDIX</w:t>
      </w:r>
      <w:r w:rsidR="00947597" w:rsidRPr="00CF3EE6">
        <w:t xml:space="preserve"> E-2 GASB No. 40</w:t>
      </w:r>
      <w:r w:rsidR="00947597">
        <w:t xml:space="preserve"> </w:t>
      </w:r>
      <w:r w:rsidR="008400D8" w:rsidRPr="007A1ADF">
        <w:rPr>
          <w:i/>
          <w:iCs/>
        </w:rPr>
        <w:t xml:space="preserve">(Applies to </w:t>
      </w:r>
      <w:r w:rsidR="007A1ADF" w:rsidRPr="007A1ADF">
        <w:rPr>
          <w:i/>
          <w:iCs/>
        </w:rPr>
        <w:t>Sections</w:t>
      </w:r>
      <w:r w:rsidR="008400D8" w:rsidRPr="007A1ADF">
        <w:rPr>
          <w:i/>
          <w:iCs/>
        </w:rPr>
        <w:t xml:space="preserve"> 2</w:t>
      </w:r>
      <w:r w:rsidR="007A1ADF" w:rsidRPr="007A1ADF">
        <w:rPr>
          <w:i/>
          <w:iCs/>
        </w:rPr>
        <w:t>A-14</w:t>
      </w:r>
      <w:r w:rsidR="00C16635">
        <w:rPr>
          <w:i/>
          <w:iCs/>
        </w:rPr>
        <w:t xml:space="preserve">, </w:t>
      </w:r>
      <w:r w:rsidR="007A1ADF" w:rsidRPr="007A1ADF">
        <w:rPr>
          <w:i/>
          <w:iCs/>
        </w:rPr>
        <w:t>2A-16</w:t>
      </w:r>
      <w:r w:rsidR="00C16635">
        <w:rPr>
          <w:i/>
          <w:iCs/>
        </w:rPr>
        <w:t xml:space="preserve"> &amp; 2A-18</w:t>
      </w:r>
      <w:r w:rsidRPr="007A1ADF">
        <w:rPr>
          <w:i/>
          <w:iCs/>
        </w:rPr>
        <w:t>)</w:t>
      </w:r>
      <w:bookmarkEnd w:id="50"/>
    </w:p>
    <w:p w14:paraId="5C84EFD7" w14:textId="77777777" w:rsidR="00BF7A5D" w:rsidRDefault="00BF7A5D" w:rsidP="008F54A4">
      <w:pPr>
        <w:tabs>
          <w:tab w:val="left" w:pos="360"/>
        </w:tabs>
        <w:jc w:val="both"/>
        <w:rPr>
          <w:sz w:val="22"/>
          <w:szCs w:val="22"/>
        </w:rPr>
      </w:pPr>
    </w:p>
    <w:p w14:paraId="48C5BD19" w14:textId="77777777" w:rsidR="008F54A4" w:rsidRPr="009526A6" w:rsidRDefault="008F54A4" w:rsidP="008F54A4">
      <w:pPr>
        <w:tabs>
          <w:tab w:val="left" w:pos="360"/>
        </w:tabs>
        <w:jc w:val="both"/>
        <w:rPr>
          <w:sz w:val="22"/>
          <w:szCs w:val="22"/>
        </w:rPr>
      </w:pPr>
      <w:r w:rsidRPr="009526A6">
        <w:rPr>
          <w:sz w:val="22"/>
          <w:szCs w:val="22"/>
        </w:rPr>
        <w:t>GASB</w:t>
      </w:r>
      <w:r w:rsidR="00A212E5" w:rsidRPr="009526A6">
        <w:rPr>
          <w:sz w:val="22"/>
          <w:szCs w:val="22"/>
        </w:rPr>
        <w:t xml:space="preserve"> </w:t>
      </w:r>
      <w:r w:rsidR="00564E18" w:rsidRPr="009526A6">
        <w:rPr>
          <w:sz w:val="22"/>
          <w:szCs w:val="22"/>
        </w:rPr>
        <w:t xml:space="preserve">Statement No. </w:t>
      </w:r>
      <w:r w:rsidR="00A212E5" w:rsidRPr="009526A6">
        <w:rPr>
          <w:sz w:val="22"/>
          <w:szCs w:val="22"/>
        </w:rPr>
        <w:t>40 paragraph 6 (Codification I</w:t>
      </w:r>
      <w:r w:rsidR="008400D8" w:rsidRPr="009526A6">
        <w:rPr>
          <w:sz w:val="22"/>
          <w:szCs w:val="22"/>
        </w:rPr>
        <w:t>50.151--.158</w:t>
      </w:r>
      <w:r w:rsidRPr="009526A6">
        <w:rPr>
          <w:sz w:val="22"/>
          <w:szCs w:val="22"/>
        </w:rPr>
        <w:t xml:space="preserve">) requires governments to </w:t>
      </w:r>
      <w:r w:rsidRPr="009526A6">
        <w:rPr>
          <w:i/>
          <w:sz w:val="22"/>
          <w:szCs w:val="22"/>
        </w:rPr>
        <w:t>briefly</w:t>
      </w:r>
      <w:r w:rsidRPr="009526A6">
        <w:rPr>
          <w:sz w:val="22"/>
          <w:szCs w:val="22"/>
        </w:rPr>
        <w:t xml:space="preserve"> describe policies related to the following risks for deposits and investments, </w:t>
      </w:r>
      <w:r w:rsidRPr="009526A6">
        <w:rPr>
          <w:b/>
          <w:i/>
          <w:sz w:val="22"/>
          <w:szCs w:val="22"/>
        </w:rPr>
        <w:t>if</w:t>
      </w:r>
      <w:r w:rsidRPr="009526A6">
        <w:rPr>
          <w:sz w:val="22"/>
          <w:szCs w:val="22"/>
        </w:rPr>
        <w:t xml:space="preserve"> the government has instruments exposed to those risks:</w:t>
      </w:r>
    </w:p>
    <w:p w14:paraId="64F4436B" w14:textId="77777777" w:rsidR="008F54A4" w:rsidRPr="009526A6" w:rsidRDefault="008F54A4" w:rsidP="008F54A4">
      <w:pPr>
        <w:tabs>
          <w:tab w:val="left" w:pos="360"/>
        </w:tabs>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391"/>
        <w:gridCol w:w="1489"/>
      </w:tblGrid>
      <w:tr w:rsidR="008F54A4" w:rsidRPr="009526A6" w14:paraId="2A54E7C0" w14:textId="77777777" w:rsidTr="008F54A4">
        <w:trPr>
          <w:jc w:val="center"/>
        </w:trPr>
        <w:tc>
          <w:tcPr>
            <w:tcW w:w="2700" w:type="dxa"/>
          </w:tcPr>
          <w:p w14:paraId="09CB49D3" w14:textId="77777777" w:rsidR="008F54A4" w:rsidRPr="009526A6" w:rsidRDefault="008F54A4" w:rsidP="008F54A4">
            <w:pPr>
              <w:tabs>
                <w:tab w:val="left" w:pos="360"/>
              </w:tabs>
              <w:jc w:val="both"/>
              <w:rPr>
                <w:b/>
                <w:sz w:val="22"/>
                <w:szCs w:val="22"/>
                <w:u w:val="single"/>
              </w:rPr>
            </w:pPr>
            <w:r w:rsidRPr="009526A6">
              <w:rPr>
                <w:b/>
                <w:sz w:val="22"/>
                <w:szCs w:val="22"/>
                <w:u w:val="single"/>
              </w:rPr>
              <w:t>Risk</w:t>
            </w:r>
          </w:p>
        </w:tc>
        <w:tc>
          <w:tcPr>
            <w:tcW w:w="1391" w:type="dxa"/>
          </w:tcPr>
          <w:p w14:paraId="56DBD0FC" w14:textId="77777777" w:rsidR="008F54A4" w:rsidRPr="009526A6" w:rsidRDefault="008F54A4" w:rsidP="008F54A4">
            <w:pPr>
              <w:tabs>
                <w:tab w:val="left" w:pos="360"/>
              </w:tabs>
              <w:jc w:val="center"/>
              <w:rPr>
                <w:b/>
                <w:sz w:val="22"/>
                <w:szCs w:val="22"/>
                <w:u w:val="single"/>
              </w:rPr>
            </w:pPr>
            <w:r w:rsidRPr="009526A6">
              <w:rPr>
                <w:b/>
                <w:sz w:val="22"/>
                <w:szCs w:val="22"/>
                <w:u w:val="single"/>
              </w:rPr>
              <w:t>Deposits</w:t>
            </w:r>
          </w:p>
        </w:tc>
        <w:tc>
          <w:tcPr>
            <w:tcW w:w="1489" w:type="dxa"/>
          </w:tcPr>
          <w:p w14:paraId="49ED2944" w14:textId="77777777" w:rsidR="008F54A4" w:rsidRPr="009526A6" w:rsidRDefault="008F54A4" w:rsidP="008F54A4">
            <w:pPr>
              <w:tabs>
                <w:tab w:val="left" w:pos="360"/>
              </w:tabs>
              <w:jc w:val="center"/>
              <w:rPr>
                <w:b/>
                <w:sz w:val="22"/>
                <w:szCs w:val="22"/>
                <w:u w:val="single"/>
              </w:rPr>
            </w:pPr>
            <w:r w:rsidRPr="009526A6">
              <w:rPr>
                <w:b/>
                <w:sz w:val="22"/>
                <w:szCs w:val="22"/>
                <w:u w:val="single"/>
              </w:rPr>
              <w:t>Investments</w:t>
            </w:r>
          </w:p>
        </w:tc>
      </w:tr>
      <w:tr w:rsidR="008F54A4" w:rsidRPr="009526A6" w14:paraId="69954DCD" w14:textId="77777777" w:rsidTr="008F54A4">
        <w:trPr>
          <w:jc w:val="center"/>
        </w:trPr>
        <w:tc>
          <w:tcPr>
            <w:tcW w:w="2700" w:type="dxa"/>
          </w:tcPr>
          <w:p w14:paraId="164B869F" w14:textId="77777777" w:rsidR="008F54A4" w:rsidRPr="009526A6" w:rsidRDefault="008F54A4" w:rsidP="008F54A4">
            <w:pPr>
              <w:tabs>
                <w:tab w:val="left" w:pos="360"/>
              </w:tabs>
              <w:jc w:val="both"/>
              <w:rPr>
                <w:sz w:val="22"/>
                <w:szCs w:val="22"/>
              </w:rPr>
            </w:pPr>
            <w:r w:rsidRPr="009526A6">
              <w:rPr>
                <w:sz w:val="22"/>
                <w:szCs w:val="22"/>
              </w:rPr>
              <w:t xml:space="preserve">Credit </w:t>
            </w:r>
          </w:p>
        </w:tc>
        <w:tc>
          <w:tcPr>
            <w:tcW w:w="1391" w:type="dxa"/>
          </w:tcPr>
          <w:p w14:paraId="6A783B61" w14:textId="77777777" w:rsidR="008F54A4" w:rsidRPr="009526A6" w:rsidRDefault="008F54A4" w:rsidP="008F54A4">
            <w:pPr>
              <w:tabs>
                <w:tab w:val="left" w:pos="360"/>
              </w:tabs>
              <w:jc w:val="center"/>
              <w:rPr>
                <w:b/>
                <w:sz w:val="22"/>
                <w:szCs w:val="22"/>
              </w:rPr>
            </w:pPr>
          </w:p>
        </w:tc>
        <w:tc>
          <w:tcPr>
            <w:tcW w:w="1489" w:type="dxa"/>
          </w:tcPr>
          <w:p w14:paraId="218AEC3B" w14:textId="77777777" w:rsidR="008F54A4" w:rsidRPr="009526A6" w:rsidRDefault="008F54A4" w:rsidP="008F54A4">
            <w:pPr>
              <w:tabs>
                <w:tab w:val="left" w:pos="360"/>
              </w:tabs>
              <w:jc w:val="center"/>
              <w:rPr>
                <w:b/>
                <w:sz w:val="22"/>
                <w:szCs w:val="22"/>
              </w:rPr>
            </w:pPr>
            <w:r w:rsidRPr="009526A6">
              <w:rPr>
                <w:b/>
                <w:sz w:val="22"/>
                <w:szCs w:val="22"/>
              </w:rPr>
              <w:t>√</w:t>
            </w:r>
          </w:p>
        </w:tc>
      </w:tr>
      <w:tr w:rsidR="008F54A4" w:rsidRPr="009526A6" w14:paraId="6E2857DE" w14:textId="77777777" w:rsidTr="008F54A4">
        <w:trPr>
          <w:jc w:val="center"/>
        </w:trPr>
        <w:tc>
          <w:tcPr>
            <w:tcW w:w="2700" w:type="dxa"/>
          </w:tcPr>
          <w:p w14:paraId="1FD69E6C" w14:textId="77777777" w:rsidR="008F54A4" w:rsidRPr="009526A6" w:rsidRDefault="008F54A4" w:rsidP="008F54A4">
            <w:pPr>
              <w:tabs>
                <w:tab w:val="left" w:pos="360"/>
              </w:tabs>
              <w:jc w:val="both"/>
              <w:rPr>
                <w:sz w:val="22"/>
                <w:szCs w:val="22"/>
              </w:rPr>
            </w:pPr>
            <w:r w:rsidRPr="009526A6">
              <w:rPr>
                <w:sz w:val="22"/>
                <w:szCs w:val="22"/>
              </w:rPr>
              <w:t>Custodial credit</w:t>
            </w:r>
          </w:p>
        </w:tc>
        <w:tc>
          <w:tcPr>
            <w:tcW w:w="1391" w:type="dxa"/>
          </w:tcPr>
          <w:p w14:paraId="07884CC3" w14:textId="77777777" w:rsidR="008F54A4" w:rsidRPr="009526A6" w:rsidRDefault="008F54A4" w:rsidP="008F54A4">
            <w:pPr>
              <w:tabs>
                <w:tab w:val="left" w:pos="360"/>
              </w:tabs>
              <w:jc w:val="center"/>
              <w:rPr>
                <w:b/>
                <w:sz w:val="22"/>
                <w:szCs w:val="22"/>
              </w:rPr>
            </w:pPr>
            <w:r w:rsidRPr="009526A6">
              <w:rPr>
                <w:b/>
                <w:sz w:val="22"/>
                <w:szCs w:val="22"/>
              </w:rPr>
              <w:t>√</w:t>
            </w:r>
          </w:p>
        </w:tc>
        <w:tc>
          <w:tcPr>
            <w:tcW w:w="1489" w:type="dxa"/>
          </w:tcPr>
          <w:p w14:paraId="12F578CF" w14:textId="77777777" w:rsidR="008F54A4" w:rsidRPr="009526A6" w:rsidRDefault="008F54A4" w:rsidP="008F54A4">
            <w:pPr>
              <w:tabs>
                <w:tab w:val="left" w:pos="360"/>
              </w:tabs>
              <w:jc w:val="center"/>
              <w:rPr>
                <w:b/>
                <w:sz w:val="22"/>
                <w:szCs w:val="22"/>
              </w:rPr>
            </w:pPr>
            <w:r w:rsidRPr="009526A6">
              <w:rPr>
                <w:b/>
                <w:sz w:val="22"/>
                <w:szCs w:val="22"/>
              </w:rPr>
              <w:t>√</w:t>
            </w:r>
          </w:p>
        </w:tc>
      </w:tr>
      <w:tr w:rsidR="008F54A4" w:rsidRPr="009526A6" w14:paraId="44B15E24" w14:textId="77777777" w:rsidTr="008F54A4">
        <w:trPr>
          <w:jc w:val="center"/>
        </w:trPr>
        <w:tc>
          <w:tcPr>
            <w:tcW w:w="2700" w:type="dxa"/>
          </w:tcPr>
          <w:p w14:paraId="1CBFC21B" w14:textId="77777777" w:rsidR="008F54A4" w:rsidRPr="009526A6" w:rsidRDefault="008F54A4" w:rsidP="008F54A4">
            <w:pPr>
              <w:tabs>
                <w:tab w:val="left" w:pos="360"/>
              </w:tabs>
              <w:jc w:val="both"/>
              <w:rPr>
                <w:sz w:val="22"/>
                <w:szCs w:val="22"/>
              </w:rPr>
            </w:pPr>
            <w:r w:rsidRPr="009526A6">
              <w:rPr>
                <w:sz w:val="22"/>
                <w:szCs w:val="22"/>
              </w:rPr>
              <w:t>Concentration of credit</w:t>
            </w:r>
          </w:p>
        </w:tc>
        <w:tc>
          <w:tcPr>
            <w:tcW w:w="1391" w:type="dxa"/>
          </w:tcPr>
          <w:p w14:paraId="0386535D" w14:textId="77777777" w:rsidR="008F54A4" w:rsidRPr="009526A6" w:rsidRDefault="008F54A4" w:rsidP="008F54A4">
            <w:pPr>
              <w:tabs>
                <w:tab w:val="left" w:pos="360"/>
              </w:tabs>
              <w:jc w:val="center"/>
              <w:rPr>
                <w:b/>
                <w:sz w:val="22"/>
                <w:szCs w:val="22"/>
              </w:rPr>
            </w:pPr>
          </w:p>
        </w:tc>
        <w:tc>
          <w:tcPr>
            <w:tcW w:w="1489" w:type="dxa"/>
          </w:tcPr>
          <w:p w14:paraId="5338CA2F" w14:textId="77777777" w:rsidR="008F54A4" w:rsidRPr="009526A6" w:rsidRDefault="008F54A4" w:rsidP="008F54A4">
            <w:pPr>
              <w:tabs>
                <w:tab w:val="left" w:pos="360"/>
              </w:tabs>
              <w:jc w:val="center"/>
              <w:rPr>
                <w:b/>
                <w:sz w:val="22"/>
                <w:szCs w:val="22"/>
              </w:rPr>
            </w:pPr>
            <w:r w:rsidRPr="009526A6">
              <w:rPr>
                <w:b/>
                <w:sz w:val="22"/>
                <w:szCs w:val="22"/>
              </w:rPr>
              <w:t>√</w:t>
            </w:r>
          </w:p>
        </w:tc>
      </w:tr>
      <w:tr w:rsidR="008F54A4" w:rsidRPr="009526A6" w14:paraId="519C2620" w14:textId="77777777" w:rsidTr="008F54A4">
        <w:trPr>
          <w:jc w:val="center"/>
        </w:trPr>
        <w:tc>
          <w:tcPr>
            <w:tcW w:w="2700" w:type="dxa"/>
          </w:tcPr>
          <w:p w14:paraId="63756896" w14:textId="77777777" w:rsidR="008F54A4" w:rsidRPr="009526A6" w:rsidRDefault="008F54A4" w:rsidP="008F54A4">
            <w:pPr>
              <w:tabs>
                <w:tab w:val="left" w:pos="360"/>
              </w:tabs>
              <w:jc w:val="both"/>
              <w:rPr>
                <w:sz w:val="22"/>
                <w:szCs w:val="22"/>
              </w:rPr>
            </w:pPr>
            <w:r w:rsidRPr="009526A6">
              <w:rPr>
                <w:sz w:val="22"/>
                <w:szCs w:val="22"/>
              </w:rPr>
              <w:t>Interest rate</w:t>
            </w:r>
          </w:p>
        </w:tc>
        <w:tc>
          <w:tcPr>
            <w:tcW w:w="1391" w:type="dxa"/>
          </w:tcPr>
          <w:p w14:paraId="2A3A36B5" w14:textId="77777777" w:rsidR="008F54A4" w:rsidRPr="009526A6" w:rsidRDefault="008F54A4" w:rsidP="008F54A4">
            <w:pPr>
              <w:tabs>
                <w:tab w:val="left" w:pos="360"/>
              </w:tabs>
              <w:jc w:val="center"/>
              <w:rPr>
                <w:b/>
                <w:sz w:val="22"/>
                <w:szCs w:val="22"/>
              </w:rPr>
            </w:pPr>
          </w:p>
        </w:tc>
        <w:tc>
          <w:tcPr>
            <w:tcW w:w="1489" w:type="dxa"/>
          </w:tcPr>
          <w:p w14:paraId="16518D08" w14:textId="77777777" w:rsidR="008F54A4" w:rsidRPr="009526A6" w:rsidRDefault="008F54A4" w:rsidP="008F54A4">
            <w:pPr>
              <w:tabs>
                <w:tab w:val="left" w:pos="360"/>
              </w:tabs>
              <w:jc w:val="center"/>
              <w:rPr>
                <w:b/>
                <w:sz w:val="22"/>
                <w:szCs w:val="22"/>
              </w:rPr>
            </w:pPr>
            <w:r w:rsidRPr="009526A6">
              <w:rPr>
                <w:b/>
                <w:sz w:val="22"/>
                <w:szCs w:val="22"/>
              </w:rPr>
              <w:t>√</w:t>
            </w:r>
          </w:p>
        </w:tc>
      </w:tr>
      <w:tr w:rsidR="008F54A4" w:rsidRPr="009526A6" w14:paraId="3338F2C9" w14:textId="77777777" w:rsidTr="008F54A4">
        <w:trPr>
          <w:jc w:val="center"/>
        </w:trPr>
        <w:tc>
          <w:tcPr>
            <w:tcW w:w="2700" w:type="dxa"/>
          </w:tcPr>
          <w:p w14:paraId="6E6F78A2" w14:textId="77777777" w:rsidR="008F54A4" w:rsidRPr="009526A6" w:rsidRDefault="008F54A4" w:rsidP="008F54A4">
            <w:pPr>
              <w:tabs>
                <w:tab w:val="left" w:pos="360"/>
              </w:tabs>
              <w:jc w:val="both"/>
              <w:rPr>
                <w:sz w:val="22"/>
                <w:szCs w:val="22"/>
              </w:rPr>
            </w:pPr>
            <w:r w:rsidRPr="009526A6">
              <w:rPr>
                <w:sz w:val="22"/>
                <w:szCs w:val="22"/>
              </w:rPr>
              <w:t>Foreign currency</w:t>
            </w:r>
          </w:p>
        </w:tc>
        <w:tc>
          <w:tcPr>
            <w:tcW w:w="1391" w:type="dxa"/>
          </w:tcPr>
          <w:p w14:paraId="4573C4FB" w14:textId="77777777" w:rsidR="008F54A4" w:rsidRPr="009526A6" w:rsidRDefault="008F54A4" w:rsidP="008F54A4">
            <w:pPr>
              <w:tabs>
                <w:tab w:val="left" w:pos="360"/>
              </w:tabs>
              <w:jc w:val="center"/>
              <w:rPr>
                <w:b/>
                <w:sz w:val="22"/>
                <w:szCs w:val="22"/>
              </w:rPr>
            </w:pPr>
            <w:r w:rsidRPr="009526A6">
              <w:rPr>
                <w:b/>
                <w:sz w:val="22"/>
                <w:szCs w:val="22"/>
              </w:rPr>
              <w:t>√</w:t>
            </w:r>
          </w:p>
        </w:tc>
        <w:tc>
          <w:tcPr>
            <w:tcW w:w="1489" w:type="dxa"/>
          </w:tcPr>
          <w:p w14:paraId="05589AD8" w14:textId="77777777" w:rsidR="008F54A4" w:rsidRPr="009526A6" w:rsidRDefault="008F54A4" w:rsidP="008F54A4">
            <w:pPr>
              <w:tabs>
                <w:tab w:val="left" w:pos="360"/>
              </w:tabs>
              <w:jc w:val="center"/>
              <w:rPr>
                <w:b/>
                <w:sz w:val="22"/>
                <w:szCs w:val="22"/>
              </w:rPr>
            </w:pPr>
            <w:r w:rsidRPr="009526A6">
              <w:rPr>
                <w:b/>
                <w:sz w:val="22"/>
                <w:szCs w:val="22"/>
              </w:rPr>
              <w:t>√</w:t>
            </w:r>
          </w:p>
        </w:tc>
      </w:tr>
    </w:tbl>
    <w:p w14:paraId="2AC6EA34" w14:textId="77777777" w:rsidR="008F54A4" w:rsidRPr="009526A6" w:rsidRDefault="008F54A4" w:rsidP="008F54A4">
      <w:pPr>
        <w:tabs>
          <w:tab w:val="left" w:pos="360"/>
        </w:tabs>
        <w:jc w:val="both"/>
      </w:pPr>
    </w:p>
    <w:p w14:paraId="2C1396EC" w14:textId="7C218318" w:rsidR="008F54A4" w:rsidRPr="009526A6" w:rsidRDefault="00A43011" w:rsidP="008F54A4">
      <w:pPr>
        <w:tabs>
          <w:tab w:val="left" w:pos="360"/>
        </w:tabs>
        <w:jc w:val="both"/>
        <w:rPr>
          <w:sz w:val="22"/>
          <w:szCs w:val="22"/>
        </w:rPr>
      </w:pPr>
      <w:r w:rsidRPr="009526A6">
        <w:rPr>
          <w:sz w:val="22"/>
          <w:szCs w:val="22"/>
        </w:rPr>
        <w:t xml:space="preserve">The </w:t>
      </w:r>
      <w:r w:rsidR="00F41164" w:rsidRPr="009526A6">
        <w:rPr>
          <w:sz w:val="22"/>
          <w:szCs w:val="22"/>
        </w:rPr>
        <w:t>GASB Cod. I50.735-1</w:t>
      </w:r>
      <w:r w:rsidR="008F54A4" w:rsidRPr="009526A6">
        <w:rPr>
          <w:sz w:val="22"/>
          <w:szCs w:val="22"/>
        </w:rPr>
        <w:t xml:space="preserve"> implies the Ohio Revised Code is a source of policies requiring GASB </w:t>
      </w:r>
      <w:r w:rsidR="00564E18" w:rsidRPr="009526A6">
        <w:rPr>
          <w:sz w:val="22"/>
          <w:szCs w:val="22"/>
        </w:rPr>
        <w:t xml:space="preserve">Statement No. </w:t>
      </w:r>
      <w:r w:rsidR="008F54A4" w:rsidRPr="009526A6">
        <w:rPr>
          <w:sz w:val="22"/>
          <w:szCs w:val="22"/>
        </w:rPr>
        <w:t xml:space="preserve">40 disclosure.  A summary of Ohio Rev. Code requirements related to the </w:t>
      </w:r>
      <w:r w:rsidR="00A212E5" w:rsidRPr="009526A6">
        <w:rPr>
          <w:sz w:val="22"/>
          <w:szCs w:val="22"/>
        </w:rPr>
        <w:t xml:space="preserve">risk disclosures of GASB Cod. </w:t>
      </w:r>
      <w:r w:rsidR="00BF440C" w:rsidRPr="0001519C">
        <w:rPr>
          <w:sz w:val="22"/>
          <w:szCs w:val="22"/>
        </w:rPr>
        <w:t>I50.</w:t>
      </w:r>
      <w:r w:rsidR="00BF440C" w:rsidRPr="00BF440C">
        <w:rPr>
          <w:sz w:val="22"/>
          <w:szCs w:val="22"/>
          <w:u w:val="wave"/>
        </w:rPr>
        <w:t>152 - .158</w:t>
      </w:r>
      <w:r w:rsidR="00BF440C">
        <w:rPr>
          <w:sz w:val="22"/>
          <w:szCs w:val="22"/>
        </w:rPr>
        <w:t xml:space="preserve">  </w:t>
      </w:r>
      <w:r w:rsidR="00942966" w:rsidRPr="00DB3FC8">
        <w:rPr>
          <w:strike/>
          <w:sz w:val="22"/>
          <w:szCs w:val="22"/>
        </w:rPr>
        <w:t>137-.143</w:t>
      </w:r>
      <w:r w:rsidR="008F54A4" w:rsidRPr="009526A6">
        <w:rPr>
          <w:sz w:val="22"/>
          <w:szCs w:val="22"/>
        </w:rPr>
        <w:t xml:space="preserve"> follows.</w:t>
      </w:r>
    </w:p>
    <w:p w14:paraId="0691A0E6" w14:textId="77777777" w:rsidR="008F54A4" w:rsidRPr="009526A6" w:rsidRDefault="008F54A4" w:rsidP="008F54A4">
      <w:pPr>
        <w:tabs>
          <w:tab w:val="left" w:pos="360"/>
        </w:tabs>
        <w:jc w:val="both"/>
        <w:rPr>
          <w:sz w:val="22"/>
          <w:szCs w:val="22"/>
        </w:rPr>
      </w:pPr>
    </w:p>
    <w:p w14:paraId="1BD63DC5" w14:textId="77777777" w:rsidR="008F54A4" w:rsidRPr="009526A6" w:rsidRDefault="008F54A4" w:rsidP="008F54A4">
      <w:pPr>
        <w:tabs>
          <w:tab w:val="left" w:pos="360"/>
        </w:tabs>
        <w:jc w:val="both"/>
        <w:rPr>
          <w:sz w:val="22"/>
          <w:szCs w:val="22"/>
        </w:rPr>
      </w:pPr>
      <w:r w:rsidRPr="009526A6">
        <w:rPr>
          <w:sz w:val="22"/>
          <w:szCs w:val="22"/>
        </w:rPr>
        <w:t xml:space="preserve">The Ohio Rev. Code is not the only source of potential policies requiring disclosure.  For example, locally adopted policies and charter provisions may also contain policies requiring disclosure.  Financial statement preparers must read GASB </w:t>
      </w:r>
      <w:r w:rsidR="00564E18" w:rsidRPr="009526A6">
        <w:rPr>
          <w:sz w:val="22"/>
          <w:szCs w:val="22"/>
        </w:rPr>
        <w:t xml:space="preserve">Statement No. </w:t>
      </w:r>
      <w:r w:rsidRPr="009526A6">
        <w:rPr>
          <w:sz w:val="22"/>
          <w:szCs w:val="22"/>
        </w:rPr>
        <w:t xml:space="preserve">40 and should refer to the CIG for more information when preparing GASB </w:t>
      </w:r>
      <w:r w:rsidR="00564E18" w:rsidRPr="009526A6">
        <w:rPr>
          <w:sz w:val="22"/>
          <w:szCs w:val="22"/>
        </w:rPr>
        <w:t xml:space="preserve">Statement No. </w:t>
      </w:r>
      <w:r w:rsidRPr="009526A6">
        <w:rPr>
          <w:sz w:val="22"/>
          <w:szCs w:val="22"/>
        </w:rPr>
        <w:t>40 disclosures.</w:t>
      </w:r>
    </w:p>
    <w:p w14:paraId="050C7A79" w14:textId="77777777" w:rsidR="008F54A4" w:rsidRPr="00432648" w:rsidRDefault="008F54A4" w:rsidP="008F54A4">
      <w:pPr>
        <w:tabs>
          <w:tab w:val="left" w:pos="360"/>
        </w:tabs>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530"/>
        <w:gridCol w:w="8280"/>
        <w:gridCol w:w="2430"/>
      </w:tblGrid>
      <w:tr w:rsidR="00947597" w:rsidRPr="00476AD1" w14:paraId="74ABD23D" w14:textId="77777777" w:rsidTr="00CF46C9">
        <w:trPr>
          <w:jc w:val="center"/>
        </w:trPr>
        <w:tc>
          <w:tcPr>
            <w:tcW w:w="1705" w:type="dxa"/>
            <w:shd w:val="clear" w:color="auto" w:fill="4F81BD" w:themeFill="accent1"/>
          </w:tcPr>
          <w:p w14:paraId="4AC32782" w14:textId="77777777" w:rsidR="00947597" w:rsidRPr="00DB24AE" w:rsidRDefault="00947597" w:rsidP="008E6EA8">
            <w:pPr>
              <w:tabs>
                <w:tab w:val="left" w:pos="360"/>
              </w:tabs>
              <w:jc w:val="center"/>
              <w:rPr>
                <w:b/>
                <w:color w:val="FFFFFF" w:themeColor="background1"/>
                <w:sz w:val="22"/>
                <w:szCs w:val="22"/>
              </w:rPr>
            </w:pPr>
            <w:r w:rsidRPr="00DB24AE">
              <w:rPr>
                <w:b/>
                <w:color w:val="FFFFFF" w:themeColor="background1"/>
                <w:sz w:val="22"/>
                <w:szCs w:val="22"/>
              </w:rPr>
              <w:t>Ohio Rev. Code Section</w:t>
            </w:r>
          </w:p>
        </w:tc>
        <w:tc>
          <w:tcPr>
            <w:tcW w:w="1530" w:type="dxa"/>
            <w:shd w:val="clear" w:color="auto" w:fill="4F81BD" w:themeFill="accent1"/>
          </w:tcPr>
          <w:p w14:paraId="3BCF7EDE" w14:textId="77777777" w:rsidR="00947597" w:rsidRPr="00DB24AE" w:rsidRDefault="00947597" w:rsidP="008E6EA8">
            <w:pPr>
              <w:tabs>
                <w:tab w:val="left" w:pos="360"/>
              </w:tabs>
              <w:jc w:val="center"/>
              <w:rPr>
                <w:b/>
                <w:color w:val="FFFFFF" w:themeColor="background1"/>
                <w:sz w:val="22"/>
                <w:szCs w:val="22"/>
              </w:rPr>
            </w:pPr>
          </w:p>
          <w:p w14:paraId="2242DFEB" w14:textId="77777777" w:rsidR="00947597" w:rsidRPr="00DB24AE" w:rsidRDefault="00947597" w:rsidP="008E6EA8">
            <w:pPr>
              <w:tabs>
                <w:tab w:val="left" w:pos="360"/>
              </w:tabs>
              <w:jc w:val="center"/>
              <w:rPr>
                <w:b/>
                <w:color w:val="FFFFFF" w:themeColor="background1"/>
                <w:sz w:val="22"/>
                <w:szCs w:val="22"/>
              </w:rPr>
            </w:pPr>
            <w:r w:rsidRPr="00DB24AE">
              <w:rPr>
                <w:b/>
                <w:color w:val="FFFFFF" w:themeColor="background1"/>
                <w:sz w:val="22"/>
                <w:szCs w:val="22"/>
              </w:rPr>
              <w:t>OCS Step</w:t>
            </w:r>
          </w:p>
        </w:tc>
        <w:tc>
          <w:tcPr>
            <w:tcW w:w="8280" w:type="dxa"/>
            <w:shd w:val="clear" w:color="auto" w:fill="4F81BD" w:themeFill="accent1"/>
          </w:tcPr>
          <w:p w14:paraId="7A9508F8" w14:textId="77777777" w:rsidR="00947597" w:rsidRPr="00DB24AE" w:rsidRDefault="00947597" w:rsidP="008E6EA8">
            <w:pPr>
              <w:tabs>
                <w:tab w:val="left" w:pos="360"/>
              </w:tabs>
              <w:jc w:val="center"/>
              <w:rPr>
                <w:b/>
                <w:color w:val="FFFFFF" w:themeColor="background1"/>
                <w:sz w:val="22"/>
                <w:szCs w:val="22"/>
              </w:rPr>
            </w:pPr>
          </w:p>
          <w:p w14:paraId="428600B0" w14:textId="77777777" w:rsidR="00947597" w:rsidRPr="00DB24AE" w:rsidRDefault="00947597" w:rsidP="008E6EA8">
            <w:pPr>
              <w:tabs>
                <w:tab w:val="left" w:pos="360"/>
              </w:tabs>
              <w:jc w:val="center"/>
              <w:rPr>
                <w:b/>
                <w:color w:val="FFFFFF" w:themeColor="background1"/>
                <w:sz w:val="22"/>
                <w:szCs w:val="22"/>
              </w:rPr>
            </w:pPr>
            <w:r w:rsidRPr="00DB24AE">
              <w:rPr>
                <w:b/>
                <w:color w:val="FFFFFF" w:themeColor="background1"/>
                <w:sz w:val="22"/>
                <w:szCs w:val="22"/>
              </w:rPr>
              <w:t>Requirement</w:t>
            </w:r>
          </w:p>
        </w:tc>
        <w:tc>
          <w:tcPr>
            <w:tcW w:w="2430" w:type="dxa"/>
            <w:shd w:val="clear" w:color="auto" w:fill="4F81BD" w:themeFill="accent1"/>
          </w:tcPr>
          <w:p w14:paraId="29D53DAD" w14:textId="77777777" w:rsidR="00947597" w:rsidRPr="00DB24AE" w:rsidRDefault="00947597" w:rsidP="008F54A4">
            <w:pPr>
              <w:tabs>
                <w:tab w:val="left" w:pos="360"/>
              </w:tabs>
              <w:jc w:val="center"/>
              <w:rPr>
                <w:b/>
                <w:color w:val="FFFFFF" w:themeColor="background1"/>
                <w:sz w:val="22"/>
                <w:szCs w:val="22"/>
              </w:rPr>
            </w:pPr>
            <w:r w:rsidRPr="00DB24AE">
              <w:rPr>
                <w:b/>
                <w:color w:val="FFFFFF" w:themeColor="background1"/>
                <w:sz w:val="22"/>
                <w:szCs w:val="22"/>
              </w:rPr>
              <w:t>Related GASB 40 Risk</w:t>
            </w:r>
          </w:p>
        </w:tc>
      </w:tr>
      <w:tr w:rsidR="008F54A4" w:rsidRPr="00476AD1" w14:paraId="61773EA0" w14:textId="77777777" w:rsidTr="00CF46C9">
        <w:trPr>
          <w:jc w:val="center"/>
        </w:trPr>
        <w:tc>
          <w:tcPr>
            <w:tcW w:w="1705" w:type="dxa"/>
          </w:tcPr>
          <w:p w14:paraId="7EAD576E" w14:textId="77777777" w:rsidR="008F54A4" w:rsidRPr="00791FE1" w:rsidRDefault="009B4BF1" w:rsidP="008F54A4">
            <w:pPr>
              <w:tabs>
                <w:tab w:val="left" w:pos="360"/>
              </w:tabs>
              <w:rPr>
                <w:sz w:val="22"/>
                <w:szCs w:val="22"/>
              </w:rPr>
            </w:pPr>
            <w:r>
              <w:rPr>
                <w:sz w:val="22"/>
                <w:szCs w:val="22"/>
              </w:rPr>
              <w:t>§ 1</w:t>
            </w:r>
            <w:r w:rsidR="003320C3" w:rsidRPr="00791FE1">
              <w:rPr>
                <w:sz w:val="22"/>
                <w:szCs w:val="22"/>
              </w:rPr>
              <w:t>35.01(O)</w:t>
            </w:r>
          </w:p>
          <w:p w14:paraId="5B001F1B"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35.35(A)(10)</w:t>
            </w:r>
          </w:p>
        </w:tc>
        <w:tc>
          <w:tcPr>
            <w:tcW w:w="1530" w:type="dxa"/>
          </w:tcPr>
          <w:p w14:paraId="2EB62A4C" w14:textId="7C1AF732" w:rsidR="008F54A4" w:rsidRPr="00002B69" w:rsidRDefault="00EE5CF9" w:rsidP="008F54A4">
            <w:pPr>
              <w:tabs>
                <w:tab w:val="left" w:pos="360"/>
              </w:tabs>
              <w:rPr>
                <w:sz w:val="22"/>
                <w:szCs w:val="22"/>
              </w:rPr>
            </w:pPr>
            <w:r w:rsidRPr="00002B69">
              <w:rPr>
                <w:sz w:val="22"/>
                <w:szCs w:val="22"/>
              </w:rPr>
              <w:t>2A-14</w:t>
            </w:r>
          </w:p>
          <w:p w14:paraId="1D817722" w14:textId="480B7F4D" w:rsidR="008F54A4" w:rsidRPr="00C80EF0" w:rsidRDefault="00EE5CF9" w:rsidP="008F54A4">
            <w:pPr>
              <w:tabs>
                <w:tab w:val="left" w:pos="360"/>
              </w:tabs>
              <w:rPr>
                <w:sz w:val="22"/>
                <w:szCs w:val="22"/>
              </w:rPr>
            </w:pPr>
            <w:r w:rsidRPr="00002B69">
              <w:rPr>
                <w:sz w:val="22"/>
                <w:szCs w:val="22"/>
              </w:rPr>
              <w:t>2A-18</w:t>
            </w:r>
          </w:p>
        </w:tc>
        <w:tc>
          <w:tcPr>
            <w:tcW w:w="8280" w:type="dxa"/>
          </w:tcPr>
          <w:p w14:paraId="0AC41ECF" w14:textId="0E79D064" w:rsidR="008F54A4" w:rsidRPr="00791FE1" w:rsidRDefault="008F54A4" w:rsidP="008F54A4">
            <w:pPr>
              <w:tabs>
                <w:tab w:val="left" w:pos="360"/>
              </w:tabs>
              <w:rPr>
                <w:sz w:val="22"/>
                <w:szCs w:val="22"/>
              </w:rPr>
            </w:pPr>
            <w:r w:rsidRPr="00476AD1">
              <w:rPr>
                <w:sz w:val="22"/>
                <w:szCs w:val="22"/>
              </w:rPr>
              <w:t xml:space="preserve">Per Ohio Rev. Code </w:t>
            </w:r>
            <w:r w:rsidR="009B4BF1">
              <w:rPr>
                <w:sz w:val="22"/>
                <w:szCs w:val="22"/>
              </w:rPr>
              <w:t>§ 1</w:t>
            </w:r>
            <w:r w:rsidRPr="00476AD1">
              <w:rPr>
                <w:sz w:val="22"/>
                <w:szCs w:val="22"/>
              </w:rPr>
              <w:t>35.01(O), no load money market funds must</w:t>
            </w:r>
            <w:r w:rsidR="00230DD8">
              <w:rPr>
                <w:sz w:val="22"/>
                <w:szCs w:val="22"/>
              </w:rPr>
              <w:t xml:space="preserve"> </w:t>
            </w:r>
            <w:r w:rsidR="00230DD8" w:rsidRPr="00B82F36">
              <w:rPr>
                <w:sz w:val="22"/>
                <w:szCs w:val="22"/>
              </w:rPr>
              <w:t xml:space="preserve">(1) be registered as investment </w:t>
            </w:r>
            <w:r w:rsidR="00230DD8" w:rsidRPr="00791FE1">
              <w:rPr>
                <w:sz w:val="22"/>
                <w:szCs w:val="22"/>
              </w:rPr>
              <w:t>companies under the Investment Company Act of 1940</w:t>
            </w:r>
            <w:r w:rsidR="003320C3" w:rsidRPr="00791FE1">
              <w:rPr>
                <w:sz w:val="22"/>
                <w:szCs w:val="22"/>
              </w:rPr>
              <w:t>,</w:t>
            </w:r>
            <w:r w:rsidR="00230DD8" w:rsidRPr="00791FE1">
              <w:rPr>
                <w:sz w:val="22"/>
                <w:szCs w:val="22"/>
              </w:rPr>
              <w:t xml:space="preserve"> </w:t>
            </w:r>
            <w:r w:rsidR="00AC6C8C" w:rsidRPr="00C909C3">
              <w:rPr>
                <w:sz w:val="22"/>
                <w:szCs w:val="22"/>
              </w:rPr>
              <w:t>(2)</w:t>
            </w:r>
            <w:r w:rsidR="00AC6C8C">
              <w:rPr>
                <w:sz w:val="22"/>
                <w:szCs w:val="22"/>
              </w:rPr>
              <w:t xml:space="preserve"> </w:t>
            </w:r>
            <w:r w:rsidRPr="00791FE1">
              <w:rPr>
                <w:sz w:val="22"/>
                <w:szCs w:val="22"/>
              </w:rPr>
              <w:t xml:space="preserve">have the highest credit rating issued by </w:t>
            </w:r>
            <w:r w:rsidR="00230DD8" w:rsidRPr="00791FE1">
              <w:rPr>
                <w:sz w:val="22"/>
                <w:szCs w:val="22"/>
              </w:rPr>
              <w:t xml:space="preserve">at least one </w:t>
            </w:r>
            <w:r w:rsidRPr="00791FE1">
              <w:rPr>
                <w:sz w:val="22"/>
                <w:szCs w:val="22"/>
              </w:rPr>
              <w:t xml:space="preserve">national </w:t>
            </w:r>
            <w:r w:rsidR="00AC6C8C" w:rsidRPr="00C909C3">
              <w:rPr>
                <w:sz w:val="22"/>
                <w:szCs w:val="22"/>
              </w:rPr>
              <w:t>statistical</w:t>
            </w:r>
            <w:r w:rsidR="00AC6C8C">
              <w:rPr>
                <w:sz w:val="22"/>
                <w:szCs w:val="22"/>
              </w:rPr>
              <w:t xml:space="preserve"> </w:t>
            </w:r>
            <w:r w:rsidR="00AC6C8C" w:rsidRPr="00C909C3">
              <w:rPr>
                <w:sz w:val="22"/>
                <w:szCs w:val="22"/>
              </w:rPr>
              <w:t>rating organization</w:t>
            </w:r>
            <w:r w:rsidR="00AC6C8C">
              <w:rPr>
                <w:sz w:val="22"/>
                <w:szCs w:val="22"/>
              </w:rPr>
              <w:t xml:space="preserve"> </w:t>
            </w:r>
            <w:r w:rsidR="003320C3" w:rsidRPr="00791FE1">
              <w:rPr>
                <w:sz w:val="22"/>
                <w:szCs w:val="22"/>
              </w:rPr>
              <w:t xml:space="preserve">and </w:t>
            </w:r>
            <w:r w:rsidR="00AC6C8C" w:rsidRPr="00C909C3">
              <w:rPr>
                <w:sz w:val="22"/>
                <w:szCs w:val="22"/>
              </w:rPr>
              <w:t>(3)</w:t>
            </w:r>
            <w:r w:rsidR="00AC6C8C">
              <w:rPr>
                <w:sz w:val="22"/>
                <w:szCs w:val="22"/>
              </w:rPr>
              <w:t xml:space="preserve"> </w:t>
            </w:r>
            <w:r w:rsidR="003320C3" w:rsidRPr="00791FE1">
              <w:rPr>
                <w:sz w:val="22"/>
                <w:szCs w:val="22"/>
              </w:rPr>
              <w:t>the fund does not include any investment in a derivative</w:t>
            </w:r>
            <w:r w:rsidRPr="00791FE1">
              <w:rPr>
                <w:sz w:val="22"/>
                <w:szCs w:val="22"/>
              </w:rPr>
              <w:t xml:space="preserve">.  </w:t>
            </w:r>
          </w:p>
          <w:p w14:paraId="20DE9B4E" w14:textId="3E07E09E" w:rsidR="008F54A4" w:rsidRPr="00476AD1" w:rsidRDefault="008F54A4" w:rsidP="001C04A2">
            <w:pPr>
              <w:tabs>
                <w:tab w:val="left" w:pos="360"/>
              </w:tabs>
              <w:rPr>
                <w:sz w:val="22"/>
                <w:szCs w:val="22"/>
              </w:rPr>
            </w:pPr>
            <w:r w:rsidRPr="00791FE1">
              <w:rPr>
                <w:sz w:val="22"/>
                <w:szCs w:val="22"/>
              </w:rPr>
              <w:t xml:space="preserve">(Note: Per </w:t>
            </w:r>
            <w:r w:rsidR="00F41164" w:rsidRPr="001C04A2">
              <w:rPr>
                <w:sz w:val="22"/>
                <w:szCs w:val="22"/>
              </w:rPr>
              <w:t>GASB Cod. I50.738-12</w:t>
            </w:r>
            <w:r w:rsidRPr="00476AD1">
              <w:rPr>
                <w:sz w:val="22"/>
                <w:szCs w:val="22"/>
              </w:rPr>
              <w:t>, governments should disclose the rating for mutual funds even if the fund limits investments to obligations the U.S. government guarantees, since it is the fund’s rating that is of concern, not its underlying investments.)</w:t>
            </w:r>
          </w:p>
        </w:tc>
        <w:tc>
          <w:tcPr>
            <w:tcW w:w="2430" w:type="dxa"/>
          </w:tcPr>
          <w:p w14:paraId="16F8CA58" w14:textId="77777777" w:rsidR="008F54A4" w:rsidRPr="00476AD1" w:rsidRDefault="008F54A4" w:rsidP="008F54A4">
            <w:pPr>
              <w:tabs>
                <w:tab w:val="left" w:pos="360"/>
              </w:tabs>
              <w:jc w:val="center"/>
              <w:rPr>
                <w:sz w:val="22"/>
                <w:szCs w:val="22"/>
              </w:rPr>
            </w:pPr>
            <w:r w:rsidRPr="00476AD1">
              <w:rPr>
                <w:sz w:val="22"/>
                <w:szCs w:val="22"/>
              </w:rPr>
              <w:t>Credit risk</w:t>
            </w:r>
          </w:p>
        </w:tc>
      </w:tr>
      <w:tr w:rsidR="008F54A4" w:rsidRPr="0094119F" w14:paraId="5E8D1046" w14:textId="77777777" w:rsidTr="00CF46C9">
        <w:trPr>
          <w:trHeight w:val="532"/>
          <w:jc w:val="center"/>
        </w:trPr>
        <w:tc>
          <w:tcPr>
            <w:tcW w:w="1705" w:type="dxa"/>
            <w:vMerge w:val="restart"/>
          </w:tcPr>
          <w:p w14:paraId="36AA63DB" w14:textId="77777777" w:rsidR="008F54A4" w:rsidRDefault="009B4BF1" w:rsidP="008F54A4">
            <w:pPr>
              <w:tabs>
                <w:tab w:val="left" w:pos="360"/>
              </w:tabs>
              <w:rPr>
                <w:sz w:val="22"/>
                <w:szCs w:val="22"/>
              </w:rPr>
            </w:pPr>
            <w:r>
              <w:rPr>
                <w:sz w:val="22"/>
                <w:szCs w:val="22"/>
              </w:rPr>
              <w:t>§ 1</w:t>
            </w:r>
            <w:r w:rsidR="008F54A4" w:rsidRPr="0094119F">
              <w:rPr>
                <w:sz w:val="22"/>
                <w:szCs w:val="22"/>
              </w:rPr>
              <w:t>35.14</w:t>
            </w:r>
          </w:p>
          <w:p w14:paraId="41C59955" w14:textId="77777777" w:rsidR="004B754E" w:rsidRPr="00A4412F" w:rsidRDefault="009B4BF1" w:rsidP="008F54A4">
            <w:pPr>
              <w:tabs>
                <w:tab w:val="left" w:pos="360"/>
              </w:tabs>
              <w:rPr>
                <w:sz w:val="22"/>
                <w:szCs w:val="22"/>
              </w:rPr>
            </w:pPr>
            <w:r>
              <w:rPr>
                <w:sz w:val="22"/>
                <w:szCs w:val="22"/>
              </w:rPr>
              <w:t>§ 1</w:t>
            </w:r>
            <w:r w:rsidR="00CE4113" w:rsidRPr="00A4412F">
              <w:rPr>
                <w:sz w:val="22"/>
                <w:szCs w:val="22"/>
              </w:rPr>
              <w:t>35.35 (A)(8)</w:t>
            </w:r>
          </w:p>
          <w:p w14:paraId="54982460" w14:textId="77777777" w:rsidR="008F54A4" w:rsidRPr="00791FE1" w:rsidRDefault="009B4BF1" w:rsidP="008F54A4">
            <w:pPr>
              <w:tabs>
                <w:tab w:val="left" w:pos="360"/>
              </w:tabs>
              <w:rPr>
                <w:sz w:val="22"/>
                <w:szCs w:val="22"/>
              </w:rPr>
            </w:pPr>
            <w:r>
              <w:rPr>
                <w:sz w:val="22"/>
                <w:szCs w:val="22"/>
              </w:rPr>
              <w:t>§ 1</w:t>
            </w:r>
            <w:r w:rsidR="008F54A4" w:rsidRPr="0094119F">
              <w:rPr>
                <w:sz w:val="22"/>
                <w:szCs w:val="22"/>
              </w:rPr>
              <w:t>35</w:t>
            </w:r>
            <w:r w:rsidR="008F54A4" w:rsidRPr="00791FE1">
              <w:rPr>
                <w:sz w:val="22"/>
                <w:szCs w:val="22"/>
              </w:rPr>
              <w:t>.35(C)</w:t>
            </w:r>
          </w:p>
          <w:p w14:paraId="6BB85030" w14:textId="77777777" w:rsidR="00381836" w:rsidRPr="00C909C3" w:rsidRDefault="009B4BF1" w:rsidP="008F54A4">
            <w:pPr>
              <w:tabs>
                <w:tab w:val="left" w:pos="360"/>
              </w:tabs>
              <w:rPr>
                <w:sz w:val="22"/>
                <w:szCs w:val="22"/>
              </w:rPr>
            </w:pPr>
            <w:r>
              <w:rPr>
                <w:sz w:val="22"/>
                <w:szCs w:val="22"/>
              </w:rPr>
              <w:t>§ 1</w:t>
            </w:r>
            <w:r w:rsidR="00381836" w:rsidRPr="00791FE1">
              <w:rPr>
                <w:sz w:val="22"/>
                <w:szCs w:val="22"/>
              </w:rPr>
              <w:t>35.35(N)(2)</w:t>
            </w:r>
          </w:p>
        </w:tc>
        <w:tc>
          <w:tcPr>
            <w:tcW w:w="1530" w:type="dxa"/>
            <w:vMerge w:val="restart"/>
          </w:tcPr>
          <w:p w14:paraId="18E92F0F" w14:textId="09F6C935" w:rsidR="00C80EF0" w:rsidRPr="00002B69" w:rsidRDefault="00EE5CF9" w:rsidP="00C80EF0">
            <w:pPr>
              <w:tabs>
                <w:tab w:val="left" w:pos="360"/>
              </w:tabs>
              <w:rPr>
                <w:sz w:val="22"/>
                <w:szCs w:val="22"/>
              </w:rPr>
            </w:pPr>
            <w:r w:rsidRPr="00002B69">
              <w:rPr>
                <w:sz w:val="22"/>
                <w:szCs w:val="22"/>
              </w:rPr>
              <w:t>2A-14</w:t>
            </w:r>
          </w:p>
          <w:p w14:paraId="44BF2266" w14:textId="2A7C51C0" w:rsidR="008F54A4" w:rsidRPr="00C80EF0" w:rsidRDefault="00EE5CF9" w:rsidP="00C80EF0">
            <w:pPr>
              <w:tabs>
                <w:tab w:val="left" w:pos="360"/>
              </w:tabs>
              <w:rPr>
                <w:sz w:val="22"/>
                <w:szCs w:val="22"/>
              </w:rPr>
            </w:pPr>
            <w:r w:rsidRPr="00002B69">
              <w:rPr>
                <w:sz w:val="22"/>
                <w:szCs w:val="22"/>
              </w:rPr>
              <w:t>2A-18</w:t>
            </w:r>
          </w:p>
        </w:tc>
        <w:tc>
          <w:tcPr>
            <w:tcW w:w="8280" w:type="dxa"/>
          </w:tcPr>
          <w:p w14:paraId="7397759F" w14:textId="77777777" w:rsidR="008F54A4" w:rsidRPr="00B82F36" w:rsidRDefault="008F54A4" w:rsidP="007955DE">
            <w:pPr>
              <w:pStyle w:val="ListParagraph"/>
              <w:numPr>
                <w:ilvl w:val="0"/>
                <w:numId w:val="23"/>
              </w:numPr>
              <w:tabs>
                <w:tab w:val="left" w:pos="360"/>
              </w:tabs>
              <w:contextualSpacing/>
              <w:rPr>
                <w:sz w:val="22"/>
                <w:szCs w:val="22"/>
              </w:rPr>
            </w:pPr>
            <w:r w:rsidRPr="0094119F">
              <w:rPr>
                <w:sz w:val="22"/>
                <w:szCs w:val="22"/>
              </w:rPr>
              <w:t>Investments generally must mature within 5 years of purchase.</w:t>
            </w:r>
            <w:r w:rsidRPr="0055755B">
              <w:rPr>
                <w:sz w:val="22"/>
                <w:szCs w:val="22"/>
              </w:rPr>
              <w:t xml:space="preserve"> </w:t>
            </w:r>
          </w:p>
          <w:p w14:paraId="14885B69" w14:textId="77777777" w:rsidR="008F54A4" w:rsidRPr="0094119F" w:rsidRDefault="008F54A4" w:rsidP="00791FE1">
            <w:pPr>
              <w:numPr>
                <w:ilvl w:val="0"/>
                <w:numId w:val="22"/>
              </w:numPr>
              <w:tabs>
                <w:tab w:val="left" w:pos="1080"/>
              </w:tabs>
              <w:jc w:val="both"/>
              <w:rPr>
                <w:sz w:val="22"/>
                <w:szCs w:val="22"/>
              </w:rPr>
            </w:pPr>
            <w:r w:rsidRPr="0094119F">
              <w:rPr>
                <w:sz w:val="22"/>
                <w:szCs w:val="22"/>
              </w:rPr>
              <w:t>A county may</w:t>
            </w:r>
            <w:r w:rsidRPr="00791FE1">
              <w:rPr>
                <w:sz w:val="22"/>
                <w:szCs w:val="22"/>
              </w:rPr>
              <w:t xml:space="preserve"> hold investments </w:t>
            </w:r>
            <w:r w:rsidR="00942966" w:rsidRPr="00791FE1">
              <w:rPr>
                <w:sz w:val="22"/>
                <w:szCs w:val="22"/>
              </w:rPr>
              <w:t>acquired</w:t>
            </w:r>
            <w:r w:rsidR="00381836" w:rsidRPr="00791FE1">
              <w:rPr>
                <w:sz w:val="22"/>
                <w:szCs w:val="22"/>
              </w:rPr>
              <w:t xml:space="preserve"> before </w:t>
            </w:r>
            <w:r w:rsidRPr="00791FE1">
              <w:rPr>
                <w:sz w:val="22"/>
                <w:szCs w:val="22"/>
              </w:rPr>
              <w:t>9</w:t>
            </w:r>
            <w:r w:rsidRPr="0094119F">
              <w:rPr>
                <w:sz w:val="22"/>
                <w:szCs w:val="22"/>
              </w:rPr>
              <w:t>/10/12 until their maturity.</w:t>
            </w:r>
          </w:p>
        </w:tc>
        <w:tc>
          <w:tcPr>
            <w:tcW w:w="2430" w:type="dxa"/>
          </w:tcPr>
          <w:p w14:paraId="4E278E5B"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4C9C7B4D" w14:textId="77777777" w:rsidTr="00CF46C9">
        <w:trPr>
          <w:trHeight w:val="532"/>
          <w:jc w:val="center"/>
        </w:trPr>
        <w:tc>
          <w:tcPr>
            <w:tcW w:w="1705" w:type="dxa"/>
            <w:vMerge/>
          </w:tcPr>
          <w:p w14:paraId="64B637C0" w14:textId="77777777" w:rsidR="008F54A4" w:rsidRPr="0094119F" w:rsidRDefault="008F54A4" w:rsidP="008F54A4">
            <w:pPr>
              <w:tabs>
                <w:tab w:val="left" w:pos="360"/>
              </w:tabs>
              <w:rPr>
                <w:sz w:val="22"/>
                <w:szCs w:val="22"/>
              </w:rPr>
            </w:pPr>
          </w:p>
        </w:tc>
        <w:tc>
          <w:tcPr>
            <w:tcW w:w="1530" w:type="dxa"/>
            <w:vMerge/>
          </w:tcPr>
          <w:p w14:paraId="3D85B749" w14:textId="77777777" w:rsidR="008F54A4" w:rsidRPr="00C80EF0" w:rsidRDefault="008F54A4" w:rsidP="008F54A4">
            <w:pPr>
              <w:tabs>
                <w:tab w:val="left" w:pos="360"/>
              </w:tabs>
              <w:rPr>
                <w:sz w:val="22"/>
                <w:szCs w:val="22"/>
              </w:rPr>
            </w:pPr>
          </w:p>
        </w:tc>
        <w:tc>
          <w:tcPr>
            <w:tcW w:w="8280" w:type="dxa"/>
          </w:tcPr>
          <w:p w14:paraId="4DD552FF" w14:textId="77777777" w:rsidR="00381836" w:rsidRPr="00A70F9D" w:rsidRDefault="00A43011" w:rsidP="007955DE">
            <w:pPr>
              <w:pStyle w:val="FootnoteText"/>
              <w:numPr>
                <w:ilvl w:val="0"/>
                <w:numId w:val="24"/>
              </w:numPr>
              <w:rPr>
                <w:sz w:val="22"/>
                <w:szCs w:val="22"/>
              </w:rPr>
            </w:pPr>
            <w:r w:rsidRPr="00F430C5">
              <w:rPr>
                <w:sz w:val="22"/>
                <w:szCs w:val="22"/>
              </w:rPr>
              <w:t>A</w:t>
            </w:r>
            <w:r w:rsidR="008F54A4" w:rsidRPr="00F430C5">
              <w:rPr>
                <w:sz w:val="22"/>
                <w:szCs w:val="22"/>
              </w:rPr>
              <w:t xml:space="preserve">fter an affirmative vote of the County’s investment Advisory Committee, the portfolio can be invested in securities that mature longer than </w:t>
            </w:r>
            <w:r w:rsidR="00CE4113" w:rsidRPr="00F430C5">
              <w:rPr>
                <w:sz w:val="22"/>
                <w:szCs w:val="22"/>
              </w:rPr>
              <w:t>five ye</w:t>
            </w:r>
            <w:r w:rsidR="008F54A4" w:rsidRPr="00F430C5">
              <w:rPr>
                <w:sz w:val="22"/>
                <w:szCs w:val="22"/>
              </w:rPr>
              <w:t>ars (</w:t>
            </w:r>
            <w:r w:rsidR="009E75D3" w:rsidRPr="00F430C5">
              <w:rPr>
                <w:sz w:val="22"/>
                <w:szCs w:val="22"/>
              </w:rPr>
              <w:t>Ohio Rev. Code §</w:t>
            </w:r>
            <w:r w:rsidR="008F54A4" w:rsidRPr="00F430C5">
              <w:rPr>
                <w:sz w:val="22"/>
                <w:szCs w:val="22"/>
              </w:rPr>
              <w:t xml:space="preserve"> 135.35(</w:t>
            </w:r>
            <w:r w:rsidR="00CE4113" w:rsidRPr="00F430C5">
              <w:rPr>
                <w:sz w:val="22"/>
                <w:szCs w:val="22"/>
              </w:rPr>
              <w:t>C</w:t>
            </w:r>
            <w:r w:rsidR="008F54A4" w:rsidRPr="00F430C5">
              <w:rPr>
                <w:sz w:val="22"/>
                <w:szCs w:val="22"/>
              </w:rPr>
              <w:t>)).</w:t>
            </w:r>
            <w:r w:rsidR="00381836" w:rsidRPr="00A70F9D">
              <w:rPr>
                <w:sz w:val="22"/>
                <w:szCs w:val="22"/>
              </w:rPr>
              <w:t xml:space="preserve"> </w:t>
            </w:r>
          </w:p>
          <w:p w14:paraId="0BDDD48F" w14:textId="0D967CEF" w:rsidR="008F54A4" w:rsidRPr="00F430C5" w:rsidRDefault="00F430C5" w:rsidP="005E3E8E">
            <w:pPr>
              <w:pStyle w:val="FootnoteText"/>
              <w:rPr>
                <w:strike/>
                <w:sz w:val="22"/>
                <w:szCs w:val="22"/>
              </w:rPr>
            </w:pPr>
            <w:r w:rsidRPr="005E3E8E">
              <w:rPr>
                <w:sz w:val="22"/>
                <w:szCs w:val="22"/>
              </w:rPr>
              <w:t xml:space="preserve">Permits up to </w:t>
            </w:r>
            <w:r w:rsidR="008C7249" w:rsidRPr="005E3E8E">
              <w:rPr>
                <w:sz w:val="22"/>
                <w:szCs w:val="22"/>
              </w:rPr>
              <w:t>40</w:t>
            </w:r>
            <w:r w:rsidRPr="005E3E8E">
              <w:rPr>
                <w:sz w:val="22"/>
                <w:szCs w:val="22"/>
              </w:rPr>
              <w:t xml:space="preserve">% of the county’s </w:t>
            </w:r>
            <w:r w:rsidR="00A77EB5" w:rsidRPr="005E3E8E">
              <w:rPr>
                <w:sz w:val="22"/>
                <w:szCs w:val="22"/>
              </w:rPr>
              <w:t xml:space="preserve">total </w:t>
            </w:r>
            <w:r w:rsidRPr="005E3E8E">
              <w:rPr>
                <w:sz w:val="22"/>
                <w:szCs w:val="22"/>
              </w:rPr>
              <w:t xml:space="preserve">average portfolio invested in </w:t>
            </w:r>
            <w:r w:rsidR="00381836" w:rsidRPr="005E3E8E">
              <w:rPr>
                <w:sz w:val="22"/>
                <w:szCs w:val="22"/>
              </w:rPr>
              <w:t xml:space="preserve">commercial paper notes that has assets exceeding five hundred million </w:t>
            </w:r>
            <w:proofErr w:type="gramStart"/>
            <w:r w:rsidR="00381836" w:rsidRPr="005E3E8E">
              <w:rPr>
                <w:sz w:val="22"/>
                <w:szCs w:val="22"/>
              </w:rPr>
              <w:t>dollar</w:t>
            </w:r>
            <w:proofErr w:type="gramEnd"/>
            <w:r w:rsidR="00381836" w:rsidRPr="005E3E8E">
              <w:rPr>
                <w:sz w:val="22"/>
                <w:szCs w:val="22"/>
              </w:rPr>
              <w:t xml:space="preserve"> and are rated in the highest classification established by at least two nationally recognized </w:t>
            </w:r>
            <w:r w:rsidR="00B21E2A" w:rsidRPr="00C909C3">
              <w:rPr>
                <w:sz w:val="22"/>
                <w:szCs w:val="22"/>
              </w:rPr>
              <w:t xml:space="preserve">statistical </w:t>
            </w:r>
            <w:r w:rsidR="00381836" w:rsidRPr="005E3E8E">
              <w:rPr>
                <w:sz w:val="22"/>
                <w:szCs w:val="22"/>
              </w:rPr>
              <w:t xml:space="preserve">rating </w:t>
            </w:r>
            <w:r w:rsidR="00B21E2A" w:rsidRPr="00C909C3">
              <w:rPr>
                <w:sz w:val="22"/>
                <w:szCs w:val="22"/>
              </w:rPr>
              <w:t>organizations</w:t>
            </w:r>
            <w:r w:rsidR="00381836" w:rsidRPr="005E3E8E">
              <w:rPr>
                <w:sz w:val="22"/>
                <w:szCs w:val="22"/>
              </w:rPr>
              <w:t xml:space="preserve">, aggregate value does not exceed 10% of outstanding commercial paper of the issuing corporation and mature not later than 270 days after purchase. </w:t>
            </w:r>
            <w:r w:rsidRPr="005E3E8E">
              <w:rPr>
                <w:sz w:val="22"/>
                <w:szCs w:val="22"/>
              </w:rPr>
              <w:t xml:space="preserve"> </w:t>
            </w:r>
            <w:r w:rsidR="00397128" w:rsidRPr="005E3E8E">
              <w:rPr>
                <w:sz w:val="22"/>
                <w:szCs w:val="22"/>
              </w:rPr>
              <w:t xml:space="preserve">The investment in commercial paper notes of a single issuer shall not exceed in the aggregate </w:t>
            </w:r>
            <w:r w:rsidR="008C7249" w:rsidRPr="005E3E8E">
              <w:rPr>
                <w:sz w:val="22"/>
                <w:szCs w:val="22"/>
              </w:rPr>
              <w:t xml:space="preserve">five per </w:t>
            </w:r>
            <w:r w:rsidR="00397128" w:rsidRPr="005E3E8E">
              <w:rPr>
                <w:sz w:val="22"/>
                <w:szCs w:val="22"/>
              </w:rPr>
              <w:t xml:space="preserve">cent of interim </w:t>
            </w:r>
            <w:proofErr w:type="gramStart"/>
            <w:r w:rsidR="00397128" w:rsidRPr="005E3E8E">
              <w:rPr>
                <w:sz w:val="22"/>
                <w:szCs w:val="22"/>
              </w:rPr>
              <w:t>moneys</w:t>
            </w:r>
            <w:proofErr w:type="gramEnd"/>
            <w:r w:rsidR="00397128" w:rsidRPr="005E3E8E">
              <w:rPr>
                <w:sz w:val="22"/>
                <w:szCs w:val="22"/>
              </w:rPr>
              <w:t xml:space="preserve"> available for investment at the time of purchase. </w:t>
            </w:r>
            <w:r w:rsidRPr="00F430C5">
              <w:rPr>
                <w:sz w:val="22"/>
                <w:szCs w:val="22"/>
              </w:rPr>
              <w:t>(Ohio Rev. Code § 135.35(</w:t>
            </w:r>
            <w:r>
              <w:rPr>
                <w:sz w:val="22"/>
                <w:szCs w:val="22"/>
              </w:rPr>
              <w:t>A</w:t>
            </w:r>
            <w:r w:rsidRPr="00F430C5">
              <w:rPr>
                <w:sz w:val="22"/>
                <w:szCs w:val="22"/>
              </w:rPr>
              <w:t>)</w:t>
            </w:r>
            <w:r>
              <w:rPr>
                <w:sz w:val="22"/>
                <w:szCs w:val="22"/>
              </w:rPr>
              <w:t>(8)</w:t>
            </w:r>
            <w:r w:rsidR="008C7249">
              <w:rPr>
                <w:sz w:val="22"/>
                <w:szCs w:val="22"/>
              </w:rPr>
              <w:t>(a)(iv)</w:t>
            </w:r>
            <w:r w:rsidRPr="00F430C5">
              <w:rPr>
                <w:sz w:val="22"/>
                <w:szCs w:val="22"/>
              </w:rPr>
              <w:t>).</w:t>
            </w:r>
          </w:p>
        </w:tc>
        <w:tc>
          <w:tcPr>
            <w:tcW w:w="2430" w:type="dxa"/>
          </w:tcPr>
          <w:p w14:paraId="58303635" w14:textId="77777777" w:rsidR="008F54A4" w:rsidRPr="0094119F" w:rsidRDefault="008F54A4" w:rsidP="008F54A4">
            <w:pPr>
              <w:tabs>
                <w:tab w:val="left" w:pos="360"/>
              </w:tabs>
              <w:jc w:val="center"/>
              <w:rPr>
                <w:sz w:val="22"/>
                <w:szCs w:val="22"/>
              </w:rPr>
            </w:pPr>
            <w:r w:rsidRPr="0094119F">
              <w:rPr>
                <w:sz w:val="22"/>
                <w:szCs w:val="22"/>
              </w:rPr>
              <w:t>Concentrations of credit</w:t>
            </w:r>
          </w:p>
        </w:tc>
      </w:tr>
      <w:tr w:rsidR="008F54A4" w:rsidRPr="0094119F" w14:paraId="0B1458B1" w14:textId="77777777" w:rsidTr="00CF46C9">
        <w:trPr>
          <w:jc w:val="center"/>
        </w:trPr>
        <w:tc>
          <w:tcPr>
            <w:tcW w:w="1705" w:type="dxa"/>
          </w:tcPr>
          <w:p w14:paraId="2A330FF7" w14:textId="77777777" w:rsidR="00B50791" w:rsidRPr="00791FE1" w:rsidRDefault="009B4BF1" w:rsidP="00B50791">
            <w:r>
              <w:rPr>
                <w:sz w:val="22"/>
                <w:szCs w:val="22"/>
              </w:rPr>
              <w:t>§ 1</w:t>
            </w:r>
            <w:r w:rsidR="00B50791" w:rsidRPr="00791FE1">
              <w:rPr>
                <w:sz w:val="22"/>
                <w:szCs w:val="22"/>
              </w:rPr>
              <w:t>35.14(E)</w:t>
            </w:r>
          </w:p>
          <w:p w14:paraId="03F84C27" w14:textId="77777777" w:rsidR="008F54A4" w:rsidRPr="00791FE1" w:rsidRDefault="009B4BF1" w:rsidP="00A77EB5">
            <w:r>
              <w:rPr>
                <w:sz w:val="22"/>
                <w:szCs w:val="22"/>
              </w:rPr>
              <w:t>§ 1</w:t>
            </w:r>
            <w:r w:rsidR="00B50791" w:rsidRPr="00791FE1">
              <w:rPr>
                <w:sz w:val="22"/>
                <w:szCs w:val="22"/>
              </w:rPr>
              <w:t>35.35(D)</w:t>
            </w:r>
          </w:p>
        </w:tc>
        <w:tc>
          <w:tcPr>
            <w:tcW w:w="1530" w:type="dxa"/>
          </w:tcPr>
          <w:p w14:paraId="5E92C570" w14:textId="7E58F2A9" w:rsidR="003F5229" w:rsidRPr="00002B69" w:rsidRDefault="003F5229" w:rsidP="003F5229">
            <w:pPr>
              <w:tabs>
                <w:tab w:val="left" w:pos="360"/>
              </w:tabs>
              <w:rPr>
                <w:sz w:val="22"/>
                <w:szCs w:val="22"/>
              </w:rPr>
            </w:pPr>
            <w:r w:rsidRPr="00002B69">
              <w:rPr>
                <w:sz w:val="22"/>
                <w:szCs w:val="22"/>
              </w:rPr>
              <w:t xml:space="preserve">2A-14 </w:t>
            </w:r>
          </w:p>
          <w:p w14:paraId="53FB31F5" w14:textId="2C15414E" w:rsidR="008F54A4" w:rsidRPr="00002B69" w:rsidRDefault="003F5229" w:rsidP="003F5229">
            <w:pPr>
              <w:tabs>
                <w:tab w:val="left" w:pos="360"/>
              </w:tabs>
              <w:rPr>
                <w:sz w:val="22"/>
                <w:szCs w:val="22"/>
              </w:rPr>
            </w:pPr>
            <w:r w:rsidRPr="00002B69">
              <w:rPr>
                <w:sz w:val="22"/>
                <w:szCs w:val="22"/>
              </w:rPr>
              <w:t xml:space="preserve">2A-18 </w:t>
            </w:r>
          </w:p>
        </w:tc>
        <w:tc>
          <w:tcPr>
            <w:tcW w:w="8280" w:type="dxa"/>
          </w:tcPr>
          <w:p w14:paraId="66B8627D" w14:textId="77777777" w:rsidR="008F54A4" w:rsidRPr="0094119F" w:rsidRDefault="008F54A4" w:rsidP="008F54A4">
            <w:pPr>
              <w:tabs>
                <w:tab w:val="left" w:pos="360"/>
              </w:tabs>
              <w:rPr>
                <w:sz w:val="22"/>
                <w:szCs w:val="22"/>
              </w:rPr>
            </w:pPr>
            <w:r w:rsidRPr="0094119F">
              <w:rPr>
                <w:sz w:val="22"/>
                <w:szCs w:val="22"/>
              </w:rPr>
              <w:t>Repurchase agreements cannot exceed 30 days.</w:t>
            </w:r>
          </w:p>
        </w:tc>
        <w:tc>
          <w:tcPr>
            <w:tcW w:w="2430" w:type="dxa"/>
          </w:tcPr>
          <w:p w14:paraId="4AA7311F"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7F5FEC9E" w14:textId="77777777" w:rsidTr="00CF46C9">
        <w:trPr>
          <w:jc w:val="center"/>
        </w:trPr>
        <w:tc>
          <w:tcPr>
            <w:tcW w:w="1705" w:type="dxa"/>
          </w:tcPr>
          <w:p w14:paraId="269B3D64"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35.14</w:t>
            </w:r>
            <w:r w:rsidR="00243F50" w:rsidRPr="00791FE1">
              <w:rPr>
                <w:sz w:val="22"/>
                <w:szCs w:val="22"/>
              </w:rPr>
              <w:t>(E)</w:t>
            </w:r>
            <w:r w:rsidR="00A256D2" w:rsidRPr="00791FE1">
              <w:rPr>
                <w:sz w:val="22"/>
                <w:szCs w:val="22"/>
              </w:rPr>
              <w:t xml:space="preserve"> </w:t>
            </w:r>
          </w:p>
          <w:p w14:paraId="2C8EFCEC"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243F50" w:rsidRPr="00791FE1">
              <w:rPr>
                <w:sz w:val="22"/>
                <w:szCs w:val="22"/>
              </w:rPr>
              <w:t>(D)</w:t>
            </w:r>
          </w:p>
        </w:tc>
        <w:tc>
          <w:tcPr>
            <w:tcW w:w="1530" w:type="dxa"/>
          </w:tcPr>
          <w:p w14:paraId="0CE56873" w14:textId="429B8157" w:rsidR="003F5229" w:rsidRPr="00002B69" w:rsidRDefault="003F5229" w:rsidP="003F5229">
            <w:pPr>
              <w:tabs>
                <w:tab w:val="left" w:pos="360"/>
              </w:tabs>
              <w:rPr>
                <w:sz w:val="22"/>
                <w:szCs w:val="22"/>
              </w:rPr>
            </w:pPr>
            <w:r w:rsidRPr="00002B69">
              <w:rPr>
                <w:sz w:val="22"/>
                <w:szCs w:val="22"/>
              </w:rPr>
              <w:t>2A-14</w:t>
            </w:r>
          </w:p>
          <w:p w14:paraId="30523BEB" w14:textId="68F3ECA0" w:rsidR="008F54A4" w:rsidRPr="00002B69" w:rsidRDefault="003F5229" w:rsidP="003F5229">
            <w:pPr>
              <w:tabs>
                <w:tab w:val="left" w:pos="360"/>
              </w:tabs>
              <w:rPr>
                <w:sz w:val="22"/>
                <w:szCs w:val="22"/>
              </w:rPr>
            </w:pPr>
            <w:r w:rsidRPr="00002B69">
              <w:rPr>
                <w:sz w:val="22"/>
                <w:szCs w:val="22"/>
              </w:rPr>
              <w:t xml:space="preserve">2A-18 </w:t>
            </w:r>
          </w:p>
        </w:tc>
        <w:tc>
          <w:tcPr>
            <w:tcW w:w="8280" w:type="dxa"/>
          </w:tcPr>
          <w:p w14:paraId="5DD1695B" w14:textId="77777777" w:rsidR="008F54A4" w:rsidRPr="0094119F" w:rsidRDefault="008F54A4" w:rsidP="008F54A4">
            <w:pPr>
              <w:tabs>
                <w:tab w:val="left" w:pos="360"/>
              </w:tabs>
              <w:rPr>
                <w:sz w:val="22"/>
                <w:szCs w:val="22"/>
              </w:rPr>
            </w:pPr>
            <w:r w:rsidRPr="0094119F">
              <w:rPr>
                <w:sz w:val="22"/>
                <w:szCs w:val="22"/>
              </w:rPr>
              <w:t>The market value of securities for repurchase agreements must exceed the principal value by ≥ 2%.</w:t>
            </w:r>
          </w:p>
        </w:tc>
        <w:tc>
          <w:tcPr>
            <w:tcW w:w="2430" w:type="dxa"/>
          </w:tcPr>
          <w:p w14:paraId="45C3B0BC"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53E48850" w14:textId="77777777" w:rsidTr="00CF46C9">
        <w:trPr>
          <w:jc w:val="center"/>
        </w:trPr>
        <w:tc>
          <w:tcPr>
            <w:tcW w:w="1705" w:type="dxa"/>
          </w:tcPr>
          <w:p w14:paraId="1E055ED0"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35.14</w:t>
            </w:r>
            <w:r w:rsidR="00243F50" w:rsidRPr="00791FE1">
              <w:rPr>
                <w:sz w:val="22"/>
                <w:szCs w:val="22"/>
              </w:rPr>
              <w:t xml:space="preserve">(E) </w:t>
            </w:r>
          </w:p>
          <w:p w14:paraId="4F131D50"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(D)</w:t>
            </w:r>
          </w:p>
        </w:tc>
        <w:tc>
          <w:tcPr>
            <w:tcW w:w="1530" w:type="dxa"/>
          </w:tcPr>
          <w:p w14:paraId="5058E669" w14:textId="645F5403" w:rsidR="003F5229" w:rsidRPr="00002B69" w:rsidRDefault="003F5229" w:rsidP="003F5229">
            <w:pPr>
              <w:tabs>
                <w:tab w:val="left" w:pos="360"/>
              </w:tabs>
              <w:rPr>
                <w:sz w:val="22"/>
                <w:szCs w:val="22"/>
              </w:rPr>
            </w:pPr>
            <w:r w:rsidRPr="00002B69">
              <w:rPr>
                <w:sz w:val="22"/>
                <w:szCs w:val="22"/>
              </w:rPr>
              <w:t>2A-14</w:t>
            </w:r>
          </w:p>
          <w:p w14:paraId="7C0FE84C" w14:textId="7D01ACE4" w:rsidR="008F54A4" w:rsidRPr="00002B69" w:rsidRDefault="003F5229" w:rsidP="003F5229">
            <w:pPr>
              <w:tabs>
                <w:tab w:val="left" w:pos="360"/>
              </w:tabs>
              <w:rPr>
                <w:sz w:val="22"/>
                <w:szCs w:val="22"/>
              </w:rPr>
            </w:pPr>
            <w:r w:rsidRPr="00002B69">
              <w:rPr>
                <w:sz w:val="22"/>
                <w:szCs w:val="22"/>
              </w:rPr>
              <w:t xml:space="preserve">2A-18 </w:t>
            </w:r>
          </w:p>
        </w:tc>
        <w:tc>
          <w:tcPr>
            <w:tcW w:w="8280" w:type="dxa"/>
          </w:tcPr>
          <w:p w14:paraId="094FA67F" w14:textId="77777777" w:rsidR="008F54A4" w:rsidRDefault="008F54A4" w:rsidP="008F54A4">
            <w:pPr>
              <w:tabs>
                <w:tab w:val="left" w:pos="360"/>
              </w:tabs>
              <w:rPr>
                <w:sz w:val="22"/>
                <w:szCs w:val="22"/>
              </w:rPr>
            </w:pPr>
            <w:r w:rsidRPr="0094119F">
              <w:rPr>
                <w:sz w:val="22"/>
                <w:szCs w:val="22"/>
              </w:rPr>
              <w:t>Repurchase agreement securities must be delivered into the custody of the treasurer or governing board or an agent.</w:t>
            </w:r>
            <w:r w:rsidRPr="0094119F">
              <w:rPr>
                <w:rStyle w:val="FootnoteReference"/>
                <w:sz w:val="22"/>
                <w:szCs w:val="22"/>
              </w:rPr>
              <w:footnoteReference w:id="38"/>
            </w:r>
          </w:p>
          <w:p w14:paraId="4FB3056A" w14:textId="77777777" w:rsidR="00243F50" w:rsidRPr="00791FE1" w:rsidRDefault="00243F50" w:rsidP="008F54A4">
            <w:pPr>
              <w:tabs>
                <w:tab w:val="left" w:pos="360"/>
              </w:tabs>
              <w:rPr>
                <w:sz w:val="22"/>
                <w:szCs w:val="22"/>
              </w:rPr>
            </w:pPr>
          </w:p>
          <w:p w14:paraId="21E3A4F4" w14:textId="77777777" w:rsidR="00243F50" w:rsidRPr="00C909C3" w:rsidRDefault="00243F50" w:rsidP="008F54A4">
            <w:pPr>
              <w:tabs>
                <w:tab w:val="left" w:pos="360"/>
              </w:tabs>
              <w:rPr>
                <w:sz w:val="22"/>
                <w:szCs w:val="22"/>
              </w:rPr>
            </w:pPr>
            <w:r w:rsidRPr="00791FE1">
              <w:rPr>
                <w:sz w:val="22"/>
                <w:szCs w:val="22"/>
              </w:rPr>
              <w:t>County repurchase agreement securities must be delivered into the custody of the investing authority or the qualified custodian of the investing authority or a designated agent.</w:t>
            </w:r>
          </w:p>
        </w:tc>
        <w:tc>
          <w:tcPr>
            <w:tcW w:w="2430" w:type="dxa"/>
          </w:tcPr>
          <w:p w14:paraId="353BD844" w14:textId="77777777" w:rsidR="008F54A4" w:rsidRPr="0094119F" w:rsidRDefault="008F54A4" w:rsidP="008F54A4">
            <w:pPr>
              <w:tabs>
                <w:tab w:val="left" w:pos="360"/>
              </w:tabs>
              <w:jc w:val="center"/>
              <w:rPr>
                <w:sz w:val="22"/>
                <w:szCs w:val="22"/>
              </w:rPr>
            </w:pPr>
            <w:r w:rsidRPr="0094119F">
              <w:rPr>
                <w:sz w:val="22"/>
                <w:szCs w:val="22"/>
              </w:rPr>
              <w:t>Custodial credit</w:t>
            </w:r>
          </w:p>
        </w:tc>
      </w:tr>
      <w:tr w:rsidR="008F54A4" w:rsidRPr="0094119F" w14:paraId="25BC3FA2" w14:textId="77777777" w:rsidTr="00CF46C9">
        <w:trPr>
          <w:jc w:val="center"/>
        </w:trPr>
        <w:tc>
          <w:tcPr>
            <w:tcW w:w="1705" w:type="dxa"/>
          </w:tcPr>
          <w:p w14:paraId="014E3637" w14:textId="77777777" w:rsidR="008F54A4" w:rsidRPr="0094119F" w:rsidRDefault="009B4BF1" w:rsidP="008F54A4">
            <w:pPr>
              <w:tabs>
                <w:tab w:val="left" w:pos="360"/>
              </w:tabs>
              <w:rPr>
                <w:sz w:val="22"/>
                <w:szCs w:val="22"/>
              </w:rPr>
            </w:pPr>
            <w:r>
              <w:rPr>
                <w:sz w:val="22"/>
                <w:szCs w:val="22"/>
              </w:rPr>
              <w:t>§ 1</w:t>
            </w:r>
            <w:r w:rsidR="008F54A4" w:rsidRPr="0094119F">
              <w:rPr>
                <w:sz w:val="22"/>
                <w:szCs w:val="22"/>
              </w:rPr>
              <w:t>35.45(B)(1)</w:t>
            </w:r>
          </w:p>
        </w:tc>
        <w:tc>
          <w:tcPr>
            <w:tcW w:w="1530" w:type="dxa"/>
          </w:tcPr>
          <w:p w14:paraId="30828498" w14:textId="77777777" w:rsidR="008F54A4" w:rsidRPr="00C80EF0" w:rsidRDefault="008F54A4" w:rsidP="008F54A4">
            <w:pPr>
              <w:tabs>
                <w:tab w:val="left" w:pos="360"/>
              </w:tabs>
              <w:rPr>
                <w:sz w:val="22"/>
                <w:szCs w:val="22"/>
              </w:rPr>
            </w:pPr>
            <w:r w:rsidRPr="00C80EF0">
              <w:rPr>
                <w:sz w:val="22"/>
                <w:szCs w:val="22"/>
              </w:rPr>
              <w:t>(Tested by the State Region)</w:t>
            </w:r>
          </w:p>
        </w:tc>
        <w:tc>
          <w:tcPr>
            <w:tcW w:w="8280" w:type="dxa"/>
          </w:tcPr>
          <w:p w14:paraId="1A257FEF" w14:textId="7238BE95" w:rsidR="008F54A4" w:rsidRPr="0094119F" w:rsidRDefault="008F54A4" w:rsidP="008F54A4">
            <w:pPr>
              <w:tabs>
                <w:tab w:val="left" w:pos="360"/>
              </w:tabs>
              <w:rPr>
                <w:sz w:val="22"/>
                <w:szCs w:val="22"/>
              </w:rPr>
            </w:pPr>
            <w:r w:rsidRPr="0094119F">
              <w:rPr>
                <w:sz w:val="22"/>
                <w:szCs w:val="22"/>
              </w:rPr>
              <w:t xml:space="preserve">STAR Ohio must maintain the highest letter or numerical rating provided by at least one nationally recognized </w:t>
            </w:r>
            <w:r w:rsidR="00ED493C" w:rsidRPr="00C909C3">
              <w:rPr>
                <w:sz w:val="22"/>
                <w:szCs w:val="22"/>
              </w:rPr>
              <w:t>statistical</w:t>
            </w:r>
            <w:r w:rsidR="00ED493C">
              <w:rPr>
                <w:sz w:val="22"/>
                <w:szCs w:val="22"/>
              </w:rPr>
              <w:t xml:space="preserve"> </w:t>
            </w:r>
            <w:r w:rsidR="00BC0712">
              <w:rPr>
                <w:sz w:val="22"/>
                <w:szCs w:val="22"/>
              </w:rPr>
              <w:t xml:space="preserve">rating </w:t>
            </w:r>
            <w:r w:rsidR="00ED493C" w:rsidRPr="00C909C3">
              <w:rPr>
                <w:sz w:val="22"/>
                <w:szCs w:val="22"/>
              </w:rPr>
              <w:t>organization</w:t>
            </w:r>
            <w:r w:rsidRPr="0094119F">
              <w:rPr>
                <w:sz w:val="22"/>
                <w:szCs w:val="22"/>
              </w:rPr>
              <w:t>.</w:t>
            </w:r>
          </w:p>
        </w:tc>
        <w:tc>
          <w:tcPr>
            <w:tcW w:w="2430" w:type="dxa"/>
          </w:tcPr>
          <w:p w14:paraId="2BA9A218" w14:textId="77777777" w:rsidR="008F54A4" w:rsidRPr="0094119F" w:rsidRDefault="008F54A4" w:rsidP="008F54A4">
            <w:pPr>
              <w:tabs>
                <w:tab w:val="left" w:pos="360"/>
              </w:tabs>
              <w:jc w:val="center"/>
              <w:rPr>
                <w:sz w:val="22"/>
                <w:szCs w:val="22"/>
              </w:rPr>
            </w:pPr>
            <w:r w:rsidRPr="0094119F">
              <w:rPr>
                <w:sz w:val="22"/>
                <w:szCs w:val="22"/>
              </w:rPr>
              <w:t>Credit</w:t>
            </w:r>
          </w:p>
        </w:tc>
      </w:tr>
      <w:tr w:rsidR="008F54A4" w:rsidRPr="0094119F" w14:paraId="65E05FAA" w14:textId="77777777" w:rsidTr="00CF46C9">
        <w:trPr>
          <w:jc w:val="center"/>
        </w:trPr>
        <w:tc>
          <w:tcPr>
            <w:tcW w:w="1705" w:type="dxa"/>
          </w:tcPr>
          <w:p w14:paraId="41E201EE" w14:textId="77777777" w:rsidR="00B50791" w:rsidRPr="00791FE1" w:rsidRDefault="009B4BF1" w:rsidP="00B50791">
            <w:pPr>
              <w:tabs>
                <w:tab w:val="left" w:pos="360"/>
              </w:tabs>
              <w:rPr>
                <w:sz w:val="22"/>
                <w:szCs w:val="22"/>
              </w:rPr>
            </w:pPr>
            <w:r>
              <w:rPr>
                <w:sz w:val="22"/>
                <w:szCs w:val="22"/>
              </w:rPr>
              <w:t>§ 1</w:t>
            </w:r>
            <w:r w:rsidR="00B50791" w:rsidRPr="00791FE1">
              <w:rPr>
                <w:sz w:val="22"/>
                <w:szCs w:val="22"/>
              </w:rPr>
              <w:t xml:space="preserve">35.14(B)(7) </w:t>
            </w:r>
          </w:p>
          <w:p w14:paraId="1670E204" w14:textId="77777777" w:rsidR="008F54A4" w:rsidRPr="00791FE1" w:rsidRDefault="009B4BF1" w:rsidP="00B50791">
            <w:r>
              <w:rPr>
                <w:sz w:val="22"/>
                <w:szCs w:val="22"/>
              </w:rPr>
              <w:t>§ 1</w:t>
            </w:r>
            <w:r w:rsidR="00B50791" w:rsidRPr="00791FE1">
              <w:rPr>
                <w:sz w:val="22"/>
                <w:szCs w:val="22"/>
              </w:rPr>
              <w:t>35.142(A)</w:t>
            </w:r>
          </w:p>
        </w:tc>
        <w:tc>
          <w:tcPr>
            <w:tcW w:w="1530" w:type="dxa"/>
          </w:tcPr>
          <w:p w14:paraId="039B6775" w14:textId="7E383D85" w:rsidR="008F54A4" w:rsidRPr="00002B69" w:rsidRDefault="003F5229" w:rsidP="008F54A4">
            <w:pPr>
              <w:tabs>
                <w:tab w:val="left" w:pos="360"/>
              </w:tabs>
              <w:rPr>
                <w:sz w:val="22"/>
                <w:szCs w:val="22"/>
              </w:rPr>
            </w:pPr>
            <w:r w:rsidRPr="00002B69">
              <w:rPr>
                <w:sz w:val="22"/>
                <w:szCs w:val="22"/>
              </w:rPr>
              <w:t xml:space="preserve">2A-16 </w:t>
            </w:r>
          </w:p>
        </w:tc>
        <w:tc>
          <w:tcPr>
            <w:tcW w:w="8280" w:type="dxa"/>
          </w:tcPr>
          <w:p w14:paraId="7BDCA939" w14:textId="77777777" w:rsidR="008F54A4" w:rsidRPr="0094119F" w:rsidRDefault="008F54A4" w:rsidP="008F54A4">
            <w:pPr>
              <w:tabs>
                <w:tab w:val="left" w:pos="360"/>
              </w:tabs>
              <w:rPr>
                <w:sz w:val="22"/>
                <w:szCs w:val="22"/>
              </w:rPr>
            </w:pPr>
            <w:r w:rsidRPr="0094119F">
              <w:rPr>
                <w:sz w:val="22"/>
                <w:szCs w:val="22"/>
              </w:rPr>
              <w:t xml:space="preserve">Commercial paper + bankers’ acceptances cannot exceed </w:t>
            </w:r>
            <w:r w:rsidR="00472483" w:rsidRPr="00A4412F">
              <w:rPr>
                <w:sz w:val="22"/>
                <w:szCs w:val="22"/>
              </w:rPr>
              <w:t>40</w:t>
            </w:r>
            <w:r w:rsidRPr="0094119F">
              <w:rPr>
                <w:sz w:val="22"/>
                <w:szCs w:val="22"/>
              </w:rPr>
              <w:t>% of a government’s investment portfolio</w:t>
            </w:r>
          </w:p>
        </w:tc>
        <w:tc>
          <w:tcPr>
            <w:tcW w:w="2430" w:type="dxa"/>
          </w:tcPr>
          <w:p w14:paraId="5B54F8F9" w14:textId="77777777" w:rsidR="008F54A4" w:rsidRPr="0094119F" w:rsidRDefault="008F54A4" w:rsidP="008F54A4">
            <w:pPr>
              <w:tabs>
                <w:tab w:val="left" w:pos="360"/>
              </w:tabs>
              <w:jc w:val="center"/>
              <w:rPr>
                <w:sz w:val="22"/>
                <w:szCs w:val="22"/>
              </w:rPr>
            </w:pPr>
            <w:r w:rsidRPr="0094119F">
              <w:rPr>
                <w:sz w:val="22"/>
                <w:szCs w:val="22"/>
              </w:rPr>
              <w:t>Concentrations of credit</w:t>
            </w:r>
          </w:p>
        </w:tc>
      </w:tr>
      <w:tr w:rsidR="008F54A4" w:rsidRPr="0094119F" w14:paraId="326CB2DE" w14:textId="77777777" w:rsidTr="00CF46C9">
        <w:trPr>
          <w:jc w:val="center"/>
        </w:trPr>
        <w:tc>
          <w:tcPr>
            <w:tcW w:w="1705" w:type="dxa"/>
          </w:tcPr>
          <w:p w14:paraId="6BC2FC95" w14:textId="621ECF8E" w:rsidR="00B50791" w:rsidRPr="00791FE1" w:rsidRDefault="009B4BF1" w:rsidP="00B50791">
            <w:pPr>
              <w:tabs>
                <w:tab w:val="left" w:pos="360"/>
              </w:tabs>
              <w:rPr>
                <w:sz w:val="22"/>
                <w:szCs w:val="22"/>
              </w:rPr>
            </w:pPr>
            <w:r>
              <w:rPr>
                <w:sz w:val="22"/>
                <w:szCs w:val="22"/>
              </w:rPr>
              <w:t>§ 1</w:t>
            </w:r>
            <w:r w:rsidR="00B50791" w:rsidRPr="00791FE1">
              <w:rPr>
                <w:sz w:val="22"/>
                <w:szCs w:val="22"/>
              </w:rPr>
              <w:t>35.14</w:t>
            </w:r>
            <w:r w:rsidR="005A6807" w:rsidRPr="00C909C3">
              <w:rPr>
                <w:sz w:val="22"/>
                <w:szCs w:val="22"/>
              </w:rPr>
              <w:t>(B)(7)</w:t>
            </w:r>
          </w:p>
          <w:p w14:paraId="3260DBB0" w14:textId="77777777" w:rsidR="008F54A4" w:rsidRPr="00791FE1" w:rsidRDefault="009B4BF1" w:rsidP="00B50791">
            <w:r>
              <w:rPr>
                <w:sz w:val="22"/>
                <w:szCs w:val="22"/>
              </w:rPr>
              <w:t>§ 1</w:t>
            </w:r>
            <w:r w:rsidR="00B50791" w:rsidRPr="00791FE1">
              <w:rPr>
                <w:sz w:val="22"/>
                <w:szCs w:val="22"/>
              </w:rPr>
              <w:t>35.35(A)(8)</w:t>
            </w:r>
          </w:p>
        </w:tc>
        <w:tc>
          <w:tcPr>
            <w:tcW w:w="1530" w:type="dxa"/>
          </w:tcPr>
          <w:p w14:paraId="4FCBB4EF" w14:textId="59D5D1A5" w:rsidR="003F5229" w:rsidRPr="00002B69" w:rsidRDefault="003F5229" w:rsidP="003F5229">
            <w:pPr>
              <w:tabs>
                <w:tab w:val="left" w:pos="360"/>
              </w:tabs>
              <w:rPr>
                <w:sz w:val="22"/>
                <w:szCs w:val="22"/>
              </w:rPr>
            </w:pPr>
            <w:r w:rsidRPr="00002B69">
              <w:rPr>
                <w:sz w:val="22"/>
                <w:szCs w:val="22"/>
              </w:rPr>
              <w:t xml:space="preserve">2A-14 </w:t>
            </w:r>
          </w:p>
          <w:p w14:paraId="3CE3AB43" w14:textId="3E4DFCD1" w:rsidR="008F54A4" w:rsidRPr="00002B69" w:rsidRDefault="003F5229" w:rsidP="003F5229">
            <w:pPr>
              <w:tabs>
                <w:tab w:val="left" w:pos="360"/>
              </w:tabs>
              <w:rPr>
                <w:sz w:val="22"/>
                <w:szCs w:val="22"/>
              </w:rPr>
            </w:pPr>
            <w:r w:rsidRPr="00002B69">
              <w:rPr>
                <w:sz w:val="22"/>
                <w:szCs w:val="22"/>
              </w:rPr>
              <w:t xml:space="preserve">2A-18 </w:t>
            </w:r>
          </w:p>
        </w:tc>
        <w:tc>
          <w:tcPr>
            <w:tcW w:w="8280" w:type="dxa"/>
          </w:tcPr>
          <w:p w14:paraId="052E0295" w14:textId="530D5A1E" w:rsidR="008F54A4" w:rsidRPr="0094119F" w:rsidRDefault="008F54A4" w:rsidP="008F54A4">
            <w:pPr>
              <w:tabs>
                <w:tab w:val="left" w:pos="360"/>
              </w:tabs>
              <w:rPr>
                <w:sz w:val="22"/>
                <w:szCs w:val="22"/>
              </w:rPr>
            </w:pPr>
            <w:r w:rsidRPr="0094119F">
              <w:rPr>
                <w:sz w:val="22"/>
                <w:szCs w:val="22"/>
              </w:rPr>
              <w:t xml:space="preserve">Commercial paper must be rated in the highest classification by at least two nationally-recognized </w:t>
            </w:r>
            <w:r w:rsidR="00084C2A" w:rsidRPr="00C909C3">
              <w:rPr>
                <w:sz w:val="22"/>
                <w:szCs w:val="22"/>
              </w:rPr>
              <w:t>statistical</w:t>
            </w:r>
            <w:r w:rsidR="00084C2A">
              <w:rPr>
                <w:sz w:val="22"/>
                <w:szCs w:val="22"/>
              </w:rPr>
              <w:t xml:space="preserve"> </w:t>
            </w:r>
            <w:r w:rsidRPr="0094119F">
              <w:rPr>
                <w:sz w:val="22"/>
                <w:szCs w:val="22"/>
              </w:rPr>
              <w:t xml:space="preserve">rating </w:t>
            </w:r>
            <w:r w:rsidR="00084C2A" w:rsidRPr="00C909C3">
              <w:rPr>
                <w:sz w:val="22"/>
                <w:szCs w:val="22"/>
              </w:rPr>
              <w:t>organizations</w:t>
            </w:r>
          </w:p>
        </w:tc>
        <w:tc>
          <w:tcPr>
            <w:tcW w:w="2430" w:type="dxa"/>
          </w:tcPr>
          <w:p w14:paraId="5125CE6B" w14:textId="77777777" w:rsidR="008F54A4" w:rsidRPr="0094119F" w:rsidRDefault="008F54A4" w:rsidP="008F54A4">
            <w:pPr>
              <w:tabs>
                <w:tab w:val="left" w:pos="360"/>
              </w:tabs>
              <w:jc w:val="center"/>
              <w:rPr>
                <w:sz w:val="22"/>
                <w:szCs w:val="22"/>
              </w:rPr>
            </w:pPr>
            <w:r w:rsidRPr="0094119F">
              <w:rPr>
                <w:sz w:val="22"/>
                <w:szCs w:val="22"/>
              </w:rPr>
              <w:t>Credit</w:t>
            </w:r>
          </w:p>
        </w:tc>
      </w:tr>
      <w:tr w:rsidR="008F54A4" w:rsidRPr="0094119F" w14:paraId="32AD6EBD" w14:textId="77777777" w:rsidTr="00CF46C9">
        <w:trPr>
          <w:jc w:val="center"/>
        </w:trPr>
        <w:tc>
          <w:tcPr>
            <w:tcW w:w="1705" w:type="dxa"/>
          </w:tcPr>
          <w:p w14:paraId="0F16B9E1" w14:textId="77777777" w:rsidR="00B50791" w:rsidRPr="00791FE1" w:rsidRDefault="009B4BF1" w:rsidP="00B50791">
            <w:pPr>
              <w:tabs>
                <w:tab w:val="left" w:pos="360"/>
              </w:tabs>
              <w:rPr>
                <w:sz w:val="22"/>
                <w:szCs w:val="22"/>
              </w:rPr>
            </w:pPr>
            <w:r>
              <w:rPr>
                <w:sz w:val="22"/>
                <w:szCs w:val="22"/>
              </w:rPr>
              <w:t>§ 1</w:t>
            </w:r>
            <w:r w:rsidR="00B50791" w:rsidRPr="00791FE1">
              <w:rPr>
                <w:sz w:val="22"/>
                <w:szCs w:val="22"/>
              </w:rPr>
              <w:t>35.14(B)(7)</w:t>
            </w:r>
          </w:p>
          <w:p w14:paraId="75E5AE4C" w14:textId="77777777" w:rsidR="008F54A4" w:rsidRPr="00791FE1" w:rsidRDefault="009B4BF1" w:rsidP="00B50791">
            <w:r>
              <w:rPr>
                <w:sz w:val="22"/>
                <w:szCs w:val="22"/>
              </w:rPr>
              <w:t>§ 1</w:t>
            </w:r>
            <w:r w:rsidR="00B50791" w:rsidRPr="00791FE1">
              <w:rPr>
                <w:sz w:val="22"/>
                <w:szCs w:val="22"/>
              </w:rPr>
              <w:t>35.35(A)(8)</w:t>
            </w:r>
          </w:p>
        </w:tc>
        <w:tc>
          <w:tcPr>
            <w:tcW w:w="1530" w:type="dxa"/>
          </w:tcPr>
          <w:p w14:paraId="602B128F" w14:textId="00579C72" w:rsidR="003F5229" w:rsidRPr="00002B69" w:rsidRDefault="003F5229" w:rsidP="003F5229">
            <w:pPr>
              <w:tabs>
                <w:tab w:val="left" w:pos="360"/>
              </w:tabs>
              <w:rPr>
                <w:sz w:val="22"/>
                <w:szCs w:val="22"/>
              </w:rPr>
            </w:pPr>
            <w:r w:rsidRPr="00002B69">
              <w:rPr>
                <w:sz w:val="22"/>
                <w:szCs w:val="22"/>
              </w:rPr>
              <w:t xml:space="preserve">2A-14 </w:t>
            </w:r>
          </w:p>
          <w:p w14:paraId="0626B6A8" w14:textId="0310FBDF" w:rsidR="008F54A4" w:rsidRPr="00002B69" w:rsidRDefault="003F5229" w:rsidP="003F5229">
            <w:pPr>
              <w:tabs>
                <w:tab w:val="left" w:pos="360"/>
              </w:tabs>
              <w:rPr>
                <w:sz w:val="22"/>
                <w:szCs w:val="22"/>
              </w:rPr>
            </w:pPr>
            <w:r w:rsidRPr="00002B69">
              <w:rPr>
                <w:sz w:val="22"/>
                <w:szCs w:val="22"/>
              </w:rPr>
              <w:t xml:space="preserve">2A-18 </w:t>
            </w:r>
          </w:p>
        </w:tc>
        <w:tc>
          <w:tcPr>
            <w:tcW w:w="8280" w:type="dxa"/>
          </w:tcPr>
          <w:p w14:paraId="1639FA8A" w14:textId="77777777" w:rsidR="008F54A4" w:rsidRPr="0094119F" w:rsidRDefault="008F54A4" w:rsidP="00A4412F">
            <w:pPr>
              <w:tabs>
                <w:tab w:val="left" w:pos="360"/>
              </w:tabs>
              <w:rPr>
                <w:sz w:val="22"/>
                <w:szCs w:val="22"/>
              </w:rPr>
            </w:pPr>
            <w:r w:rsidRPr="0094119F">
              <w:rPr>
                <w:sz w:val="22"/>
                <w:szCs w:val="22"/>
              </w:rPr>
              <w:t xml:space="preserve">Commercial paper </w:t>
            </w:r>
            <w:r w:rsidR="00472483" w:rsidRPr="00A4412F">
              <w:rPr>
                <w:sz w:val="22"/>
                <w:szCs w:val="22"/>
              </w:rPr>
              <w:t>must mature within 270 days</w:t>
            </w:r>
            <w:r w:rsidR="00472483">
              <w:rPr>
                <w:sz w:val="22"/>
                <w:szCs w:val="22"/>
              </w:rPr>
              <w:t xml:space="preserve"> </w:t>
            </w:r>
            <w:r w:rsidRPr="0094119F">
              <w:rPr>
                <w:sz w:val="22"/>
                <w:szCs w:val="22"/>
              </w:rPr>
              <w:t xml:space="preserve">and bankers’ acceptances must mature within 180 days. </w:t>
            </w:r>
          </w:p>
        </w:tc>
        <w:tc>
          <w:tcPr>
            <w:tcW w:w="2430" w:type="dxa"/>
          </w:tcPr>
          <w:p w14:paraId="494D39C1"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516DC528" w14:textId="77777777" w:rsidTr="00CF46C9">
        <w:trPr>
          <w:jc w:val="center"/>
        </w:trPr>
        <w:tc>
          <w:tcPr>
            <w:tcW w:w="1705" w:type="dxa"/>
          </w:tcPr>
          <w:p w14:paraId="427E2965" w14:textId="77777777" w:rsidR="00A256D2" w:rsidRDefault="009B4BF1" w:rsidP="008F54A4">
            <w:pPr>
              <w:tabs>
                <w:tab w:val="left" w:pos="360"/>
              </w:tabs>
              <w:rPr>
                <w:sz w:val="22"/>
                <w:szCs w:val="22"/>
              </w:rPr>
            </w:pPr>
            <w:r>
              <w:rPr>
                <w:sz w:val="22"/>
                <w:szCs w:val="22"/>
              </w:rPr>
              <w:t>§ 1</w:t>
            </w:r>
            <w:r w:rsidR="00A256D2">
              <w:rPr>
                <w:sz w:val="22"/>
                <w:szCs w:val="22"/>
              </w:rPr>
              <w:t xml:space="preserve">35.18 </w:t>
            </w:r>
          </w:p>
          <w:p w14:paraId="7D06CE45" w14:textId="77777777" w:rsidR="008F54A4" w:rsidRDefault="009B4BF1" w:rsidP="008F54A4">
            <w:pPr>
              <w:tabs>
                <w:tab w:val="left" w:pos="360"/>
              </w:tabs>
              <w:rPr>
                <w:sz w:val="22"/>
                <w:szCs w:val="22"/>
              </w:rPr>
            </w:pPr>
            <w:r>
              <w:rPr>
                <w:sz w:val="22"/>
                <w:szCs w:val="22"/>
              </w:rPr>
              <w:t>§ 1</w:t>
            </w:r>
            <w:r w:rsidR="008F54A4" w:rsidRPr="0094119F">
              <w:rPr>
                <w:sz w:val="22"/>
                <w:szCs w:val="22"/>
              </w:rPr>
              <w:t>35.181</w:t>
            </w:r>
            <w:r w:rsidR="00AC721B">
              <w:rPr>
                <w:rStyle w:val="FootnoteReference"/>
                <w:sz w:val="22"/>
                <w:szCs w:val="22"/>
              </w:rPr>
              <w:footnoteReference w:id="39"/>
            </w:r>
          </w:p>
          <w:p w14:paraId="09243152" w14:textId="77777777" w:rsidR="003D3A94" w:rsidRPr="001C04A2" w:rsidRDefault="003D3A94" w:rsidP="008F54A4">
            <w:pPr>
              <w:tabs>
                <w:tab w:val="left" w:pos="360"/>
              </w:tabs>
              <w:rPr>
                <w:sz w:val="22"/>
                <w:szCs w:val="22"/>
              </w:rPr>
            </w:pPr>
            <w:r w:rsidRPr="001C04A2">
              <w:rPr>
                <w:sz w:val="22"/>
                <w:szCs w:val="22"/>
              </w:rPr>
              <w:t>§ 135.182</w:t>
            </w:r>
          </w:p>
        </w:tc>
        <w:tc>
          <w:tcPr>
            <w:tcW w:w="1530" w:type="dxa"/>
          </w:tcPr>
          <w:p w14:paraId="4C84BAD4" w14:textId="046B293C" w:rsidR="008F54A4" w:rsidRPr="00002B69" w:rsidRDefault="003F5229" w:rsidP="008F54A4">
            <w:pPr>
              <w:tabs>
                <w:tab w:val="left" w:pos="360"/>
              </w:tabs>
              <w:rPr>
                <w:sz w:val="22"/>
                <w:szCs w:val="22"/>
              </w:rPr>
            </w:pPr>
            <w:r w:rsidRPr="00002B69">
              <w:rPr>
                <w:sz w:val="22"/>
                <w:szCs w:val="22"/>
              </w:rPr>
              <w:t xml:space="preserve">2A-17 </w:t>
            </w:r>
          </w:p>
        </w:tc>
        <w:tc>
          <w:tcPr>
            <w:tcW w:w="8280" w:type="dxa"/>
          </w:tcPr>
          <w:p w14:paraId="1B003F05" w14:textId="77777777" w:rsidR="008F54A4" w:rsidRPr="0094119F" w:rsidRDefault="008F54A4" w:rsidP="008F54A4">
            <w:pPr>
              <w:tabs>
                <w:tab w:val="left" w:pos="360"/>
              </w:tabs>
              <w:rPr>
                <w:sz w:val="22"/>
                <w:szCs w:val="22"/>
              </w:rPr>
            </w:pPr>
            <w:r w:rsidRPr="0094119F">
              <w:rPr>
                <w:sz w:val="22"/>
                <w:szCs w:val="22"/>
              </w:rPr>
              <w:t>Depositories must collateralize deposits.</w:t>
            </w:r>
          </w:p>
        </w:tc>
        <w:tc>
          <w:tcPr>
            <w:tcW w:w="2430" w:type="dxa"/>
          </w:tcPr>
          <w:p w14:paraId="737E5AC9" w14:textId="77777777" w:rsidR="008F54A4" w:rsidRPr="0094119F" w:rsidRDefault="008F54A4" w:rsidP="008F54A4">
            <w:pPr>
              <w:tabs>
                <w:tab w:val="left" w:pos="360"/>
              </w:tabs>
              <w:jc w:val="center"/>
              <w:rPr>
                <w:sz w:val="22"/>
                <w:szCs w:val="22"/>
              </w:rPr>
            </w:pPr>
            <w:r w:rsidRPr="0094119F">
              <w:rPr>
                <w:sz w:val="22"/>
                <w:szCs w:val="22"/>
              </w:rPr>
              <w:t>Custodial credit</w:t>
            </w:r>
          </w:p>
        </w:tc>
      </w:tr>
      <w:tr w:rsidR="008F54A4" w:rsidRPr="0094119F" w14:paraId="74E8F15B" w14:textId="77777777" w:rsidTr="00CF46C9">
        <w:trPr>
          <w:jc w:val="center"/>
        </w:trPr>
        <w:tc>
          <w:tcPr>
            <w:tcW w:w="1705" w:type="dxa"/>
          </w:tcPr>
          <w:p w14:paraId="7B317E59"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(A)(9)</w:t>
            </w:r>
          </w:p>
        </w:tc>
        <w:tc>
          <w:tcPr>
            <w:tcW w:w="1530" w:type="dxa"/>
          </w:tcPr>
          <w:p w14:paraId="34C90EF9" w14:textId="704241CE" w:rsidR="008F54A4" w:rsidRPr="00002B69" w:rsidRDefault="003F5229" w:rsidP="008F54A4">
            <w:pPr>
              <w:tabs>
                <w:tab w:val="left" w:pos="360"/>
              </w:tabs>
              <w:rPr>
                <w:sz w:val="22"/>
                <w:szCs w:val="22"/>
              </w:rPr>
            </w:pPr>
            <w:r w:rsidRPr="00002B69">
              <w:rPr>
                <w:sz w:val="22"/>
                <w:szCs w:val="22"/>
              </w:rPr>
              <w:t xml:space="preserve">2A-18 </w:t>
            </w:r>
          </w:p>
        </w:tc>
        <w:tc>
          <w:tcPr>
            <w:tcW w:w="8280" w:type="dxa"/>
          </w:tcPr>
          <w:p w14:paraId="20503D00" w14:textId="1AD9AD5A" w:rsidR="008F54A4" w:rsidRPr="0094119F" w:rsidRDefault="008F54A4" w:rsidP="005E3E8E">
            <w:pPr>
              <w:rPr>
                <w:sz w:val="22"/>
                <w:szCs w:val="22"/>
              </w:rPr>
            </w:pPr>
            <w:r w:rsidRPr="0094119F">
              <w:rPr>
                <w:sz w:val="22"/>
                <w:szCs w:val="22"/>
              </w:rPr>
              <w:t xml:space="preserve">A county’s corporate debt </w:t>
            </w:r>
            <w:proofErr w:type="gramStart"/>
            <w:r w:rsidRPr="0094119F">
              <w:rPr>
                <w:sz w:val="22"/>
                <w:szCs w:val="22"/>
              </w:rPr>
              <w:t>investments</w:t>
            </w:r>
            <w:proofErr w:type="gramEnd"/>
            <w:r w:rsidRPr="0094119F">
              <w:rPr>
                <w:sz w:val="22"/>
                <w:szCs w:val="22"/>
              </w:rPr>
              <w:t xml:space="preserve"> must mature within </w:t>
            </w:r>
            <w:r w:rsidR="006D7FC3" w:rsidRPr="005E3E8E">
              <w:rPr>
                <w:sz w:val="22"/>
                <w:szCs w:val="22"/>
              </w:rPr>
              <w:t xml:space="preserve">three </w:t>
            </w:r>
            <w:r w:rsidRPr="0094119F">
              <w:rPr>
                <w:sz w:val="22"/>
                <w:szCs w:val="22"/>
              </w:rPr>
              <w:t>years of purchase.</w:t>
            </w:r>
          </w:p>
        </w:tc>
        <w:tc>
          <w:tcPr>
            <w:tcW w:w="2430" w:type="dxa"/>
          </w:tcPr>
          <w:p w14:paraId="4140FAF9"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2FB0EEC4" w14:textId="77777777" w:rsidTr="00CF46C9">
        <w:trPr>
          <w:jc w:val="center"/>
        </w:trPr>
        <w:tc>
          <w:tcPr>
            <w:tcW w:w="1705" w:type="dxa"/>
          </w:tcPr>
          <w:p w14:paraId="2780142A"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(A)(9)</w:t>
            </w:r>
          </w:p>
        </w:tc>
        <w:tc>
          <w:tcPr>
            <w:tcW w:w="1530" w:type="dxa"/>
          </w:tcPr>
          <w:p w14:paraId="77925C81" w14:textId="0AFAFBC3" w:rsidR="008F54A4" w:rsidRPr="00002B69" w:rsidRDefault="003F5229" w:rsidP="008F54A4">
            <w:pPr>
              <w:tabs>
                <w:tab w:val="left" w:pos="360"/>
              </w:tabs>
              <w:rPr>
                <w:sz w:val="22"/>
                <w:szCs w:val="22"/>
              </w:rPr>
            </w:pPr>
            <w:r w:rsidRPr="00002B69">
              <w:rPr>
                <w:sz w:val="22"/>
                <w:szCs w:val="22"/>
              </w:rPr>
              <w:t xml:space="preserve">2A-18 </w:t>
            </w:r>
          </w:p>
        </w:tc>
        <w:tc>
          <w:tcPr>
            <w:tcW w:w="8280" w:type="dxa"/>
          </w:tcPr>
          <w:p w14:paraId="44F3CB7B" w14:textId="77777777" w:rsidR="008F54A4" w:rsidRPr="0094119F" w:rsidRDefault="008F54A4" w:rsidP="008F54A4">
            <w:pPr>
              <w:tabs>
                <w:tab w:val="left" w:pos="360"/>
              </w:tabs>
              <w:rPr>
                <w:sz w:val="22"/>
                <w:szCs w:val="22"/>
              </w:rPr>
            </w:pPr>
            <w:r w:rsidRPr="0094119F">
              <w:rPr>
                <w:sz w:val="22"/>
                <w:szCs w:val="22"/>
              </w:rPr>
              <w:t>A county’s corporate debt investments cannot exceed 15% of its investment portfolio</w:t>
            </w:r>
          </w:p>
        </w:tc>
        <w:tc>
          <w:tcPr>
            <w:tcW w:w="2430" w:type="dxa"/>
          </w:tcPr>
          <w:p w14:paraId="57D20905" w14:textId="77777777" w:rsidR="008F54A4" w:rsidRPr="0094119F" w:rsidRDefault="008F54A4" w:rsidP="008F54A4">
            <w:pPr>
              <w:tabs>
                <w:tab w:val="left" w:pos="360"/>
              </w:tabs>
              <w:jc w:val="center"/>
              <w:rPr>
                <w:sz w:val="22"/>
                <w:szCs w:val="22"/>
              </w:rPr>
            </w:pPr>
            <w:r w:rsidRPr="0094119F">
              <w:rPr>
                <w:sz w:val="22"/>
                <w:szCs w:val="22"/>
              </w:rPr>
              <w:t>Concentrations of credit</w:t>
            </w:r>
          </w:p>
        </w:tc>
      </w:tr>
      <w:tr w:rsidR="008F54A4" w:rsidRPr="0094119F" w14:paraId="33AFA76C" w14:textId="77777777" w:rsidTr="00CF46C9">
        <w:trPr>
          <w:jc w:val="center"/>
        </w:trPr>
        <w:tc>
          <w:tcPr>
            <w:tcW w:w="1705" w:type="dxa"/>
          </w:tcPr>
          <w:p w14:paraId="31C4A8E6"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(A)(9)</w:t>
            </w:r>
          </w:p>
        </w:tc>
        <w:tc>
          <w:tcPr>
            <w:tcW w:w="1530" w:type="dxa"/>
          </w:tcPr>
          <w:p w14:paraId="60905545" w14:textId="62EA2210" w:rsidR="008F54A4" w:rsidRPr="00002B69" w:rsidRDefault="003F5229" w:rsidP="008F54A4">
            <w:pPr>
              <w:tabs>
                <w:tab w:val="left" w:pos="360"/>
              </w:tabs>
              <w:rPr>
                <w:sz w:val="22"/>
                <w:szCs w:val="22"/>
              </w:rPr>
            </w:pPr>
            <w:r w:rsidRPr="00002B69">
              <w:rPr>
                <w:sz w:val="22"/>
                <w:szCs w:val="22"/>
              </w:rPr>
              <w:t xml:space="preserve">2A-18 </w:t>
            </w:r>
          </w:p>
        </w:tc>
        <w:tc>
          <w:tcPr>
            <w:tcW w:w="8280" w:type="dxa"/>
          </w:tcPr>
          <w:p w14:paraId="1C24307B" w14:textId="42472171" w:rsidR="008F54A4" w:rsidRPr="00A256D2" w:rsidRDefault="008F54A4" w:rsidP="005E3E8E">
            <w:pPr>
              <w:rPr>
                <w:sz w:val="22"/>
                <w:szCs w:val="22"/>
              </w:rPr>
            </w:pPr>
            <w:r w:rsidRPr="00A256D2">
              <w:rPr>
                <w:sz w:val="22"/>
                <w:szCs w:val="22"/>
              </w:rPr>
              <w:t xml:space="preserve">A county’s corporate debt </w:t>
            </w:r>
            <w:proofErr w:type="gramStart"/>
            <w:r w:rsidRPr="00A256D2">
              <w:rPr>
                <w:sz w:val="22"/>
                <w:szCs w:val="22"/>
              </w:rPr>
              <w:t>investments</w:t>
            </w:r>
            <w:proofErr w:type="gramEnd"/>
            <w:r w:rsidRPr="00A256D2">
              <w:rPr>
                <w:sz w:val="22"/>
                <w:szCs w:val="22"/>
              </w:rPr>
              <w:t xml:space="preserve"> must be rated in 1 of the </w:t>
            </w:r>
            <w:r w:rsidR="005328AC" w:rsidRPr="005E3E8E">
              <w:rPr>
                <w:sz w:val="22"/>
                <w:szCs w:val="22"/>
              </w:rPr>
              <w:t xml:space="preserve">three </w:t>
            </w:r>
            <w:r w:rsidRPr="00A256D2">
              <w:rPr>
                <w:sz w:val="22"/>
                <w:szCs w:val="22"/>
              </w:rPr>
              <w:t xml:space="preserve">highest categories by 2 </w:t>
            </w:r>
            <w:r w:rsidR="00B21E2A" w:rsidRPr="00C909C3">
              <w:rPr>
                <w:sz w:val="22"/>
                <w:szCs w:val="22"/>
              </w:rPr>
              <w:t>nationally recognized statistical</w:t>
            </w:r>
            <w:r w:rsidR="00B21E2A">
              <w:rPr>
                <w:sz w:val="22"/>
                <w:szCs w:val="22"/>
              </w:rPr>
              <w:t xml:space="preserve"> </w:t>
            </w:r>
            <w:r w:rsidRPr="00A256D2">
              <w:rPr>
                <w:sz w:val="22"/>
                <w:szCs w:val="22"/>
              </w:rPr>
              <w:t>rating organizations.</w:t>
            </w:r>
          </w:p>
        </w:tc>
        <w:tc>
          <w:tcPr>
            <w:tcW w:w="2430" w:type="dxa"/>
          </w:tcPr>
          <w:p w14:paraId="33648E30" w14:textId="77777777" w:rsidR="008F54A4" w:rsidRPr="0094119F" w:rsidRDefault="008F54A4" w:rsidP="008F54A4">
            <w:pPr>
              <w:tabs>
                <w:tab w:val="left" w:pos="360"/>
              </w:tabs>
              <w:jc w:val="center"/>
              <w:rPr>
                <w:sz w:val="22"/>
                <w:szCs w:val="22"/>
              </w:rPr>
            </w:pPr>
            <w:r w:rsidRPr="0094119F">
              <w:rPr>
                <w:sz w:val="22"/>
                <w:szCs w:val="22"/>
              </w:rPr>
              <w:t>Credit</w:t>
            </w:r>
          </w:p>
        </w:tc>
      </w:tr>
      <w:tr w:rsidR="008F54A4" w:rsidRPr="0094119F" w14:paraId="75AE3FF3" w14:textId="77777777" w:rsidTr="00CF46C9">
        <w:trPr>
          <w:jc w:val="center"/>
        </w:trPr>
        <w:tc>
          <w:tcPr>
            <w:tcW w:w="1705" w:type="dxa"/>
          </w:tcPr>
          <w:p w14:paraId="74B6A7DB"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(A)(10)</w:t>
            </w:r>
          </w:p>
        </w:tc>
        <w:tc>
          <w:tcPr>
            <w:tcW w:w="1530" w:type="dxa"/>
          </w:tcPr>
          <w:p w14:paraId="1E5283A8" w14:textId="07105282" w:rsidR="008F54A4" w:rsidRPr="00002B69" w:rsidRDefault="003F5229" w:rsidP="008F54A4">
            <w:pPr>
              <w:tabs>
                <w:tab w:val="left" w:pos="360"/>
              </w:tabs>
              <w:rPr>
                <w:sz w:val="22"/>
                <w:szCs w:val="22"/>
              </w:rPr>
            </w:pPr>
            <w:r w:rsidRPr="00002B69">
              <w:rPr>
                <w:sz w:val="22"/>
                <w:szCs w:val="22"/>
              </w:rPr>
              <w:t>2A-18</w:t>
            </w:r>
            <w:r w:rsidR="008F54A4" w:rsidRPr="00002B69">
              <w:rPr>
                <w:rStyle w:val="FootnoteReference"/>
                <w:sz w:val="22"/>
                <w:szCs w:val="22"/>
              </w:rPr>
              <w:t xml:space="preserve"> </w:t>
            </w:r>
            <w:r w:rsidR="008F54A4" w:rsidRPr="00002B69">
              <w:rPr>
                <w:rStyle w:val="FootnoteReference"/>
                <w:sz w:val="22"/>
                <w:szCs w:val="22"/>
              </w:rPr>
              <w:footnoteReference w:id="40"/>
            </w:r>
          </w:p>
        </w:tc>
        <w:tc>
          <w:tcPr>
            <w:tcW w:w="8280" w:type="dxa"/>
          </w:tcPr>
          <w:p w14:paraId="5E918AB0" w14:textId="77777777" w:rsidR="008F54A4" w:rsidRPr="00A256D2" w:rsidRDefault="008F54A4" w:rsidP="008F54A4">
            <w:pPr>
              <w:tabs>
                <w:tab w:val="left" w:pos="360"/>
              </w:tabs>
              <w:rPr>
                <w:sz w:val="22"/>
                <w:szCs w:val="22"/>
              </w:rPr>
            </w:pPr>
            <w:r w:rsidRPr="00A256D2">
              <w:rPr>
                <w:sz w:val="22"/>
                <w:szCs w:val="22"/>
              </w:rPr>
              <w:t>A county’s foreign debt investments must mature within 5 years of purchase.</w:t>
            </w:r>
          </w:p>
        </w:tc>
        <w:tc>
          <w:tcPr>
            <w:tcW w:w="2430" w:type="dxa"/>
          </w:tcPr>
          <w:p w14:paraId="108266CB" w14:textId="77777777" w:rsidR="008F54A4" w:rsidRPr="0094119F" w:rsidRDefault="008F54A4" w:rsidP="008F54A4">
            <w:pPr>
              <w:tabs>
                <w:tab w:val="left" w:pos="360"/>
              </w:tabs>
              <w:jc w:val="center"/>
              <w:rPr>
                <w:sz w:val="22"/>
                <w:szCs w:val="22"/>
              </w:rPr>
            </w:pPr>
            <w:r w:rsidRPr="0094119F">
              <w:rPr>
                <w:sz w:val="22"/>
                <w:szCs w:val="22"/>
              </w:rPr>
              <w:t>Interest rate</w:t>
            </w:r>
          </w:p>
        </w:tc>
      </w:tr>
      <w:tr w:rsidR="008F54A4" w:rsidRPr="0094119F" w14:paraId="226D0563" w14:textId="77777777" w:rsidTr="00CF46C9">
        <w:trPr>
          <w:jc w:val="center"/>
        </w:trPr>
        <w:tc>
          <w:tcPr>
            <w:tcW w:w="1705" w:type="dxa"/>
          </w:tcPr>
          <w:p w14:paraId="38D8550C"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(A)(10)</w:t>
            </w:r>
          </w:p>
        </w:tc>
        <w:tc>
          <w:tcPr>
            <w:tcW w:w="1530" w:type="dxa"/>
          </w:tcPr>
          <w:p w14:paraId="5E438C4B" w14:textId="382ED91D" w:rsidR="008F54A4" w:rsidRPr="00002B69" w:rsidRDefault="003F5229" w:rsidP="008F54A4">
            <w:pPr>
              <w:tabs>
                <w:tab w:val="left" w:pos="360"/>
              </w:tabs>
              <w:rPr>
                <w:sz w:val="22"/>
                <w:szCs w:val="22"/>
              </w:rPr>
            </w:pPr>
            <w:r w:rsidRPr="00002B69">
              <w:rPr>
                <w:sz w:val="22"/>
                <w:szCs w:val="22"/>
              </w:rPr>
              <w:t>2A-18</w:t>
            </w:r>
          </w:p>
        </w:tc>
        <w:tc>
          <w:tcPr>
            <w:tcW w:w="8280" w:type="dxa"/>
          </w:tcPr>
          <w:p w14:paraId="6069F867" w14:textId="36218E96" w:rsidR="008F54A4" w:rsidRPr="00A256D2" w:rsidRDefault="008F54A4" w:rsidP="005E3E8E">
            <w:pPr>
              <w:rPr>
                <w:sz w:val="22"/>
                <w:szCs w:val="22"/>
              </w:rPr>
            </w:pPr>
            <w:r w:rsidRPr="00A256D2">
              <w:rPr>
                <w:sz w:val="22"/>
                <w:szCs w:val="22"/>
              </w:rPr>
              <w:t xml:space="preserve">A county’s foreign debt investments cannot exceed </w:t>
            </w:r>
            <w:r w:rsidR="00397128" w:rsidRPr="005E3E8E">
              <w:rPr>
                <w:sz w:val="22"/>
                <w:szCs w:val="22"/>
              </w:rPr>
              <w:t>2</w:t>
            </w:r>
            <w:r w:rsidRPr="00A256D2">
              <w:rPr>
                <w:sz w:val="22"/>
                <w:szCs w:val="22"/>
              </w:rPr>
              <w:t>% of its investment portfolio</w:t>
            </w:r>
          </w:p>
        </w:tc>
        <w:tc>
          <w:tcPr>
            <w:tcW w:w="2430" w:type="dxa"/>
          </w:tcPr>
          <w:p w14:paraId="5C6B7B7B" w14:textId="77777777" w:rsidR="008F54A4" w:rsidRPr="0094119F" w:rsidRDefault="008F54A4" w:rsidP="008F54A4">
            <w:pPr>
              <w:tabs>
                <w:tab w:val="left" w:pos="360"/>
              </w:tabs>
              <w:jc w:val="center"/>
              <w:rPr>
                <w:sz w:val="22"/>
                <w:szCs w:val="22"/>
              </w:rPr>
            </w:pPr>
            <w:r w:rsidRPr="0094119F">
              <w:rPr>
                <w:sz w:val="22"/>
                <w:szCs w:val="22"/>
              </w:rPr>
              <w:t>Concentrations of credit</w:t>
            </w:r>
          </w:p>
        </w:tc>
      </w:tr>
      <w:tr w:rsidR="008F54A4" w:rsidRPr="0094119F" w14:paraId="56FDDDC0" w14:textId="77777777" w:rsidTr="00CF46C9">
        <w:trPr>
          <w:jc w:val="center"/>
        </w:trPr>
        <w:tc>
          <w:tcPr>
            <w:tcW w:w="1705" w:type="dxa"/>
          </w:tcPr>
          <w:p w14:paraId="4B74696D" w14:textId="77777777" w:rsidR="008F54A4" w:rsidRPr="00791FE1" w:rsidRDefault="009B4BF1" w:rsidP="008F54A4">
            <w:pPr>
              <w:tabs>
                <w:tab w:val="left" w:pos="360"/>
              </w:tabs>
              <w:rPr>
                <w:sz w:val="22"/>
                <w:szCs w:val="22"/>
              </w:rPr>
            </w:pPr>
            <w:r>
              <w:rPr>
                <w:sz w:val="22"/>
                <w:szCs w:val="22"/>
              </w:rPr>
              <w:t>§ 1</w:t>
            </w:r>
            <w:r w:rsidR="008F54A4" w:rsidRPr="00791FE1">
              <w:rPr>
                <w:sz w:val="22"/>
                <w:szCs w:val="22"/>
              </w:rPr>
              <w:t>35.35</w:t>
            </w:r>
            <w:r w:rsidR="00A256D2" w:rsidRPr="00791FE1">
              <w:rPr>
                <w:sz w:val="22"/>
                <w:szCs w:val="22"/>
              </w:rPr>
              <w:t>(A)(10)</w:t>
            </w:r>
          </w:p>
        </w:tc>
        <w:tc>
          <w:tcPr>
            <w:tcW w:w="1530" w:type="dxa"/>
          </w:tcPr>
          <w:p w14:paraId="4BFD58DB" w14:textId="3F903A9D" w:rsidR="008F54A4" w:rsidRPr="00002B69" w:rsidRDefault="003F5229" w:rsidP="008F54A4">
            <w:pPr>
              <w:tabs>
                <w:tab w:val="left" w:pos="360"/>
              </w:tabs>
              <w:rPr>
                <w:sz w:val="22"/>
                <w:szCs w:val="22"/>
              </w:rPr>
            </w:pPr>
            <w:r w:rsidRPr="00002B69">
              <w:rPr>
                <w:sz w:val="22"/>
                <w:szCs w:val="22"/>
              </w:rPr>
              <w:t xml:space="preserve">2A-18 </w:t>
            </w:r>
          </w:p>
        </w:tc>
        <w:tc>
          <w:tcPr>
            <w:tcW w:w="8280" w:type="dxa"/>
          </w:tcPr>
          <w:p w14:paraId="5146B6BA" w14:textId="3DDABF26" w:rsidR="008F54A4" w:rsidRPr="00A256D2" w:rsidRDefault="008F54A4" w:rsidP="008F54A4">
            <w:pPr>
              <w:tabs>
                <w:tab w:val="left" w:pos="360"/>
              </w:tabs>
              <w:rPr>
                <w:sz w:val="22"/>
                <w:szCs w:val="22"/>
                <w:highlight w:val="yellow"/>
              </w:rPr>
            </w:pPr>
            <w:r w:rsidRPr="00A256D2">
              <w:rPr>
                <w:sz w:val="22"/>
                <w:szCs w:val="22"/>
              </w:rPr>
              <w:t xml:space="preserve">A county’s foreign debt investments must be rated in 1 of the 3 highest categories by 2 </w:t>
            </w:r>
            <w:r w:rsidR="00B21E2A" w:rsidRPr="00C909C3">
              <w:rPr>
                <w:sz w:val="22"/>
                <w:szCs w:val="22"/>
              </w:rPr>
              <w:t>nationally recognized statistical</w:t>
            </w:r>
            <w:r w:rsidR="00B21E2A">
              <w:rPr>
                <w:sz w:val="22"/>
                <w:szCs w:val="22"/>
              </w:rPr>
              <w:t xml:space="preserve"> </w:t>
            </w:r>
            <w:r w:rsidRPr="00A256D2">
              <w:rPr>
                <w:sz w:val="22"/>
                <w:szCs w:val="22"/>
              </w:rPr>
              <w:t>rating organizations.</w:t>
            </w:r>
          </w:p>
        </w:tc>
        <w:tc>
          <w:tcPr>
            <w:tcW w:w="2430" w:type="dxa"/>
          </w:tcPr>
          <w:p w14:paraId="20DCF05D" w14:textId="77777777" w:rsidR="008F54A4" w:rsidRPr="0094119F" w:rsidRDefault="008F54A4" w:rsidP="008F54A4">
            <w:pPr>
              <w:tabs>
                <w:tab w:val="left" w:pos="360"/>
              </w:tabs>
              <w:jc w:val="center"/>
              <w:rPr>
                <w:sz w:val="22"/>
                <w:szCs w:val="22"/>
              </w:rPr>
            </w:pPr>
            <w:r w:rsidRPr="0094119F">
              <w:rPr>
                <w:sz w:val="22"/>
                <w:szCs w:val="22"/>
              </w:rPr>
              <w:t>Credit</w:t>
            </w:r>
          </w:p>
        </w:tc>
      </w:tr>
      <w:tr w:rsidR="008F54A4" w:rsidRPr="0094119F" w14:paraId="42708761" w14:textId="77777777" w:rsidTr="00CF46C9">
        <w:trPr>
          <w:jc w:val="center"/>
        </w:trPr>
        <w:tc>
          <w:tcPr>
            <w:tcW w:w="1705" w:type="dxa"/>
          </w:tcPr>
          <w:p w14:paraId="6430F0E7" w14:textId="77777777" w:rsidR="008F54A4" w:rsidRPr="0094119F" w:rsidRDefault="009B4BF1" w:rsidP="008F54A4">
            <w:pPr>
              <w:tabs>
                <w:tab w:val="left" w:pos="360"/>
              </w:tabs>
              <w:rPr>
                <w:sz w:val="22"/>
                <w:szCs w:val="22"/>
              </w:rPr>
            </w:pPr>
            <w:r>
              <w:rPr>
                <w:sz w:val="22"/>
                <w:szCs w:val="22"/>
              </w:rPr>
              <w:t>§ 1</w:t>
            </w:r>
            <w:r w:rsidR="00A256D2">
              <w:rPr>
                <w:sz w:val="22"/>
                <w:szCs w:val="22"/>
              </w:rPr>
              <w:t>35.13</w:t>
            </w:r>
          </w:p>
          <w:p w14:paraId="4496CC2C" w14:textId="77777777" w:rsidR="008F54A4" w:rsidRPr="0094119F" w:rsidRDefault="009B4BF1" w:rsidP="008F54A4">
            <w:pPr>
              <w:tabs>
                <w:tab w:val="left" w:pos="360"/>
              </w:tabs>
              <w:rPr>
                <w:sz w:val="22"/>
                <w:szCs w:val="22"/>
              </w:rPr>
            </w:pPr>
            <w:r>
              <w:rPr>
                <w:sz w:val="22"/>
                <w:szCs w:val="22"/>
              </w:rPr>
              <w:t>§ 1</w:t>
            </w:r>
            <w:r w:rsidR="008F54A4" w:rsidRPr="0094119F">
              <w:rPr>
                <w:sz w:val="22"/>
                <w:szCs w:val="22"/>
              </w:rPr>
              <w:t xml:space="preserve">35.14 </w:t>
            </w:r>
          </w:p>
          <w:p w14:paraId="6823904B" w14:textId="1C8A9F15" w:rsidR="00A256D2" w:rsidRPr="00DB15D3" w:rsidRDefault="009B4BF1" w:rsidP="008F54A4">
            <w:pPr>
              <w:tabs>
                <w:tab w:val="left" w:pos="360"/>
              </w:tabs>
              <w:rPr>
                <w:strike/>
                <w:sz w:val="22"/>
                <w:szCs w:val="22"/>
              </w:rPr>
            </w:pPr>
            <w:r w:rsidRPr="002159E3">
              <w:rPr>
                <w:sz w:val="22"/>
                <w:szCs w:val="22"/>
              </w:rPr>
              <w:t>§</w:t>
            </w:r>
            <w:r w:rsidRPr="00DB15D3">
              <w:rPr>
                <w:strike/>
                <w:sz w:val="22"/>
                <w:szCs w:val="22"/>
              </w:rPr>
              <w:t xml:space="preserve"> 1</w:t>
            </w:r>
            <w:r w:rsidR="00A256D2" w:rsidRPr="00DB15D3">
              <w:rPr>
                <w:strike/>
                <w:sz w:val="22"/>
                <w:szCs w:val="22"/>
              </w:rPr>
              <w:t>35.144</w:t>
            </w:r>
            <w:r w:rsidR="002159E3">
              <w:rPr>
                <w:strike/>
                <w:sz w:val="22"/>
                <w:szCs w:val="22"/>
              </w:rPr>
              <w:t xml:space="preserve"> </w:t>
            </w:r>
            <w:r w:rsidR="002159E3" w:rsidRPr="002159E3">
              <w:rPr>
                <w:sz w:val="22"/>
                <w:szCs w:val="22"/>
                <w:u w:val="double"/>
              </w:rPr>
              <w:t>135.145</w:t>
            </w:r>
          </w:p>
          <w:p w14:paraId="3763850F" w14:textId="77777777" w:rsidR="008F54A4" w:rsidRPr="0094119F" w:rsidRDefault="009B4BF1" w:rsidP="008F54A4">
            <w:pPr>
              <w:tabs>
                <w:tab w:val="left" w:pos="360"/>
              </w:tabs>
              <w:rPr>
                <w:sz w:val="22"/>
                <w:szCs w:val="22"/>
              </w:rPr>
            </w:pPr>
            <w:r>
              <w:rPr>
                <w:sz w:val="22"/>
                <w:szCs w:val="22"/>
              </w:rPr>
              <w:t>§ 1</w:t>
            </w:r>
            <w:r w:rsidR="008F54A4" w:rsidRPr="0094119F">
              <w:rPr>
                <w:sz w:val="22"/>
                <w:szCs w:val="22"/>
              </w:rPr>
              <w:t>35.35</w:t>
            </w:r>
          </w:p>
        </w:tc>
        <w:tc>
          <w:tcPr>
            <w:tcW w:w="1530" w:type="dxa"/>
          </w:tcPr>
          <w:p w14:paraId="7FF454EE" w14:textId="2F5F4788" w:rsidR="008F54A4" w:rsidRPr="00002B69" w:rsidRDefault="003F5229" w:rsidP="008F54A4">
            <w:pPr>
              <w:tabs>
                <w:tab w:val="left" w:pos="360"/>
              </w:tabs>
              <w:rPr>
                <w:sz w:val="22"/>
                <w:szCs w:val="22"/>
              </w:rPr>
            </w:pPr>
            <w:r w:rsidRPr="00002B69">
              <w:rPr>
                <w:sz w:val="22"/>
                <w:szCs w:val="22"/>
              </w:rPr>
              <w:t>2A-14</w:t>
            </w:r>
          </w:p>
          <w:p w14:paraId="5B6B2F69" w14:textId="29CE63B4" w:rsidR="008F54A4" w:rsidRPr="00002B69" w:rsidRDefault="003F5229" w:rsidP="008F54A4">
            <w:pPr>
              <w:tabs>
                <w:tab w:val="left" w:pos="360"/>
              </w:tabs>
              <w:rPr>
                <w:sz w:val="22"/>
                <w:szCs w:val="22"/>
              </w:rPr>
            </w:pPr>
            <w:r w:rsidRPr="00002B69">
              <w:rPr>
                <w:sz w:val="22"/>
                <w:szCs w:val="22"/>
              </w:rPr>
              <w:t xml:space="preserve">2A-16 </w:t>
            </w:r>
          </w:p>
          <w:p w14:paraId="3A06C036" w14:textId="70D9A0ED" w:rsidR="008F54A4" w:rsidRPr="00002B69" w:rsidRDefault="003F5229" w:rsidP="008F54A4">
            <w:pPr>
              <w:tabs>
                <w:tab w:val="left" w:pos="360"/>
              </w:tabs>
              <w:rPr>
                <w:sz w:val="22"/>
                <w:szCs w:val="22"/>
              </w:rPr>
            </w:pPr>
            <w:r w:rsidRPr="00002B69">
              <w:rPr>
                <w:sz w:val="22"/>
                <w:szCs w:val="22"/>
              </w:rPr>
              <w:t xml:space="preserve">2A-18 </w:t>
            </w:r>
          </w:p>
        </w:tc>
        <w:tc>
          <w:tcPr>
            <w:tcW w:w="8280" w:type="dxa"/>
          </w:tcPr>
          <w:p w14:paraId="3008B521" w14:textId="77777777" w:rsidR="008F54A4" w:rsidRPr="00A256D2" w:rsidRDefault="008F54A4" w:rsidP="008F54A4">
            <w:pPr>
              <w:tabs>
                <w:tab w:val="left" w:pos="360"/>
              </w:tabs>
              <w:rPr>
                <w:sz w:val="22"/>
                <w:szCs w:val="22"/>
              </w:rPr>
            </w:pPr>
            <w:r w:rsidRPr="00A256D2">
              <w:rPr>
                <w:sz w:val="22"/>
                <w:szCs w:val="22"/>
              </w:rPr>
              <w:t>Authorized investments</w:t>
            </w:r>
          </w:p>
        </w:tc>
        <w:tc>
          <w:tcPr>
            <w:tcW w:w="2430" w:type="dxa"/>
          </w:tcPr>
          <w:p w14:paraId="591980D6" w14:textId="77777777" w:rsidR="008F54A4" w:rsidRPr="0094119F" w:rsidRDefault="008F54A4" w:rsidP="008F54A4">
            <w:pPr>
              <w:tabs>
                <w:tab w:val="left" w:pos="360"/>
              </w:tabs>
              <w:jc w:val="center"/>
              <w:rPr>
                <w:sz w:val="22"/>
                <w:szCs w:val="22"/>
              </w:rPr>
            </w:pPr>
            <w:r w:rsidRPr="0094119F">
              <w:rPr>
                <w:sz w:val="22"/>
                <w:szCs w:val="22"/>
              </w:rPr>
              <w:t>*</w:t>
            </w:r>
          </w:p>
        </w:tc>
      </w:tr>
    </w:tbl>
    <w:p w14:paraId="720674D1" w14:textId="77777777" w:rsidR="008F54A4" w:rsidRPr="0094119F" w:rsidRDefault="008F54A4" w:rsidP="002B6315">
      <w:pPr>
        <w:tabs>
          <w:tab w:val="left" w:pos="360"/>
        </w:tabs>
        <w:jc w:val="both"/>
        <w:rPr>
          <w:sz w:val="22"/>
          <w:szCs w:val="22"/>
        </w:rPr>
      </w:pPr>
    </w:p>
    <w:p w14:paraId="7CBC7B4B" w14:textId="4F40D375" w:rsidR="00271B7B" w:rsidRDefault="008F54A4" w:rsidP="000E3B2B">
      <w:pPr>
        <w:rPr>
          <w:sz w:val="22"/>
          <w:szCs w:val="22"/>
        </w:rPr>
        <w:sectPr w:rsidR="00271B7B" w:rsidSect="002A3762">
          <w:headerReference w:type="default" r:id="rId47"/>
          <w:pgSz w:w="15840" w:h="12240" w:orient="landscape"/>
          <w:pgMar w:top="1152" w:right="1152" w:bottom="1152" w:left="720" w:header="720" w:footer="720" w:gutter="0"/>
          <w:cols w:space="720"/>
          <w:noEndnote/>
          <w:docGrid w:linePitch="272"/>
        </w:sectPr>
      </w:pPr>
      <w:r w:rsidRPr="00476AD1">
        <w:rPr>
          <w:sz w:val="22"/>
          <w:szCs w:val="22"/>
        </w:rPr>
        <w:t xml:space="preserve">* </w:t>
      </w:r>
      <w:r w:rsidRPr="00DB24AE">
        <w:rPr>
          <w:b/>
          <w:i/>
          <w:sz w:val="22"/>
          <w:szCs w:val="22"/>
        </w:rPr>
        <w:t>Note</w:t>
      </w:r>
      <w:r w:rsidRPr="00476AD1">
        <w:rPr>
          <w:sz w:val="22"/>
          <w:szCs w:val="22"/>
        </w:rPr>
        <w:t>: In addition to the risk-related policies above, GASB Cod</w:t>
      </w:r>
      <w:r w:rsidR="001E326C">
        <w:rPr>
          <w:sz w:val="22"/>
          <w:szCs w:val="22"/>
        </w:rPr>
        <w:t>.</w:t>
      </w:r>
      <w:r w:rsidRPr="00476AD1">
        <w:rPr>
          <w:sz w:val="22"/>
          <w:szCs w:val="22"/>
        </w:rPr>
        <w:t xml:space="preserve"> I50.1</w:t>
      </w:r>
      <w:r w:rsidR="008400D8">
        <w:rPr>
          <w:sz w:val="22"/>
          <w:szCs w:val="22"/>
        </w:rPr>
        <w:t>49</w:t>
      </w:r>
      <w:r w:rsidRPr="00476AD1">
        <w:rPr>
          <w:sz w:val="22"/>
          <w:szCs w:val="22"/>
        </w:rPr>
        <w:t xml:space="preserve"> requires disclosing </w:t>
      </w:r>
      <w:proofErr w:type="gramStart"/>
      <w:r w:rsidRPr="00476AD1">
        <w:rPr>
          <w:sz w:val="22"/>
          <w:szCs w:val="22"/>
        </w:rPr>
        <w:t>investments</w:t>
      </w:r>
      <w:proofErr w:type="gramEnd"/>
      <w:r w:rsidRPr="00476AD1">
        <w:rPr>
          <w:sz w:val="22"/>
          <w:szCs w:val="22"/>
        </w:rPr>
        <w:t xml:space="preserve"> the Ohio Rev. Code (or other legal or contractual provisions) </w:t>
      </w:r>
      <w:proofErr w:type="gramStart"/>
      <w:r w:rsidRPr="00476AD1">
        <w:rPr>
          <w:sz w:val="22"/>
          <w:szCs w:val="22"/>
        </w:rPr>
        <w:t>authorize</w:t>
      </w:r>
      <w:proofErr w:type="gramEnd"/>
      <w:r w:rsidRPr="00476AD1">
        <w:rPr>
          <w:sz w:val="22"/>
          <w:szCs w:val="22"/>
        </w:rPr>
        <w:t>.  The asterisked Ohio Rev. Code Sections list authorized investments.</w:t>
      </w:r>
      <w:r w:rsidRPr="00160BB2">
        <w:rPr>
          <w:sz w:val="22"/>
          <w:szCs w:val="22"/>
        </w:rPr>
        <w:t xml:space="preserve"> </w:t>
      </w:r>
      <w:r w:rsidRPr="00160BB2">
        <w:rPr>
          <w:sz w:val="22"/>
          <w:szCs w:val="22"/>
        </w:rPr>
        <w:cr/>
      </w:r>
      <w:r w:rsidR="00271B7B">
        <w:rPr>
          <w:sz w:val="22"/>
          <w:szCs w:val="22"/>
        </w:rPr>
        <w:br w:type="page"/>
      </w:r>
    </w:p>
    <w:p w14:paraId="65D2F8BC" w14:textId="1F7F5FDC" w:rsidR="003C73C7" w:rsidRPr="003C73C7" w:rsidRDefault="003C73C7" w:rsidP="00621F8F">
      <w:pPr>
        <w:pStyle w:val="Subtitle"/>
        <w:shd w:val="clear" w:color="auto" w:fill="A6A6A6" w:themeFill="background1" w:themeFillShade="A6"/>
      </w:pPr>
      <w:bookmarkStart w:id="51" w:name="_Toc214431144"/>
      <w:r>
        <w:t>Exhibit 1 – Citation Format</w:t>
      </w:r>
      <w:bookmarkEnd w:id="51"/>
    </w:p>
    <w:p w14:paraId="699D3450" w14:textId="77777777" w:rsidR="003C73C7" w:rsidRPr="00B11307" w:rsidRDefault="003C73C7" w:rsidP="00621F8F">
      <w:pPr>
        <w:shd w:val="clear" w:color="auto" w:fill="A6A6A6" w:themeFill="background1" w:themeFillShade="A6"/>
        <w:jc w:val="center"/>
        <w:rPr>
          <w:b/>
          <w:sz w:val="28"/>
          <w:szCs w:val="28"/>
        </w:rPr>
      </w:pPr>
      <w:r w:rsidRPr="00B11307">
        <w:rPr>
          <w:b/>
          <w:sz w:val="28"/>
          <w:szCs w:val="28"/>
        </w:rPr>
        <w:t>PRESCRIBED FORMS FOR CITATION OF LEGAL AUTHORITY</w:t>
      </w:r>
    </w:p>
    <w:p w14:paraId="4EECD01B" w14:textId="77777777" w:rsidR="003C73C7" w:rsidRPr="00B11307" w:rsidRDefault="003C73C7" w:rsidP="003C73C7">
      <w:pPr>
        <w:jc w:val="center"/>
        <w:rPr>
          <w:b/>
          <w:sz w:val="22"/>
          <w:szCs w:val="22"/>
        </w:rPr>
      </w:pPr>
    </w:p>
    <w:p w14:paraId="6DF87CFD" w14:textId="1B1D55F2" w:rsidR="003C73C7" w:rsidRPr="009526A6" w:rsidRDefault="003C73C7" w:rsidP="003C73C7">
      <w:pPr>
        <w:jc w:val="both"/>
        <w:rPr>
          <w:sz w:val="22"/>
          <w:szCs w:val="22"/>
        </w:rPr>
      </w:pPr>
      <w:r w:rsidRPr="009526A6">
        <w:rPr>
          <w:sz w:val="22"/>
          <w:szCs w:val="22"/>
        </w:rPr>
        <w:t xml:space="preserve">The Auditor of State and independent public accountants (IPAs) performing audits of public offices pursuant to Ohio Rev. Code </w:t>
      </w:r>
      <w:r w:rsidR="009B4BF1" w:rsidRPr="009526A6">
        <w:rPr>
          <w:sz w:val="22"/>
          <w:szCs w:val="22"/>
        </w:rPr>
        <w:t>§</w:t>
      </w:r>
      <w:r w:rsidR="001B661C" w:rsidRPr="009526A6">
        <w:rPr>
          <w:sz w:val="22"/>
          <w:szCs w:val="22"/>
        </w:rPr>
        <w:t>§</w:t>
      </w:r>
      <w:r w:rsidR="009B4BF1" w:rsidRPr="009526A6">
        <w:rPr>
          <w:sz w:val="22"/>
          <w:szCs w:val="22"/>
        </w:rPr>
        <w:t xml:space="preserve"> </w:t>
      </w:r>
      <w:r w:rsidR="00C1415F" w:rsidRPr="009526A6">
        <w:rPr>
          <w:sz w:val="22"/>
          <w:szCs w:val="22"/>
        </w:rPr>
        <w:t>117.115</w:t>
      </w:r>
      <w:r w:rsidRPr="009526A6">
        <w:rPr>
          <w:sz w:val="22"/>
          <w:szCs w:val="22"/>
        </w:rPr>
        <w:t xml:space="preserve">, 117.11, or 117.43, must follow legal authority in determining “whether the laws, ordinances, and orders pertaining to [a public] office have been observed, and whether the requirements and rules of the auditor of state have been complied with” Ohio Rev. </w:t>
      </w:r>
      <w:r w:rsidR="00FD3963" w:rsidRPr="009526A6">
        <w:rPr>
          <w:sz w:val="22"/>
          <w:szCs w:val="22"/>
        </w:rPr>
        <w:t xml:space="preserve">Code </w:t>
      </w:r>
      <w:r w:rsidR="009B4BF1" w:rsidRPr="009526A6">
        <w:rPr>
          <w:sz w:val="22"/>
          <w:szCs w:val="22"/>
        </w:rPr>
        <w:t>§ 1</w:t>
      </w:r>
      <w:r w:rsidRPr="009526A6">
        <w:rPr>
          <w:sz w:val="22"/>
          <w:szCs w:val="22"/>
        </w:rPr>
        <w:t>17.11(A).  Legal authorities which may be cited in an audit report may include the Federal and State constitutions, the United States Code</w:t>
      </w:r>
      <w:r w:rsidR="00B0458F" w:rsidRPr="009526A6">
        <w:rPr>
          <w:sz w:val="22"/>
          <w:szCs w:val="22"/>
        </w:rPr>
        <w:t xml:space="preserve"> and rules</w:t>
      </w:r>
      <w:r w:rsidRPr="009526A6">
        <w:rPr>
          <w:sz w:val="22"/>
          <w:szCs w:val="22"/>
        </w:rPr>
        <w:t xml:space="preserve">, the Ohio Revised Code, the Ohio Administrative Code, Federal and State court decisions, Federal and State regulations, opinions of the Ethics Commission, and local ordinances and charters. Also, as described in </w:t>
      </w:r>
      <w:r w:rsidRPr="009526A6">
        <w:rPr>
          <w:i/>
          <w:iCs/>
          <w:sz w:val="22"/>
          <w:szCs w:val="22"/>
        </w:rPr>
        <w:t>Government Auditing Standards</w:t>
      </w:r>
      <w:r w:rsidRPr="009526A6">
        <w:rPr>
          <w:sz w:val="22"/>
          <w:szCs w:val="22"/>
        </w:rPr>
        <w:t>, non-compliance with provisions of contracts or grant agreements should be reported.</w:t>
      </w:r>
    </w:p>
    <w:p w14:paraId="70DFE64D" w14:textId="77777777" w:rsidR="003C73C7" w:rsidRPr="009526A6" w:rsidRDefault="003C73C7" w:rsidP="003C73C7">
      <w:pPr>
        <w:jc w:val="both"/>
        <w:rPr>
          <w:sz w:val="22"/>
          <w:szCs w:val="22"/>
        </w:rPr>
      </w:pPr>
      <w:r w:rsidRPr="009526A6">
        <w:rPr>
          <w:sz w:val="22"/>
          <w:szCs w:val="22"/>
        </w:rPr>
        <w:t xml:space="preserve"> </w:t>
      </w:r>
    </w:p>
    <w:p w14:paraId="5893037E" w14:textId="7F5BE28F" w:rsidR="003C73C7" w:rsidRPr="009526A6" w:rsidRDefault="003C73C7" w:rsidP="003C73C7">
      <w:pPr>
        <w:jc w:val="both"/>
        <w:rPr>
          <w:sz w:val="22"/>
          <w:szCs w:val="22"/>
        </w:rPr>
      </w:pPr>
      <w:r w:rsidRPr="009526A6">
        <w:rPr>
          <w:sz w:val="22"/>
          <w:szCs w:val="22"/>
        </w:rPr>
        <w:t xml:space="preserve">You should use the following forms of citation in all reports, letters, memoranda, opinions, and other documents if you are on the professional staff of the Auditor of State or are an IPA acting under contracts pursuant to Ohio Rev. Code </w:t>
      </w:r>
      <w:r w:rsidR="009B4BF1" w:rsidRPr="009526A6">
        <w:rPr>
          <w:sz w:val="22"/>
          <w:szCs w:val="22"/>
        </w:rPr>
        <w:t>§</w:t>
      </w:r>
      <w:r w:rsidR="001B661C" w:rsidRPr="009526A6">
        <w:rPr>
          <w:sz w:val="22"/>
          <w:szCs w:val="22"/>
        </w:rPr>
        <w:t>§</w:t>
      </w:r>
      <w:r w:rsidR="009B4BF1" w:rsidRPr="009526A6">
        <w:rPr>
          <w:sz w:val="22"/>
          <w:szCs w:val="22"/>
        </w:rPr>
        <w:t xml:space="preserve"> </w:t>
      </w:r>
      <w:r w:rsidR="00C1415F" w:rsidRPr="009526A6">
        <w:rPr>
          <w:sz w:val="22"/>
          <w:szCs w:val="22"/>
        </w:rPr>
        <w:t>117.115</w:t>
      </w:r>
      <w:r w:rsidRPr="009526A6">
        <w:rPr>
          <w:sz w:val="22"/>
          <w:szCs w:val="22"/>
        </w:rPr>
        <w:t>, 117.11(B), or 117.43.</w:t>
      </w:r>
    </w:p>
    <w:p w14:paraId="1AF9EBCA" w14:textId="77777777" w:rsidR="003C73C7" w:rsidRPr="009526A6" w:rsidRDefault="003C73C7" w:rsidP="003C73C7">
      <w:pPr>
        <w:jc w:val="both"/>
        <w:rPr>
          <w:b/>
          <w:sz w:val="22"/>
          <w:szCs w:val="22"/>
        </w:rPr>
      </w:pPr>
    </w:p>
    <w:p w14:paraId="00D77742" w14:textId="77777777" w:rsidR="00432648" w:rsidRPr="009526A6" w:rsidRDefault="00432648" w:rsidP="003C73C7">
      <w:pPr>
        <w:jc w:val="both"/>
        <w:rPr>
          <w:b/>
          <w:sz w:val="22"/>
          <w:szCs w:val="22"/>
        </w:rPr>
      </w:pPr>
    </w:p>
    <w:p w14:paraId="6506CE67" w14:textId="77777777" w:rsidR="003C73C7" w:rsidRPr="009526A6" w:rsidRDefault="003C73C7" w:rsidP="003C73C7">
      <w:pPr>
        <w:jc w:val="center"/>
        <w:rPr>
          <w:b/>
          <w:sz w:val="22"/>
          <w:szCs w:val="22"/>
          <w:u w:val="single"/>
        </w:rPr>
      </w:pPr>
      <w:r w:rsidRPr="009526A6">
        <w:rPr>
          <w:b/>
          <w:sz w:val="22"/>
          <w:szCs w:val="22"/>
          <w:u w:val="single"/>
        </w:rPr>
        <w:t>Statutory Citations</w:t>
      </w:r>
    </w:p>
    <w:p w14:paraId="512944CC" w14:textId="77777777" w:rsidR="003C73C7" w:rsidRPr="009526A6" w:rsidRDefault="003C73C7" w:rsidP="003C73C7">
      <w:pPr>
        <w:jc w:val="center"/>
        <w:rPr>
          <w:b/>
          <w:sz w:val="22"/>
          <w:szCs w:val="22"/>
          <w:u w:val="single"/>
        </w:rPr>
      </w:pPr>
    </w:p>
    <w:p w14:paraId="37412352" w14:textId="77777777" w:rsidR="003C73C7" w:rsidRPr="009526A6" w:rsidRDefault="003C73C7" w:rsidP="003C73C7">
      <w:pPr>
        <w:jc w:val="both"/>
        <w:rPr>
          <w:sz w:val="22"/>
          <w:szCs w:val="22"/>
        </w:rPr>
      </w:pPr>
      <w:r w:rsidRPr="009526A6">
        <w:rPr>
          <w:sz w:val="22"/>
          <w:szCs w:val="22"/>
        </w:rPr>
        <w:t>Citations to the Ohio Revised Code should be in the following form:</w:t>
      </w:r>
    </w:p>
    <w:p w14:paraId="58F4D921" w14:textId="77777777" w:rsidR="003C73C7" w:rsidRPr="009526A6" w:rsidRDefault="003C73C7" w:rsidP="003C73C7">
      <w:pPr>
        <w:jc w:val="both"/>
        <w:rPr>
          <w:sz w:val="22"/>
          <w:szCs w:val="22"/>
        </w:rPr>
      </w:pPr>
    </w:p>
    <w:p w14:paraId="443AA6BF" w14:textId="77777777" w:rsidR="003C73C7" w:rsidRPr="009526A6" w:rsidRDefault="003C73C7" w:rsidP="003C73C7">
      <w:pPr>
        <w:ind w:left="720"/>
        <w:jc w:val="both"/>
        <w:rPr>
          <w:sz w:val="22"/>
          <w:szCs w:val="22"/>
        </w:rPr>
      </w:pPr>
      <w:r w:rsidRPr="009526A6">
        <w:rPr>
          <w:sz w:val="22"/>
          <w:szCs w:val="22"/>
        </w:rPr>
        <w:t>Ohio Rev. Code § 325.19</w:t>
      </w:r>
    </w:p>
    <w:p w14:paraId="191BCC79" w14:textId="77777777" w:rsidR="003C73C7" w:rsidRPr="009526A6" w:rsidRDefault="003C73C7" w:rsidP="003C73C7">
      <w:pPr>
        <w:ind w:left="720"/>
        <w:jc w:val="both"/>
        <w:rPr>
          <w:sz w:val="22"/>
          <w:szCs w:val="22"/>
        </w:rPr>
      </w:pPr>
    </w:p>
    <w:p w14:paraId="5A8004B0" w14:textId="77777777" w:rsidR="003C73C7" w:rsidRPr="009526A6" w:rsidRDefault="003C73C7" w:rsidP="003C73C7">
      <w:pPr>
        <w:ind w:left="720"/>
        <w:jc w:val="both"/>
        <w:rPr>
          <w:sz w:val="22"/>
          <w:szCs w:val="22"/>
        </w:rPr>
      </w:pPr>
      <w:r w:rsidRPr="009526A6">
        <w:rPr>
          <w:sz w:val="22"/>
          <w:szCs w:val="22"/>
        </w:rPr>
        <w:t>Ohio Rev. Code Chapter 325</w:t>
      </w:r>
    </w:p>
    <w:p w14:paraId="7C40BFC2" w14:textId="77777777" w:rsidR="003C73C7" w:rsidRPr="009526A6" w:rsidRDefault="003C73C7" w:rsidP="003C73C7">
      <w:pPr>
        <w:ind w:left="720"/>
        <w:jc w:val="both"/>
        <w:rPr>
          <w:sz w:val="22"/>
          <w:szCs w:val="22"/>
        </w:rPr>
      </w:pPr>
    </w:p>
    <w:p w14:paraId="5B095DED" w14:textId="77777777" w:rsidR="003C73C7" w:rsidRPr="009526A6" w:rsidRDefault="003C73C7" w:rsidP="003C73C7">
      <w:pPr>
        <w:ind w:left="720"/>
        <w:jc w:val="both"/>
        <w:rPr>
          <w:sz w:val="22"/>
          <w:szCs w:val="22"/>
        </w:rPr>
      </w:pPr>
      <w:r w:rsidRPr="009526A6">
        <w:rPr>
          <w:sz w:val="22"/>
          <w:szCs w:val="22"/>
        </w:rPr>
        <w:t>Ohio Rev. Code Title 3</w:t>
      </w:r>
    </w:p>
    <w:p w14:paraId="11652F08" w14:textId="77777777" w:rsidR="003C73C7" w:rsidRPr="009526A6" w:rsidRDefault="003C73C7" w:rsidP="003C73C7">
      <w:pPr>
        <w:ind w:left="720"/>
        <w:jc w:val="both"/>
        <w:rPr>
          <w:sz w:val="22"/>
          <w:szCs w:val="22"/>
        </w:rPr>
      </w:pPr>
    </w:p>
    <w:p w14:paraId="71CA08E4" w14:textId="77777777" w:rsidR="003C73C7" w:rsidRPr="009526A6" w:rsidRDefault="003C73C7" w:rsidP="003C73C7">
      <w:pPr>
        <w:jc w:val="both"/>
        <w:rPr>
          <w:sz w:val="22"/>
          <w:szCs w:val="22"/>
        </w:rPr>
      </w:pPr>
      <w:r w:rsidRPr="009526A6">
        <w:rPr>
          <w:sz w:val="22"/>
          <w:szCs w:val="22"/>
        </w:rPr>
        <w:t>Citations to the United States Code should be in the following form:</w:t>
      </w:r>
    </w:p>
    <w:p w14:paraId="6EC3FB80" w14:textId="77777777" w:rsidR="003C73C7" w:rsidRPr="009526A6" w:rsidRDefault="003C73C7" w:rsidP="003C73C7">
      <w:pPr>
        <w:jc w:val="both"/>
        <w:rPr>
          <w:sz w:val="22"/>
          <w:szCs w:val="22"/>
        </w:rPr>
      </w:pPr>
    </w:p>
    <w:p w14:paraId="6F945442" w14:textId="77777777" w:rsidR="003C73C7" w:rsidRPr="009526A6" w:rsidRDefault="003C73C7" w:rsidP="003C73C7">
      <w:pPr>
        <w:ind w:left="720"/>
        <w:jc w:val="both"/>
        <w:rPr>
          <w:sz w:val="22"/>
          <w:szCs w:val="22"/>
        </w:rPr>
      </w:pPr>
      <w:r w:rsidRPr="009526A6">
        <w:rPr>
          <w:sz w:val="22"/>
          <w:szCs w:val="22"/>
        </w:rPr>
        <w:t xml:space="preserve">26 U.S.C. § 3402(a) </w:t>
      </w:r>
    </w:p>
    <w:p w14:paraId="2126C4ED" w14:textId="77777777" w:rsidR="00432648" w:rsidRPr="009526A6" w:rsidRDefault="00432648" w:rsidP="00A34540">
      <w:pPr>
        <w:jc w:val="both"/>
        <w:rPr>
          <w:sz w:val="22"/>
          <w:szCs w:val="22"/>
        </w:rPr>
      </w:pPr>
    </w:p>
    <w:p w14:paraId="675D8054" w14:textId="77777777" w:rsidR="003C73C7" w:rsidRPr="009526A6" w:rsidRDefault="003C73C7" w:rsidP="003C73C7">
      <w:pPr>
        <w:jc w:val="center"/>
        <w:rPr>
          <w:b/>
          <w:sz w:val="22"/>
          <w:szCs w:val="22"/>
          <w:u w:val="single"/>
        </w:rPr>
      </w:pPr>
      <w:r w:rsidRPr="009526A6">
        <w:rPr>
          <w:b/>
          <w:sz w:val="22"/>
          <w:szCs w:val="22"/>
          <w:u w:val="single"/>
        </w:rPr>
        <w:t>Attorney General Opinions</w:t>
      </w:r>
    </w:p>
    <w:p w14:paraId="0910F441" w14:textId="77777777" w:rsidR="003C73C7" w:rsidRPr="009526A6" w:rsidRDefault="003C73C7" w:rsidP="003C73C7">
      <w:pPr>
        <w:jc w:val="center"/>
        <w:rPr>
          <w:sz w:val="22"/>
          <w:szCs w:val="22"/>
          <w:u w:val="single"/>
        </w:rPr>
      </w:pPr>
    </w:p>
    <w:p w14:paraId="6A771E01" w14:textId="77777777" w:rsidR="003C73C7" w:rsidRPr="009526A6" w:rsidRDefault="003C73C7" w:rsidP="003C73C7">
      <w:pPr>
        <w:jc w:val="both"/>
        <w:rPr>
          <w:sz w:val="22"/>
          <w:szCs w:val="22"/>
        </w:rPr>
      </w:pPr>
      <w:r w:rsidRPr="009526A6">
        <w:rPr>
          <w:sz w:val="22"/>
          <w:szCs w:val="22"/>
        </w:rPr>
        <w:t>Opinions should be cited by year and opinion number in the following form:</w:t>
      </w:r>
    </w:p>
    <w:p w14:paraId="76C6F5A2" w14:textId="77777777" w:rsidR="003C73C7" w:rsidRPr="009526A6" w:rsidRDefault="003C73C7" w:rsidP="003C73C7">
      <w:pPr>
        <w:jc w:val="both"/>
        <w:rPr>
          <w:sz w:val="22"/>
          <w:szCs w:val="22"/>
        </w:rPr>
      </w:pPr>
    </w:p>
    <w:p w14:paraId="49CA4FEC" w14:textId="4A32B899" w:rsidR="003C73C7" w:rsidRPr="009526A6" w:rsidRDefault="003C73C7" w:rsidP="003C73C7">
      <w:pPr>
        <w:ind w:left="720"/>
        <w:jc w:val="both"/>
        <w:rPr>
          <w:sz w:val="22"/>
          <w:szCs w:val="22"/>
        </w:rPr>
      </w:pPr>
      <w:bookmarkStart w:id="52" w:name="_Hlk211322012"/>
      <w:r w:rsidRPr="009526A6">
        <w:rPr>
          <w:sz w:val="22"/>
          <w:szCs w:val="22"/>
        </w:rPr>
        <w:t>1993 Op. Att</w:t>
      </w:r>
      <w:r w:rsidR="00FC4CE7" w:rsidRPr="009526A6">
        <w:rPr>
          <w:sz w:val="22"/>
          <w:szCs w:val="22"/>
        </w:rPr>
        <w:t>’</w:t>
      </w:r>
      <w:r w:rsidRPr="009526A6">
        <w:rPr>
          <w:sz w:val="22"/>
          <w:szCs w:val="22"/>
        </w:rPr>
        <w:t>y. Gen. No. 93-004 or 1993 Op. Att’y Gen. No.93-004</w:t>
      </w:r>
    </w:p>
    <w:bookmarkEnd w:id="52"/>
    <w:p w14:paraId="7168E52D" w14:textId="77777777" w:rsidR="003C73C7" w:rsidRPr="009526A6" w:rsidRDefault="003C73C7" w:rsidP="003C73C7">
      <w:pPr>
        <w:ind w:left="720"/>
        <w:jc w:val="both"/>
        <w:rPr>
          <w:b/>
          <w:sz w:val="22"/>
          <w:szCs w:val="22"/>
        </w:rPr>
      </w:pPr>
    </w:p>
    <w:p w14:paraId="602CE462" w14:textId="77777777" w:rsidR="00432648" w:rsidRPr="009526A6" w:rsidRDefault="00432648" w:rsidP="003C73C7">
      <w:pPr>
        <w:ind w:left="720"/>
        <w:jc w:val="both"/>
        <w:rPr>
          <w:b/>
          <w:sz w:val="22"/>
          <w:szCs w:val="22"/>
        </w:rPr>
      </w:pPr>
    </w:p>
    <w:p w14:paraId="35427951" w14:textId="77777777" w:rsidR="003C73C7" w:rsidRPr="009526A6" w:rsidRDefault="003C73C7" w:rsidP="003C73C7">
      <w:pPr>
        <w:jc w:val="center"/>
        <w:rPr>
          <w:b/>
          <w:sz w:val="22"/>
          <w:szCs w:val="22"/>
          <w:u w:val="single"/>
        </w:rPr>
      </w:pPr>
      <w:r w:rsidRPr="009526A6">
        <w:rPr>
          <w:b/>
          <w:sz w:val="22"/>
          <w:szCs w:val="22"/>
          <w:u w:val="single"/>
        </w:rPr>
        <w:t>Court Cases</w:t>
      </w:r>
    </w:p>
    <w:p w14:paraId="5234D99D" w14:textId="77777777" w:rsidR="003C73C7" w:rsidRPr="009526A6" w:rsidRDefault="003C73C7" w:rsidP="003C73C7">
      <w:pPr>
        <w:jc w:val="both"/>
        <w:rPr>
          <w:b/>
          <w:sz w:val="22"/>
          <w:szCs w:val="22"/>
        </w:rPr>
      </w:pPr>
    </w:p>
    <w:p w14:paraId="508D36EC" w14:textId="77777777" w:rsidR="003C73C7" w:rsidRPr="009526A6" w:rsidRDefault="003C73C7" w:rsidP="003C73C7">
      <w:pPr>
        <w:jc w:val="both"/>
        <w:rPr>
          <w:b/>
          <w:sz w:val="22"/>
          <w:szCs w:val="22"/>
        </w:rPr>
      </w:pPr>
      <w:r w:rsidRPr="009526A6">
        <w:rPr>
          <w:sz w:val="22"/>
          <w:szCs w:val="22"/>
        </w:rPr>
        <w:t>All citations to a reported case should use the following form</w:t>
      </w:r>
      <w:r w:rsidRPr="009526A6">
        <w:rPr>
          <w:b/>
          <w:sz w:val="22"/>
          <w:szCs w:val="22"/>
        </w:rPr>
        <w:t>:</w:t>
      </w:r>
    </w:p>
    <w:p w14:paraId="5480E23C" w14:textId="77777777" w:rsidR="003C73C7" w:rsidRPr="009526A6" w:rsidRDefault="003C73C7" w:rsidP="003C73C7">
      <w:pPr>
        <w:jc w:val="both"/>
        <w:rPr>
          <w:i/>
          <w:sz w:val="22"/>
          <w:szCs w:val="22"/>
        </w:rPr>
      </w:pPr>
    </w:p>
    <w:p w14:paraId="6F740437" w14:textId="77777777" w:rsidR="003C73C7" w:rsidRPr="009526A6" w:rsidRDefault="003C73C7" w:rsidP="003C73C7">
      <w:pPr>
        <w:jc w:val="both"/>
        <w:rPr>
          <w:sz w:val="22"/>
          <w:szCs w:val="22"/>
        </w:rPr>
      </w:pPr>
      <w:r w:rsidRPr="009526A6">
        <w:rPr>
          <w:i/>
          <w:sz w:val="22"/>
          <w:szCs w:val="22"/>
        </w:rPr>
        <w:t>Parsons v. Ferguson</w:t>
      </w:r>
      <w:r w:rsidR="005E4C4F" w:rsidRPr="009526A6">
        <w:rPr>
          <w:sz w:val="22"/>
          <w:szCs w:val="22"/>
        </w:rPr>
        <w:t>, 46 Ohio St.</w:t>
      </w:r>
      <w:r w:rsidRPr="009526A6">
        <w:rPr>
          <w:sz w:val="22"/>
          <w:szCs w:val="22"/>
        </w:rPr>
        <w:t>2d 389</w:t>
      </w:r>
      <w:r w:rsidR="001B661C" w:rsidRPr="009526A6">
        <w:rPr>
          <w:sz w:val="22"/>
          <w:szCs w:val="22"/>
        </w:rPr>
        <w:t xml:space="preserve"> (1976)</w:t>
      </w:r>
    </w:p>
    <w:p w14:paraId="50D2ABD0" w14:textId="77777777" w:rsidR="003C73C7" w:rsidRPr="009526A6" w:rsidRDefault="003C73C7" w:rsidP="003C73C7">
      <w:pPr>
        <w:tabs>
          <w:tab w:val="left" w:pos="2100"/>
          <w:tab w:val="left" w:pos="2220"/>
          <w:tab w:val="left" w:pos="2685"/>
          <w:tab w:val="left" w:pos="2745"/>
          <w:tab w:val="left" w:pos="3165"/>
          <w:tab w:val="left" w:pos="3435"/>
          <w:tab w:val="left" w:pos="4125"/>
        </w:tabs>
        <w:ind w:firstLine="720"/>
        <w:jc w:val="both"/>
        <w:rPr>
          <w:sz w:val="22"/>
          <w:szCs w:val="22"/>
        </w:rPr>
      </w:pPr>
      <w:r w:rsidRPr="009526A6">
        <w:rPr>
          <w:rFonts w:ascii="Wingdings" w:eastAsia="Wingdings" w:hAnsi="Wingdings" w:cs="Wingdings"/>
          <w:sz w:val="22"/>
          <w:szCs w:val="22"/>
        </w:rPr>
        <w:t></w:t>
      </w:r>
      <w:r w:rsidRPr="009526A6">
        <w:rPr>
          <w:sz w:val="22"/>
          <w:szCs w:val="22"/>
        </w:rPr>
        <w:tab/>
      </w:r>
      <w:r w:rsidRPr="009526A6">
        <w:rPr>
          <w:rFonts w:ascii="Wingdings" w:eastAsia="Wingdings" w:hAnsi="Wingdings" w:cs="Wingdings"/>
          <w:sz w:val="22"/>
          <w:szCs w:val="22"/>
        </w:rPr>
        <w:t></w:t>
      </w:r>
      <w:r w:rsidRPr="009526A6">
        <w:rPr>
          <w:sz w:val="22"/>
          <w:szCs w:val="22"/>
        </w:rPr>
        <w:tab/>
      </w:r>
      <w:r w:rsidR="001B661C" w:rsidRPr="009526A6">
        <w:rPr>
          <w:sz w:val="22"/>
          <w:szCs w:val="22"/>
        </w:rPr>
        <w:t xml:space="preserve">  </w:t>
      </w:r>
      <w:r w:rsidRPr="009526A6">
        <w:rPr>
          <w:rFonts w:ascii="Wingdings" w:eastAsia="Wingdings" w:hAnsi="Wingdings" w:cs="Wingdings"/>
          <w:sz w:val="22"/>
          <w:szCs w:val="22"/>
        </w:rPr>
        <w:t></w:t>
      </w:r>
      <w:r w:rsidRPr="009526A6">
        <w:rPr>
          <w:sz w:val="22"/>
          <w:szCs w:val="22"/>
        </w:rPr>
        <w:tab/>
      </w:r>
      <w:r w:rsidR="001B661C" w:rsidRPr="009526A6">
        <w:rPr>
          <w:sz w:val="22"/>
          <w:szCs w:val="22"/>
        </w:rPr>
        <w:t xml:space="preserve">       </w:t>
      </w:r>
      <w:r w:rsidRPr="009526A6">
        <w:rPr>
          <w:rFonts w:ascii="Wingdings" w:eastAsia="Wingdings" w:hAnsi="Wingdings" w:cs="Wingdings"/>
          <w:sz w:val="22"/>
          <w:szCs w:val="22"/>
        </w:rPr>
        <w:t></w:t>
      </w:r>
      <w:r w:rsidRPr="009526A6">
        <w:rPr>
          <w:sz w:val="22"/>
          <w:szCs w:val="22"/>
        </w:rPr>
        <w:tab/>
      </w:r>
      <w:r w:rsidRPr="009526A6">
        <w:rPr>
          <w:sz w:val="22"/>
          <w:szCs w:val="22"/>
        </w:rPr>
        <w:tab/>
      </w:r>
      <w:r w:rsidRPr="009526A6">
        <w:rPr>
          <w:rFonts w:ascii="Wingdings" w:eastAsia="Wingdings" w:hAnsi="Wingdings" w:cs="Wingdings"/>
          <w:sz w:val="22"/>
          <w:szCs w:val="22"/>
        </w:rPr>
        <w:t></w:t>
      </w:r>
      <w:r w:rsidRPr="009526A6">
        <w:rPr>
          <w:sz w:val="22"/>
          <w:szCs w:val="22"/>
        </w:rPr>
        <w:tab/>
      </w:r>
      <w:r w:rsidRPr="009526A6">
        <w:rPr>
          <w:sz w:val="22"/>
          <w:szCs w:val="22"/>
        </w:rPr>
        <w:tab/>
      </w:r>
    </w:p>
    <w:p w14:paraId="3D1631E4" w14:textId="77777777" w:rsidR="003C73C7" w:rsidRPr="009526A6" w:rsidRDefault="003C73C7" w:rsidP="003C73C7">
      <w:pPr>
        <w:tabs>
          <w:tab w:val="left" w:pos="2100"/>
          <w:tab w:val="left" w:pos="2685"/>
          <w:tab w:val="left" w:pos="3165"/>
          <w:tab w:val="left" w:pos="4125"/>
        </w:tabs>
        <w:ind w:firstLine="720"/>
        <w:jc w:val="both"/>
        <w:rPr>
          <w:sz w:val="22"/>
          <w:szCs w:val="22"/>
        </w:rPr>
      </w:pPr>
      <w:r w:rsidRPr="009526A6">
        <w:rPr>
          <w:sz w:val="22"/>
          <w:szCs w:val="22"/>
        </w:rPr>
        <w:t>1</w:t>
      </w:r>
      <w:r w:rsidRPr="009526A6">
        <w:rPr>
          <w:sz w:val="22"/>
          <w:szCs w:val="22"/>
        </w:rPr>
        <w:tab/>
        <w:t>2</w:t>
      </w:r>
      <w:r w:rsidRPr="009526A6">
        <w:rPr>
          <w:sz w:val="22"/>
          <w:szCs w:val="22"/>
        </w:rPr>
        <w:tab/>
      </w:r>
      <w:r w:rsidR="001B661C" w:rsidRPr="009526A6">
        <w:rPr>
          <w:sz w:val="22"/>
          <w:szCs w:val="22"/>
        </w:rPr>
        <w:t xml:space="preserve">  </w:t>
      </w:r>
      <w:r w:rsidRPr="009526A6">
        <w:rPr>
          <w:sz w:val="22"/>
          <w:szCs w:val="22"/>
        </w:rPr>
        <w:t>3</w:t>
      </w:r>
      <w:r w:rsidRPr="009526A6">
        <w:rPr>
          <w:sz w:val="22"/>
          <w:szCs w:val="22"/>
        </w:rPr>
        <w:tab/>
      </w:r>
      <w:r w:rsidR="001B661C" w:rsidRPr="009526A6">
        <w:rPr>
          <w:sz w:val="22"/>
          <w:szCs w:val="22"/>
        </w:rPr>
        <w:t xml:space="preserve">       </w:t>
      </w:r>
      <w:r w:rsidRPr="009526A6">
        <w:rPr>
          <w:sz w:val="22"/>
          <w:szCs w:val="22"/>
        </w:rPr>
        <w:t>4</w:t>
      </w:r>
      <w:r w:rsidRPr="009526A6">
        <w:rPr>
          <w:sz w:val="22"/>
          <w:szCs w:val="22"/>
        </w:rPr>
        <w:tab/>
      </w:r>
      <w:r w:rsidR="001B661C" w:rsidRPr="009526A6">
        <w:rPr>
          <w:sz w:val="22"/>
          <w:szCs w:val="22"/>
        </w:rPr>
        <w:t xml:space="preserve">    </w:t>
      </w:r>
      <w:r w:rsidRPr="009526A6">
        <w:rPr>
          <w:sz w:val="22"/>
          <w:szCs w:val="22"/>
        </w:rPr>
        <w:t>5</w:t>
      </w:r>
    </w:p>
    <w:p w14:paraId="1784BDD0" w14:textId="77777777" w:rsidR="003C73C7" w:rsidRPr="009526A6" w:rsidRDefault="003C73C7" w:rsidP="003C73C7">
      <w:pPr>
        <w:jc w:val="both"/>
        <w:rPr>
          <w:sz w:val="22"/>
          <w:szCs w:val="22"/>
        </w:rPr>
      </w:pPr>
    </w:p>
    <w:p w14:paraId="5A72A110" w14:textId="77777777" w:rsidR="003C73C7" w:rsidRPr="009526A6" w:rsidRDefault="003C73C7" w:rsidP="003C73C7">
      <w:pPr>
        <w:jc w:val="both"/>
        <w:rPr>
          <w:sz w:val="22"/>
          <w:szCs w:val="22"/>
        </w:rPr>
      </w:pPr>
      <w:r w:rsidRPr="009526A6">
        <w:rPr>
          <w:sz w:val="22"/>
          <w:szCs w:val="22"/>
        </w:rPr>
        <w:t xml:space="preserve">The elements of such a citation include: </w:t>
      </w:r>
    </w:p>
    <w:p w14:paraId="7A99CE1B" w14:textId="77777777" w:rsidR="001B661C" w:rsidRPr="009526A6" w:rsidRDefault="001B661C" w:rsidP="007955DE">
      <w:pPr>
        <w:numPr>
          <w:ilvl w:val="0"/>
          <w:numId w:val="25"/>
        </w:numPr>
        <w:jc w:val="both"/>
        <w:rPr>
          <w:sz w:val="22"/>
          <w:szCs w:val="22"/>
        </w:rPr>
      </w:pPr>
      <w:r w:rsidRPr="009526A6">
        <w:rPr>
          <w:sz w:val="22"/>
          <w:szCs w:val="22"/>
        </w:rPr>
        <w:t>The title of the case (italicized</w:t>
      </w:r>
      <w:proofErr w:type="gramStart"/>
      <w:r w:rsidRPr="009526A6">
        <w:rPr>
          <w:sz w:val="22"/>
          <w:szCs w:val="22"/>
        </w:rPr>
        <w:t>);</w:t>
      </w:r>
      <w:proofErr w:type="gramEnd"/>
      <w:r w:rsidRPr="009526A6">
        <w:rPr>
          <w:sz w:val="22"/>
          <w:szCs w:val="22"/>
        </w:rPr>
        <w:t xml:space="preserve"> </w:t>
      </w:r>
    </w:p>
    <w:p w14:paraId="7984E634" w14:textId="77777777" w:rsidR="001B661C" w:rsidRPr="009526A6" w:rsidRDefault="001B661C" w:rsidP="007955DE">
      <w:pPr>
        <w:numPr>
          <w:ilvl w:val="0"/>
          <w:numId w:val="25"/>
        </w:numPr>
        <w:jc w:val="both"/>
        <w:rPr>
          <w:sz w:val="22"/>
          <w:szCs w:val="22"/>
        </w:rPr>
      </w:pPr>
      <w:r w:rsidRPr="009526A6">
        <w:rPr>
          <w:sz w:val="22"/>
          <w:szCs w:val="22"/>
        </w:rPr>
        <w:t xml:space="preserve">The volume number of the reporter in which the case is </w:t>
      </w:r>
      <w:proofErr w:type="gramStart"/>
      <w:r w:rsidRPr="009526A6">
        <w:rPr>
          <w:sz w:val="22"/>
          <w:szCs w:val="22"/>
        </w:rPr>
        <w:t>reported;</w:t>
      </w:r>
      <w:proofErr w:type="gramEnd"/>
    </w:p>
    <w:p w14:paraId="7A805797" w14:textId="77777777" w:rsidR="001B661C" w:rsidRPr="009526A6" w:rsidRDefault="001B661C" w:rsidP="007955DE">
      <w:pPr>
        <w:numPr>
          <w:ilvl w:val="0"/>
          <w:numId w:val="25"/>
        </w:numPr>
        <w:jc w:val="both"/>
        <w:rPr>
          <w:sz w:val="22"/>
          <w:szCs w:val="22"/>
        </w:rPr>
      </w:pPr>
      <w:r w:rsidRPr="009526A6">
        <w:rPr>
          <w:sz w:val="22"/>
          <w:szCs w:val="22"/>
        </w:rPr>
        <w:t>The ab</w:t>
      </w:r>
      <w:r w:rsidR="005D1B8B" w:rsidRPr="009526A6">
        <w:rPr>
          <w:sz w:val="22"/>
          <w:szCs w:val="22"/>
        </w:rPr>
        <w:t xml:space="preserve">breviation for the </w:t>
      </w:r>
      <w:proofErr w:type="gramStart"/>
      <w:r w:rsidR="005D1B8B" w:rsidRPr="009526A6">
        <w:rPr>
          <w:sz w:val="22"/>
          <w:szCs w:val="22"/>
        </w:rPr>
        <w:t>reporter;</w:t>
      </w:r>
      <w:proofErr w:type="gramEnd"/>
    </w:p>
    <w:p w14:paraId="28AD420E" w14:textId="77777777" w:rsidR="001B661C" w:rsidRPr="009526A6" w:rsidRDefault="001B661C" w:rsidP="007955DE">
      <w:pPr>
        <w:numPr>
          <w:ilvl w:val="0"/>
          <w:numId w:val="25"/>
        </w:numPr>
        <w:jc w:val="both"/>
        <w:rPr>
          <w:sz w:val="22"/>
          <w:szCs w:val="22"/>
        </w:rPr>
      </w:pPr>
      <w:r w:rsidRPr="009526A6">
        <w:rPr>
          <w:sz w:val="22"/>
          <w:szCs w:val="22"/>
        </w:rPr>
        <w:t>The page num</w:t>
      </w:r>
      <w:r w:rsidR="005D1B8B" w:rsidRPr="009526A6">
        <w:rPr>
          <w:sz w:val="22"/>
          <w:szCs w:val="22"/>
        </w:rPr>
        <w:t>ber at which the case commences; and</w:t>
      </w:r>
    </w:p>
    <w:p w14:paraId="19CBD2DA" w14:textId="77777777" w:rsidR="001B661C" w:rsidRPr="009526A6" w:rsidRDefault="001B661C" w:rsidP="007955DE">
      <w:pPr>
        <w:numPr>
          <w:ilvl w:val="0"/>
          <w:numId w:val="25"/>
        </w:numPr>
        <w:jc w:val="both"/>
        <w:rPr>
          <w:sz w:val="22"/>
          <w:szCs w:val="22"/>
        </w:rPr>
      </w:pPr>
      <w:r w:rsidRPr="009526A6">
        <w:rPr>
          <w:sz w:val="22"/>
          <w:szCs w:val="22"/>
        </w:rPr>
        <w:t>The date (in parentheses).</w:t>
      </w:r>
    </w:p>
    <w:p w14:paraId="3B64BEC7" w14:textId="77777777" w:rsidR="003C73C7" w:rsidRPr="009526A6" w:rsidRDefault="003C73C7" w:rsidP="003C73C7">
      <w:pPr>
        <w:jc w:val="both"/>
        <w:rPr>
          <w:sz w:val="22"/>
          <w:szCs w:val="22"/>
        </w:rPr>
      </w:pPr>
    </w:p>
    <w:p w14:paraId="22F79A02" w14:textId="77777777" w:rsidR="003C73C7" w:rsidRPr="009526A6" w:rsidRDefault="003C73C7" w:rsidP="003C73C7">
      <w:pPr>
        <w:jc w:val="both"/>
        <w:rPr>
          <w:sz w:val="22"/>
          <w:szCs w:val="22"/>
        </w:rPr>
      </w:pPr>
      <w:r w:rsidRPr="009526A6">
        <w:rPr>
          <w:sz w:val="22"/>
          <w:szCs w:val="22"/>
        </w:rPr>
        <w:t>The following abbreviations should be used:</w:t>
      </w:r>
    </w:p>
    <w:p w14:paraId="0FDBFDAB" w14:textId="77777777" w:rsidR="003C73C7" w:rsidRPr="009526A6" w:rsidRDefault="003C73C7" w:rsidP="003C73C7">
      <w:pPr>
        <w:jc w:val="both"/>
        <w:rPr>
          <w:sz w:val="22"/>
          <w:szCs w:val="22"/>
        </w:rPr>
      </w:pPr>
    </w:p>
    <w:p w14:paraId="059F52C8" w14:textId="77777777" w:rsidR="003C73C7" w:rsidRPr="009526A6" w:rsidRDefault="003C73C7" w:rsidP="003C73C7">
      <w:pPr>
        <w:tabs>
          <w:tab w:val="left" w:pos="4320"/>
        </w:tabs>
        <w:jc w:val="both"/>
        <w:rPr>
          <w:sz w:val="22"/>
          <w:szCs w:val="22"/>
          <w:u w:val="single"/>
        </w:rPr>
      </w:pPr>
      <w:r w:rsidRPr="009526A6">
        <w:rPr>
          <w:sz w:val="22"/>
          <w:szCs w:val="22"/>
          <w:u w:val="single"/>
        </w:rPr>
        <w:t>Reporter</w:t>
      </w:r>
      <w:r w:rsidRPr="009526A6">
        <w:rPr>
          <w:sz w:val="22"/>
          <w:szCs w:val="22"/>
        </w:rPr>
        <w:tab/>
      </w:r>
      <w:r w:rsidRPr="009526A6">
        <w:rPr>
          <w:sz w:val="22"/>
          <w:szCs w:val="22"/>
          <w:u w:val="single"/>
        </w:rPr>
        <w:t>Abbreviation</w:t>
      </w:r>
    </w:p>
    <w:p w14:paraId="4C3764F9" w14:textId="77777777" w:rsidR="003C73C7" w:rsidRPr="009526A6" w:rsidRDefault="003C73C7" w:rsidP="003C73C7">
      <w:pPr>
        <w:tabs>
          <w:tab w:val="left" w:pos="4320"/>
        </w:tabs>
        <w:jc w:val="both"/>
        <w:rPr>
          <w:sz w:val="22"/>
          <w:szCs w:val="22"/>
        </w:rPr>
      </w:pPr>
    </w:p>
    <w:p w14:paraId="042985A5" w14:textId="77777777" w:rsidR="003C73C7" w:rsidRPr="009526A6" w:rsidRDefault="003C73C7" w:rsidP="003C73C7">
      <w:pPr>
        <w:tabs>
          <w:tab w:val="left" w:pos="4320"/>
        </w:tabs>
        <w:jc w:val="both"/>
        <w:rPr>
          <w:sz w:val="22"/>
          <w:szCs w:val="22"/>
        </w:rPr>
      </w:pPr>
      <w:r w:rsidRPr="009526A6">
        <w:rPr>
          <w:sz w:val="22"/>
          <w:szCs w:val="22"/>
        </w:rPr>
        <w:t xml:space="preserve">Ohio State Reports </w:t>
      </w:r>
      <w:r w:rsidRPr="009526A6">
        <w:rPr>
          <w:sz w:val="22"/>
          <w:szCs w:val="22"/>
        </w:rPr>
        <w:tab/>
        <w:t xml:space="preserve">Ohio St. </w:t>
      </w:r>
    </w:p>
    <w:p w14:paraId="47F8AE9B" w14:textId="77777777" w:rsidR="003C73C7" w:rsidRPr="009526A6" w:rsidRDefault="003C73C7" w:rsidP="003C73C7">
      <w:pPr>
        <w:tabs>
          <w:tab w:val="left" w:pos="4320"/>
        </w:tabs>
        <w:jc w:val="both"/>
        <w:rPr>
          <w:sz w:val="22"/>
          <w:szCs w:val="22"/>
        </w:rPr>
      </w:pPr>
    </w:p>
    <w:p w14:paraId="2A4F5BD5" w14:textId="77777777" w:rsidR="003C73C7" w:rsidRPr="009526A6" w:rsidRDefault="003C73C7" w:rsidP="003C73C7">
      <w:pPr>
        <w:tabs>
          <w:tab w:val="left" w:pos="4320"/>
        </w:tabs>
        <w:jc w:val="both"/>
        <w:rPr>
          <w:sz w:val="22"/>
          <w:szCs w:val="22"/>
        </w:rPr>
      </w:pPr>
      <w:r w:rsidRPr="009526A6">
        <w:rPr>
          <w:sz w:val="22"/>
          <w:szCs w:val="22"/>
        </w:rPr>
        <w:t xml:space="preserve">Ohio State Reports, Second Series </w:t>
      </w:r>
      <w:r w:rsidRPr="009526A6">
        <w:rPr>
          <w:sz w:val="22"/>
          <w:szCs w:val="22"/>
        </w:rPr>
        <w:tab/>
      </w:r>
      <w:r w:rsidR="005E4C4F" w:rsidRPr="009526A6">
        <w:rPr>
          <w:sz w:val="22"/>
          <w:szCs w:val="22"/>
        </w:rPr>
        <w:t>Ohio St.</w:t>
      </w:r>
      <w:r w:rsidRPr="009526A6">
        <w:rPr>
          <w:sz w:val="22"/>
          <w:szCs w:val="22"/>
        </w:rPr>
        <w:t xml:space="preserve">2d </w:t>
      </w:r>
    </w:p>
    <w:p w14:paraId="4182C6F5" w14:textId="77777777" w:rsidR="003C73C7" w:rsidRPr="009526A6" w:rsidRDefault="003C73C7" w:rsidP="003C73C7">
      <w:pPr>
        <w:tabs>
          <w:tab w:val="left" w:pos="4320"/>
        </w:tabs>
        <w:jc w:val="both"/>
        <w:rPr>
          <w:sz w:val="22"/>
          <w:szCs w:val="22"/>
        </w:rPr>
      </w:pPr>
    </w:p>
    <w:p w14:paraId="511770E8" w14:textId="77777777" w:rsidR="003C73C7" w:rsidRPr="009526A6" w:rsidRDefault="003C73C7" w:rsidP="003C73C7">
      <w:pPr>
        <w:tabs>
          <w:tab w:val="left" w:pos="4320"/>
        </w:tabs>
        <w:jc w:val="both"/>
        <w:rPr>
          <w:sz w:val="22"/>
          <w:szCs w:val="22"/>
        </w:rPr>
      </w:pPr>
      <w:r w:rsidRPr="009526A6">
        <w:rPr>
          <w:sz w:val="22"/>
          <w:szCs w:val="22"/>
        </w:rPr>
        <w:t>Ohio State Reports, Third Series</w:t>
      </w:r>
      <w:r w:rsidRPr="009526A6">
        <w:rPr>
          <w:sz w:val="22"/>
          <w:szCs w:val="22"/>
        </w:rPr>
        <w:tab/>
      </w:r>
      <w:r w:rsidR="005E4C4F" w:rsidRPr="009526A6">
        <w:rPr>
          <w:sz w:val="22"/>
          <w:szCs w:val="22"/>
        </w:rPr>
        <w:t>Ohio St.</w:t>
      </w:r>
      <w:r w:rsidRPr="009526A6">
        <w:rPr>
          <w:sz w:val="22"/>
          <w:szCs w:val="22"/>
        </w:rPr>
        <w:t xml:space="preserve">3d </w:t>
      </w:r>
    </w:p>
    <w:p w14:paraId="0B534E33" w14:textId="77777777" w:rsidR="003C73C7" w:rsidRPr="009526A6" w:rsidRDefault="003C73C7" w:rsidP="003C73C7">
      <w:pPr>
        <w:tabs>
          <w:tab w:val="left" w:pos="4320"/>
        </w:tabs>
        <w:jc w:val="both"/>
        <w:rPr>
          <w:sz w:val="22"/>
          <w:szCs w:val="22"/>
        </w:rPr>
      </w:pPr>
    </w:p>
    <w:p w14:paraId="15EBACCF" w14:textId="77777777" w:rsidR="003C73C7" w:rsidRPr="009526A6" w:rsidRDefault="003C73C7" w:rsidP="003C73C7">
      <w:pPr>
        <w:tabs>
          <w:tab w:val="left" w:pos="4320"/>
        </w:tabs>
        <w:jc w:val="both"/>
        <w:rPr>
          <w:sz w:val="22"/>
          <w:szCs w:val="22"/>
        </w:rPr>
      </w:pPr>
      <w:r w:rsidRPr="009526A6">
        <w:rPr>
          <w:sz w:val="22"/>
          <w:szCs w:val="22"/>
        </w:rPr>
        <w:t xml:space="preserve">Ohio Reports </w:t>
      </w:r>
      <w:r w:rsidRPr="009526A6">
        <w:rPr>
          <w:sz w:val="22"/>
          <w:szCs w:val="22"/>
        </w:rPr>
        <w:tab/>
        <w:t xml:space="preserve">Ohio </w:t>
      </w:r>
    </w:p>
    <w:p w14:paraId="0D51301C" w14:textId="77777777" w:rsidR="003C73C7" w:rsidRPr="009526A6" w:rsidRDefault="003C73C7" w:rsidP="003C73C7">
      <w:pPr>
        <w:tabs>
          <w:tab w:val="left" w:pos="4320"/>
        </w:tabs>
        <w:jc w:val="both"/>
        <w:rPr>
          <w:sz w:val="22"/>
          <w:szCs w:val="22"/>
        </w:rPr>
      </w:pPr>
    </w:p>
    <w:p w14:paraId="7EAF4A68" w14:textId="77777777" w:rsidR="003C73C7" w:rsidRPr="009526A6" w:rsidRDefault="003C73C7" w:rsidP="003C73C7">
      <w:pPr>
        <w:tabs>
          <w:tab w:val="left" w:pos="4320"/>
        </w:tabs>
        <w:jc w:val="both"/>
        <w:rPr>
          <w:sz w:val="22"/>
          <w:szCs w:val="22"/>
        </w:rPr>
      </w:pPr>
      <w:r w:rsidRPr="009526A6">
        <w:rPr>
          <w:sz w:val="22"/>
          <w:szCs w:val="22"/>
        </w:rPr>
        <w:t xml:space="preserve">Ohio Appellate Reports </w:t>
      </w:r>
      <w:r w:rsidRPr="009526A6">
        <w:rPr>
          <w:sz w:val="22"/>
          <w:szCs w:val="22"/>
        </w:rPr>
        <w:tab/>
        <w:t xml:space="preserve">Ohio App. </w:t>
      </w:r>
    </w:p>
    <w:p w14:paraId="25C66661" w14:textId="77777777" w:rsidR="003C73C7" w:rsidRPr="009526A6" w:rsidRDefault="003C73C7" w:rsidP="003C73C7">
      <w:pPr>
        <w:tabs>
          <w:tab w:val="left" w:pos="4320"/>
        </w:tabs>
        <w:jc w:val="both"/>
        <w:rPr>
          <w:sz w:val="22"/>
          <w:szCs w:val="22"/>
        </w:rPr>
      </w:pPr>
    </w:p>
    <w:p w14:paraId="47524E9C" w14:textId="77777777" w:rsidR="003C73C7" w:rsidRPr="009526A6" w:rsidRDefault="003C73C7" w:rsidP="003C73C7">
      <w:pPr>
        <w:tabs>
          <w:tab w:val="left" w:pos="4320"/>
        </w:tabs>
        <w:jc w:val="both"/>
        <w:rPr>
          <w:sz w:val="22"/>
          <w:szCs w:val="22"/>
        </w:rPr>
      </w:pPr>
      <w:r w:rsidRPr="009526A6">
        <w:rPr>
          <w:sz w:val="22"/>
          <w:szCs w:val="22"/>
        </w:rPr>
        <w:t xml:space="preserve">Ohio Appellate Reports, Second Series </w:t>
      </w:r>
      <w:r w:rsidRPr="009526A6">
        <w:rPr>
          <w:sz w:val="22"/>
          <w:szCs w:val="22"/>
        </w:rPr>
        <w:tab/>
      </w:r>
      <w:r w:rsidR="005E4C4F" w:rsidRPr="009526A6">
        <w:rPr>
          <w:sz w:val="22"/>
          <w:szCs w:val="22"/>
        </w:rPr>
        <w:t>Ohio App.</w:t>
      </w:r>
      <w:r w:rsidRPr="009526A6">
        <w:rPr>
          <w:sz w:val="22"/>
          <w:szCs w:val="22"/>
        </w:rPr>
        <w:t xml:space="preserve">2d </w:t>
      </w:r>
    </w:p>
    <w:p w14:paraId="3B9E996E" w14:textId="77777777" w:rsidR="003C73C7" w:rsidRPr="009526A6" w:rsidRDefault="003C73C7" w:rsidP="003C73C7">
      <w:pPr>
        <w:tabs>
          <w:tab w:val="left" w:pos="4320"/>
        </w:tabs>
        <w:jc w:val="both"/>
        <w:rPr>
          <w:sz w:val="22"/>
          <w:szCs w:val="22"/>
        </w:rPr>
      </w:pPr>
    </w:p>
    <w:p w14:paraId="4E70D3DF" w14:textId="77777777" w:rsidR="003C73C7" w:rsidRPr="009526A6" w:rsidRDefault="003C73C7" w:rsidP="003C73C7">
      <w:pPr>
        <w:tabs>
          <w:tab w:val="left" w:pos="4320"/>
        </w:tabs>
        <w:jc w:val="both"/>
        <w:rPr>
          <w:sz w:val="22"/>
          <w:szCs w:val="22"/>
        </w:rPr>
      </w:pPr>
      <w:r w:rsidRPr="009526A6">
        <w:rPr>
          <w:sz w:val="22"/>
          <w:szCs w:val="22"/>
        </w:rPr>
        <w:t xml:space="preserve">Ohio Appellate Reports, Third Series </w:t>
      </w:r>
      <w:r w:rsidRPr="009526A6">
        <w:rPr>
          <w:sz w:val="22"/>
          <w:szCs w:val="22"/>
        </w:rPr>
        <w:tab/>
      </w:r>
      <w:r w:rsidR="005E4C4F" w:rsidRPr="009526A6">
        <w:rPr>
          <w:sz w:val="22"/>
          <w:szCs w:val="22"/>
        </w:rPr>
        <w:t>Ohio App.</w:t>
      </w:r>
      <w:r w:rsidRPr="009526A6">
        <w:rPr>
          <w:sz w:val="22"/>
          <w:szCs w:val="22"/>
        </w:rPr>
        <w:t xml:space="preserve">3d </w:t>
      </w:r>
    </w:p>
    <w:p w14:paraId="597CF3B8" w14:textId="77777777" w:rsidR="003C73C7" w:rsidRPr="009526A6" w:rsidRDefault="003C73C7" w:rsidP="003C73C7">
      <w:pPr>
        <w:tabs>
          <w:tab w:val="left" w:pos="4320"/>
        </w:tabs>
        <w:jc w:val="both"/>
        <w:rPr>
          <w:sz w:val="22"/>
          <w:szCs w:val="22"/>
        </w:rPr>
      </w:pPr>
    </w:p>
    <w:p w14:paraId="299EAE4A" w14:textId="77777777" w:rsidR="003C73C7" w:rsidRPr="009526A6" w:rsidRDefault="003C73C7" w:rsidP="003C73C7">
      <w:pPr>
        <w:tabs>
          <w:tab w:val="left" w:pos="4320"/>
        </w:tabs>
        <w:jc w:val="both"/>
        <w:rPr>
          <w:sz w:val="22"/>
          <w:szCs w:val="22"/>
        </w:rPr>
      </w:pPr>
      <w:r w:rsidRPr="009526A6">
        <w:rPr>
          <w:sz w:val="22"/>
          <w:szCs w:val="22"/>
        </w:rPr>
        <w:t xml:space="preserve">Ohio Miscellaneous </w:t>
      </w:r>
      <w:r w:rsidRPr="009526A6">
        <w:rPr>
          <w:sz w:val="22"/>
          <w:szCs w:val="22"/>
        </w:rPr>
        <w:tab/>
      </w:r>
      <w:r w:rsidR="005E4C4F" w:rsidRPr="009526A6">
        <w:rPr>
          <w:sz w:val="22"/>
          <w:szCs w:val="22"/>
        </w:rPr>
        <w:t>Ohio Misc. Or Ohio Misc.</w:t>
      </w:r>
      <w:r w:rsidRPr="009526A6">
        <w:rPr>
          <w:sz w:val="22"/>
          <w:szCs w:val="22"/>
        </w:rPr>
        <w:t>2d</w:t>
      </w:r>
    </w:p>
    <w:p w14:paraId="47911B8F" w14:textId="77777777" w:rsidR="003C73C7" w:rsidRPr="009526A6" w:rsidRDefault="003C73C7" w:rsidP="003C73C7">
      <w:pPr>
        <w:tabs>
          <w:tab w:val="left" w:pos="4320"/>
        </w:tabs>
        <w:jc w:val="both"/>
        <w:rPr>
          <w:sz w:val="22"/>
          <w:szCs w:val="22"/>
        </w:rPr>
      </w:pPr>
    </w:p>
    <w:p w14:paraId="24DB0C27" w14:textId="77777777" w:rsidR="003C73C7" w:rsidRPr="009526A6" w:rsidRDefault="003C73C7" w:rsidP="003C73C7">
      <w:pPr>
        <w:tabs>
          <w:tab w:val="left" w:pos="4320"/>
        </w:tabs>
        <w:jc w:val="both"/>
        <w:rPr>
          <w:sz w:val="22"/>
          <w:szCs w:val="22"/>
        </w:rPr>
      </w:pPr>
      <w:r w:rsidRPr="009526A6">
        <w:rPr>
          <w:sz w:val="22"/>
          <w:szCs w:val="22"/>
        </w:rPr>
        <w:t xml:space="preserve">Ohio Bar Reports </w:t>
      </w:r>
      <w:r w:rsidRPr="009526A6">
        <w:rPr>
          <w:sz w:val="22"/>
          <w:szCs w:val="22"/>
        </w:rPr>
        <w:tab/>
        <w:t xml:space="preserve">Ohio B. </w:t>
      </w:r>
    </w:p>
    <w:p w14:paraId="026DE76C" w14:textId="77777777" w:rsidR="003C73C7" w:rsidRPr="009526A6" w:rsidRDefault="003C73C7" w:rsidP="003C73C7">
      <w:pPr>
        <w:tabs>
          <w:tab w:val="left" w:pos="4320"/>
        </w:tabs>
        <w:jc w:val="both"/>
        <w:rPr>
          <w:sz w:val="22"/>
          <w:szCs w:val="22"/>
        </w:rPr>
      </w:pPr>
    </w:p>
    <w:p w14:paraId="4D53D700" w14:textId="77777777" w:rsidR="003C73C7" w:rsidRPr="009526A6" w:rsidRDefault="003C73C7" w:rsidP="003C73C7">
      <w:pPr>
        <w:tabs>
          <w:tab w:val="left" w:pos="4320"/>
        </w:tabs>
        <w:jc w:val="both"/>
        <w:rPr>
          <w:sz w:val="22"/>
          <w:szCs w:val="22"/>
        </w:rPr>
      </w:pPr>
      <w:r w:rsidRPr="009526A6">
        <w:rPr>
          <w:sz w:val="22"/>
          <w:szCs w:val="22"/>
        </w:rPr>
        <w:t xml:space="preserve">Ohio Opinions </w:t>
      </w:r>
      <w:r w:rsidRPr="009526A6">
        <w:rPr>
          <w:sz w:val="22"/>
          <w:szCs w:val="22"/>
        </w:rPr>
        <w:tab/>
        <w:t xml:space="preserve">Ohio Op. </w:t>
      </w:r>
    </w:p>
    <w:p w14:paraId="246C00C2" w14:textId="77777777" w:rsidR="003C73C7" w:rsidRPr="009526A6" w:rsidRDefault="003C73C7" w:rsidP="003C73C7">
      <w:pPr>
        <w:tabs>
          <w:tab w:val="left" w:pos="4320"/>
        </w:tabs>
        <w:jc w:val="both"/>
        <w:rPr>
          <w:sz w:val="22"/>
          <w:szCs w:val="22"/>
        </w:rPr>
      </w:pPr>
    </w:p>
    <w:p w14:paraId="5E65D037" w14:textId="77777777" w:rsidR="003C73C7" w:rsidRPr="009526A6" w:rsidRDefault="003C73C7" w:rsidP="003C73C7">
      <w:pPr>
        <w:tabs>
          <w:tab w:val="left" w:pos="4320"/>
        </w:tabs>
        <w:jc w:val="both"/>
        <w:rPr>
          <w:sz w:val="22"/>
          <w:szCs w:val="22"/>
        </w:rPr>
      </w:pPr>
      <w:r w:rsidRPr="009526A6">
        <w:rPr>
          <w:sz w:val="22"/>
          <w:szCs w:val="22"/>
        </w:rPr>
        <w:t xml:space="preserve">Ohio Opinions, Second Series </w:t>
      </w:r>
      <w:r w:rsidRPr="009526A6">
        <w:rPr>
          <w:sz w:val="22"/>
          <w:szCs w:val="22"/>
        </w:rPr>
        <w:tab/>
        <w:t>Ohio Op.2d</w:t>
      </w:r>
    </w:p>
    <w:p w14:paraId="02F1C199" w14:textId="77777777" w:rsidR="003C73C7" w:rsidRPr="009526A6" w:rsidRDefault="003C73C7" w:rsidP="003C73C7">
      <w:pPr>
        <w:tabs>
          <w:tab w:val="left" w:pos="4320"/>
        </w:tabs>
        <w:jc w:val="both"/>
        <w:rPr>
          <w:sz w:val="22"/>
          <w:szCs w:val="22"/>
        </w:rPr>
      </w:pPr>
    </w:p>
    <w:p w14:paraId="0F9CC87A" w14:textId="77777777" w:rsidR="003C73C7" w:rsidRPr="009526A6" w:rsidRDefault="003C73C7" w:rsidP="003C73C7">
      <w:pPr>
        <w:tabs>
          <w:tab w:val="left" w:pos="4320"/>
        </w:tabs>
        <w:jc w:val="both"/>
        <w:rPr>
          <w:sz w:val="22"/>
          <w:szCs w:val="22"/>
        </w:rPr>
      </w:pPr>
      <w:r w:rsidRPr="009526A6">
        <w:rPr>
          <w:sz w:val="22"/>
          <w:szCs w:val="22"/>
        </w:rPr>
        <w:t xml:space="preserve">Ohio Opinions, Third Series </w:t>
      </w:r>
      <w:r w:rsidRPr="009526A6">
        <w:rPr>
          <w:sz w:val="22"/>
          <w:szCs w:val="22"/>
        </w:rPr>
        <w:tab/>
      </w:r>
      <w:r w:rsidR="005E4C4F" w:rsidRPr="009526A6">
        <w:rPr>
          <w:sz w:val="22"/>
          <w:szCs w:val="22"/>
        </w:rPr>
        <w:t>Ohio Op.</w:t>
      </w:r>
      <w:r w:rsidRPr="009526A6">
        <w:rPr>
          <w:sz w:val="22"/>
          <w:szCs w:val="22"/>
        </w:rPr>
        <w:t xml:space="preserve">3d </w:t>
      </w:r>
    </w:p>
    <w:p w14:paraId="0CC3A527" w14:textId="77777777" w:rsidR="003C73C7" w:rsidRPr="009526A6" w:rsidRDefault="003C73C7" w:rsidP="003C73C7">
      <w:pPr>
        <w:tabs>
          <w:tab w:val="left" w:pos="4320"/>
        </w:tabs>
        <w:jc w:val="both"/>
        <w:rPr>
          <w:sz w:val="22"/>
          <w:szCs w:val="22"/>
        </w:rPr>
      </w:pPr>
    </w:p>
    <w:p w14:paraId="48A36F75" w14:textId="77777777" w:rsidR="003C73C7" w:rsidRPr="009526A6" w:rsidRDefault="003C73C7" w:rsidP="003C73C7">
      <w:pPr>
        <w:tabs>
          <w:tab w:val="left" w:pos="4320"/>
        </w:tabs>
        <w:jc w:val="both"/>
        <w:rPr>
          <w:sz w:val="22"/>
          <w:szCs w:val="22"/>
        </w:rPr>
      </w:pPr>
      <w:r w:rsidRPr="009526A6">
        <w:rPr>
          <w:sz w:val="22"/>
          <w:szCs w:val="22"/>
        </w:rPr>
        <w:t xml:space="preserve">Ohio Decisions </w:t>
      </w:r>
      <w:r w:rsidRPr="009526A6">
        <w:rPr>
          <w:sz w:val="22"/>
          <w:szCs w:val="22"/>
        </w:rPr>
        <w:tab/>
        <w:t xml:space="preserve">Ohio Dec. </w:t>
      </w:r>
    </w:p>
    <w:p w14:paraId="40F7AE60" w14:textId="77777777" w:rsidR="003C73C7" w:rsidRPr="009526A6" w:rsidRDefault="003C73C7" w:rsidP="003C73C7">
      <w:pPr>
        <w:tabs>
          <w:tab w:val="left" w:pos="4320"/>
        </w:tabs>
        <w:jc w:val="both"/>
        <w:rPr>
          <w:sz w:val="22"/>
          <w:szCs w:val="22"/>
        </w:rPr>
      </w:pPr>
    </w:p>
    <w:p w14:paraId="78E96EAA" w14:textId="77777777" w:rsidR="003C73C7" w:rsidRPr="009526A6" w:rsidRDefault="003C73C7" w:rsidP="003C73C7">
      <w:pPr>
        <w:tabs>
          <w:tab w:val="left" w:pos="4320"/>
        </w:tabs>
        <w:jc w:val="both"/>
        <w:rPr>
          <w:sz w:val="22"/>
          <w:szCs w:val="22"/>
        </w:rPr>
      </w:pPr>
      <w:r w:rsidRPr="009526A6">
        <w:rPr>
          <w:sz w:val="22"/>
          <w:szCs w:val="22"/>
        </w:rPr>
        <w:t xml:space="preserve">Ohio Decisions, Reprint </w:t>
      </w:r>
      <w:r w:rsidRPr="009526A6">
        <w:rPr>
          <w:sz w:val="22"/>
          <w:szCs w:val="22"/>
        </w:rPr>
        <w:tab/>
        <w:t xml:space="preserve">Ohio Dec. Reprint </w:t>
      </w:r>
    </w:p>
    <w:p w14:paraId="2E476F23" w14:textId="77777777" w:rsidR="003C73C7" w:rsidRPr="009526A6" w:rsidRDefault="003C73C7" w:rsidP="003C73C7">
      <w:pPr>
        <w:tabs>
          <w:tab w:val="left" w:pos="4320"/>
        </w:tabs>
        <w:jc w:val="both"/>
        <w:rPr>
          <w:sz w:val="22"/>
          <w:szCs w:val="22"/>
        </w:rPr>
      </w:pPr>
    </w:p>
    <w:p w14:paraId="057F6377" w14:textId="77777777" w:rsidR="003C73C7" w:rsidRPr="009526A6" w:rsidRDefault="003C73C7" w:rsidP="003C73C7">
      <w:pPr>
        <w:tabs>
          <w:tab w:val="left" w:pos="4320"/>
        </w:tabs>
        <w:jc w:val="both"/>
        <w:rPr>
          <w:sz w:val="22"/>
          <w:szCs w:val="22"/>
        </w:rPr>
      </w:pPr>
      <w:r w:rsidRPr="009526A6">
        <w:rPr>
          <w:sz w:val="22"/>
          <w:szCs w:val="22"/>
        </w:rPr>
        <w:t xml:space="preserve">Ohio Circuit Court Decisions </w:t>
      </w:r>
      <w:r w:rsidRPr="009526A6">
        <w:rPr>
          <w:sz w:val="22"/>
          <w:szCs w:val="22"/>
        </w:rPr>
        <w:tab/>
        <w:t xml:space="preserve">Ohio C.C. Dec. </w:t>
      </w:r>
    </w:p>
    <w:p w14:paraId="0317863B" w14:textId="77777777" w:rsidR="003C73C7" w:rsidRPr="009526A6" w:rsidRDefault="003C73C7" w:rsidP="003C73C7">
      <w:pPr>
        <w:tabs>
          <w:tab w:val="left" w:pos="4320"/>
        </w:tabs>
        <w:jc w:val="both"/>
        <w:rPr>
          <w:sz w:val="22"/>
          <w:szCs w:val="22"/>
        </w:rPr>
      </w:pPr>
    </w:p>
    <w:p w14:paraId="3885292D" w14:textId="77777777" w:rsidR="003C73C7" w:rsidRPr="009526A6" w:rsidRDefault="003C73C7" w:rsidP="003C73C7">
      <w:pPr>
        <w:tabs>
          <w:tab w:val="left" w:pos="4320"/>
        </w:tabs>
        <w:jc w:val="both"/>
        <w:rPr>
          <w:sz w:val="22"/>
          <w:szCs w:val="22"/>
        </w:rPr>
      </w:pPr>
      <w:r w:rsidRPr="009526A6">
        <w:rPr>
          <w:sz w:val="22"/>
          <w:szCs w:val="22"/>
        </w:rPr>
        <w:t xml:space="preserve">Ohio Circuit Court Reports </w:t>
      </w:r>
      <w:r w:rsidRPr="009526A6">
        <w:rPr>
          <w:sz w:val="22"/>
          <w:szCs w:val="22"/>
        </w:rPr>
        <w:tab/>
        <w:t xml:space="preserve">Ohio C.C. </w:t>
      </w:r>
    </w:p>
    <w:p w14:paraId="67896F7A" w14:textId="77777777" w:rsidR="003C73C7" w:rsidRPr="009526A6" w:rsidRDefault="003C73C7" w:rsidP="003C73C7">
      <w:pPr>
        <w:tabs>
          <w:tab w:val="left" w:pos="4320"/>
        </w:tabs>
        <w:jc w:val="both"/>
        <w:rPr>
          <w:sz w:val="22"/>
          <w:szCs w:val="22"/>
        </w:rPr>
      </w:pPr>
    </w:p>
    <w:p w14:paraId="1E867AC8" w14:textId="77777777" w:rsidR="003C73C7" w:rsidRPr="009526A6" w:rsidRDefault="003C73C7" w:rsidP="003C73C7">
      <w:pPr>
        <w:tabs>
          <w:tab w:val="left" w:pos="4320"/>
        </w:tabs>
        <w:jc w:val="both"/>
        <w:rPr>
          <w:sz w:val="22"/>
          <w:szCs w:val="22"/>
        </w:rPr>
      </w:pPr>
      <w:r w:rsidRPr="009526A6">
        <w:rPr>
          <w:sz w:val="22"/>
          <w:szCs w:val="22"/>
        </w:rPr>
        <w:t xml:space="preserve">Ohio Circuit Court Reports, New Series </w:t>
      </w:r>
      <w:r w:rsidRPr="009526A6">
        <w:rPr>
          <w:sz w:val="22"/>
          <w:szCs w:val="22"/>
        </w:rPr>
        <w:tab/>
        <w:t xml:space="preserve">Ohio C.C. (n.s.) </w:t>
      </w:r>
    </w:p>
    <w:p w14:paraId="28210DDE" w14:textId="77777777" w:rsidR="003C73C7" w:rsidRPr="009526A6" w:rsidRDefault="003C73C7" w:rsidP="003C73C7">
      <w:pPr>
        <w:tabs>
          <w:tab w:val="left" w:pos="4320"/>
        </w:tabs>
        <w:jc w:val="both"/>
        <w:rPr>
          <w:sz w:val="22"/>
          <w:szCs w:val="22"/>
        </w:rPr>
      </w:pPr>
    </w:p>
    <w:p w14:paraId="171DD4DE" w14:textId="77777777" w:rsidR="003C73C7" w:rsidRPr="009526A6" w:rsidRDefault="003C73C7" w:rsidP="003C73C7">
      <w:pPr>
        <w:tabs>
          <w:tab w:val="left" w:pos="4320"/>
        </w:tabs>
        <w:jc w:val="both"/>
        <w:rPr>
          <w:sz w:val="22"/>
          <w:szCs w:val="22"/>
        </w:rPr>
      </w:pPr>
      <w:r w:rsidRPr="009526A6">
        <w:rPr>
          <w:sz w:val="22"/>
          <w:szCs w:val="22"/>
        </w:rPr>
        <w:t xml:space="preserve">Ohio Circuit Decisions </w:t>
      </w:r>
      <w:r w:rsidRPr="009526A6">
        <w:rPr>
          <w:sz w:val="22"/>
          <w:szCs w:val="22"/>
        </w:rPr>
        <w:tab/>
        <w:t xml:space="preserve">Ohio Cir. Dec. </w:t>
      </w:r>
    </w:p>
    <w:p w14:paraId="6E7C0C9B" w14:textId="77777777" w:rsidR="003C73C7" w:rsidRPr="009526A6" w:rsidRDefault="003C73C7" w:rsidP="003C73C7">
      <w:pPr>
        <w:jc w:val="both"/>
        <w:rPr>
          <w:sz w:val="22"/>
          <w:szCs w:val="22"/>
        </w:rPr>
      </w:pPr>
    </w:p>
    <w:p w14:paraId="27FC8CD9" w14:textId="77777777" w:rsidR="003C73C7" w:rsidRPr="009526A6" w:rsidRDefault="003C73C7" w:rsidP="003C73C7">
      <w:pPr>
        <w:jc w:val="both"/>
        <w:rPr>
          <w:sz w:val="22"/>
          <w:szCs w:val="22"/>
        </w:rPr>
      </w:pPr>
      <w:r w:rsidRPr="009526A6">
        <w:rPr>
          <w:sz w:val="22"/>
          <w:szCs w:val="22"/>
        </w:rPr>
        <w:t xml:space="preserve">If a case has not been reported, it should cite to the case </w:t>
      </w:r>
      <w:r w:rsidRPr="009526A6">
        <w:rPr>
          <w:i/>
          <w:sz w:val="22"/>
          <w:szCs w:val="22"/>
        </w:rPr>
        <w:t>name</w:t>
      </w:r>
      <w:r w:rsidRPr="009526A6">
        <w:rPr>
          <w:sz w:val="22"/>
          <w:szCs w:val="22"/>
        </w:rPr>
        <w:t>, docket number, court, and the date of the most recent (disposition).  For example:</w:t>
      </w:r>
    </w:p>
    <w:p w14:paraId="1EB42219" w14:textId="77777777" w:rsidR="003C73C7" w:rsidRPr="009526A6" w:rsidRDefault="003C73C7" w:rsidP="003C73C7">
      <w:pPr>
        <w:jc w:val="both"/>
        <w:rPr>
          <w:sz w:val="22"/>
          <w:szCs w:val="22"/>
        </w:rPr>
      </w:pPr>
    </w:p>
    <w:p w14:paraId="7F8CD492" w14:textId="77777777" w:rsidR="003C73C7" w:rsidRPr="009526A6" w:rsidRDefault="003C73C7" w:rsidP="003C73C7">
      <w:pPr>
        <w:jc w:val="both"/>
        <w:rPr>
          <w:sz w:val="22"/>
          <w:szCs w:val="22"/>
        </w:rPr>
      </w:pPr>
      <w:r w:rsidRPr="009526A6">
        <w:rPr>
          <w:i/>
          <w:sz w:val="22"/>
          <w:szCs w:val="22"/>
        </w:rPr>
        <w:t>Collins v. Ferguson</w:t>
      </w:r>
      <w:r w:rsidR="001B661C" w:rsidRPr="009526A6">
        <w:rPr>
          <w:i/>
          <w:sz w:val="22"/>
          <w:szCs w:val="22"/>
        </w:rPr>
        <w:t xml:space="preserve">. </w:t>
      </w:r>
      <w:r w:rsidRPr="009526A6">
        <w:rPr>
          <w:sz w:val="22"/>
          <w:szCs w:val="22"/>
        </w:rPr>
        <w:t>FRANKLIN</w:t>
      </w:r>
      <w:r w:rsidR="001B661C" w:rsidRPr="009526A6">
        <w:rPr>
          <w:sz w:val="22"/>
          <w:szCs w:val="22"/>
        </w:rPr>
        <w:t xml:space="preserve"> App. No. 80-AP-245, unreported (July 22, 1980)</w:t>
      </w:r>
    </w:p>
    <w:p w14:paraId="58C3EDC8" w14:textId="77777777" w:rsidR="003C73C7" w:rsidRPr="009526A6" w:rsidRDefault="003C73C7" w:rsidP="003C73C7">
      <w:pPr>
        <w:rPr>
          <w:b/>
          <w:sz w:val="22"/>
          <w:szCs w:val="22"/>
          <w:u w:val="single"/>
        </w:rPr>
      </w:pPr>
    </w:p>
    <w:p w14:paraId="6F85FE86" w14:textId="77777777" w:rsidR="00432648" w:rsidRPr="009526A6" w:rsidRDefault="00432648" w:rsidP="003C73C7">
      <w:pPr>
        <w:rPr>
          <w:b/>
          <w:sz w:val="22"/>
          <w:szCs w:val="22"/>
          <w:u w:val="single"/>
        </w:rPr>
      </w:pPr>
    </w:p>
    <w:p w14:paraId="028257F7" w14:textId="77777777" w:rsidR="003C73C7" w:rsidRPr="009526A6" w:rsidRDefault="003C73C7" w:rsidP="003C73C7">
      <w:pPr>
        <w:jc w:val="center"/>
        <w:rPr>
          <w:b/>
          <w:sz w:val="22"/>
          <w:szCs w:val="22"/>
          <w:u w:val="single"/>
        </w:rPr>
      </w:pPr>
      <w:r w:rsidRPr="009526A6">
        <w:rPr>
          <w:b/>
          <w:sz w:val="22"/>
          <w:szCs w:val="22"/>
          <w:u w:val="single"/>
        </w:rPr>
        <w:t>Ohio Administrative Code</w:t>
      </w:r>
    </w:p>
    <w:p w14:paraId="5D7546D1" w14:textId="77777777" w:rsidR="003C73C7" w:rsidRPr="009526A6" w:rsidRDefault="003C73C7" w:rsidP="003C73C7">
      <w:pPr>
        <w:jc w:val="center"/>
        <w:rPr>
          <w:b/>
          <w:sz w:val="22"/>
          <w:szCs w:val="22"/>
          <w:u w:val="single"/>
        </w:rPr>
      </w:pPr>
    </w:p>
    <w:p w14:paraId="772AA095" w14:textId="77777777" w:rsidR="003C73C7" w:rsidRPr="009526A6" w:rsidRDefault="003C73C7" w:rsidP="003C73C7">
      <w:pPr>
        <w:jc w:val="both"/>
        <w:rPr>
          <w:sz w:val="22"/>
          <w:szCs w:val="22"/>
        </w:rPr>
      </w:pPr>
      <w:r w:rsidRPr="009526A6">
        <w:rPr>
          <w:sz w:val="22"/>
          <w:szCs w:val="22"/>
        </w:rPr>
        <w:t>Citations to the Ohio Administrative Code should be by code section and date in the following form:</w:t>
      </w:r>
    </w:p>
    <w:p w14:paraId="395F711C" w14:textId="77777777" w:rsidR="003C73C7" w:rsidRPr="009526A6" w:rsidRDefault="003C73C7" w:rsidP="003C73C7">
      <w:pPr>
        <w:jc w:val="both"/>
        <w:rPr>
          <w:sz w:val="22"/>
          <w:szCs w:val="22"/>
        </w:rPr>
      </w:pPr>
    </w:p>
    <w:p w14:paraId="1D83181D" w14:textId="766212CA" w:rsidR="003C73C7" w:rsidRPr="009526A6" w:rsidRDefault="003C73C7" w:rsidP="003C73C7">
      <w:pPr>
        <w:jc w:val="both"/>
        <w:rPr>
          <w:sz w:val="22"/>
          <w:szCs w:val="22"/>
        </w:rPr>
      </w:pPr>
      <w:r w:rsidRPr="009526A6">
        <w:rPr>
          <w:sz w:val="22"/>
          <w:szCs w:val="22"/>
        </w:rPr>
        <w:t xml:space="preserve">Ohio Admin. Code </w:t>
      </w:r>
      <w:r w:rsidR="001E326C" w:rsidRPr="009526A6">
        <w:rPr>
          <w:sz w:val="22"/>
          <w:szCs w:val="22"/>
        </w:rPr>
        <w:t>117-02-02</w:t>
      </w:r>
    </w:p>
    <w:p w14:paraId="4940DB50" w14:textId="77777777" w:rsidR="003C73C7" w:rsidRPr="009526A6" w:rsidRDefault="003C73C7" w:rsidP="003C73C7">
      <w:pPr>
        <w:jc w:val="both"/>
        <w:rPr>
          <w:sz w:val="22"/>
          <w:szCs w:val="22"/>
        </w:rPr>
      </w:pPr>
    </w:p>
    <w:p w14:paraId="582A708A" w14:textId="77777777" w:rsidR="00432648" w:rsidRPr="009526A6" w:rsidRDefault="00432648" w:rsidP="003C73C7">
      <w:pPr>
        <w:jc w:val="both"/>
        <w:rPr>
          <w:sz w:val="22"/>
          <w:szCs w:val="22"/>
        </w:rPr>
      </w:pPr>
    </w:p>
    <w:p w14:paraId="6F2C4E39" w14:textId="77777777" w:rsidR="003C73C7" w:rsidRPr="009526A6" w:rsidRDefault="003C73C7" w:rsidP="003C73C7">
      <w:pPr>
        <w:jc w:val="center"/>
        <w:rPr>
          <w:b/>
          <w:sz w:val="22"/>
          <w:szCs w:val="22"/>
          <w:u w:val="single"/>
        </w:rPr>
      </w:pPr>
      <w:r w:rsidRPr="009526A6">
        <w:rPr>
          <w:b/>
          <w:sz w:val="22"/>
          <w:szCs w:val="22"/>
          <w:u w:val="single"/>
        </w:rPr>
        <w:t>Federal Regulations</w:t>
      </w:r>
    </w:p>
    <w:p w14:paraId="11C1D6B9" w14:textId="77777777" w:rsidR="003C73C7" w:rsidRPr="009526A6" w:rsidRDefault="003C73C7" w:rsidP="003C73C7">
      <w:pPr>
        <w:jc w:val="center"/>
        <w:rPr>
          <w:b/>
          <w:sz w:val="22"/>
          <w:szCs w:val="22"/>
          <w:u w:val="single"/>
        </w:rPr>
      </w:pPr>
    </w:p>
    <w:p w14:paraId="54572DFB" w14:textId="77777777" w:rsidR="003C73C7" w:rsidRPr="009526A6" w:rsidRDefault="003C73C7" w:rsidP="003C73C7">
      <w:pPr>
        <w:jc w:val="both"/>
        <w:rPr>
          <w:sz w:val="22"/>
          <w:szCs w:val="22"/>
        </w:rPr>
      </w:pPr>
      <w:r w:rsidRPr="009526A6">
        <w:rPr>
          <w:sz w:val="22"/>
          <w:szCs w:val="22"/>
        </w:rPr>
        <w:t xml:space="preserve">Federal administrative rules and regulations should be cited by title and section number to the Code of Federal Regulations in the following manner: </w:t>
      </w:r>
    </w:p>
    <w:p w14:paraId="2F8BC78F" w14:textId="77777777" w:rsidR="003C73C7" w:rsidRPr="009526A6" w:rsidRDefault="003C73C7" w:rsidP="003C73C7">
      <w:pPr>
        <w:jc w:val="both"/>
        <w:rPr>
          <w:sz w:val="22"/>
          <w:szCs w:val="22"/>
        </w:rPr>
      </w:pPr>
    </w:p>
    <w:p w14:paraId="20737678" w14:textId="77777777" w:rsidR="003C73C7" w:rsidRPr="009526A6" w:rsidRDefault="00E41D40" w:rsidP="003C73C7">
      <w:pPr>
        <w:jc w:val="both"/>
        <w:rPr>
          <w:sz w:val="22"/>
          <w:szCs w:val="22"/>
        </w:rPr>
      </w:pPr>
      <w:r w:rsidRPr="009526A6">
        <w:rPr>
          <w:sz w:val="22"/>
          <w:szCs w:val="22"/>
        </w:rPr>
        <w:t>47 C</w:t>
      </w:r>
      <w:r w:rsidR="00AE46DB" w:rsidRPr="009526A6">
        <w:rPr>
          <w:sz w:val="22"/>
          <w:szCs w:val="22"/>
        </w:rPr>
        <w:t>.</w:t>
      </w:r>
      <w:r w:rsidRPr="009526A6">
        <w:rPr>
          <w:sz w:val="22"/>
          <w:szCs w:val="22"/>
        </w:rPr>
        <w:t>F</w:t>
      </w:r>
      <w:r w:rsidR="00AE46DB" w:rsidRPr="009526A6">
        <w:rPr>
          <w:sz w:val="22"/>
          <w:szCs w:val="22"/>
        </w:rPr>
        <w:t>.</w:t>
      </w:r>
      <w:r w:rsidRPr="009526A6">
        <w:rPr>
          <w:sz w:val="22"/>
          <w:szCs w:val="22"/>
        </w:rPr>
        <w:t>R</w:t>
      </w:r>
      <w:r w:rsidR="00AE46DB" w:rsidRPr="009526A6">
        <w:rPr>
          <w:sz w:val="22"/>
          <w:szCs w:val="22"/>
        </w:rPr>
        <w:t>.</w:t>
      </w:r>
      <w:r w:rsidR="003C73C7" w:rsidRPr="009526A6">
        <w:rPr>
          <w:sz w:val="22"/>
          <w:szCs w:val="22"/>
        </w:rPr>
        <w:t xml:space="preserve"> (</w:t>
      </w:r>
      <w:r w:rsidR="003C73C7" w:rsidRPr="009526A6">
        <w:rPr>
          <w:sz w:val="22"/>
          <w:szCs w:val="22"/>
          <w:u w:val="single"/>
        </w:rPr>
        <w:t>Part, if known</w:t>
      </w:r>
      <w:r w:rsidRPr="009526A6">
        <w:rPr>
          <w:sz w:val="22"/>
          <w:szCs w:val="22"/>
        </w:rPr>
        <w:t>)</w:t>
      </w:r>
      <w:r w:rsidR="003C73C7" w:rsidRPr="009526A6">
        <w:rPr>
          <w:sz w:val="22"/>
          <w:szCs w:val="22"/>
        </w:rPr>
        <w:t xml:space="preserve"> </w:t>
      </w:r>
      <w:r w:rsidR="00AE46DB" w:rsidRPr="009526A6">
        <w:rPr>
          <w:sz w:val="22"/>
          <w:szCs w:val="22"/>
        </w:rPr>
        <w:t xml:space="preserve">§ </w:t>
      </w:r>
      <w:r w:rsidR="003C73C7" w:rsidRPr="009526A6">
        <w:rPr>
          <w:sz w:val="22"/>
          <w:szCs w:val="22"/>
        </w:rPr>
        <w:t xml:space="preserve">609 (year). </w:t>
      </w:r>
    </w:p>
    <w:p w14:paraId="089491F2" w14:textId="77777777" w:rsidR="003C73C7" w:rsidRPr="009526A6" w:rsidRDefault="003C73C7" w:rsidP="003C73C7">
      <w:pPr>
        <w:jc w:val="both"/>
        <w:rPr>
          <w:sz w:val="22"/>
          <w:szCs w:val="22"/>
        </w:rPr>
      </w:pPr>
    </w:p>
    <w:p w14:paraId="46AF94CE" w14:textId="77777777" w:rsidR="00432648" w:rsidRPr="009526A6" w:rsidRDefault="00432648" w:rsidP="003C73C7">
      <w:pPr>
        <w:jc w:val="both"/>
        <w:rPr>
          <w:sz w:val="22"/>
          <w:szCs w:val="22"/>
        </w:rPr>
      </w:pPr>
    </w:p>
    <w:p w14:paraId="58EC7CE6" w14:textId="77777777" w:rsidR="003C73C7" w:rsidRPr="009526A6" w:rsidRDefault="003C73C7" w:rsidP="003C73C7">
      <w:pPr>
        <w:jc w:val="center"/>
        <w:rPr>
          <w:b/>
          <w:sz w:val="22"/>
          <w:szCs w:val="22"/>
          <w:u w:val="single"/>
        </w:rPr>
      </w:pPr>
      <w:r w:rsidRPr="009526A6">
        <w:rPr>
          <w:b/>
          <w:sz w:val="22"/>
          <w:szCs w:val="22"/>
          <w:u w:val="single"/>
        </w:rPr>
        <w:t>Ohio Ethics Commission Advisory Opinions</w:t>
      </w:r>
    </w:p>
    <w:p w14:paraId="03806A23" w14:textId="77777777" w:rsidR="003C73C7" w:rsidRPr="009526A6" w:rsidRDefault="003C73C7" w:rsidP="003C73C7">
      <w:pPr>
        <w:jc w:val="center"/>
        <w:rPr>
          <w:b/>
          <w:sz w:val="22"/>
          <w:szCs w:val="22"/>
          <w:u w:val="single"/>
        </w:rPr>
      </w:pPr>
    </w:p>
    <w:p w14:paraId="70746760" w14:textId="77777777" w:rsidR="003C73C7" w:rsidRPr="009526A6" w:rsidRDefault="003C73C7" w:rsidP="003C73C7">
      <w:pPr>
        <w:jc w:val="both"/>
        <w:rPr>
          <w:sz w:val="22"/>
          <w:szCs w:val="22"/>
        </w:rPr>
      </w:pPr>
      <w:r w:rsidRPr="009526A6">
        <w:rPr>
          <w:sz w:val="22"/>
          <w:szCs w:val="22"/>
        </w:rPr>
        <w:t xml:space="preserve">Opinions of the Ethics Commission should be cited by year and opinion number in the following form: </w:t>
      </w:r>
    </w:p>
    <w:p w14:paraId="3CAEC396" w14:textId="77777777" w:rsidR="003C73C7" w:rsidRPr="009526A6" w:rsidRDefault="003C73C7" w:rsidP="003C73C7">
      <w:pPr>
        <w:jc w:val="both"/>
        <w:rPr>
          <w:sz w:val="22"/>
          <w:szCs w:val="22"/>
        </w:rPr>
      </w:pPr>
    </w:p>
    <w:p w14:paraId="1792391F" w14:textId="77777777" w:rsidR="003C73C7" w:rsidRPr="009526A6" w:rsidRDefault="003C73C7" w:rsidP="003C73C7">
      <w:pPr>
        <w:jc w:val="both"/>
        <w:rPr>
          <w:sz w:val="22"/>
          <w:szCs w:val="22"/>
        </w:rPr>
      </w:pPr>
      <w:r w:rsidRPr="009526A6">
        <w:rPr>
          <w:sz w:val="22"/>
          <w:szCs w:val="22"/>
        </w:rPr>
        <w:t>1976 O.E.C. No. 76-008 or Ohio Ethics Comm’n, Advisory Op. No. 76-008</w:t>
      </w:r>
    </w:p>
    <w:p w14:paraId="5FA615C1" w14:textId="77777777" w:rsidR="003C73C7" w:rsidRPr="009526A6" w:rsidRDefault="003C73C7" w:rsidP="003C73C7">
      <w:pPr>
        <w:jc w:val="both"/>
        <w:rPr>
          <w:sz w:val="22"/>
          <w:szCs w:val="22"/>
        </w:rPr>
      </w:pPr>
    </w:p>
    <w:p w14:paraId="019D6F80" w14:textId="77777777" w:rsidR="00432648" w:rsidRPr="009526A6" w:rsidRDefault="00432648" w:rsidP="003C73C7">
      <w:pPr>
        <w:jc w:val="both"/>
        <w:rPr>
          <w:sz w:val="22"/>
          <w:szCs w:val="22"/>
        </w:rPr>
      </w:pPr>
    </w:p>
    <w:p w14:paraId="0FCB2193" w14:textId="77777777" w:rsidR="003C73C7" w:rsidRPr="009526A6" w:rsidRDefault="003C73C7" w:rsidP="003C73C7">
      <w:pPr>
        <w:jc w:val="center"/>
        <w:rPr>
          <w:b/>
          <w:sz w:val="22"/>
          <w:szCs w:val="22"/>
          <w:u w:val="single"/>
        </w:rPr>
      </w:pPr>
      <w:r w:rsidRPr="009526A6">
        <w:rPr>
          <w:b/>
          <w:sz w:val="22"/>
          <w:szCs w:val="22"/>
          <w:u w:val="single"/>
        </w:rPr>
        <w:t>Special Legislation</w:t>
      </w:r>
    </w:p>
    <w:p w14:paraId="7ED3ADFC" w14:textId="77777777" w:rsidR="003C73C7" w:rsidRPr="009526A6" w:rsidRDefault="003C73C7" w:rsidP="003C73C7">
      <w:pPr>
        <w:jc w:val="center"/>
        <w:rPr>
          <w:b/>
          <w:sz w:val="22"/>
          <w:szCs w:val="22"/>
          <w:u w:val="single"/>
        </w:rPr>
      </w:pPr>
    </w:p>
    <w:p w14:paraId="19C6A0FC" w14:textId="77777777" w:rsidR="003C73C7" w:rsidRPr="009526A6" w:rsidRDefault="003C73C7" w:rsidP="003C73C7">
      <w:pPr>
        <w:jc w:val="both"/>
        <w:rPr>
          <w:sz w:val="22"/>
          <w:szCs w:val="22"/>
        </w:rPr>
      </w:pPr>
      <w:r w:rsidRPr="009526A6">
        <w:rPr>
          <w:sz w:val="22"/>
          <w:szCs w:val="22"/>
        </w:rPr>
        <w:t xml:space="preserve">Citations to special (uncodified) legislation enacted prior to January 4, 1971, should be cited by name, year of session, page number, and year of enactment in the following manner: </w:t>
      </w:r>
    </w:p>
    <w:p w14:paraId="741AAC26" w14:textId="77777777" w:rsidR="003C73C7" w:rsidRPr="009526A6" w:rsidRDefault="003C73C7" w:rsidP="003C73C7">
      <w:pPr>
        <w:jc w:val="both"/>
        <w:rPr>
          <w:sz w:val="22"/>
          <w:szCs w:val="22"/>
        </w:rPr>
      </w:pPr>
    </w:p>
    <w:p w14:paraId="3E4B2E62" w14:textId="77777777" w:rsidR="003C73C7" w:rsidRPr="009526A6" w:rsidRDefault="003C73C7" w:rsidP="003C73C7">
      <w:pPr>
        <w:jc w:val="both"/>
        <w:rPr>
          <w:sz w:val="22"/>
          <w:szCs w:val="22"/>
        </w:rPr>
      </w:pPr>
      <w:r w:rsidRPr="009526A6">
        <w:rPr>
          <w:sz w:val="22"/>
          <w:szCs w:val="22"/>
          <w:u w:val="single"/>
        </w:rPr>
        <w:t>An Act to establish the Bucyrus, Oceola, and Upper Sandusky Free Turnpike Road</w:t>
      </w:r>
      <w:r w:rsidRPr="009526A6">
        <w:rPr>
          <w:sz w:val="22"/>
          <w:szCs w:val="22"/>
        </w:rPr>
        <w:t xml:space="preserve">, 1845 Ohio Laws 128 (1845) </w:t>
      </w:r>
    </w:p>
    <w:p w14:paraId="653F33C0" w14:textId="77777777" w:rsidR="003C73C7" w:rsidRPr="009526A6" w:rsidRDefault="003C73C7" w:rsidP="003C73C7">
      <w:pPr>
        <w:jc w:val="both"/>
        <w:rPr>
          <w:sz w:val="22"/>
          <w:szCs w:val="22"/>
        </w:rPr>
      </w:pPr>
    </w:p>
    <w:p w14:paraId="44B137E6" w14:textId="77777777" w:rsidR="003C73C7" w:rsidRPr="009526A6" w:rsidRDefault="003C73C7" w:rsidP="003C73C7">
      <w:pPr>
        <w:jc w:val="both"/>
        <w:rPr>
          <w:sz w:val="22"/>
          <w:szCs w:val="22"/>
        </w:rPr>
      </w:pPr>
      <w:r w:rsidRPr="009526A6">
        <w:rPr>
          <w:sz w:val="22"/>
          <w:szCs w:val="22"/>
        </w:rPr>
        <w:t xml:space="preserve">Citations to such legislation enacted after January 3, 1971, should be cited by name, year of session, page number, and year of enactment as follows: </w:t>
      </w:r>
    </w:p>
    <w:p w14:paraId="5DBA42A7" w14:textId="77777777" w:rsidR="003C73C7" w:rsidRPr="009526A6" w:rsidRDefault="003C73C7" w:rsidP="003C73C7">
      <w:pPr>
        <w:jc w:val="both"/>
        <w:rPr>
          <w:sz w:val="22"/>
          <w:szCs w:val="22"/>
        </w:rPr>
      </w:pPr>
    </w:p>
    <w:p w14:paraId="4D9BE12D" w14:textId="508008B6" w:rsidR="003C73C7" w:rsidRPr="009526A6" w:rsidRDefault="003C73C7" w:rsidP="003C73C7">
      <w:pPr>
        <w:jc w:val="both"/>
        <w:rPr>
          <w:sz w:val="22"/>
          <w:szCs w:val="22"/>
        </w:rPr>
      </w:pPr>
      <w:r w:rsidRPr="009526A6">
        <w:rPr>
          <w:sz w:val="22"/>
          <w:szCs w:val="22"/>
        </w:rPr>
        <w:t xml:space="preserve">Am. S. B. No. 96, 1979 Ohio Legis. </w:t>
      </w:r>
      <w:r w:rsidR="005A47F4" w:rsidRPr="009526A6">
        <w:rPr>
          <w:sz w:val="22"/>
          <w:szCs w:val="22"/>
        </w:rPr>
        <w:t>Bi</w:t>
      </w:r>
      <w:r w:rsidRPr="009526A6">
        <w:rPr>
          <w:sz w:val="22"/>
          <w:szCs w:val="22"/>
        </w:rPr>
        <w:t xml:space="preserve">ll 5-142 (1979) </w:t>
      </w:r>
    </w:p>
    <w:p w14:paraId="701A5363" w14:textId="77777777" w:rsidR="003C73C7" w:rsidRDefault="003C73C7" w:rsidP="003C73C7">
      <w:pPr>
        <w:jc w:val="both"/>
        <w:rPr>
          <w:sz w:val="24"/>
          <w:szCs w:val="24"/>
        </w:rPr>
      </w:pPr>
    </w:p>
    <w:p w14:paraId="14EF215E" w14:textId="77777777" w:rsidR="003C73C7" w:rsidRPr="009526A6" w:rsidRDefault="003C73C7" w:rsidP="003C73C7">
      <w:pPr>
        <w:jc w:val="center"/>
        <w:rPr>
          <w:b/>
          <w:sz w:val="22"/>
          <w:szCs w:val="22"/>
          <w:u w:val="single"/>
        </w:rPr>
      </w:pPr>
      <w:r w:rsidRPr="009526A6">
        <w:rPr>
          <w:b/>
          <w:sz w:val="22"/>
          <w:szCs w:val="22"/>
          <w:u w:val="single"/>
        </w:rPr>
        <w:t>Federal and Ohio Constitution</w:t>
      </w:r>
    </w:p>
    <w:p w14:paraId="34DFD649" w14:textId="77777777" w:rsidR="003C73C7" w:rsidRPr="009526A6" w:rsidRDefault="003C73C7" w:rsidP="003C73C7">
      <w:pPr>
        <w:jc w:val="center"/>
        <w:rPr>
          <w:b/>
          <w:sz w:val="22"/>
          <w:szCs w:val="22"/>
          <w:u w:val="single"/>
        </w:rPr>
      </w:pPr>
    </w:p>
    <w:p w14:paraId="0A2C7EC5" w14:textId="77777777" w:rsidR="003C73C7" w:rsidRPr="009526A6" w:rsidRDefault="003C73C7" w:rsidP="003C73C7">
      <w:pPr>
        <w:jc w:val="both"/>
        <w:rPr>
          <w:sz w:val="22"/>
          <w:szCs w:val="22"/>
        </w:rPr>
      </w:pPr>
      <w:r w:rsidRPr="009526A6">
        <w:rPr>
          <w:sz w:val="22"/>
          <w:szCs w:val="22"/>
        </w:rPr>
        <w:t xml:space="preserve">Cite in the following form: </w:t>
      </w:r>
    </w:p>
    <w:p w14:paraId="680813A5" w14:textId="77777777" w:rsidR="003C73C7" w:rsidRPr="009526A6" w:rsidRDefault="003C73C7" w:rsidP="003C73C7">
      <w:pPr>
        <w:jc w:val="both"/>
        <w:rPr>
          <w:sz w:val="22"/>
          <w:szCs w:val="22"/>
        </w:rPr>
      </w:pPr>
    </w:p>
    <w:p w14:paraId="18E6971B" w14:textId="77777777" w:rsidR="003C73C7" w:rsidRPr="009526A6" w:rsidRDefault="003C73C7" w:rsidP="003C73C7">
      <w:pPr>
        <w:jc w:val="both"/>
        <w:rPr>
          <w:sz w:val="22"/>
          <w:szCs w:val="22"/>
        </w:rPr>
      </w:pPr>
      <w:r w:rsidRPr="009526A6">
        <w:rPr>
          <w:sz w:val="22"/>
          <w:szCs w:val="22"/>
        </w:rPr>
        <w:t xml:space="preserve">U.S. Const. Art. III, Section 2 </w:t>
      </w:r>
    </w:p>
    <w:p w14:paraId="613FAB71" w14:textId="77777777" w:rsidR="003C73C7" w:rsidRPr="009526A6" w:rsidRDefault="003C73C7" w:rsidP="003C73C7">
      <w:pPr>
        <w:jc w:val="both"/>
        <w:rPr>
          <w:sz w:val="22"/>
          <w:szCs w:val="22"/>
        </w:rPr>
      </w:pPr>
    </w:p>
    <w:p w14:paraId="62A0F693" w14:textId="77777777" w:rsidR="003C73C7" w:rsidRPr="009526A6" w:rsidRDefault="003C73C7" w:rsidP="003C73C7">
      <w:pPr>
        <w:jc w:val="both"/>
        <w:rPr>
          <w:sz w:val="22"/>
          <w:szCs w:val="22"/>
        </w:rPr>
      </w:pPr>
      <w:r w:rsidRPr="009526A6">
        <w:rPr>
          <w:sz w:val="22"/>
          <w:szCs w:val="22"/>
        </w:rPr>
        <w:t xml:space="preserve">Ohio Const. Art. II, Section 20 </w:t>
      </w:r>
    </w:p>
    <w:p w14:paraId="54204E27" w14:textId="77777777" w:rsidR="003C73C7" w:rsidRPr="009526A6" w:rsidRDefault="003C73C7" w:rsidP="003C73C7">
      <w:pPr>
        <w:jc w:val="both"/>
        <w:rPr>
          <w:sz w:val="22"/>
          <w:szCs w:val="22"/>
        </w:rPr>
      </w:pPr>
    </w:p>
    <w:p w14:paraId="76630575" w14:textId="77777777" w:rsidR="003C73C7" w:rsidRPr="009526A6" w:rsidRDefault="003C73C7" w:rsidP="003C73C7">
      <w:pPr>
        <w:jc w:val="center"/>
        <w:rPr>
          <w:b/>
          <w:sz w:val="22"/>
          <w:szCs w:val="22"/>
          <w:u w:val="single"/>
        </w:rPr>
      </w:pPr>
      <w:r w:rsidRPr="009526A6">
        <w:rPr>
          <w:b/>
          <w:sz w:val="22"/>
          <w:szCs w:val="22"/>
          <w:u w:val="single"/>
        </w:rPr>
        <w:t>Municipal Ordinances</w:t>
      </w:r>
    </w:p>
    <w:p w14:paraId="4FD54ACB" w14:textId="77777777" w:rsidR="003C73C7" w:rsidRPr="009526A6" w:rsidRDefault="003C73C7" w:rsidP="003C73C7">
      <w:pPr>
        <w:jc w:val="center"/>
        <w:rPr>
          <w:b/>
          <w:sz w:val="22"/>
          <w:szCs w:val="22"/>
          <w:u w:val="single"/>
        </w:rPr>
      </w:pPr>
    </w:p>
    <w:p w14:paraId="44A34029" w14:textId="77777777" w:rsidR="003C73C7" w:rsidRPr="009526A6" w:rsidRDefault="003C73C7" w:rsidP="003C73C7">
      <w:pPr>
        <w:jc w:val="both"/>
        <w:rPr>
          <w:sz w:val="22"/>
          <w:szCs w:val="22"/>
        </w:rPr>
      </w:pPr>
      <w:r w:rsidRPr="009526A6">
        <w:rPr>
          <w:sz w:val="22"/>
          <w:szCs w:val="22"/>
        </w:rPr>
        <w:t xml:space="preserve">In citing municipal ordinances, give the name of the municipality first, followed by the name of the code, section, or subdivision, and the year of publication: </w:t>
      </w:r>
    </w:p>
    <w:p w14:paraId="45E14CBF" w14:textId="77777777" w:rsidR="003C73C7" w:rsidRPr="009526A6" w:rsidRDefault="003C73C7" w:rsidP="003C73C7">
      <w:pPr>
        <w:jc w:val="both"/>
        <w:rPr>
          <w:sz w:val="22"/>
          <w:szCs w:val="22"/>
        </w:rPr>
      </w:pPr>
    </w:p>
    <w:p w14:paraId="6F4A0BC8" w14:textId="77777777" w:rsidR="003C73C7" w:rsidRPr="009526A6" w:rsidRDefault="003C73C7" w:rsidP="003C73C7">
      <w:pPr>
        <w:jc w:val="both"/>
        <w:rPr>
          <w:sz w:val="22"/>
          <w:szCs w:val="22"/>
        </w:rPr>
      </w:pPr>
      <w:r w:rsidRPr="009526A6">
        <w:rPr>
          <w:sz w:val="22"/>
          <w:szCs w:val="22"/>
        </w:rPr>
        <w:t xml:space="preserve">Hilltown, </w:t>
      </w:r>
      <w:r w:rsidRPr="009526A6">
        <w:rPr>
          <w:sz w:val="22"/>
          <w:szCs w:val="22"/>
          <w:u w:val="single"/>
        </w:rPr>
        <w:t>Codified Ordinances</w:t>
      </w:r>
      <w:r w:rsidRPr="009526A6">
        <w:rPr>
          <w:sz w:val="22"/>
          <w:szCs w:val="22"/>
        </w:rPr>
        <w:t xml:space="preserve">, Section 133.05 (1977) Uncodified ordinances should be cited by name of municipality, number or name of the ordinance, and the exact date of adoption: </w:t>
      </w:r>
    </w:p>
    <w:p w14:paraId="06B2F40B" w14:textId="77777777" w:rsidR="003C73C7" w:rsidRPr="009526A6" w:rsidRDefault="003C73C7" w:rsidP="003C73C7">
      <w:pPr>
        <w:jc w:val="both"/>
        <w:rPr>
          <w:sz w:val="22"/>
          <w:szCs w:val="22"/>
        </w:rPr>
      </w:pPr>
    </w:p>
    <w:p w14:paraId="1A48EB31" w14:textId="77777777" w:rsidR="003C73C7" w:rsidRPr="009526A6" w:rsidRDefault="003C73C7" w:rsidP="003C73C7">
      <w:pPr>
        <w:jc w:val="both"/>
        <w:rPr>
          <w:sz w:val="22"/>
          <w:szCs w:val="22"/>
        </w:rPr>
      </w:pPr>
      <w:r w:rsidRPr="009526A6">
        <w:rPr>
          <w:sz w:val="22"/>
          <w:szCs w:val="22"/>
        </w:rPr>
        <w:t xml:space="preserve">Middleville, Ordinance to Regulate the Conduct of Scarlet Women (1883) </w:t>
      </w:r>
    </w:p>
    <w:p w14:paraId="7A737C2E" w14:textId="77777777" w:rsidR="00271B7B" w:rsidRPr="00432648" w:rsidRDefault="00401AEC">
      <w:pPr>
        <w:rPr>
          <w:sz w:val="24"/>
          <w:szCs w:val="24"/>
        </w:rPr>
        <w:sectPr w:rsidR="00271B7B" w:rsidRPr="00432648" w:rsidSect="002A3762">
          <w:headerReference w:type="default" r:id="rId48"/>
          <w:pgSz w:w="12240" w:h="15840"/>
          <w:pgMar w:top="1152" w:right="1152" w:bottom="720" w:left="1152" w:header="720" w:footer="720" w:gutter="0"/>
          <w:cols w:space="720"/>
          <w:noEndnote/>
        </w:sectPr>
      </w:pPr>
      <w:r w:rsidRPr="00432648">
        <w:rPr>
          <w:sz w:val="24"/>
          <w:szCs w:val="24"/>
        </w:rPr>
        <w:br w:type="page"/>
      </w:r>
    </w:p>
    <w:p w14:paraId="3B6FF88E" w14:textId="5BD1F1BA" w:rsidR="001278A4" w:rsidRPr="003B59DF" w:rsidRDefault="001278A4" w:rsidP="000413AE">
      <w:pPr>
        <w:pStyle w:val="Subtitle"/>
        <w:shd w:val="clear" w:color="auto" w:fill="A6A6A6" w:themeFill="background1" w:themeFillShade="A6"/>
        <w:tabs>
          <w:tab w:val="center" w:pos="4680"/>
          <w:tab w:val="left" w:pos="7150"/>
        </w:tabs>
        <w:rPr>
          <w:szCs w:val="28"/>
        </w:rPr>
      </w:pPr>
      <w:bookmarkStart w:id="53" w:name="_Toc214431145"/>
      <w:r w:rsidRPr="003B59DF">
        <w:rPr>
          <w:szCs w:val="28"/>
        </w:rPr>
        <w:t>Exhibit 2 – Public Officers’ Bond</w:t>
      </w:r>
      <w:r w:rsidR="00050FE8">
        <w:rPr>
          <w:szCs w:val="28"/>
        </w:rPr>
        <w:t xml:space="preserve"> </w:t>
      </w:r>
      <w:r w:rsidR="00050FE8" w:rsidRPr="00C909C3">
        <w:rPr>
          <w:i/>
          <w:iCs/>
          <w:szCs w:val="28"/>
        </w:rPr>
        <w:t>(</w:t>
      </w:r>
      <w:r w:rsidR="007F5C1B" w:rsidRPr="00C909C3">
        <w:rPr>
          <w:i/>
          <w:iCs/>
          <w:szCs w:val="28"/>
        </w:rPr>
        <w:t>Applies</w:t>
      </w:r>
      <w:r w:rsidR="00050FE8" w:rsidRPr="00C909C3">
        <w:rPr>
          <w:i/>
          <w:iCs/>
          <w:szCs w:val="28"/>
        </w:rPr>
        <w:t xml:space="preserve"> to </w:t>
      </w:r>
      <w:r w:rsidR="007F5C1B" w:rsidRPr="00C909C3">
        <w:rPr>
          <w:i/>
          <w:iCs/>
          <w:szCs w:val="28"/>
        </w:rPr>
        <w:t>Section 3-5)</w:t>
      </w:r>
      <w:bookmarkEnd w:id="53"/>
    </w:p>
    <w:p w14:paraId="58DC15AA" w14:textId="77777777" w:rsidR="000413AE" w:rsidRDefault="000413AE" w:rsidP="001278A4">
      <w:pPr>
        <w:tabs>
          <w:tab w:val="left" w:pos="5466"/>
        </w:tabs>
        <w:jc w:val="both"/>
        <w:rPr>
          <w:color w:val="000000" w:themeColor="text1"/>
          <w:sz w:val="24"/>
          <w:szCs w:val="24"/>
        </w:rPr>
      </w:pPr>
    </w:p>
    <w:p w14:paraId="5A484393" w14:textId="3EC84FB0" w:rsidR="001278A4" w:rsidRPr="009526A6" w:rsidRDefault="00D438F0" w:rsidP="001278A4">
      <w:pPr>
        <w:tabs>
          <w:tab w:val="left" w:pos="5466"/>
        </w:tabs>
        <w:jc w:val="both"/>
        <w:rPr>
          <w:color w:val="000000"/>
          <w:sz w:val="22"/>
          <w:szCs w:val="22"/>
        </w:rPr>
      </w:pPr>
      <w:r w:rsidRPr="009526A6">
        <w:rPr>
          <w:color w:val="000000" w:themeColor="text1"/>
          <w:sz w:val="22"/>
          <w:szCs w:val="22"/>
        </w:rPr>
        <w:t>K</w:t>
      </w:r>
      <w:r w:rsidR="006E5A31" w:rsidRPr="009526A6">
        <w:rPr>
          <w:color w:val="000000" w:themeColor="text1"/>
          <w:sz w:val="22"/>
          <w:szCs w:val="22"/>
        </w:rPr>
        <w:t xml:space="preserve">eep the following in mind: </w:t>
      </w:r>
    </w:p>
    <w:p w14:paraId="21555577" w14:textId="2A1D5B2B" w:rsidR="001278A4" w:rsidRPr="009526A6" w:rsidRDefault="001278A4" w:rsidP="001278A4">
      <w:pPr>
        <w:tabs>
          <w:tab w:val="left" w:pos="3600"/>
        </w:tabs>
        <w:jc w:val="both"/>
        <w:rPr>
          <w:color w:val="000000"/>
          <w:sz w:val="22"/>
          <w:szCs w:val="22"/>
        </w:rPr>
      </w:pPr>
    </w:p>
    <w:p w14:paraId="303C4634" w14:textId="19F65710" w:rsidR="00C669B1" w:rsidRPr="009526A6" w:rsidRDefault="0099467B" w:rsidP="000413AE">
      <w:pPr>
        <w:pStyle w:val="ListParagraph"/>
        <w:numPr>
          <w:ilvl w:val="0"/>
          <w:numId w:val="45"/>
        </w:numPr>
        <w:tabs>
          <w:tab w:val="left" w:pos="3600"/>
        </w:tabs>
        <w:ind w:left="720"/>
        <w:jc w:val="both"/>
        <w:rPr>
          <w:color w:val="000000"/>
          <w:sz w:val="22"/>
          <w:szCs w:val="22"/>
        </w:rPr>
      </w:pPr>
      <w:r w:rsidRPr="009526A6">
        <w:rPr>
          <w:color w:val="000000"/>
          <w:sz w:val="22"/>
          <w:szCs w:val="22"/>
          <w:u w:val="single"/>
        </w:rPr>
        <w:t>Bond requirements</w:t>
      </w:r>
      <w:r w:rsidR="00C669B1" w:rsidRPr="009526A6">
        <w:rPr>
          <w:color w:val="000000"/>
          <w:sz w:val="22"/>
          <w:szCs w:val="22"/>
        </w:rPr>
        <w:t>: This e</w:t>
      </w:r>
      <w:r w:rsidRPr="009526A6">
        <w:rPr>
          <w:color w:val="000000"/>
          <w:sz w:val="22"/>
          <w:szCs w:val="22"/>
        </w:rPr>
        <w:t xml:space="preserve">xhibit lists those who are required by statute to give a bond with a specified minimum amount, those required to give a bond without an </w:t>
      </w:r>
      <w:proofErr w:type="gramStart"/>
      <w:r w:rsidRPr="009526A6">
        <w:rPr>
          <w:color w:val="000000"/>
          <w:sz w:val="22"/>
          <w:szCs w:val="22"/>
        </w:rPr>
        <w:t>amount specified</w:t>
      </w:r>
      <w:proofErr w:type="gramEnd"/>
      <w:r w:rsidRPr="009526A6">
        <w:rPr>
          <w:color w:val="000000"/>
          <w:sz w:val="22"/>
          <w:szCs w:val="22"/>
        </w:rPr>
        <w:t xml:space="preserve">, and those who may be required to give bond if an ordinance is passed by the legislative authority.  Regardless of </w:t>
      </w:r>
      <w:r w:rsidR="006977AC" w:rsidRPr="009526A6">
        <w:rPr>
          <w:color w:val="000000"/>
          <w:sz w:val="22"/>
          <w:szCs w:val="22"/>
        </w:rPr>
        <w:t xml:space="preserve">any minimum </w:t>
      </w:r>
      <w:proofErr w:type="gramStart"/>
      <w:r w:rsidRPr="009526A6">
        <w:rPr>
          <w:color w:val="000000"/>
          <w:sz w:val="22"/>
          <w:szCs w:val="22"/>
        </w:rPr>
        <w:t>amounts</w:t>
      </w:r>
      <w:proofErr w:type="gramEnd"/>
      <w:r w:rsidRPr="009526A6">
        <w:rPr>
          <w:color w:val="000000"/>
          <w:sz w:val="22"/>
          <w:szCs w:val="22"/>
        </w:rPr>
        <w:t xml:space="preserve"> specified, the governing board may specify a greater </w:t>
      </w:r>
      <w:r w:rsidR="006977AC" w:rsidRPr="009526A6">
        <w:rPr>
          <w:color w:val="000000"/>
          <w:sz w:val="22"/>
          <w:szCs w:val="22"/>
        </w:rPr>
        <w:t xml:space="preserve">amount </w:t>
      </w:r>
      <w:r w:rsidRPr="009526A6">
        <w:rPr>
          <w:color w:val="000000"/>
          <w:sz w:val="22"/>
          <w:szCs w:val="22"/>
        </w:rPr>
        <w:t>when</w:t>
      </w:r>
      <w:r w:rsidR="006977AC" w:rsidRPr="009526A6">
        <w:rPr>
          <w:color w:val="000000"/>
          <w:sz w:val="22"/>
          <w:szCs w:val="22"/>
        </w:rPr>
        <w:t>/if</w:t>
      </w:r>
      <w:r w:rsidRPr="009526A6">
        <w:rPr>
          <w:color w:val="000000"/>
          <w:sz w:val="22"/>
          <w:szCs w:val="22"/>
        </w:rPr>
        <w:t xml:space="preserve"> they deem it necessary</w:t>
      </w:r>
      <w:r w:rsidR="008E25E3" w:rsidRPr="009526A6">
        <w:rPr>
          <w:color w:val="000000"/>
          <w:sz w:val="22"/>
          <w:szCs w:val="22"/>
        </w:rPr>
        <w:t>. In the alternative to a surety bond, a political subdivision as defined in Ohio Rev. Code § 3.06</w:t>
      </w:r>
      <w:r w:rsidR="00295AB1" w:rsidRPr="009526A6">
        <w:rPr>
          <w:color w:val="000000"/>
          <w:sz w:val="22"/>
          <w:szCs w:val="22"/>
        </w:rPr>
        <w:t>1</w:t>
      </w:r>
      <w:r w:rsidR="008E25E3" w:rsidRPr="009526A6">
        <w:rPr>
          <w:color w:val="000000"/>
          <w:sz w:val="22"/>
          <w:szCs w:val="22"/>
        </w:rPr>
        <w:t xml:space="preserve">, </w:t>
      </w:r>
      <w:r w:rsidR="00C669B1" w:rsidRPr="009526A6">
        <w:rPr>
          <w:color w:val="000000"/>
          <w:sz w:val="22"/>
          <w:szCs w:val="22"/>
        </w:rPr>
        <w:t xml:space="preserve">may now, by ordinance or resolution, allow for the use of an employee dishonesty and faithful performance of duty policy, rather than a surety bond for, </w:t>
      </w:r>
      <w:r w:rsidR="0050712A" w:rsidRPr="009526A6">
        <w:rPr>
          <w:color w:val="000000"/>
          <w:sz w:val="22"/>
          <w:szCs w:val="22"/>
        </w:rPr>
        <w:t xml:space="preserve">some </w:t>
      </w:r>
      <w:r w:rsidR="00C669B1" w:rsidRPr="009526A6">
        <w:rPr>
          <w:color w:val="000000"/>
          <w:sz w:val="22"/>
          <w:szCs w:val="22"/>
        </w:rPr>
        <w:t xml:space="preserve">officers, employees, or </w:t>
      </w:r>
      <w:r w:rsidR="001E3E45" w:rsidRPr="009526A6">
        <w:rPr>
          <w:color w:val="000000"/>
          <w:sz w:val="22"/>
          <w:szCs w:val="22"/>
        </w:rPr>
        <w:t xml:space="preserve">appointees (those </w:t>
      </w:r>
      <w:r w:rsidR="001E3E45" w:rsidRPr="009526A6">
        <w:rPr>
          <w:color w:val="000000"/>
          <w:sz w:val="22"/>
          <w:szCs w:val="22"/>
          <w:highlight w:val="yellow"/>
        </w:rPr>
        <w:t>positions highlighted in yellow</w:t>
      </w:r>
      <w:r w:rsidR="001E3E45" w:rsidRPr="009526A6">
        <w:rPr>
          <w:color w:val="000000"/>
          <w:sz w:val="22"/>
          <w:szCs w:val="22"/>
        </w:rPr>
        <w:t xml:space="preserve"> in the following tables may utilize these policies</w:t>
      </w:r>
      <w:r w:rsidR="00074B03" w:rsidRPr="009526A6">
        <w:rPr>
          <w:rStyle w:val="FootnoteReference"/>
          <w:color w:val="000000"/>
          <w:sz w:val="22"/>
          <w:szCs w:val="22"/>
        </w:rPr>
        <w:footnoteReference w:id="41"/>
      </w:r>
      <w:r w:rsidR="001E3E45" w:rsidRPr="009526A6">
        <w:rPr>
          <w:color w:val="000000"/>
          <w:sz w:val="22"/>
          <w:szCs w:val="22"/>
        </w:rPr>
        <w:t xml:space="preserve">) that </w:t>
      </w:r>
      <w:r w:rsidR="00C669B1" w:rsidRPr="009526A6">
        <w:rPr>
          <w:color w:val="000000"/>
          <w:sz w:val="22"/>
          <w:szCs w:val="22"/>
        </w:rPr>
        <w:t xml:space="preserve">would otherwise be required to give an individual surety bond. The policy must be in: </w:t>
      </w:r>
    </w:p>
    <w:p w14:paraId="486D5134" w14:textId="15DD59B0" w:rsidR="00C669B1" w:rsidRPr="009526A6" w:rsidRDefault="00C669B1" w:rsidP="007955DE">
      <w:pPr>
        <w:pStyle w:val="ListParagraph"/>
        <w:numPr>
          <w:ilvl w:val="1"/>
          <w:numId w:val="45"/>
        </w:numPr>
        <w:tabs>
          <w:tab w:val="left" w:pos="3600"/>
        </w:tabs>
        <w:jc w:val="both"/>
        <w:rPr>
          <w:color w:val="000000"/>
          <w:sz w:val="22"/>
          <w:szCs w:val="22"/>
        </w:rPr>
      </w:pPr>
      <w:r w:rsidRPr="009526A6">
        <w:rPr>
          <w:color w:val="000000"/>
          <w:sz w:val="22"/>
          <w:szCs w:val="22"/>
        </w:rPr>
        <w:t>effect and apply to the officer, employee, or appointee before the beginning of the individual's term of office or employment.</w:t>
      </w:r>
    </w:p>
    <w:p w14:paraId="7DBEC12C" w14:textId="36562447" w:rsidR="00C669B1" w:rsidRPr="009526A6" w:rsidRDefault="00C669B1" w:rsidP="007955DE">
      <w:pPr>
        <w:pStyle w:val="ListParagraph"/>
        <w:numPr>
          <w:ilvl w:val="1"/>
          <w:numId w:val="45"/>
        </w:numPr>
        <w:tabs>
          <w:tab w:val="left" w:pos="3600"/>
        </w:tabs>
        <w:jc w:val="both"/>
        <w:rPr>
          <w:color w:val="000000"/>
          <w:sz w:val="22"/>
          <w:szCs w:val="22"/>
        </w:rPr>
      </w:pPr>
      <w:r w:rsidRPr="009526A6">
        <w:rPr>
          <w:color w:val="000000"/>
          <w:sz w:val="22"/>
          <w:szCs w:val="22"/>
        </w:rPr>
        <w:t xml:space="preserve">an amount </w:t>
      </w:r>
      <w:r w:rsidR="00295AB1" w:rsidRPr="009526A6">
        <w:rPr>
          <w:color w:val="000000"/>
          <w:sz w:val="22"/>
          <w:szCs w:val="22"/>
        </w:rPr>
        <w:t xml:space="preserve">equal to or </w:t>
      </w:r>
      <w:r w:rsidRPr="009526A6">
        <w:rPr>
          <w:color w:val="000000"/>
          <w:sz w:val="22"/>
          <w:szCs w:val="22"/>
        </w:rPr>
        <w:t xml:space="preserve">greater than the maximum amount of the bond otherwise required by law. If no amount, or only a minimum amount, of coverage is specified in law for the </w:t>
      </w:r>
      <w:proofErr w:type="gramStart"/>
      <w:r w:rsidRPr="009526A6">
        <w:rPr>
          <w:color w:val="000000"/>
          <w:sz w:val="22"/>
          <w:szCs w:val="22"/>
        </w:rPr>
        <w:t>particular officer</w:t>
      </w:r>
      <w:proofErr w:type="gramEnd"/>
      <w:r w:rsidRPr="009526A6">
        <w:rPr>
          <w:color w:val="000000"/>
          <w:sz w:val="22"/>
          <w:szCs w:val="22"/>
        </w:rPr>
        <w:t>, employee, or appointee, the amount of coverage shall be an amount agreed upon by the legislative authority.</w:t>
      </w:r>
    </w:p>
    <w:p w14:paraId="4EE25109" w14:textId="0BAEC1D6" w:rsidR="00C669B1" w:rsidRPr="009526A6" w:rsidRDefault="00C669B1" w:rsidP="000413AE">
      <w:pPr>
        <w:pStyle w:val="ListParagraph"/>
        <w:tabs>
          <w:tab w:val="left" w:pos="3600"/>
        </w:tabs>
        <w:jc w:val="both"/>
        <w:rPr>
          <w:color w:val="000000"/>
          <w:sz w:val="22"/>
          <w:szCs w:val="22"/>
        </w:rPr>
      </w:pPr>
      <w:r w:rsidRPr="009526A6">
        <w:rPr>
          <w:color w:val="000000"/>
          <w:sz w:val="22"/>
          <w:szCs w:val="22"/>
        </w:rPr>
        <w:t xml:space="preserve">Note: Ohio Rev. Code </w:t>
      </w:r>
      <w:r w:rsidR="0099467B" w:rsidRPr="009526A6">
        <w:rPr>
          <w:color w:val="000000"/>
          <w:sz w:val="22"/>
          <w:szCs w:val="22"/>
        </w:rPr>
        <w:t xml:space="preserve">§ 3.30 </w:t>
      </w:r>
      <w:r w:rsidRPr="009526A6">
        <w:rPr>
          <w:color w:val="000000"/>
          <w:sz w:val="22"/>
          <w:szCs w:val="22"/>
        </w:rPr>
        <w:t xml:space="preserve">now </w:t>
      </w:r>
      <w:r w:rsidR="0099467B" w:rsidRPr="009526A6">
        <w:rPr>
          <w:color w:val="000000"/>
          <w:sz w:val="22"/>
          <w:szCs w:val="22"/>
        </w:rPr>
        <w:t xml:space="preserve">states, </w:t>
      </w:r>
      <w:r w:rsidRPr="009526A6">
        <w:rPr>
          <w:color w:val="000000"/>
          <w:sz w:val="22"/>
          <w:szCs w:val="22"/>
        </w:rPr>
        <w:t xml:space="preserve"> “Except as otherwise provided in section 3.061 of the Revised Code, a </w:t>
      </w:r>
      <w:r w:rsidR="0099467B" w:rsidRPr="009526A6">
        <w:rPr>
          <w:color w:val="000000"/>
          <w:sz w:val="22"/>
          <w:szCs w:val="22"/>
        </w:rPr>
        <w:t xml:space="preserve">person elected or appointed to an office who is required by law to give a bond or security previous to the performance of the duties imposed on </w:t>
      </w:r>
      <w:r w:rsidRPr="009526A6">
        <w:rPr>
          <w:color w:val="000000"/>
          <w:sz w:val="22"/>
          <w:szCs w:val="22"/>
        </w:rPr>
        <w:t>the person</w:t>
      </w:r>
      <w:r w:rsidR="0099467B" w:rsidRPr="009526A6">
        <w:rPr>
          <w:color w:val="000000"/>
          <w:sz w:val="22"/>
          <w:szCs w:val="22"/>
        </w:rPr>
        <w:t xml:space="preserve"> by </w:t>
      </w:r>
      <w:r w:rsidRPr="009526A6">
        <w:rPr>
          <w:color w:val="000000"/>
          <w:sz w:val="22"/>
          <w:szCs w:val="22"/>
        </w:rPr>
        <w:t>the person’s</w:t>
      </w:r>
      <w:r w:rsidR="0099467B" w:rsidRPr="009526A6">
        <w:rPr>
          <w:color w:val="000000"/>
          <w:sz w:val="22"/>
          <w:szCs w:val="22"/>
        </w:rPr>
        <w:t xml:space="preserve"> office, who refuses or neglects to give such bond or furnish such security within the time and in the manner prescribed by law, and in all respects to qualify for the performance of such duties, is deemed to have refused to accept the office to which </w:t>
      </w:r>
      <w:r w:rsidRPr="009526A6">
        <w:rPr>
          <w:color w:val="000000"/>
          <w:sz w:val="22"/>
          <w:szCs w:val="22"/>
        </w:rPr>
        <w:t>the person</w:t>
      </w:r>
      <w:r w:rsidR="0099467B" w:rsidRPr="009526A6">
        <w:rPr>
          <w:color w:val="000000"/>
          <w:sz w:val="22"/>
          <w:szCs w:val="22"/>
        </w:rPr>
        <w:t xml:space="preserve"> was elected or appointed. Such office </w:t>
      </w:r>
      <w:proofErr w:type="gramStart"/>
      <w:r w:rsidR="0099467B" w:rsidRPr="009526A6">
        <w:rPr>
          <w:color w:val="000000"/>
          <w:sz w:val="22"/>
          <w:szCs w:val="22"/>
        </w:rPr>
        <w:t>shall</w:t>
      </w:r>
      <w:proofErr w:type="gramEnd"/>
      <w:r w:rsidR="0099467B" w:rsidRPr="009526A6">
        <w:rPr>
          <w:color w:val="000000"/>
          <w:sz w:val="22"/>
          <w:szCs w:val="22"/>
        </w:rPr>
        <w:t xml:space="preserve"> be considered vacant and </w:t>
      </w:r>
      <w:proofErr w:type="gramStart"/>
      <w:r w:rsidR="0099467B" w:rsidRPr="009526A6">
        <w:rPr>
          <w:color w:val="000000"/>
          <w:sz w:val="22"/>
          <w:szCs w:val="22"/>
        </w:rPr>
        <w:t>shall</w:t>
      </w:r>
      <w:proofErr w:type="gramEnd"/>
      <w:r w:rsidR="0099467B" w:rsidRPr="009526A6">
        <w:rPr>
          <w:color w:val="000000"/>
          <w:sz w:val="22"/>
          <w:szCs w:val="22"/>
        </w:rPr>
        <w:t xml:space="preserve"> be filled as provided by law.</w:t>
      </w:r>
      <w:r w:rsidRPr="009526A6">
        <w:rPr>
          <w:color w:val="000000"/>
          <w:sz w:val="22"/>
          <w:szCs w:val="22"/>
        </w:rPr>
        <w:t xml:space="preserve"> </w:t>
      </w:r>
    </w:p>
    <w:p w14:paraId="4A4EF1A7" w14:textId="77777777" w:rsidR="000413AE" w:rsidRPr="009526A6" w:rsidRDefault="000413AE" w:rsidP="000413AE">
      <w:pPr>
        <w:pStyle w:val="ListParagraph"/>
        <w:tabs>
          <w:tab w:val="left" w:pos="3600"/>
        </w:tabs>
        <w:jc w:val="both"/>
        <w:rPr>
          <w:color w:val="000000"/>
          <w:sz w:val="22"/>
          <w:szCs w:val="22"/>
        </w:rPr>
      </w:pPr>
    </w:p>
    <w:p w14:paraId="73CEBE58" w14:textId="670B5D01" w:rsidR="0099467B" w:rsidRPr="009526A6" w:rsidRDefault="00C669B1" w:rsidP="000413AE">
      <w:pPr>
        <w:pStyle w:val="ListParagraph"/>
        <w:tabs>
          <w:tab w:val="left" w:pos="3600"/>
        </w:tabs>
        <w:jc w:val="both"/>
        <w:rPr>
          <w:color w:val="000000" w:themeColor="text1"/>
          <w:sz w:val="22"/>
          <w:szCs w:val="22"/>
        </w:rPr>
      </w:pPr>
      <w:r w:rsidRPr="009526A6">
        <w:rPr>
          <w:color w:val="000000" w:themeColor="text1"/>
          <w:sz w:val="22"/>
          <w:szCs w:val="22"/>
        </w:rPr>
        <w:t>A person subject to a policy adopted under section 3.061 of the Revised Code</w:t>
      </w:r>
      <w:r w:rsidR="167F9907" w:rsidRPr="009526A6">
        <w:rPr>
          <w:color w:val="000000" w:themeColor="text1"/>
          <w:sz w:val="22"/>
          <w:szCs w:val="22"/>
        </w:rPr>
        <w:t>, when the</w:t>
      </w:r>
      <w:r w:rsidR="000413AE" w:rsidRPr="009526A6">
        <w:rPr>
          <w:color w:val="000000" w:themeColor="text1"/>
          <w:sz w:val="22"/>
          <w:szCs w:val="22"/>
        </w:rPr>
        <w:t xml:space="preserve"> </w:t>
      </w:r>
      <w:r w:rsidR="167F9907" w:rsidRPr="009526A6">
        <w:rPr>
          <w:color w:val="000000" w:themeColor="text1"/>
          <w:sz w:val="22"/>
          <w:szCs w:val="22"/>
        </w:rPr>
        <w:t>policy is in effect and becomes applicable to the person upon the beginning of the person's term of office or employment,</w:t>
      </w:r>
      <w:r w:rsidRPr="009526A6">
        <w:rPr>
          <w:color w:val="000000" w:themeColor="text1"/>
          <w:sz w:val="22"/>
          <w:szCs w:val="22"/>
        </w:rPr>
        <w:t xml:space="preserve"> is deemed to</w:t>
      </w:r>
      <w:r w:rsidR="0091006A" w:rsidRPr="009526A6">
        <w:rPr>
          <w:color w:val="000000" w:themeColor="text1"/>
          <w:sz w:val="22"/>
          <w:szCs w:val="22"/>
        </w:rPr>
        <w:t xml:space="preserve"> </w:t>
      </w:r>
      <w:r w:rsidRPr="009526A6">
        <w:rPr>
          <w:color w:val="000000" w:themeColor="text1"/>
          <w:sz w:val="22"/>
          <w:szCs w:val="22"/>
        </w:rPr>
        <w:t>have refused to accept the office or employment when the person fails to take, certify, and file the oath of office as required by law or fails to document proof of insurance coverage as provided in division (B) of section 3.061 of the Revised Code and the office shall be considered vacant and shall be filled as provided by law.</w:t>
      </w:r>
    </w:p>
    <w:p w14:paraId="39FBD8A3" w14:textId="77777777" w:rsidR="000413AE" w:rsidRPr="009526A6" w:rsidRDefault="000413AE" w:rsidP="000413AE">
      <w:pPr>
        <w:pStyle w:val="ListParagraph"/>
        <w:tabs>
          <w:tab w:val="left" w:pos="3600"/>
        </w:tabs>
        <w:jc w:val="both"/>
        <w:rPr>
          <w:color w:val="000000" w:themeColor="text1"/>
          <w:sz w:val="22"/>
          <w:szCs w:val="22"/>
        </w:rPr>
      </w:pPr>
    </w:p>
    <w:p w14:paraId="61BC81C2" w14:textId="2F9362C9" w:rsidR="0099467B" w:rsidRPr="009526A6" w:rsidRDefault="0B068F18" w:rsidP="000413AE">
      <w:pPr>
        <w:pStyle w:val="ListParagraph"/>
        <w:tabs>
          <w:tab w:val="left" w:pos="3600"/>
        </w:tabs>
        <w:jc w:val="both"/>
        <w:rPr>
          <w:color w:val="000000"/>
          <w:sz w:val="22"/>
          <w:szCs w:val="22"/>
        </w:rPr>
      </w:pPr>
      <w:r w:rsidRPr="009526A6">
        <w:rPr>
          <w:color w:val="000000" w:themeColor="text1"/>
          <w:sz w:val="22"/>
          <w:szCs w:val="22"/>
        </w:rPr>
        <w:t>A person who becomes subject to a policy adopted under section 3.061 of the Revised Code during the person's term of office or employment is deemed to have vacated the office</w:t>
      </w:r>
      <w:r w:rsidRPr="009526A6">
        <w:rPr>
          <w:sz w:val="22"/>
          <w:szCs w:val="22"/>
        </w:rPr>
        <w:t xml:space="preserve"> </w:t>
      </w:r>
      <w:r w:rsidR="5F93F3DF" w:rsidRPr="009526A6">
        <w:rPr>
          <w:sz w:val="22"/>
          <w:szCs w:val="22"/>
        </w:rPr>
        <w:t xml:space="preserve">on the date </w:t>
      </w:r>
      <w:r w:rsidRPr="009526A6">
        <w:rPr>
          <w:sz w:val="22"/>
          <w:szCs w:val="22"/>
        </w:rPr>
        <w:t>w</w:t>
      </w:r>
      <w:r w:rsidRPr="009526A6">
        <w:rPr>
          <w:color w:val="000000" w:themeColor="text1"/>
          <w:sz w:val="22"/>
          <w:szCs w:val="22"/>
        </w:rPr>
        <w:t>hen the person fails to document proof of insurance coverage as provided in division (D) of section 3.061 of the Revised Code and the vacancy shall be filled as provided by law.</w:t>
      </w:r>
      <w:r w:rsidR="168CDB21" w:rsidRPr="009526A6">
        <w:rPr>
          <w:color w:val="000000" w:themeColor="text1"/>
          <w:sz w:val="22"/>
          <w:szCs w:val="22"/>
        </w:rPr>
        <w:t>”</w:t>
      </w:r>
    </w:p>
    <w:p w14:paraId="17CACCEA" w14:textId="77777777" w:rsidR="0099467B" w:rsidRPr="009526A6" w:rsidRDefault="0099467B" w:rsidP="0099467B">
      <w:pPr>
        <w:tabs>
          <w:tab w:val="left" w:pos="3600"/>
        </w:tabs>
        <w:ind w:left="720"/>
        <w:jc w:val="both"/>
        <w:rPr>
          <w:color w:val="000000"/>
          <w:sz w:val="22"/>
          <w:szCs w:val="22"/>
        </w:rPr>
      </w:pPr>
    </w:p>
    <w:p w14:paraId="5A23F3E4" w14:textId="6243C22F" w:rsidR="0099467B" w:rsidRPr="009526A6" w:rsidRDefault="0099467B" w:rsidP="007955DE">
      <w:pPr>
        <w:pStyle w:val="ListParagraph"/>
        <w:numPr>
          <w:ilvl w:val="0"/>
          <w:numId w:val="45"/>
        </w:numPr>
        <w:tabs>
          <w:tab w:val="left" w:pos="3600"/>
        </w:tabs>
        <w:ind w:left="720"/>
        <w:jc w:val="both"/>
        <w:rPr>
          <w:color w:val="000000"/>
          <w:sz w:val="22"/>
          <w:szCs w:val="22"/>
        </w:rPr>
      </w:pPr>
      <w:r w:rsidRPr="009526A6">
        <w:rPr>
          <w:color w:val="000000"/>
          <w:sz w:val="22"/>
          <w:szCs w:val="22"/>
          <w:u w:val="single"/>
        </w:rPr>
        <w:t>Blanket bonds and/or Insurance in lieu of Surety Bonds</w:t>
      </w:r>
      <w:r w:rsidRPr="009526A6">
        <w:rPr>
          <w:color w:val="000000"/>
          <w:sz w:val="22"/>
          <w:szCs w:val="22"/>
        </w:rPr>
        <w:t xml:space="preserve">: Some individuals who must give </w:t>
      </w:r>
      <w:proofErr w:type="gramStart"/>
      <w:r w:rsidRPr="009526A6">
        <w:rPr>
          <w:color w:val="000000"/>
          <w:sz w:val="22"/>
          <w:szCs w:val="22"/>
        </w:rPr>
        <w:t>bond</w:t>
      </w:r>
      <w:proofErr w:type="gramEnd"/>
      <w:r w:rsidRPr="009526A6">
        <w:rPr>
          <w:color w:val="000000"/>
          <w:sz w:val="22"/>
          <w:szCs w:val="22"/>
        </w:rPr>
        <w:t xml:space="preserve"> may be covered under a blanket bond, while others must obtain a bond in the individual’s name only</w:t>
      </w:r>
      <w:r w:rsidR="00C669B1" w:rsidRPr="009526A6">
        <w:rPr>
          <w:color w:val="000000"/>
          <w:sz w:val="22"/>
          <w:szCs w:val="22"/>
        </w:rPr>
        <w:t xml:space="preserve"> (if their legislative authority has not elected to obtain an employee dishonesty and faithful performance of duty policy in lieu of the surety requirement)</w:t>
      </w:r>
      <w:r w:rsidRPr="009526A6">
        <w:rPr>
          <w:color w:val="000000"/>
          <w:sz w:val="22"/>
          <w:szCs w:val="22"/>
        </w:rPr>
        <w:t>. (See Ohio Rev. Code § 3.06 and/or 1965 Op. Att</w:t>
      </w:r>
      <w:r w:rsidR="00FC4CE7" w:rsidRPr="009526A6">
        <w:rPr>
          <w:color w:val="000000"/>
          <w:sz w:val="22"/>
          <w:szCs w:val="22"/>
        </w:rPr>
        <w:t>’</w:t>
      </w:r>
      <w:r w:rsidRPr="009526A6">
        <w:rPr>
          <w:color w:val="000000"/>
          <w:sz w:val="22"/>
          <w:szCs w:val="22"/>
        </w:rPr>
        <w:t xml:space="preserve">y. Gen. No. 1965-087). Note: </w:t>
      </w:r>
      <w:r w:rsidR="00C669B1" w:rsidRPr="009526A6">
        <w:rPr>
          <w:color w:val="000000"/>
          <w:sz w:val="22"/>
          <w:szCs w:val="22"/>
        </w:rPr>
        <w:t>I</w:t>
      </w:r>
      <w:r w:rsidRPr="009526A6">
        <w:rPr>
          <w:color w:val="000000"/>
          <w:sz w:val="22"/>
          <w:szCs w:val="22"/>
        </w:rPr>
        <w:t xml:space="preserve">nsurance policies </w:t>
      </w:r>
      <w:r w:rsidR="001A62F8" w:rsidRPr="009526A6">
        <w:rPr>
          <w:color w:val="000000"/>
          <w:sz w:val="22"/>
          <w:szCs w:val="22"/>
        </w:rPr>
        <w:t xml:space="preserve">and </w:t>
      </w:r>
      <w:r w:rsidR="00C669B1" w:rsidRPr="009526A6">
        <w:rPr>
          <w:color w:val="000000"/>
          <w:sz w:val="22"/>
          <w:szCs w:val="22"/>
        </w:rPr>
        <w:t xml:space="preserve">surety bonds </w:t>
      </w:r>
      <w:r w:rsidRPr="009526A6">
        <w:rPr>
          <w:color w:val="000000"/>
          <w:sz w:val="22"/>
          <w:szCs w:val="22"/>
        </w:rPr>
        <w:t xml:space="preserve">may be similar, however, there are </w:t>
      </w:r>
      <w:proofErr w:type="gramStart"/>
      <w:r w:rsidRPr="009526A6">
        <w:rPr>
          <w:color w:val="000000"/>
          <w:sz w:val="22"/>
          <w:szCs w:val="22"/>
        </w:rPr>
        <w:t>various differences</w:t>
      </w:r>
      <w:proofErr w:type="gramEnd"/>
      <w:r w:rsidRPr="009526A6">
        <w:rPr>
          <w:color w:val="000000"/>
          <w:sz w:val="22"/>
          <w:szCs w:val="22"/>
        </w:rPr>
        <w:t xml:space="preserve"> (see table below).</w:t>
      </w:r>
    </w:p>
    <w:p w14:paraId="30504539" w14:textId="77777777" w:rsidR="0099467B" w:rsidRPr="009526A6" w:rsidRDefault="0099467B" w:rsidP="0099467B">
      <w:pPr>
        <w:tabs>
          <w:tab w:val="left" w:pos="3600"/>
        </w:tabs>
        <w:ind w:left="720"/>
        <w:jc w:val="both"/>
        <w:rPr>
          <w:color w:val="000000"/>
          <w:sz w:val="22"/>
          <w:szCs w:val="22"/>
        </w:rPr>
      </w:pPr>
    </w:p>
    <w:p w14:paraId="127C7BEB" w14:textId="77777777" w:rsidR="0099467B" w:rsidRPr="009526A6" w:rsidRDefault="0099467B" w:rsidP="007955DE">
      <w:pPr>
        <w:pStyle w:val="ListParagraph"/>
        <w:numPr>
          <w:ilvl w:val="0"/>
          <w:numId w:val="45"/>
        </w:numPr>
        <w:tabs>
          <w:tab w:val="left" w:pos="3600"/>
        </w:tabs>
        <w:ind w:left="720"/>
        <w:jc w:val="both"/>
        <w:rPr>
          <w:color w:val="000000"/>
          <w:sz w:val="22"/>
          <w:szCs w:val="22"/>
        </w:rPr>
      </w:pPr>
      <w:r w:rsidRPr="009526A6">
        <w:rPr>
          <w:color w:val="000000"/>
          <w:sz w:val="22"/>
          <w:szCs w:val="22"/>
          <w:u w:val="single"/>
        </w:rPr>
        <w:t>Bond given with/signed by:</w:t>
      </w:r>
      <w:r w:rsidRPr="009526A6">
        <w:rPr>
          <w:color w:val="000000"/>
          <w:sz w:val="22"/>
          <w:szCs w:val="22"/>
        </w:rPr>
        <w:t xml:space="preserve"> All bonds required or permitted by law should be given by a surety or bonding company authorized to transact business in this state. (Ohio Rev. Code § 3929.14) </w:t>
      </w:r>
    </w:p>
    <w:p w14:paraId="3FECC887" w14:textId="77777777" w:rsidR="00F0586C" w:rsidRPr="009526A6" w:rsidRDefault="00F0586C" w:rsidP="0099467B">
      <w:pPr>
        <w:tabs>
          <w:tab w:val="left" w:pos="3600"/>
        </w:tabs>
        <w:ind w:left="720"/>
        <w:jc w:val="both"/>
        <w:rPr>
          <w:color w:val="000000"/>
          <w:sz w:val="22"/>
          <w:szCs w:val="22"/>
        </w:rPr>
      </w:pPr>
    </w:p>
    <w:p w14:paraId="492A5C80" w14:textId="77777777" w:rsidR="0099467B" w:rsidRPr="009526A6" w:rsidRDefault="0099467B" w:rsidP="007955DE">
      <w:pPr>
        <w:pStyle w:val="ListParagraph"/>
        <w:numPr>
          <w:ilvl w:val="0"/>
          <w:numId w:val="45"/>
        </w:numPr>
        <w:tabs>
          <w:tab w:val="left" w:pos="3600"/>
        </w:tabs>
        <w:ind w:left="720"/>
        <w:jc w:val="both"/>
        <w:rPr>
          <w:color w:val="000000"/>
          <w:sz w:val="22"/>
          <w:szCs w:val="22"/>
        </w:rPr>
      </w:pPr>
      <w:r w:rsidRPr="009526A6">
        <w:rPr>
          <w:color w:val="000000"/>
          <w:sz w:val="22"/>
          <w:szCs w:val="22"/>
          <w:u w:val="single"/>
        </w:rPr>
        <w:t>Bond paid by:</w:t>
      </w:r>
      <w:r w:rsidRPr="009526A6">
        <w:rPr>
          <w:color w:val="000000"/>
          <w:sz w:val="22"/>
          <w:szCs w:val="22"/>
        </w:rPr>
        <w:t xml:space="preserve"> The premium of any bond required or permitted by law is allowed to be paid by the state, county, township, municipal corporation, or other subdivision, or board of education, of which such person giving the bond is such officer, deputy, or employee. (Ohio Rev. Code § 3929.17)</w:t>
      </w:r>
    </w:p>
    <w:p w14:paraId="792B8891" w14:textId="77777777" w:rsidR="0099467B" w:rsidRPr="009526A6" w:rsidRDefault="0099467B" w:rsidP="0099467B">
      <w:pPr>
        <w:tabs>
          <w:tab w:val="left" w:pos="3600"/>
        </w:tabs>
        <w:ind w:left="720"/>
        <w:jc w:val="both"/>
        <w:rPr>
          <w:color w:val="000000"/>
          <w:sz w:val="22"/>
          <w:szCs w:val="22"/>
        </w:rPr>
      </w:pPr>
    </w:p>
    <w:p w14:paraId="16231C5D" w14:textId="71CFED49" w:rsidR="0099467B" w:rsidRPr="009526A6" w:rsidRDefault="0099467B" w:rsidP="007955DE">
      <w:pPr>
        <w:pStyle w:val="ListParagraph"/>
        <w:numPr>
          <w:ilvl w:val="0"/>
          <w:numId w:val="45"/>
        </w:numPr>
        <w:tabs>
          <w:tab w:val="left" w:pos="3600"/>
        </w:tabs>
        <w:ind w:left="720"/>
        <w:jc w:val="both"/>
        <w:rPr>
          <w:color w:val="000000"/>
          <w:sz w:val="22"/>
          <w:szCs w:val="22"/>
        </w:rPr>
      </w:pPr>
      <w:r w:rsidRPr="009526A6">
        <w:rPr>
          <w:color w:val="000000"/>
          <w:sz w:val="22"/>
          <w:szCs w:val="22"/>
          <w:u w:val="single"/>
        </w:rPr>
        <w:t>Term of bond:</w:t>
      </w:r>
      <w:r w:rsidRPr="009526A6">
        <w:rPr>
          <w:color w:val="000000"/>
          <w:sz w:val="22"/>
          <w:szCs w:val="22"/>
        </w:rPr>
        <w:t xml:space="preserve"> When a bond is required, it should be in place for the entirety of the tenure of office/employment. Renewals of bonds are </w:t>
      </w:r>
      <w:proofErr w:type="gramStart"/>
      <w:r w:rsidRPr="009526A6">
        <w:rPr>
          <w:color w:val="000000"/>
          <w:sz w:val="22"/>
          <w:szCs w:val="22"/>
        </w:rPr>
        <w:t>allowable,</w:t>
      </w:r>
      <w:proofErr w:type="gramEnd"/>
      <w:r w:rsidRPr="009526A6">
        <w:rPr>
          <w:color w:val="000000"/>
          <w:sz w:val="22"/>
          <w:szCs w:val="22"/>
        </w:rPr>
        <w:t xml:space="preserve"> however, lapses should not exist.</w:t>
      </w:r>
    </w:p>
    <w:p w14:paraId="1928461E" w14:textId="77777777" w:rsidR="00B91787" w:rsidRPr="009526A6" w:rsidRDefault="00B91787" w:rsidP="00B91787">
      <w:pPr>
        <w:pStyle w:val="ListParagraph"/>
        <w:rPr>
          <w:color w:val="000000"/>
          <w:sz w:val="22"/>
          <w:szCs w:val="22"/>
        </w:rPr>
      </w:pPr>
    </w:p>
    <w:p w14:paraId="50CF054D" w14:textId="1A06D5D6" w:rsidR="00B91787" w:rsidRPr="009526A6" w:rsidRDefault="7BE46636" w:rsidP="00B91787">
      <w:pPr>
        <w:tabs>
          <w:tab w:val="left" w:pos="3600"/>
        </w:tabs>
        <w:jc w:val="both"/>
        <w:rPr>
          <w:color w:val="000000"/>
          <w:sz w:val="22"/>
          <w:szCs w:val="22"/>
        </w:rPr>
      </w:pPr>
      <w:r w:rsidRPr="009526A6">
        <w:rPr>
          <w:color w:val="000000" w:themeColor="text1"/>
          <w:sz w:val="22"/>
          <w:szCs w:val="22"/>
        </w:rPr>
        <w:t>See additional information on the related FAQ document available on the AOS website at:</w:t>
      </w:r>
    </w:p>
    <w:p w14:paraId="0267EBCA" w14:textId="7139E0CE" w:rsidR="002D412E" w:rsidRPr="009526A6" w:rsidRDefault="00957ACF" w:rsidP="002D412E">
      <w:pPr>
        <w:rPr>
          <w:color w:val="1F497D"/>
          <w:sz w:val="22"/>
          <w:szCs w:val="22"/>
        </w:rPr>
      </w:pPr>
      <w:hyperlink r:id="rId49" w:history="1">
        <w:r w:rsidRPr="009526A6">
          <w:rPr>
            <w:rStyle w:val="Hyperlink"/>
            <w:sz w:val="22"/>
            <w:szCs w:val="22"/>
          </w:rPr>
          <w:t>https://ohioauditor.gov/ocs/2022/ORC_3.061_Dishonesty_and_faithful_performance_of_duty_policy_FAQs_2021.pdf</w:t>
        </w:r>
      </w:hyperlink>
      <w:r w:rsidR="002D412E" w:rsidRPr="009526A6">
        <w:rPr>
          <w:color w:val="1F487C"/>
          <w:sz w:val="22"/>
          <w:szCs w:val="22"/>
        </w:rPr>
        <w:t xml:space="preserve"> </w:t>
      </w:r>
    </w:p>
    <w:p w14:paraId="26BE4EBD" w14:textId="22B0A804" w:rsidR="00786229" w:rsidRDefault="00786229" w:rsidP="00E6141B">
      <w:pPr>
        <w:tabs>
          <w:tab w:val="left" w:pos="3600"/>
        </w:tabs>
        <w:rPr>
          <w:color w:val="000000"/>
          <w:sz w:val="24"/>
          <w:szCs w:val="24"/>
        </w:rPr>
      </w:pPr>
    </w:p>
    <w:tbl>
      <w:tblPr>
        <w:tblW w:w="5042" w:type="pct"/>
        <w:tblInd w:w="-15" w:type="dxa"/>
        <w:tblLayout w:type="fixed"/>
        <w:tblCellMar>
          <w:top w:w="58" w:type="dxa"/>
          <w:left w:w="115" w:type="dxa"/>
          <w:bottom w:w="29" w:type="dxa"/>
          <w:right w:w="115" w:type="dxa"/>
        </w:tblCellMar>
        <w:tblLook w:val="04A0" w:firstRow="1" w:lastRow="0" w:firstColumn="1" w:lastColumn="0" w:noHBand="0" w:noVBand="1"/>
      </w:tblPr>
      <w:tblGrid>
        <w:gridCol w:w="1261"/>
        <w:gridCol w:w="5310"/>
        <w:gridCol w:w="3418"/>
      </w:tblGrid>
      <w:tr w:rsidR="0099467B" w:rsidRPr="007B613B" w14:paraId="64ADBE71" w14:textId="77777777" w:rsidTr="00A34540">
        <w:tc>
          <w:tcPr>
            <w:tcW w:w="631" w:type="pct"/>
            <w:tcBorders>
              <w:top w:val="single" w:sz="12" w:space="0" w:color="auto"/>
              <w:left w:val="single" w:sz="12" w:space="0" w:color="auto"/>
              <w:bottom w:val="single" w:sz="12" w:space="0" w:color="auto"/>
              <w:right w:val="single" w:sz="12" w:space="0" w:color="auto"/>
            </w:tcBorders>
            <w:shd w:val="clear" w:color="4F81BD" w:fill="4F81BD"/>
          </w:tcPr>
          <w:p w14:paraId="191C100D" w14:textId="77777777" w:rsidR="0099467B" w:rsidRPr="007B613B" w:rsidRDefault="0099467B" w:rsidP="00932BB7">
            <w:pPr>
              <w:jc w:val="center"/>
              <w:rPr>
                <w:b/>
                <w:bCs/>
                <w:color w:val="FFFFFF"/>
              </w:rPr>
            </w:pPr>
            <w:r w:rsidRPr="007B613B">
              <w:rPr>
                <w:b/>
                <w:bCs/>
                <w:color w:val="FFFFFF"/>
              </w:rPr>
              <w:t>Topic</w:t>
            </w:r>
          </w:p>
        </w:tc>
        <w:tc>
          <w:tcPr>
            <w:tcW w:w="2657" w:type="pct"/>
            <w:tcBorders>
              <w:top w:val="single" w:sz="12" w:space="0" w:color="auto"/>
              <w:left w:val="single" w:sz="12" w:space="0" w:color="auto"/>
              <w:bottom w:val="single" w:sz="12" w:space="0" w:color="auto"/>
              <w:right w:val="single" w:sz="12" w:space="0" w:color="auto"/>
            </w:tcBorders>
            <w:shd w:val="clear" w:color="4F81BD" w:fill="4F81BD"/>
            <w:hideMark/>
          </w:tcPr>
          <w:p w14:paraId="64A0705A" w14:textId="77777777" w:rsidR="0099467B" w:rsidRPr="007B613B" w:rsidRDefault="0099467B" w:rsidP="00932BB7">
            <w:pPr>
              <w:jc w:val="center"/>
              <w:rPr>
                <w:b/>
                <w:bCs/>
                <w:color w:val="FFFFFF"/>
              </w:rPr>
            </w:pPr>
            <w:r w:rsidRPr="007B613B">
              <w:rPr>
                <w:b/>
                <w:bCs/>
                <w:color w:val="FFFFFF"/>
              </w:rPr>
              <w:t>Surety Bond</w:t>
            </w:r>
          </w:p>
        </w:tc>
        <w:tc>
          <w:tcPr>
            <w:tcW w:w="1711" w:type="pct"/>
            <w:tcBorders>
              <w:top w:val="single" w:sz="12" w:space="0" w:color="auto"/>
              <w:left w:val="single" w:sz="12" w:space="0" w:color="auto"/>
              <w:bottom w:val="single" w:sz="12" w:space="0" w:color="auto"/>
              <w:right w:val="single" w:sz="12" w:space="0" w:color="auto"/>
            </w:tcBorders>
            <w:shd w:val="clear" w:color="4F81BD" w:fill="4F81BD"/>
            <w:hideMark/>
          </w:tcPr>
          <w:p w14:paraId="7A031E49" w14:textId="77777777" w:rsidR="0099467B" w:rsidRPr="007B613B" w:rsidRDefault="0099467B" w:rsidP="00932BB7">
            <w:pPr>
              <w:jc w:val="center"/>
              <w:rPr>
                <w:b/>
                <w:bCs/>
                <w:color w:val="FFFFFF"/>
              </w:rPr>
            </w:pPr>
            <w:r w:rsidRPr="007B613B">
              <w:rPr>
                <w:b/>
                <w:bCs/>
                <w:color w:val="FFFFFF"/>
              </w:rPr>
              <w:t>Insurance</w:t>
            </w:r>
          </w:p>
        </w:tc>
      </w:tr>
      <w:tr w:rsidR="0099467B" w:rsidRPr="007B613B" w14:paraId="6F068732" w14:textId="77777777" w:rsidTr="00A34540">
        <w:tc>
          <w:tcPr>
            <w:tcW w:w="631" w:type="pct"/>
            <w:tcBorders>
              <w:top w:val="single" w:sz="12" w:space="0" w:color="auto"/>
              <w:left w:val="single" w:sz="12" w:space="0" w:color="auto"/>
              <w:bottom w:val="single" w:sz="12" w:space="0" w:color="auto"/>
              <w:right w:val="single" w:sz="12" w:space="0" w:color="auto"/>
            </w:tcBorders>
          </w:tcPr>
          <w:p w14:paraId="786FF2DA" w14:textId="77777777" w:rsidR="0099467B" w:rsidRPr="00F44499" w:rsidRDefault="0099467B" w:rsidP="00932BB7">
            <w:pPr>
              <w:rPr>
                <w:color w:val="000000"/>
              </w:rPr>
            </w:pPr>
            <w:r w:rsidRPr="00F44499">
              <w:rPr>
                <w:color w:val="000000"/>
              </w:rPr>
              <w:t>Parties involved</w:t>
            </w:r>
          </w:p>
        </w:tc>
        <w:tc>
          <w:tcPr>
            <w:tcW w:w="2657" w:type="pct"/>
            <w:tcBorders>
              <w:top w:val="single" w:sz="12" w:space="0" w:color="auto"/>
              <w:left w:val="single" w:sz="12" w:space="0" w:color="auto"/>
              <w:bottom w:val="single" w:sz="12" w:space="0" w:color="auto"/>
              <w:right w:val="single" w:sz="12" w:space="0" w:color="auto"/>
            </w:tcBorders>
            <w:hideMark/>
          </w:tcPr>
          <w:p w14:paraId="79C4946C" w14:textId="77777777" w:rsidR="0099467B" w:rsidRPr="00F44499" w:rsidRDefault="0099467B" w:rsidP="00932BB7">
            <w:pPr>
              <w:rPr>
                <w:color w:val="000000"/>
              </w:rPr>
            </w:pPr>
            <w:r w:rsidRPr="00F44499">
              <w:rPr>
                <w:color w:val="000000"/>
              </w:rPr>
              <w:t xml:space="preserve">Three party agreement. </w:t>
            </w:r>
            <w:proofErr w:type="gramStart"/>
            <w:r w:rsidRPr="00F44499">
              <w:rPr>
                <w:color w:val="000000"/>
              </w:rPr>
              <w:t>The surety</w:t>
            </w:r>
            <w:proofErr w:type="gramEnd"/>
            <w:r w:rsidRPr="00F44499">
              <w:rPr>
                <w:color w:val="000000"/>
              </w:rPr>
              <w:t xml:space="preserve"> guarantees the faithful performance of the principal to the obligee.</w:t>
            </w:r>
          </w:p>
        </w:tc>
        <w:tc>
          <w:tcPr>
            <w:tcW w:w="1711" w:type="pct"/>
            <w:tcBorders>
              <w:top w:val="single" w:sz="12" w:space="0" w:color="auto"/>
              <w:left w:val="single" w:sz="12" w:space="0" w:color="auto"/>
              <w:bottom w:val="single" w:sz="12" w:space="0" w:color="auto"/>
              <w:right w:val="single" w:sz="12" w:space="0" w:color="auto"/>
            </w:tcBorders>
            <w:hideMark/>
          </w:tcPr>
          <w:p w14:paraId="057EDD90" w14:textId="77777777" w:rsidR="0099467B" w:rsidRPr="00F44499" w:rsidRDefault="0099467B" w:rsidP="00932BB7">
            <w:pPr>
              <w:rPr>
                <w:color w:val="000000"/>
              </w:rPr>
            </w:pPr>
            <w:r w:rsidRPr="00F44499">
              <w:rPr>
                <w:color w:val="000000"/>
              </w:rPr>
              <w:t xml:space="preserve">Generally, two party </w:t>
            </w:r>
            <w:proofErr w:type="gramStart"/>
            <w:r w:rsidRPr="00F44499">
              <w:rPr>
                <w:color w:val="000000"/>
              </w:rPr>
              <w:t>agreement</w:t>
            </w:r>
            <w:proofErr w:type="gramEnd"/>
            <w:r w:rsidRPr="00F44499">
              <w:rPr>
                <w:color w:val="000000"/>
              </w:rPr>
              <w:t>. The insurance company agrees to pay the insured directly for certain losses incurred.</w:t>
            </w:r>
          </w:p>
        </w:tc>
      </w:tr>
      <w:tr w:rsidR="0099467B" w:rsidRPr="007B613B" w14:paraId="6352EE29" w14:textId="77777777" w:rsidTr="00A34540">
        <w:tc>
          <w:tcPr>
            <w:tcW w:w="631" w:type="pct"/>
            <w:tcBorders>
              <w:top w:val="single" w:sz="12" w:space="0" w:color="auto"/>
              <w:left w:val="single" w:sz="12" w:space="0" w:color="auto"/>
              <w:bottom w:val="single" w:sz="12" w:space="0" w:color="auto"/>
              <w:right w:val="single" w:sz="12" w:space="0" w:color="auto"/>
            </w:tcBorders>
          </w:tcPr>
          <w:p w14:paraId="687D779B" w14:textId="77777777" w:rsidR="0099467B" w:rsidRPr="00F44499" w:rsidRDefault="0099467B" w:rsidP="00932BB7">
            <w:pPr>
              <w:rPr>
                <w:color w:val="000000"/>
              </w:rPr>
            </w:pPr>
            <w:r w:rsidRPr="00F44499">
              <w:rPr>
                <w:color w:val="000000"/>
              </w:rPr>
              <w:t>Loss Expectation</w:t>
            </w:r>
          </w:p>
        </w:tc>
        <w:tc>
          <w:tcPr>
            <w:tcW w:w="2657" w:type="pct"/>
            <w:tcBorders>
              <w:top w:val="single" w:sz="12" w:space="0" w:color="auto"/>
              <w:left w:val="single" w:sz="12" w:space="0" w:color="auto"/>
              <w:bottom w:val="single" w:sz="12" w:space="0" w:color="auto"/>
              <w:right w:val="single" w:sz="12" w:space="0" w:color="auto"/>
            </w:tcBorders>
            <w:hideMark/>
          </w:tcPr>
          <w:p w14:paraId="30626B9F" w14:textId="77777777" w:rsidR="0099467B" w:rsidRPr="00F44499" w:rsidRDefault="0099467B" w:rsidP="00932BB7">
            <w:pPr>
              <w:rPr>
                <w:color w:val="000000"/>
              </w:rPr>
            </w:pPr>
            <w:r w:rsidRPr="00F44499">
              <w:rPr>
                <w:color w:val="000000"/>
              </w:rPr>
              <w:t xml:space="preserve">Losses not expected. </w:t>
            </w:r>
            <w:proofErr w:type="gramStart"/>
            <w:r w:rsidRPr="00F44499">
              <w:rPr>
                <w:color w:val="000000"/>
              </w:rPr>
              <w:t>The surety</w:t>
            </w:r>
            <w:proofErr w:type="gramEnd"/>
            <w:r w:rsidRPr="00F44499">
              <w:rPr>
                <w:color w:val="000000"/>
              </w:rPr>
              <w:t xml:space="preserve"> takes only those risks which its underwriting experience indicates is safe. A surety will usually look at the applicant’s credit, arrest, and bankruptcy history, as well as any previous bond claims made against the applicant.</w:t>
            </w:r>
          </w:p>
        </w:tc>
        <w:tc>
          <w:tcPr>
            <w:tcW w:w="1711" w:type="pct"/>
            <w:tcBorders>
              <w:top w:val="single" w:sz="12" w:space="0" w:color="auto"/>
              <w:left w:val="single" w:sz="12" w:space="0" w:color="auto"/>
              <w:bottom w:val="single" w:sz="12" w:space="0" w:color="auto"/>
              <w:right w:val="single" w:sz="12" w:space="0" w:color="auto"/>
            </w:tcBorders>
            <w:hideMark/>
          </w:tcPr>
          <w:p w14:paraId="4AC78555" w14:textId="77777777" w:rsidR="0099467B" w:rsidRPr="00F44499" w:rsidRDefault="0099467B" w:rsidP="00932BB7">
            <w:pPr>
              <w:rPr>
                <w:color w:val="000000"/>
              </w:rPr>
            </w:pPr>
            <w:r w:rsidRPr="00F44499">
              <w:rPr>
                <w:color w:val="000000"/>
              </w:rPr>
              <w:t>Losses expected. Insurance rates are adjusted to cover losses and expenses as the law of averages fluctuates.</w:t>
            </w:r>
          </w:p>
        </w:tc>
      </w:tr>
      <w:tr w:rsidR="0099467B" w:rsidRPr="007B613B" w14:paraId="5F49BD85" w14:textId="77777777" w:rsidTr="00A34540">
        <w:tc>
          <w:tcPr>
            <w:tcW w:w="631" w:type="pct"/>
            <w:tcBorders>
              <w:top w:val="single" w:sz="12" w:space="0" w:color="auto"/>
              <w:left w:val="single" w:sz="12" w:space="0" w:color="auto"/>
              <w:bottom w:val="single" w:sz="12" w:space="0" w:color="auto"/>
              <w:right w:val="single" w:sz="12" w:space="0" w:color="auto"/>
            </w:tcBorders>
          </w:tcPr>
          <w:p w14:paraId="7F878464" w14:textId="77777777" w:rsidR="0099467B" w:rsidRPr="00F44499" w:rsidRDefault="0099467B" w:rsidP="00932BB7">
            <w:pPr>
              <w:rPr>
                <w:color w:val="000000"/>
              </w:rPr>
            </w:pPr>
            <w:r w:rsidRPr="00F44499">
              <w:rPr>
                <w:color w:val="000000"/>
              </w:rPr>
              <w:t>Recoverable</w:t>
            </w:r>
          </w:p>
        </w:tc>
        <w:tc>
          <w:tcPr>
            <w:tcW w:w="2657" w:type="pct"/>
            <w:tcBorders>
              <w:top w:val="single" w:sz="12" w:space="0" w:color="auto"/>
              <w:left w:val="single" w:sz="12" w:space="0" w:color="auto"/>
              <w:bottom w:val="single" w:sz="12" w:space="0" w:color="auto"/>
              <w:right w:val="single" w:sz="12" w:space="0" w:color="auto"/>
            </w:tcBorders>
            <w:hideMark/>
          </w:tcPr>
          <w:p w14:paraId="0CEEE6F1" w14:textId="77777777" w:rsidR="0099467B" w:rsidRPr="00F44499" w:rsidRDefault="0099467B" w:rsidP="00932BB7">
            <w:pPr>
              <w:rPr>
                <w:color w:val="000000"/>
              </w:rPr>
            </w:pPr>
            <w:r w:rsidRPr="00F44499">
              <w:rPr>
                <w:color w:val="000000"/>
              </w:rPr>
              <w:t xml:space="preserve">Losses recoverable. After a claim is paid, the </w:t>
            </w:r>
            <w:proofErr w:type="gramStart"/>
            <w:r w:rsidRPr="00F44499">
              <w:rPr>
                <w:color w:val="000000"/>
              </w:rPr>
              <w:t>surety</w:t>
            </w:r>
            <w:proofErr w:type="gramEnd"/>
            <w:r w:rsidRPr="00F44499">
              <w:rPr>
                <w:color w:val="000000"/>
              </w:rPr>
              <w:t xml:space="preserve"> expects to recoup its losses from the principal. This means the public official has “skin in the game,” and the risk of loss stays with the official.</w:t>
            </w:r>
          </w:p>
        </w:tc>
        <w:tc>
          <w:tcPr>
            <w:tcW w:w="1711" w:type="pct"/>
            <w:tcBorders>
              <w:top w:val="single" w:sz="12" w:space="0" w:color="auto"/>
              <w:left w:val="single" w:sz="12" w:space="0" w:color="auto"/>
              <w:bottom w:val="single" w:sz="12" w:space="0" w:color="auto"/>
              <w:right w:val="single" w:sz="12" w:space="0" w:color="auto"/>
            </w:tcBorders>
            <w:hideMark/>
          </w:tcPr>
          <w:p w14:paraId="441E73B5" w14:textId="77777777" w:rsidR="0099467B" w:rsidRPr="00F44499" w:rsidRDefault="0099467B" w:rsidP="00932BB7">
            <w:pPr>
              <w:rPr>
                <w:color w:val="000000"/>
              </w:rPr>
            </w:pPr>
            <w:r w:rsidRPr="00F44499">
              <w:rPr>
                <w:color w:val="000000"/>
              </w:rPr>
              <w:t xml:space="preserve">Losses usually </w:t>
            </w:r>
            <w:proofErr w:type="gramStart"/>
            <w:r w:rsidRPr="00F44499">
              <w:rPr>
                <w:color w:val="000000"/>
              </w:rPr>
              <w:t>not</w:t>
            </w:r>
            <w:proofErr w:type="gramEnd"/>
            <w:r w:rsidRPr="00F44499">
              <w:rPr>
                <w:color w:val="000000"/>
              </w:rPr>
              <w:t xml:space="preserve"> recoverable. When an insurance company pays a claim, it usually doesn’t expect to get repaid by the insured. Risk of loss is transferred to the insurance company.</w:t>
            </w:r>
          </w:p>
        </w:tc>
      </w:tr>
      <w:tr w:rsidR="0099467B" w:rsidRPr="007B613B" w14:paraId="274534AA" w14:textId="77777777" w:rsidTr="00A34540">
        <w:tc>
          <w:tcPr>
            <w:tcW w:w="631" w:type="pct"/>
            <w:vMerge w:val="restart"/>
            <w:tcBorders>
              <w:top w:val="single" w:sz="12" w:space="0" w:color="auto"/>
              <w:left w:val="single" w:sz="12" w:space="0" w:color="auto"/>
              <w:right w:val="single" w:sz="12" w:space="0" w:color="auto"/>
            </w:tcBorders>
          </w:tcPr>
          <w:p w14:paraId="2AF87E32" w14:textId="77777777" w:rsidR="0099467B" w:rsidRPr="00AC721B" w:rsidRDefault="0099467B" w:rsidP="00932BB7">
            <w:pPr>
              <w:rPr>
                <w:color w:val="000000"/>
              </w:rPr>
            </w:pPr>
            <w:r w:rsidRPr="00AC721B">
              <w:rPr>
                <w:color w:val="000000"/>
              </w:rPr>
              <w:t>Premium costs</w:t>
            </w:r>
          </w:p>
        </w:tc>
        <w:tc>
          <w:tcPr>
            <w:tcW w:w="2657" w:type="pct"/>
            <w:vMerge w:val="restart"/>
            <w:tcBorders>
              <w:top w:val="single" w:sz="12" w:space="0" w:color="auto"/>
              <w:left w:val="single" w:sz="12" w:space="0" w:color="auto"/>
              <w:bottom w:val="single" w:sz="8" w:space="0" w:color="000000"/>
              <w:right w:val="single" w:sz="12" w:space="0" w:color="auto"/>
            </w:tcBorders>
            <w:hideMark/>
          </w:tcPr>
          <w:p w14:paraId="1A0E06B4" w14:textId="77777777" w:rsidR="0099467B" w:rsidRPr="00AC721B" w:rsidRDefault="0099467B" w:rsidP="00932BB7">
            <w:pPr>
              <w:rPr>
                <w:color w:val="000000"/>
              </w:rPr>
            </w:pPr>
            <w:r w:rsidRPr="00AC721B">
              <w:rPr>
                <w:color w:val="000000"/>
              </w:rPr>
              <w:t>The cost of the bond covers expenses. A large portion of the surety bond price is really a service charge for weeding out unqualified candidates and for issuing the bond.</w:t>
            </w:r>
          </w:p>
        </w:tc>
        <w:tc>
          <w:tcPr>
            <w:tcW w:w="1711" w:type="pct"/>
            <w:tcBorders>
              <w:top w:val="single" w:sz="12" w:space="0" w:color="auto"/>
              <w:left w:val="single" w:sz="12" w:space="0" w:color="auto"/>
              <w:bottom w:val="single" w:sz="8" w:space="0" w:color="auto"/>
              <w:right w:val="single" w:sz="12" w:space="0" w:color="auto"/>
            </w:tcBorders>
            <w:hideMark/>
          </w:tcPr>
          <w:p w14:paraId="2723E642" w14:textId="77777777" w:rsidR="0099467B" w:rsidRPr="00F44499" w:rsidRDefault="0099467B" w:rsidP="00932BB7">
            <w:pPr>
              <w:pStyle w:val="ListParagraph"/>
              <w:ind w:left="0"/>
              <w:rPr>
                <w:color w:val="000000"/>
              </w:rPr>
            </w:pPr>
            <w:r w:rsidRPr="00F44499">
              <w:rPr>
                <w:color w:val="000000"/>
              </w:rPr>
              <w:t>Premium covers losses and expenses.</w:t>
            </w:r>
          </w:p>
        </w:tc>
      </w:tr>
      <w:tr w:rsidR="0099467B" w:rsidRPr="007B613B" w14:paraId="0BE45650" w14:textId="77777777" w:rsidTr="00A34540">
        <w:tc>
          <w:tcPr>
            <w:tcW w:w="631" w:type="pct"/>
            <w:vMerge/>
            <w:tcBorders>
              <w:left w:val="single" w:sz="12" w:space="0" w:color="auto"/>
              <w:bottom w:val="single" w:sz="12" w:space="0" w:color="auto"/>
              <w:right w:val="single" w:sz="12" w:space="0" w:color="auto"/>
            </w:tcBorders>
          </w:tcPr>
          <w:p w14:paraId="25022A90" w14:textId="77777777" w:rsidR="0099467B" w:rsidRPr="00F44499" w:rsidRDefault="0099467B" w:rsidP="00932BB7">
            <w:pPr>
              <w:rPr>
                <w:color w:val="000000"/>
              </w:rPr>
            </w:pPr>
          </w:p>
        </w:tc>
        <w:tc>
          <w:tcPr>
            <w:tcW w:w="2657" w:type="pct"/>
            <w:vMerge/>
            <w:tcBorders>
              <w:top w:val="nil"/>
              <w:left w:val="single" w:sz="12" w:space="0" w:color="auto"/>
              <w:bottom w:val="single" w:sz="12" w:space="0" w:color="auto"/>
              <w:right w:val="single" w:sz="12" w:space="0" w:color="auto"/>
            </w:tcBorders>
            <w:hideMark/>
          </w:tcPr>
          <w:p w14:paraId="5F2790C1" w14:textId="77777777" w:rsidR="0099467B" w:rsidRPr="00F44499" w:rsidRDefault="0099467B" w:rsidP="00932BB7">
            <w:pPr>
              <w:rPr>
                <w:color w:val="000000"/>
              </w:rPr>
            </w:pPr>
          </w:p>
        </w:tc>
        <w:tc>
          <w:tcPr>
            <w:tcW w:w="1711" w:type="pct"/>
            <w:tcBorders>
              <w:top w:val="single" w:sz="8" w:space="0" w:color="auto"/>
              <w:left w:val="single" w:sz="12" w:space="0" w:color="auto"/>
              <w:bottom w:val="single" w:sz="12" w:space="0" w:color="auto"/>
              <w:right w:val="single" w:sz="12" w:space="0" w:color="auto"/>
            </w:tcBorders>
            <w:hideMark/>
          </w:tcPr>
          <w:p w14:paraId="0BE93008" w14:textId="77777777" w:rsidR="0099467B" w:rsidRPr="00F44499" w:rsidRDefault="0099467B" w:rsidP="00932BB7">
            <w:pPr>
              <w:pStyle w:val="ListParagraph"/>
              <w:ind w:left="0"/>
              <w:rPr>
                <w:color w:val="000000"/>
              </w:rPr>
            </w:pPr>
            <w:r w:rsidRPr="00F44499">
              <w:rPr>
                <w:color w:val="000000"/>
              </w:rPr>
              <w:t>Insurance premiums are collected to pay for expected losses.</w:t>
            </w:r>
          </w:p>
        </w:tc>
      </w:tr>
      <w:tr w:rsidR="0099467B" w:rsidRPr="007B613B" w14:paraId="5B1F6B56" w14:textId="77777777" w:rsidTr="00A34540">
        <w:tc>
          <w:tcPr>
            <w:tcW w:w="631" w:type="pct"/>
            <w:tcBorders>
              <w:top w:val="single" w:sz="12" w:space="0" w:color="auto"/>
              <w:left w:val="single" w:sz="12" w:space="0" w:color="auto"/>
              <w:right w:val="single" w:sz="12" w:space="0" w:color="auto"/>
            </w:tcBorders>
          </w:tcPr>
          <w:p w14:paraId="51CFDF67" w14:textId="77777777" w:rsidR="0099467B" w:rsidRPr="00F44499" w:rsidRDefault="0099467B" w:rsidP="00932BB7">
            <w:pPr>
              <w:rPr>
                <w:color w:val="000000"/>
              </w:rPr>
            </w:pPr>
            <w:r w:rsidRPr="00F44499">
              <w:rPr>
                <w:color w:val="000000"/>
              </w:rPr>
              <w:t>Selectivity</w:t>
            </w:r>
          </w:p>
        </w:tc>
        <w:tc>
          <w:tcPr>
            <w:tcW w:w="2657" w:type="pct"/>
            <w:tcBorders>
              <w:top w:val="single" w:sz="12" w:space="0" w:color="auto"/>
              <w:left w:val="single" w:sz="12" w:space="0" w:color="auto"/>
              <w:bottom w:val="single" w:sz="8" w:space="0" w:color="000000"/>
              <w:right w:val="single" w:sz="12" w:space="0" w:color="auto"/>
            </w:tcBorders>
            <w:hideMark/>
          </w:tcPr>
          <w:p w14:paraId="2EBA4FEE" w14:textId="77777777" w:rsidR="0099467B" w:rsidRPr="00F44499" w:rsidRDefault="0099467B" w:rsidP="00932BB7">
            <w:pPr>
              <w:rPr>
                <w:color w:val="000000"/>
              </w:rPr>
            </w:pPr>
            <w:r w:rsidRPr="00F44499">
              <w:rPr>
                <w:color w:val="000000"/>
              </w:rPr>
              <w:t>Sureties are selective.</w:t>
            </w:r>
          </w:p>
        </w:tc>
        <w:tc>
          <w:tcPr>
            <w:tcW w:w="1711" w:type="pct"/>
            <w:tcBorders>
              <w:top w:val="single" w:sz="12" w:space="0" w:color="auto"/>
              <w:left w:val="single" w:sz="12" w:space="0" w:color="auto"/>
              <w:bottom w:val="nil"/>
              <w:right w:val="single" w:sz="12" w:space="0" w:color="auto"/>
            </w:tcBorders>
            <w:hideMark/>
          </w:tcPr>
          <w:p w14:paraId="3C992B50" w14:textId="77777777" w:rsidR="0099467B" w:rsidRPr="00F44499" w:rsidRDefault="0099467B" w:rsidP="00932BB7">
            <w:pPr>
              <w:rPr>
                <w:color w:val="000000"/>
              </w:rPr>
            </w:pPr>
            <w:r w:rsidRPr="00F44499">
              <w:rPr>
                <w:color w:val="000000"/>
              </w:rPr>
              <w:t>Insurers cover most risks. The insurance agent generally tries to write a policy on anything that comes along (at the appropriate premium rate) and allows for a large volume to cover the risk.</w:t>
            </w:r>
          </w:p>
        </w:tc>
      </w:tr>
      <w:tr w:rsidR="0099467B" w:rsidRPr="007B613B" w14:paraId="5F3CE242" w14:textId="77777777" w:rsidTr="00A34540">
        <w:tc>
          <w:tcPr>
            <w:tcW w:w="631" w:type="pct"/>
            <w:tcBorders>
              <w:top w:val="single" w:sz="12" w:space="0" w:color="auto"/>
              <w:left w:val="single" w:sz="12" w:space="0" w:color="auto"/>
              <w:bottom w:val="single" w:sz="12" w:space="0" w:color="auto"/>
              <w:right w:val="single" w:sz="12" w:space="0" w:color="auto"/>
            </w:tcBorders>
          </w:tcPr>
          <w:p w14:paraId="5F65A2D3" w14:textId="77777777" w:rsidR="0099467B" w:rsidRPr="00F44499" w:rsidRDefault="0099467B" w:rsidP="00932BB7">
            <w:pPr>
              <w:rPr>
                <w:color w:val="000000"/>
              </w:rPr>
            </w:pPr>
            <w:r w:rsidRPr="00F44499">
              <w:rPr>
                <w:color w:val="000000"/>
              </w:rPr>
              <w:t>Length of agreement</w:t>
            </w:r>
          </w:p>
        </w:tc>
        <w:tc>
          <w:tcPr>
            <w:tcW w:w="2657" w:type="pct"/>
            <w:tcBorders>
              <w:top w:val="single" w:sz="12" w:space="0" w:color="auto"/>
              <w:left w:val="single" w:sz="12" w:space="0" w:color="auto"/>
              <w:bottom w:val="single" w:sz="12" w:space="0" w:color="auto"/>
              <w:right w:val="single" w:sz="12" w:space="0" w:color="auto"/>
            </w:tcBorders>
            <w:hideMark/>
          </w:tcPr>
          <w:p w14:paraId="592457A9" w14:textId="77777777" w:rsidR="0099467B" w:rsidRPr="00F44499" w:rsidRDefault="0099467B" w:rsidP="00932BB7">
            <w:pPr>
              <w:rPr>
                <w:color w:val="000000"/>
              </w:rPr>
            </w:pPr>
            <w:r w:rsidRPr="00F44499">
              <w:rPr>
                <w:color w:val="000000"/>
              </w:rPr>
              <w:t>2 or 3 page document.</w:t>
            </w:r>
          </w:p>
        </w:tc>
        <w:tc>
          <w:tcPr>
            <w:tcW w:w="1711" w:type="pct"/>
            <w:tcBorders>
              <w:top w:val="single" w:sz="12" w:space="0" w:color="auto"/>
              <w:left w:val="single" w:sz="12" w:space="0" w:color="auto"/>
              <w:bottom w:val="single" w:sz="12" w:space="0" w:color="auto"/>
              <w:right w:val="single" w:sz="12" w:space="0" w:color="auto"/>
            </w:tcBorders>
            <w:hideMark/>
          </w:tcPr>
          <w:p w14:paraId="6243D485" w14:textId="77777777" w:rsidR="0099467B" w:rsidRPr="00F44499" w:rsidRDefault="0099467B" w:rsidP="00932BB7">
            <w:pPr>
              <w:rPr>
                <w:color w:val="000000"/>
              </w:rPr>
            </w:pPr>
            <w:r w:rsidRPr="00F44499">
              <w:rPr>
                <w:color w:val="000000"/>
              </w:rPr>
              <w:t>Often a multipage document containing many exclusions and exemptions.</w:t>
            </w:r>
          </w:p>
        </w:tc>
      </w:tr>
      <w:tr w:rsidR="0099467B" w:rsidRPr="007B613B" w14:paraId="53734135" w14:textId="77777777" w:rsidTr="00A34540">
        <w:tc>
          <w:tcPr>
            <w:tcW w:w="631" w:type="pct"/>
            <w:tcBorders>
              <w:top w:val="single" w:sz="12" w:space="0" w:color="auto"/>
              <w:left w:val="single" w:sz="12" w:space="0" w:color="auto"/>
              <w:bottom w:val="single" w:sz="12" w:space="0" w:color="auto"/>
              <w:right w:val="single" w:sz="12" w:space="0" w:color="auto"/>
            </w:tcBorders>
          </w:tcPr>
          <w:p w14:paraId="3DC0E60D" w14:textId="77777777" w:rsidR="0099467B" w:rsidRPr="00F44499" w:rsidRDefault="0099467B" w:rsidP="00932BB7">
            <w:pPr>
              <w:rPr>
                <w:color w:val="000000"/>
              </w:rPr>
            </w:pPr>
            <w:r w:rsidRPr="00F44499">
              <w:rPr>
                <w:color w:val="000000"/>
              </w:rPr>
              <w:t>Benefactor</w:t>
            </w:r>
          </w:p>
        </w:tc>
        <w:tc>
          <w:tcPr>
            <w:tcW w:w="2657" w:type="pct"/>
            <w:tcBorders>
              <w:top w:val="single" w:sz="12" w:space="0" w:color="auto"/>
              <w:left w:val="single" w:sz="12" w:space="0" w:color="auto"/>
              <w:bottom w:val="single" w:sz="12" w:space="0" w:color="auto"/>
              <w:right w:val="single" w:sz="12" w:space="0" w:color="auto"/>
            </w:tcBorders>
            <w:hideMark/>
          </w:tcPr>
          <w:p w14:paraId="2C466607" w14:textId="77777777" w:rsidR="0099467B" w:rsidRPr="00F44499" w:rsidRDefault="0099467B" w:rsidP="00932BB7">
            <w:pPr>
              <w:rPr>
                <w:color w:val="000000"/>
              </w:rPr>
            </w:pPr>
            <w:r w:rsidRPr="00F44499">
              <w:rPr>
                <w:color w:val="000000"/>
              </w:rPr>
              <w:t xml:space="preserve">Written in favor of the entity based on statute requirements </w:t>
            </w:r>
          </w:p>
        </w:tc>
        <w:tc>
          <w:tcPr>
            <w:tcW w:w="1711" w:type="pct"/>
            <w:tcBorders>
              <w:top w:val="single" w:sz="12" w:space="0" w:color="auto"/>
              <w:left w:val="single" w:sz="12" w:space="0" w:color="auto"/>
              <w:bottom w:val="single" w:sz="12" w:space="0" w:color="auto"/>
              <w:right w:val="single" w:sz="12" w:space="0" w:color="auto"/>
            </w:tcBorders>
            <w:hideMark/>
          </w:tcPr>
          <w:p w14:paraId="23C4E433" w14:textId="77777777" w:rsidR="0099467B" w:rsidRPr="00F44499" w:rsidRDefault="0099467B" w:rsidP="00932BB7">
            <w:pPr>
              <w:rPr>
                <w:color w:val="000000"/>
              </w:rPr>
            </w:pPr>
            <w:r w:rsidRPr="00F44499">
              <w:rPr>
                <w:color w:val="000000"/>
              </w:rPr>
              <w:t>Typically, written in favor of the insurance company.</w:t>
            </w:r>
          </w:p>
        </w:tc>
      </w:tr>
      <w:tr w:rsidR="0099467B" w:rsidRPr="007B613B" w14:paraId="047DB7F2" w14:textId="77777777" w:rsidTr="00A34540">
        <w:tc>
          <w:tcPr>
            <w:tcW w:w="631" w:type="pct"/>
            <w:tcBorders>
              <w:top w:val="single" w:sz="12" w:space="0" w:color="auto"/>
              <w:left w:val="single" w:sz="12" w:space="0" w:color="auto"/>
              <w:bottom w:val="single" w:sz="12" w:space="0" w:color="auto"/>
              <w:right w:val="single" w:sz="12" w:space="0" w:color="auto"/>
            </w:tcBorders>
          </w:tcPr>
          <w:p w14:paraId="07996F71" w14:textId="77777777" w:rsidR="0099467B" w:rsidRPr="00F44499" w:rsidRDefault="0099467B" w:rsidP="00932BB7">
            <w:pPr>
              <w:rPr>
                <w:color w:val="000000"/>
              </w:rPr>
            </w:pPr>
            <w:r w:rsidRPr="00F44499">
              <w:rPr>
                <w:color w:val="000000"/>
              </w:rPr>
              <w:t>Dollar Amount of Coverage</w:t>
            </w:r>
          </w:p>
        </w:tc>
        <w:tc>
          <w:tcPr>
            <w:tcW w:w="2657" w:type="pct"/>
            <w:tcBorders>
              <w:top w:val="single" w:sz="12" w:space="0" w:color="auto"/>
              <w:left w:val="single" w:sz="12" w:space="0" w:color="auto"/>
              <w:bottom w:val="single" w:sz="12" w:space="0" w:color="auto"/>
              <w:right w:val="single" w:sz="12" w:space="0" w:color="auto"/>
            </w:tcBorders>
            <w:hideMark/>
          </w:tcPr>
          <w:p w14:paraId="2454E5B8" w14:textId="77777777" w:rsidR="0099467B" w:rsidRPr="00F44499" w:rsidRDefault="0099467B" w:rsidP="00932BB7">
            <w:pPr>
              <w:rPr>
                <w:color w:val="000000"/>
              </w:rPr>
            </w:pPr>
            <w:r w:rsidRPr="00F44499">
              <w:rPr>
                <w:color w:val="000000"/>
              </w:rPr>
              <w:t>Bond amounts vary depending on the applicable statutory requirements for the position. For some officials, this is a specific amount as stated in the law. For other officials the amount is based on the amount of local revenues or on population. And for some, the amount of the bond is determined by the legislative body or presiding judge.</w:t>
            </w:r>
          </w:p>
        </w:tc>
        <w:tc>
          <w:tcPr>
            <w:tcW w:w="1711" w:type="pct"/>
            <w:tcBorders>
              <w:top w:val="single" w:sz="12" w:space="0" w:color="auto"/>
              <w:left w:val="single" w:sz="12" w:space="0" w:color="auto"/>
              <w:bottom w:val="single" w:sz="12" w:space="0" w:color="auto"/>
              <w:right w:val="single" w:sz="12" w:space="0" w:color="auto"/>
            </w:tcBorders>
            <w:hideMark/>
          </w:tcPr>
          <w:p w14:paraId="67FD8900" w14:textId="77777777" w:rsidR="0099467B" w:rsidRPr="00F44499" w:rsidRDefault="0099467B" w:rsidP="00932BB7">
            <w:pPr>
              <w:rPr>
                <w:color w:val="000000"/>
              </w:rPr>
            </w:pPr>
            <w:proofErr w:type="gramStart"/>
            <w:r w:rsidRPr="00F44499">
              <w:rPr>
                <w:color w:val="000000"/>
              </w:rPr>
              <w:t>Can</w:t>
            </w:r>
            <w:proofErr w:type="gramEnd"/>
            <w:r w:rsidRPr="00F44499">
              <w:rPr>
                <w:color w:val="000000"/>
              </w:rPr>
              <w:t xml:space="preserve"> vary significantly.</w:t>
            </w:r>
          </w:p>
        </w:tc>
      </w:tr>
      <w:tr w:rsidR="00932BB7" w:rsidRPr="007B613B" w14:paraId="70A551D6" w14:textId="77777777" w:rsidTr="00A34540">
        <w:tc>
          <w:tcPr>
            <w:tcW w:w="631" w:type="pct"/>
            <w:vMerge w:val="restart"/>
            <w:tcBorders>
              <w:top w:val="single" w:sz="12" w:space="0" w:color="auto"/>
              <w:left w:val="single" w:sz="12" w:space="0" w:color="auto"/>
              <w:right w:val="single" w:sz="12" w:space="0" w:color="auto"/>
            </w:tcBorders>
          </w:tcPr>
          <w:p w14:paraId="66066473" w14:textId="77777777" w:rsidR="00932BB7" w:rsidRPr="00F44499" w:rsidRDefault="00932BB7" w:rsidP="00932BB7">
            <w:pPr>
              <w:rPr>
                <w:color w:val="000000"/>
              </w:rPr>
            </w:pPr>
            <w:r w:rsidRPr="00F44499">
              <w:rPr>
                <w:color w:val="000000"/>
              </w:rPr>
              <w:t>Third Party involvement</w:t>
            </w:r>
          </w:p>
        </w:tc>
        <w:tc>
          <w:tcPr>
            <w:tcW w:w="2657" w:type="pct"/>
            <w:tcBorders>
              <w:top w:val="single" w:sz="12" w:space="0" w:color="auto"/>
              <w:left w:val="single" w:sz="12" w:space="0" w:color="auto"/>
              <w:bottom w:val="single" w:sz="8" w:space="0" w:color="auto"/>
              <w:right w:val="single" w:sz="12" w:space="0" w:color="auto"/>
            </w:tcBorders>
            <w:hideMark/>
          </w:tcPr>
          <w:p w14:paraId="1E48900F" w14:textId="77777777" w:rsidR="00932BB7" w:rsidRPr="00F44499" w:rsidRDefault="00932BB7" w:rsidP="00932BB7">
            <w:pPr>
              <w:rPr>
                <w:color w:val="000000"/>
              </w:rPr>
            </w:pPr>
            <w:r w:rsidRPr="00F44499">
              <w:rPr>
                <w:color w:val="000000"/>
              </w:rPr>
              <w:t xml:space="preserve">Official bonds allow any injured party to recover on the bond. </w:t>
            </w:r>
          </w:p>
        </w:tc>
        <w:tc>
          <w:tcPr>
            <w:tcW w:w="1711" w:type="pct"/>
            <w:vMerge w:val="restart"/>
            <w:tcBorders>
              <w:top w:val="single" w:sz="12" w:space="0" w:color="auto"/>
              <w:left w:val="single" w:sz="12" w:space="0" w:color="auto"/>
              <w:bottom w:val="single" w:sz="8" w:space="0" w:color="000000"/>
              <w:right w:val="single" w:sz="12" w:space="0" w:color="auto"/>
            </w:tcBorders>
            <w:hideMark/>
          </w:tcPr>
          <w:p w14:paraId="60CB41B9" w14:textId="77777777" w:rsidR="00932BB7" w:rsidRPr="00F44499" w:rsidRDefault="00932BB7" w:rsidP="00932BB7">
            <w:pPr>
              <w:rPr>
                <w:color w:val="000000"/>
              </w:rPr>
            </w:pPr>
            <w:r w:rsidRPr="00F44499">
              <w:rPr>
                <w:color w:val="000000"/>
              </w:rPr>
              <w:t xml:space="preserve">Third party may not bring suit. </w:t>
            </w:r>
            <w:proofErr w:type="gramStart"/>
            <w:r w:rsidRPr="00F44499">
              <w:rPr>
                <w:color w:val="000000"/>
              </w:rPr>
              <w:t>Policy</w:t>
            </w:r>
            <w:proofErr w:type="gramEnd"/>
            <w:r w:rsidRPr="00F44499">
              <w:rPr>
                <w:color w:val="000000"/>
              </w:rPr>
              <w:t xml:space="preserve"> </w:t>
            </w:r>
            <w:proofErr w:type="gramStart"/>
            <w:r w:rsidRPr="00F44499">
              <w:rPr>
                <w:color w:val="000000"/>
              </w:rPr>
              <w:t>usually written to</w:t>
            </w:r>
            <w:proofErr w:type="gramEnd"/>
            <w:r w:rsidRPr="00F44499">
              <w:rPr>
                <w:color w:val="000000"/>
              </w:rPr>
              <w:t xml:space="preserve"> only allow recovery for the insured. That is, the policy is written for the sole benefit of the insured, the governmental entity.</w:t>
            </w:r>
          </w:p>
        </w:tc>
      </w:tr>
      <w:tr w:rsidR="00932BB7" w:rsidRPr="007B613B" w14:paraId="50A731CD" w14:textId="77777777" w:rsidTr="00A34540">
        <w:tc>
          <w:tcPr>
            <w:tcW w:w="631" w:type="pct"/>
            <w:vMerge/>
            <w:tcBorders>
              <w:left w:val="single" w:sz="12" w:space="0" w:color="auto"/>
              <w:bottom w:val="single" w:sz="12" w:space="0" w:color="auto"/>
              <w:right w:val="single" w:sz="12" w:space="0" w:color="auto"/>
            </w:tcBorders>
          </w:tcPr>
          <w:p w14:paraId="114173B5" w14:textId="77777777" w:rsidR="00932BB7" w:rsidRPr="00F44499" w:rsidRDefault="00932BB7" w:rsidP="00932BB7">
            <w:pPr>
              <w:rPr>
                <w:color w:val="000000"/>
              </w:rPr>
            </w:pPr>
          </w:p>
        </w:tc>
        <w:tc>
          <w:tcPr>
            <w:tcW w:w="2657" w:type="pct"/>
            <w:tcBorders>
              <w:top w:val="single" w:sz="8" w:space="0" w:color="auto"/>
              <w:left w:val="single" w:sz="12" w:space="0" w:color="auto"/>
              <w:bottom w:val="single" w:sz="12" w:space="0" w:color="auto"/>
              <w:right w:val="single" w:sz="12" w:space="0" w:color="auto"/>
            </w:tcBorders>
            <w:hideMark/>
          </w:tcPr>
          <w:p w14:paraId="1700AF10" w14:textId="77777777" w:rsidR="00932BB7" w:rsidRPr="00F44499" w:rsidRDefault="00932BB7" w:rsidP="00932BB7">
            <w:pPr>
              <w:rPr>
                <w:color w:val="000000"/>
              </w:rPr>
            </w:pPr>
            <w:r w:rsidRPr="00F44499">
              <w:rPr>
                <w:color w:val="000000"/>
              </w:rPr>
              <w:t>Official bonds are not issued for the protection of the official himself, but rather to protect the government or the public from any injuries caused by the public official while in office.</w:t>
            </w:r>
          </w:p>
        </w:tc>
        <w:tc>
          <w:tcPr>
            <w:tcW w:w="1711" w:type="pct"/>
            <w:vMerge/>
            <w:tcBorders>
              <w:top w:val="nil"/>
              <w:left w:val="single" w:sz="12" w:space="0" w:color="auto"/>
              <w:bottom w:val="single" w:sz="12" w:space="0" w:color="auto"/>
              <w:right w:val="single" w:sz="12" w:space="0" w:color="auto"/>
            </w:tcBorders>
            <w:hideMark/>
          </w:tcPr>
          <w:p w14:paraId="1048B728" w14:textId="77777777" w:rsidR="00932BB7" w:rsidRPr="00F44499" w:rsidRDefault="00932BB7" w:rsidP="00932BB7">
            <w:pPr>
              <w:rPr>
                <w:color w:val="000000"/>
              </w:rPr>
            </w:pPr>
          </w:p>
        </w:tc>
      </w:tr>
      <w:tr w:rsidR="00826BBE" w:rsidRPr="007B613B" w14:paraId="3561B2F3" w14:textId="77777777" w:rsidTr="00A34540">
        <w:tc>
          <w:tcPr>
            <w:tcW w:w="631" w:type="pct"/>
            <w:vMerge w:val="restart"/>
            <w:tcBorders>
              <w:top w:val="nil"/>
              <w:left w:val="single" w:sz="12" w:space="0" w:color="auto"/>
              <w:right w:val="single" w:sz="12" w:space="0" w:color="auto"/>
            </w:tcBorders>
          </w:tcPr>
          <w:p w14:paraId="392E6F1F" w14:textId="77777777" w:rsidR="00932BB7" w:rsidRPr="00F44499" w:rsidRDefault="00932BB7" w:rsidP="00932BB7">
            <w:pPr>
              <w:rPr>
                <w:color w:val="000000"/>
              </w:rPr>
            </w:pPr>
            <w:r w:rsidRPr="00F44499">
              <w:rPr>
                <w:color w:val="000000"/>
              </w:rPr>
              <w:t>Coverage</w:t>
            </w:r>
          </w:p>
        </w:tc>
        <w:tc>
          <w:tcPr>
            <w:tcW w:w="2657" w:type="pct"/>
            <w:tcBorders>
              <w:top w:val="single" w:sz="12" w:space="0" w:color="auto"/>
              <w:left w:val="single" w:sz="12" w:space="0" w:color="auto"/>
              <w:bottom w:val="single" w:sz="8" w:space="0" w:color="000000"/>
              <w:right w:val="single" w:sz="12" w:space="0" w:color="auto"/>
            </w:tcBorders>
            <w:hideMark/>
          </w:tcPr>
          <w:p w14:paraId="4569D672" w14:textId="77777777" w:rsidR="00932BB7" w:rsidRPr="00F44499" w:rsidRDefault="00932BB7" w:rsidP="00932BB7">
            <w:pPr>
              <w:rPr>
                <w:color w:val="000000"/>
              </w:rPr>
            </w:pPr>
            <w:r w:rsidRPr="00F44499">
              <w:rPr>
                <w:color w:val="000000"/>
              </w:rPr>
              <w:t>The statutes generally contain two basic obligations: (1) that the official faithfully discharge or perform the duties of the office; and (2) that the official truly account for and turn over public money, property, and records entrusted to the official by the duties of office.</w:t>
            </w:r>
          </w:p>
        </w:tc>
        <w:tc>
          <w:tcPr>
            <w:tcW w:w="1711" w:type="pct"/>
            <w:vMerge w:val="restart"/>
            <w:tcBorders>
              <w:top w:val="nil"/>
              <w:left w:val="single" w:sz="12" w:space="0" w:color="auto"/>
              <w:bottom w:val="single" w:sz="12" w:space="0" w:color="auto"/>
              <w:right w:val="single" w:sz="12" w:space="0" w:color="auto"/>
            </w:tcBorders>
            <w:hideMark/>
          </w:tcPr>
          <w:p w14:paraId="0854B99F" w14:textId="77777777" w:rsidR="00932BB7" w:rsidRPr="00F44499" w:rsidRDefault="00932BB7" w:rsidP="00932BB7">
            <w:pPr>
              <w:rPr>
                <w:color w:val="000000"/>
              </w:rPr>
            </w:pPr>
            <w:r w:rsidRPr="00F44499">
              <w:rPr>
                <w:color w:val="000000"/>
              </w:rPr>
              <w:t>In theory, insurance could cover everything that the bond covers.</w:t>
            </w:r>
          </w:p>
        </w:tc>
      </w:tr>
      <w:tr w:rsidR="00932BB7" w:rsidRPr="007B613B" w14:paraId="30134421" w14:textId="77777777" w:rsidTr="00A34540">
        <w:tc>
          <w:tcPr>
            <w:tcW w:w="631" w:type="pct"/>
            <w:vMerge/>
            <w:tcBorders>
              <w:left w:val="single" w:sz="12" w:space="0" w:color="auto"/>
              <w:right w:val="single" w:sz="12" w:space="0" w:color="auto"/>
            </w:tcBorders>
          </w:tcPr>
          <w:p w14:paraId="001AD1DF" w14:textId="77777777" w:rsidR="00932BB7" w:rsidRPr="007B613B" w:rsidRDefault="00932BB7" w:rsidP="00932BB7">
            <w:pPr>
              <w:rPr>
                <w:color w:val="000000"/>
                <w:sz w:val="18"/>
              </w:rPr>
            </w:pPr>
          </w:p>
        </w:tc>
        <w:tc>
          <w:tcPr>
            <w:tcW w:w="2657" w:type="pct"/>
            <w:tcBorders>
              <w:top w:val="single" w:sz="8" w:space="0" w:color="000000"/>
              <w:left w:val="single" w:sz="12" w:space="0" w:color="auto"/>
              <w:bottom w:val="single" w:sz="8" w:space="0" w:color="000000"/>
              <w:right w:val="single" w:sz="12" w:space="0" w:color="auto"/>
            </w:tcBorders>
            <w:hideMark/>
          </w:tcPr>
          <w:p w14:paraId="1FF21754" w14:textId="77777777" w:rsidR="00932BB7" w:rsidRPr="00F44499" w:rsidRDefault="00932BB7" w:rsidP="00932BB7">
            <w:pPr>
              <w:rPr>
                <w:color w:val="000000"/>
              </w:rPr>
            </w:pPr>
            <w:r w:rsidRPr="00F44499">
              <w:rPr>
                <w:color w:val="000000"/>
              </w:rPr>
              <w:t>The public official bond covers the failure of the bonded official to carry out either one of these duties with the motives of the official being irrelevant.</w:t>
            </w:r>
          </w:p>
        </w:tc>
        <w:tc>
          <w:tcPr>
            <w:tcW w:w="1711" w:type="pct"/>
            <w:vMerge/>
            <w:tcBorders>
              <w:top w:val="single" w:sz="8" w:space="0" w:color="000000"/>
              <w:left w:val="single" w:sz="12" w:space="0" w:color="auto"/>
              <w:bottom w:val="single" w:sz="12" w:space="0" w:color="auto"/>
              <w:right w:val="single" w:sz="12" w:space="0" w:color="auto"/>
            </w:tcBorders>
            <w:hideMark/>
          </w:tcPr>
          <w:p w14:paraId="2575B7A7" w14:textId="77777777" w:rsidR="00932BB7" w:rsidRPr="007B613B" w:rsidRDefault="00932BB7" w:rsidP="00932BB7">
            <w:pPr>
              <w:rPr>
                <w:color w:val="000000"/>
                <w:sz w:val="18"/>
              </w:rPr>
            </w:pPr>
          </w:p>
        </w:tc>
      </w:tr>
      <w:tr w:rsidR="00932BB7" w:rsidRPr="007B613B" w14:paraId="772FB692" w14:textId="77777777" w:rsidTr="00A34540">
        <w:tc>
          <w:tcPr>
            <w:tcW w:w="631" w:type="pct"/>
            <w:vMerge/>
            <w:tcBorders>
              <w:left w:val="single" w:sz="12" w:space="0" w:color="auto"/>
              <w:bottom w:val="single" w:sz="12" w:space="0" w:color="auto"/>
              <w:right w:val="single" w:sz="12" w:space="0" w:color="auto"/>
            </w:tcBorders>
          </w:tcPr>
          <w:p w14:paraId="6E29843F" w14:textId="77777777" w:rsidR="00932BB7" w:rsidRPr="007B613B" w:rsidRDefault="00932BB7" w:rsidP="00932BB7">
            <w:pPr>
              <w:rPr>
                <w:color w:val="000000"/>
                <w:sz w:val="18"/>
              </w:rPr>
            </w:pPr>
          </w:p>
        </w:tc>
        <w:tc>
          <w:tcPr>
            <w:tcW w:w="2657" w:type="pct"/>
            <w:tcBorders>
              <w:top w:val="single" w:sz="8" w:space="0" w:color="000000"/>
              <w:left w:val="single" w:sz="12" w:space="0" w:color="auto"/>
              <w:bottom w:val="single" w:sz="12" w:space="0" w:color="auto"/>
              <w:right w:val="single" w:sz="12" w:space="0" w:color="auto"/>
            </w:tcBorders>
            <w:hideMark/>
          </w:tcPr>
          <w:p w14:paraId="49C3520F" w14:textId="77777777" w:rsidR="00932BB7" w:rsidRPr="00F44499" w:rsidRDefault="00932BB7" w:rsidP="00932BB7">
            <w:pPr>
              <w:rPr>
                <w:color w:val="000000"/>
              </w:rPr>
            </w:pPr>
            <w:r w:rsidRPr="00F44499">
              <w:rPr>
                <w:color w:val="000000"/>
              </w:rPr>
              <w:t xml:space="preserve">A breach of the bond can occur as the result of the failure to act, negligence of the principal, or intentional conduct, i.e., nonfeasance, misfeasance, and malfeasance. In essence, the failure to faithfully discharge one's duties may be attributed to either failing to take </w:t>
            </w:r>
            <w:proofErr w:type="gramStart"/>
            <w:r w:rsidRPr="00F44499">
              <w:rPr>
                <w:color w:val="000000"/>
              </w:rPr>
              <w:t>a required</w:t>
            </w:r>
            <w:proofErr w:type="gramEnd"/>
            <w:r w:rsidRPr="00F44499">
              <w:rPr>
                <w:color w:val="000000"/>
              </w:rPr>
              <w:t xml:space="preserve"> act or failing to refrain from doing something which by its nature should not have been done. Provided that loss occurs to one entitled to recover on a bond, all liability on a public official bond is absolute and is predicated on breach of duty.</w:t>
            </w:r>
          </w:p>
        </w:tc>
        <w:tc>
          <w:tcPr>
            <w:tcW w:w="1711" w:type="pct"/>
            <w:vMerge/>
            <w:tcBorders>
              <w:top w:val="single" w:sz="8" w:space="0" w:color="000000"/>
              <w:left w:val="single" w:sz="12" w:space="0" w:color="auto"/>
              <w:bottom w:val="single" w:sz="12" w:space="0" w:color="auto"/>
              <w:right w:val="single" w:sz="12" w:space="0" w:color="auto"/>
            </w:tcBorders>
            <w:hideMark/>
          </w:tcPr>
          <w:p w14:paraId="652FD5F3" w14:textId="77777777" w:rsidR="00932BB7" w:rsidRPr="007B613B" w:rsidRDefault="00932BB7" w:rsidP="00932BB7">
            <w:pPr>
              <w:rPr>
                <w:color w:val="000000"/>
                <w:sz w:val="18"/>
              </w:rPr>
            </w:pPr>
          </w:p>
        </w:tc>
      </w:tr>
    </w:tbl>
    <w:p w14:paraId="7C7C036F" w14:textId="301FCD23" w:rsidR="00E6141B" w:rsidRDefault="00E6141B"/>
    <w:p w14:paraId="31B7695C" w14:textId="4197FA6B" w:rsidR="0027440D" w:rsidRDefault="0027440D">
      <w:r>
        <w:br w:type="page"/>
      </w:r>
    </w:p>
    <w:tbl>
      <w:tblPr>
        <w:tblW w:w="5000" w:type="pct"/>
        <w:tblInd w:w="15" w:type="dxa"/>
        <w:tblLayout w:type="fixed"/>
        <w:tblCellMar>
          <w:left w:w="0" w:type="dxa"/>
          <w:right w:w="0" w:type="dxa"/>
        </w:tblCellMar>
        <w:tblLook w:val="04A0" w:firstRow="1" w:lastRow="0" w:firstColumn="1" w:lastColumn="0" w:noHBand="0" w:noVBand="1"/>
      </w:tblPr>
      <w:tblGrid>
        <w:gridCol w:w="2047"/>
        <w:gridCol w:w="1246"/>
        <w:gridCol w:w="3647"/>
        <w:gridCol w:w="2966"/>
      </w:tblGrid>
      <w:tr w:rsidR="00E6141B" w:rsidRPr="007B613B" w14:paraId="634CC460" w14:textId="77777777" w:rsidTr="31335BFF">
        <w:trPr>
          <w:trHeight w:val="480"/>
        </w:trPr>
        <w:tc>
          <w:tcPr>
            <w:tcW w:w="5000" w:type="pct"/>
            <w:gridSpan w:val="4"/>
            <w:tcBorders>
              <w:top w:val="single" w:sz="12" w:space="0" w:color="auto"/>
              <w:left w:val="single" w:sz="12" w:space="0" w:color="auto"/>
              <w:bottom w:val="single" w:sz="12" w:space="0" w:color="auto"/>
              <w:right w:val="single" w:sz="12" w:space="0" w:color="auto"/>
            </w:tcBorders>
            <w:shd w:val="clear" w:color="auto" w:fill="4F81BD" w:themeFill="accent1"/>
            <w:vAlign w:val="center"/>
            <w:hideMark/>
          </w:tcPr>
          <w:p w14:paraId="3C9CB807" w14:textId="2977AD7D" w:rsidR="00E6141B" w:rsidRPr="00F44499" w:rsidRDefault="001E3E45" w:rsidP="00E6141B">
            <w:pPr>
              <w:jc w:val="center"/>
              <w:rPr>
                <w:b/>
                <w:bCs/>
                <w:color w:val="FFFFFF"/>
                <w:sz w:val="24"/>
                <w:szCs w:val="24"/>
              </w:rPr>
            </w:pPr>
            <w:r w:rsidRPr="00F44499">
              <w:rPr>
                <w:b/>
                <w:bCs/>
                <w:color w:val="FFFFFF"/>
                <w:sz w:val="24"/>
                <w:szCs w:val="24"/>
              </w:rPr>
              <w:t xml:space="preserve">Table 1: </w:t>
            </w:r>
            <w:r w:rsidR="00E6141B" w:rsidRPr="00F44499">
              <w:rPr>
                <w:b/>
                <w:bCs/>
                <w:color w:val="FFFFFF"/>
                <w:sz w:val="24"/>
                <w:szCs w:val="24"/>
              </w:rPr>
              <w:t>Required by statute to give bond (min specified)</w:t>
            </w:r>
          </w:p>
        </w:tc>
      </w:tr>
      <w:tr w:rsidR="00932BB7" w:rsidRPr="007B613B" w14:paraId="0FC91640" w14:textId="77777777" w:rsidTr="31335BFF">
        <w:trPr>
          <w:trHeight w:val="288"/>
        </w:trPr>
        <w:tc>
          <w:tcPr>
            <w:tcW w:w="1033" w:type="pct"/>
            <w:tcBorders>
              <w:top w:val="single" w:sz="12" w:space="0" w:color="auto"/>
              <w:left w:val="single" w:sz="12" w:space="0" w:color="auto"/>
              <w:bottom w:val="single" w:sz="12" w:space="0" w:color="auto"/>
              <w:right w:val="single" w:sz="4" w:space="0" w:color="auto"/>
            </w:tcBorders>
            <w:shd w:val="clear" w:color="auto" w:fill="4F81BD" w:themeFill="accent1"/>
            <w:vAlign w:val="bottom"/>
            <w:hideMark/>
          </w:tcPr>
          <w:p w14:paraId="13167CEE" w14:textId="77777777" w:rsidR="00E6141B" w:rsidRPr="00F44499" w:rsidRDefault="00E6141B" w:rsidP="00F44499">
            <w:pPr>
              <w:jc w:val="center"/>
              <w:rPr>
                <w:b/>
                <w:bCs/>
                <w:color w:val="FFFFFF"/>
              </w:rPr>
            </w:pPr>
            <w:r w:rsidRPr="00F44499">
              <w:rPr>
                <w:b/>
                <w:bCs/>
                <w:color w:val="FFFFFF"/>
              </w:rPr>
              <w:t>Entity Type</w:t>
            </w:r>
          </w:p>
        </w:tc>
        <w:tc>
          <w:tcPr>
            <w:tcW w:w="629" w:type="pct"/>
            <w:tcBorders>
              <w:top w:val="single" w:sz="12" w:space="0" w:color="auto"/>
              <w:left w:val="single" w:sz="4" w:space="0" w:color="auto"/>
              <w:bottom w:val="single" w:sz="12" w:space="0" w:color="auto"/>
              <w:right w:val="single" w:sz="4" w:space="0" w:color="auto"/>
            </w:tcBorders>
            <w:shd w:val="clear" w:color="auto" w:fill="4F81BD" w:themeFill="accent1"/>
            <w:vAlign w:val="bottom"/>
            <w:hideMark/>
          </w:tcPr>
          <w:p w14:paraId="60C37912" w14:textId="77777777" w:rsidR="00E6141B" w:rsidRPr="00F44499" w:rsidRDefault="00E6141B" w:rsidP="00F44499">
            <w:pPr>
              <w:jc w:val="center"/>
              <w:rPr>
                <w:b/>
                <w:bCs/>
                <w:color w:val="FFFFFF"/>
              </w:rPr>
            </w:pPr>
            <w:r w:rsidRPr="00F44499">
              <w:rPr>
                <w:b/>
                <w:bCs/>
                <w:color w:val="FFFFFF"/>
              </w:rPr>
              <w:t>ORC</w:t>
            </w:r>
          </w:p>
        </w:tc>
        <w:tc>
          <w:tcPr>
            <w:tcW w:w="1841" w:type="pct"/>
            <w:tcBorders>
              <w:top w:val="single" w:sz="12" w:space="0" w:color="auto"/>
              <w:left w:val="single" w:sz="4" w:space="0" w:color="auto"/>
              <w:bottom w:val="single" w:sz="12" w:space="0" w:color="auto"/>
              <w:right w:val="single" w:sz="4" w:space="0" w:color="auto"/>
            </w:tcBorders>
            <w:shd w:val="clear" w:color="auto" w:fill="4F81BD" w:themeFill="accent1"/>
            <w:vAlign w:val="bottom"/>
            <w:hideMark/>
          </w:tcPr>
          <w:p w14:paraId="460893BC" w14:textId="77777777" w:rsidR="00E6141B" w:rsidRPr="00F44499" w:rsidRDefault="00E6141B" w:rsidP="00F44499">
            <w:pPr>
              <w:jc w:val="center"/>
              <w:rPr>
                <w:b/>
                <w:bCs/>
                <w:color w:val="FFFFFF"/>
              </w:rPr>
            </w:pPr>
            <w:r w:rsidRPr="00F44499">
              <w:rPr>
                <w:b/>
                <w:bCs/>
                <w:color w:val="FFFFFF"/>
              </w:rPr>
              <w:t>Employee/officer Position</w:t>
            </w:r>
          </w:p>
        </w:tc>
        <w:tc>
          <w:tcPr>
            <w:tcW w:w="1497" w:type="pct"/>
            <w:tcBorders>
              <w:top w:val="single" w:sz="12" w:space="0" w:color="auto"/>
              <w:left w:val="single" w:sz="4" w:space="0" w:color="auto"/>
              <w:bottom w:val="single" w:sz="12" w:space="0" w:color="auto"/>
              <w:right w:val="single" w:sz="12" w:space="0" w:color="auto"/>
            </w:tcBorders>
            <w:shd w:val="clear" w:color="auto" w:fill="4F81BD" w:themeFill="accent1"/>
            <w:vAlign w:val="bottom"/>
            <w:hideMark/>
          </w:tcPr>
          <w:p w14:paraId="52187839" w14:textId="77777777" w:rsidR="00E6141B" w:rsidRPr="00F44499" w:rsidRDefault="00E6141B" w:rsidP="00F44499">
            <w:pPr>
              <w:jc w:val="center"/>
              <w:rPr>
                <w:b/>
                <w:bCs/>
                <w:color w:val="FFFFFF"/>
              </w:rPr>
            </w:pPr>
            <w:r w:rsidRPr="00F44499">
              <w:rPr>
                <w:b/>
                <w:bCs/>
                <w:color w:val="FFFFFF"/>
              </w:rPr>
              <w:t>Minimum amount of bond*</w:t>
            </w:r>
          </w:p>
        </w:tc>
      </w:tr>
      <w:tr w:rsidR="00932BB7" w:rsidRPr="007B613B" w14:paraId="48103786" w14:textId="77777777" w:rsidTr="31335BFF">
        <w:trPr>
          <w:trHeight w:val="315"/>
        </w:trPr>
        <w:tc>
          <w:tcPr>
            <w:tcW w:w="1033" w:type="pct"/>
            <w:tcBorders>
              <w:top w:val="single" w:sz="12" w:space="0" w:color="auto"/>
              <w:left w:val="single" w:sz="12" w:space="0" w:color="auto"/>
              <w:bottom w:val="single" w:sz="12" w:space="0" w:color="auto"/>
              <w:right w:val="nil"/>
            </w:tcBorders>
            <w:noWrap/>
            <w:hideMark/>
          </w:tcPr>
          <w:p w14:paraId="30674C2C" w14:textId="77777777" w:rsidR="00E6141B" w:rsidRPr="007B613B" w:rsidRDefault="00E6141B" w:rsidP="00A46923">
            <w:pPr>
              <w:rPr>
                <w:color w:val="000000"/>
              </w:rPr>
            </w:pPr>
            <w:r w:rsidRPr="007B613B">
              <w:rPr>
                <w:color w:val="000000"/>
              </w:rPr>
              <w:t>Union cemetery districts</w:t>
            </w:r>
          </w:p>
        </w:tc>
        <w:tc>
          <w:tcPr>
            <w:tcW w:w="629" w:type="pct"/>
            <w:tcBorders>
              <w:top w:val="single" w:sz="12" w:space="0" w:color="auto"/>
              <w:left w:val="single" w:sz="4" w:space="0" w:color="auto"/>
              <w:bottom w:val="single" w:sz="12" w:space="0" w:color="auto"/>
              <w:right w:val="single" w:sz="4" w:space="0" w:color="auto"/>
            </w:tcBorders>
            <w:noWrap/>
            <w:hideMark/>
          </w:tcPr>
          <w:p w14:paraId="05E2134C" w14:textId="00FFAFB7" w:rsidR="00E6141B" w:rsidRPr="007B613B" w:rsidRDefault="00E6141B" w:rsidP="00A46923">
            <w:pPr>
              <w:rPr>
                <w:color w:val="0000FF"/>
                <w:u w:val="single"/>
              </w:rPr>
            </w:pPr>
            <w:hyperlink r:id="rId50" w:history="1">
              <w:r w:rsidRPr="007B613B">
                <w:rPr>
                  <w:rStyle w:val="Hyperlink"/>
                </w:rPr>
                <w:t>759.36</w:t>
              </w:r>
            </w:hyperlink>
          </w:p>
        </w:tc>
        <w:tc>
          <w:tcPr>
            <w:tcW w:w="1841" w:type="pct"/>
            <w:tcBorders>
              <w:top w:val="single" w:sz="12" w:space="0" w:color="auto"/>
              <w:left w:val="nil"/>
              <w:bottom w:val="single" w:sz="12" w:space="0" w:color="auto"/>
              <w:right w:val="single" w:sz="4" w:space="0" w:color="auto"/>
            </w:tcBorders>
            <w:noWrap/>
            <w:hideMark/>
          </w:tcPr>
          <w:p w14:paraId="4D0AFFE2" w14:textId="77777777" w:rsidR="00E6141B" w:rsidRPr="007B613B" w:rsidRDefault="00E6141B" w:rsidP="00A46923">
            <w:r w:rsidRPr="007B613B">
              <w:t>Clerk-Treasurer</w:t>
            </w:r>
          </w:p>
        </w:tc>
        <w:tc>
          <w:tcPr>
            <w:tcW w:w="1497" w:type="pct"/>
            <w:tcBorders>
              <w:top w:val="single" w:sz="12" w:space="0" w:color="auto"/>
              <w:left w:val="nil"/>
              <w:bottom w:val="single" w:sz="12" w:space="0" w:color="auto"/>
              <w:right w:val="single" w:sz="12" w:space="0" w:color="auto"/>
            </w:tcBorders>
            <w:noWrap/>
            <w:vAlign w:val="center"/>
            <w:hideMark/>
          </w:tcPr>
          <w:p w14:paraId="3A076090" w14:textId="77777777" w:rsidR="00E6141B" w:rsidRPr="007B613B" w:rsidRDefault="00E6141B" w:rsidP="00E6141B">
            <w:r w:rsidRPr="007B613B">
              <w:t>greater of - "amount in fund" or $1,000</w:t>
            </w:r>
          </w:p>
        </w:tc>
      </w:tr>
      <w:tr w:rsidR="00932BB7" w:rsidRPr="007B613B" w14:paraId="2ABDC51C" w14:textId="77777777" w:rsidTr="31335BFF">
        <w:trPr>
          <w:trHeight w:val="315"/>
        </w:trPr>
        <w:tc>
          <w:tcPr>
            <w:tcW w:w="1033" w:type="pct"/>
            <w:tcBorders>
              <w:top w:val="single" w:sz="12" w:space="0" w:color="auto"/>
              <w:left w:val="single" w:sz="12" w:space="0" w:color="auto"/>
              <w:bottom w:val="single" w:sz="12" w:space="0" w:color="auto"/>
              <w:right w:val="nil"/>
            </w:tcBorders>
            <w:noWrap/>
            <w:hideMark/>
          </w:tcPr>
          <w:p w14:paraId="312EE6E6" w14:textId="77777777" w:rsidR="00E6141B" w:rsidRPr="007B613B" w:rsidRDefault="00E6141B" w:rsidP="00A46923">
            <w:pPr>
              <w:rPr>
                <w:color w:val="000000"/>
              </w:rPr>
            </w:pPr>
            <w:r w:rsidRPr="007B613B">
              <w:rPr>
                <w:color w:val="000000"/>
              </w:rPr>
              <w:t>General health districts</w:t>
            </w:r>
          </w:p>
        </w:tc>
        <w:tc>
          <w:tcPr>
            <w:tcW w:w="629" w:type="pct"/>
            <w:tcBorders>
              <w:top w:val="single" w:sz="12" w:space="0" w:color="auto"/>
              <w:left w:val="single" w:sz="4" w:space="0" w:color="auto"/>
              <w:bottom w:val="single" w:sz="12" w:space="0" w:color="auto"/>
              <w:right w:val="single" w:sz="4" w:space="0" w:color="auto"/>
            </w:tcBorders>
            <w:noWrap/>
            <w:hideMark/>
          </w:tcPr>
          <w:p w14:paraId="6F5CC983" w14:textId="6C04A278" w:rsidR="00E6141B" w:rsidRPr="007B613B" w:rsidRDefault="00E6141B" w:rsidP="00A46923">
            <w:pPr>
              <w:rPr>
                <w:color w:val="0000FF"/>
                <w:u w:val="single"/>
              </w:rPr>
            </w:pPr>
            <w:hyperlink r:id="rId51" w:history="1">
              <w:r w:rsidRPr="007B613B">
                <w:rPr>
                  <w:rStyle w:val="Hyperlink"/>
                </w:rPr>
                <w:t>3709.31</w:t>
              </w:r>
            </w:hyperlink>
          </w:p>
        </w:tc>
        <w:tc>
          <w:tcPr>
            <w:tcW w:w="1841" w:type="pct"/>
            <w:tcBorders>
              <w:top w:val="single" w:sz="12" w:space="0" w:color="auto"/>
              <w:left w:val="nil"/>
              <w:bottom w:val="single" w:sz="12" w:space="0" w:color="auto"/>
              <w:right w:val="single" w:sz="4" w:space="0" w:color="auto"/>
            </w:tcBorders>
            <w:noWrap/>
            <w:hideMark/>
          </w:tcPr>
          <w:p w14:paraId="55AB9D20" w14:textId="04AEACE2" w:rsidR="00E6141B" w:rsidRPr="00C909C3" w:rsidRDefault="00723E2E" w:rsidP="00A46923">
            <w:r w:rsidRPr="00C909C3">
              <w:t>Designee of Health Commissioner, if any</w:t>
            </w:r>
          </w:p>
        </w:tc>
        <w:tc>
          <w:tcPr>
            <w:tcW w:w="1497" w:type="pct"/>
            <w:tcBorders>
              <w:top w:val="single" w:sz="12" w:space="0" w:color="auto"/>
              <w:left w:val="nil"/>
              <w:bottom w:val="single" w:sz="12" w:space="0" w:color="auto"/>
              <w:right w:val="single" w:sz="12" w:space="0" w:color="auto"/>
            </w:tcBorders>
            <w:noWrap/>
            <w:vAlign w:val="center"/>
            <w:hideMark/>
          </w:tcPr>
          <w:p w14:paraId="33B7BC40" w14:textId="77777777" w:rsidR="00E6141B" w:rsidRPr="007B613B" w:rsidRDefault="00E6141B" w:rsidP="00E6141B">
            <w:r w:rsidRPr="007B613B">
              <w:t xml:space="preserve">$1,000,000 </w:t>
            </w:r>
          </w:p>
        </w:tc>
      </w:tr>
      <w:tr w:rsidR="008E25E3" w:rsidRPr="007B613B" w14:paraId="6540DE49" w14:textId="77777777" w:rsidTr="31335BFF">
        <w:trPr>
          <w:trHeight w:val="315"/>
        </w:trPr>
        <w:tc>
          <w:tcPr>
            <w:tcW w:w="1033" w:type="pct"/>
            <w:tcBorders>
              <w:top w:val="single" w:sz="12" w:space="0" w:color="auto"/>
              <w:left w:val="single" w:sz="12" w:space="0" w:color="auto"/>
              <w:bottom w:val="single" w:sz="12" w:space="0" w:color="auto"/>
              <w:right w:val="nil"/>
            </w:tcBorders>
            <w:noWrap/>
            <w:hideMark/>
          </w:tcPr>
          <w:p w14:paraId="4D3F7F30" w14:textId="77777777" w:rsidR="008E25E3" w:rsidRPr="007B613B" w:rsidRDefault="008E25E3" w:rsidP="008E25E3">
            <w:pPr>
              <w:rPr>
                <w:color w:val="000000"/>
              </w:rPr>
            </w:pPr>
            <w:r w:rsidRPr="007B613B">
              <w:rPr>
                <w:color w:val="000000"/>
              </w:rPr>
              <w:t>Joint recreation districts</w:t>
            </w:r>
          </w:p>
        </w:tc>
        <w:tc>
          <w:tcPr>
            <w:tcW w:w="629" w:type="pct"/>
            <w:tcBorders>
              <w:top w:val="single" w:sz="12" w:space="0" w:color="auto"/>
              <w:left w:val="single" w:sz="4" w:space="0" w:color="auto"/>
              <w:bottom w:val="single" w:sz="12" w:space="0" w:color="auto"/>
              <w:right w:val="single" w:sz="4" w:space="0" w:color="auto"/>
            </w:tcBorders>
            <w:shd w:val="clear" w:color="auto" w:fill="FFFF00"/>
            <w:noWrap/>
            <w:hideMark/>
          </w:tcPr>
          <w:p w14:paraId="17FF413C" w14:textId="08D9CF22" w:rsidR="008E25E3" w:rsidRPr="007B613B" w:rsidRDefault="008E25E3" w:rsidP="008E25E3">
            <w:pPr>
              <w:rPr>
                <w:color w:val="0000FF"/>
                <w:u w:val="single"/>
              </w:rPr>
            </w:pPr>
            <w:hyperlink r:id="rId52" w:history="1">
              <w:r w:rsidRPr="007B613B">
                <w:rPr>
                  <w:rStyle w:val="Hyperlink"/>
                </w:rPr>
                <w:t>755.23</w:t>
              </w:r>
            </w:hyperlink>
          </w:p>
        </w:tc>
        <w:tc>
          <w:tcPr>
            <w:tcW w:w="1841" w:type="pct"/>
            <w:tcBorders>
              <w:top w:val="single" w:sz="12" w:space="0" w:color="auto"/>
              <w:left w:val="nil"/>
              <w:bottom w:val="single" w:sz="12" w:space="0" w:color="auto"/>
              <w:right w:val="single" w:sz="4" w:space="0" w:color="auto"/>
            </w:tcBorders>
            <w:noWrap/>
            <w:hideMark/>
          </w:tcPr>
          <w:p w14:paraId="36766ABF" w14:textId="77777777" w:rsidR="008E25E3" w:rsidRPr="007B613B" w:rsidRDefault="008E25E3" w:rsidP="008E25E3">
            <w:r w:rsidRPr="007B613B">
              <w:t>Park Trustee</w:t>
            </w:r>
          </w:p>
        </w:tc>
        <w:tc>
          <w:tcPr>
            <w:tcW w:w="1497" w:type="pct"/>
            <w:tcBorders>
              <w:top w:val="single" w:sz="12" w:space="0" w:color="auto"/>
              <w:left w:val="nil"/>
              <w:bottom w:val="single" w:sz="12" w:space="0" w:color="auto"/>
              <w:right w:val="single" w:sz="12" w:space="0" w:color="auto"/>
            </w:tcBorders>
            <w:noWrap/>
            <w:vAlign w:val="center"/>
            <w:hideMark/>
          </w:tcPr>
          <w:p w14:paraId="77E9F3F4" w14:textId="77777777" w:rsidR="008E25E3" w:rsidRPr="007B613B" w:rsidRDefault="008E25E3" w:rsidP="008E25E3">
            <w:r w:rsidRPr="007B613B">
              <w:t xml:space="preserve">$2,500 </w:t>
            </w:r>
          </w:p>
        </w:tc>
      </w:tr>
      <w:tr w:rsidR="00932BB7" w:rsidRPr="007B613B" w14:paraId="1EB1D04B" w14:textId="77777777" w:rsidTr="31335BFF">
        <w:trPr>
          <w:trHeight w:val="315"/>
        </w:trPr>
        <w:tc>
          <w:tcPr>
            <w:tcW w:w="1033" w:type="pct"/>
            <w:tcBorders>
              <w:top w:val="single" w:sz="12" w:space="0" w:color="auto"/>
              <w:left w:val="single" w:sz="12" w:space="0" w:color="auto"/>
              <w:bottom w:val="single" w:sz="12" w:space="0" w:color="auto"/>
              <w:right w:val="nil"/>
            </w:tcBorders>
            <w:noWrap/>
            <w:hideMark/>
          </w:tcPr>
          <w:p w14:paraId="049C8019" w14:textId="77777777" w:rsidR="00E6141B" w:rsidRPr="007B613B" w:rsidRDefault="00E6141B" w:rsidP="00A46923">
            <w:pPr>
              <w:rPr>
                <w:color w:val="000000"/>
              </w:rPr>
            </w:pPr>
            <w:r w:rsidRPr="007B613B">
              <w:rPr>
                <w:color w:val="000000"/>
              </w:rPr>
              <w:t>Park districts</w:t>
            </w:r>
          </w:p>
        </w:tc>
        <w:tc>
          <w:tcPr>
            <w:tcW w:w="629" w:type="pct"/>
            <w:tcBorders>
              <w:top w:val="single" w:sz="12" w:space="0" w:color="auto"/>
              <w:left w:val="single" w:sz="4" w:space="0" w:color="auto"/>
              <w:bottom w:val="single" w:sz="12" w:space="0" w:color="auto"/>
              <w:right w:val="single" w:sz="4" w:space="0" w:color="auto"/>
            </w:tcBorders>
            <w:shd w:val="clear" w:color="auto" w:fill="FFFF00"/>
            <w:noWrap/>
            <w:hideMark/>
          </w:tcPr>
          <w:p w14:paraId="02EAEFF0" w14:textId="26EBFBD5" w:rsidR="00E6141B" w:rsidRPr="007B613B" w:rsidRDefault="04FDCBE3" w:rsidP="00A46923">
            <w:pPr>
              <w:rPr>
                <w:color w:val="0000FF"/>
                <w:u w:val="single"/>
              </w:rPr>
            </w:pPr>
            <w:hyperlink r:id="rId53">
              <w:r w:rsidRPr="128D3BAA">
                <w:rPr>
                  <w:rStyle w:val="Hyperlink"/>
                </w:rPr>
                <w:t>1545.05</w:t>
              </w:r>
            </w:hyperlink>
          </w:p>
        </w:tc>
        <w:tc>
          <w:tcPr>
            <w:tcW w:w="1841" w:type="pct"/>
            <w:tcBorders>
              <w:top w:val="single" w:sz="12" w:space="0" w:color="auto"/>
              <w:left w:val="nil"/>
              <w:bottom w:val="single" w:sz="12" w:space="0" w:color="auto"/>
              <w:right w:val="single" w:sz="4" w:space="0" w:color="auto"/>
            </w:tcBorders>
            <w:noWrap/>
            <w:hideMark/>
          </w:tcPr>
          <w:p w14:paraId="0A038E27" w14:textId="77777777" w:rsidR="00E6141B" w:rsidRPr="007B613B" w:rsidRDefault="00E6141B" w:rsidP="00A46923">
            <w:r w:rsidRPr="007B613B">
              <w:t>Commissioner</w:t>
            </w:r>
          </w:p>
        </w:tc>
        <w:tc>
          <w:tcPr>
            <w:tcW w:w="1497" w:type="pct"/>
            <w:tcBorders>
              <w:top w:val="single" w:sz="12" w:space="0" w:color="auto"/>
              <w:left w:val="nil"/>
              <w:bottom w:val="single" w:sz="12" w:space="0" w:color="auto"/>
              <w:right w:val="single" w:sz="12" w:space="0" w:color="auto"/>
            </w:tcBorders>
            <w:noWrap/>
            <w:vAlign w:val="center"/>
            <w:hideMark/>
          </w:tcPr>
          <w:p w14:paraId="457117FB" w14:textId="77777777" w:rsidR="00E6141B" w:rsidRPr="007B613B" w:rsidRDefault="00E6141B" w:rsidP="00E6141B">
            <w:r w:rsidRPr="007B613B">
              <w:t xml:space="preserve">$5,000 </w:t>
            </w:r>
          </w:p>
        </w:tc>
      </w:tr>
      <w:tr w:rsidR="00B91787" w:rsidRPr="007B613B" w14:paraId="5792B095" w14:textId="77777777" w:rsidTr="31335BFF">
        <w:trPr>
          <w:trHeight w:val="300"/>
        </w:trPr>
        <w:tc>
          <w:tcPr>
            <w:tcW w:w="1033" w:type="pct"/>
            <w:vMerge w:val="restart"/>
            <w:tcBorders>
              <w:top w:val="single" w:sz="12" w:space="0" w:color="auto"/>
              <w:left w:val="single" w:sz="12" w:space="0" w:color="auto"/>
              <w:right w:val="nil"/>
            </w:tcBorders>
            <w:noWrap/>
            <w:hideMark/>
          </w:tcPr>
          <w:p w14:paraId="269088D1" w14:textId="77777777" w:rsidR="00B91787" w:rsidRPr="007B613B" w:rsidRDefault="00B91787" w:rsidP="00A46923">
            <w:pPr>
              <w:rPr>
                <w:color w:val="000000"/>
              </w:rPr>
            </w:pPr>
            <w:r w:rsidRPr="007B613B">
              <w:rPr>
                <w:color w:val="000000"/>
              </w:rPr>
              <w:t>County</w:t>
            </w:r>
          </w:p>
        </w:tc>
        <w:tc>
          <w:tcPr>
            <w:tcW w:w="629" w:type="pct"/>
            <w:tcBorders>
              <w:top w:val="single" w:sz="12" w:space="0" w:color="auto"/>
              <w:left w:val="single" w:sz="4" w:space="0" w:color="auto"/>
              <w:bottom w:val="single" w:sz="4" w:space="0" w:color="auto"/>
              <w:right w:val="single" w:sz="4" w:space="0" w:color="auto"/>
            </w:tcBorders>
            <w:shd w:val="clear" w:color="auto" w:fill="FFFF00"/>
            <w:noWrap/>
            <w:hideMark/>
          </w:tcPr>
          <w:p w14:paraId="11DD7CEA" w14:textId="4628E1DC" w:rsidR="00B91787" w:rsidRPr="007B613B" w:rsidRDefault="00B91787" w:rsidP="00A46923">
            <w:pPr>
              <w:rPr>
                <w:color w:val="0000FF"/>
                <w:u w:val="single"/>
              </w:rPr>
            </w:pPr>
            <w:hyperlink r:id="rId54" w:history="1">
              <w:r w:rsidRPr="007B613B">
                <w:rPr>
                  <w:rStyle w:val="Hyperlink"/>
                </w:rPr>
                <w:t>305.04</w:t>
              </w:r>
            </w:hyperlink>
          </w:p>
        </w:tc>
        <w:tc>
          <w:tcPr>
            <w:tcW w:w="1841" w:type="pct"/>
            <w:tcBorders>
              <w:top w:val="single" w:sz="12" w:space="0" w:color="auto"/>
              <w:left w:val="nil"/>
              <w:bottom w:val="single" w:sz="4" w:space="0" w:color="auto"/>
              <w:right w:val="single" w:sz="4" w:space="0" w:color="auto"/>
            </w:tcBorders>
            <w:noWrap/>
            <w:hideMark/>
          </w:tcPr>
          <w:p w14:paraId="790DDF51" w14:textId="77777777" w:rsidR="00B91787" w:rsidRPr="007B613B" w:rsidRDefault="00B91787" w:rsidP="00A46923">
            <w:r w:rsidRPr="007B613B">
              <w:t>Commissioner</w:t>
            </w:r>
          </w:p>
        </w:tc>
        <w:tc>
          <w:tcPr>
            <w:tcW w:w="1497" w:type="pct"/>
            <w:tcBorders>
              <w:top w:val="single" w:sz="12" w:space="0" w:color="auto"/>
              <w:left w:val="nil"/>
              <w:bottom w:val="single" w:sz="4" w:space="0" w:color="auto"/>
              <w:right w:val="single" w:sz="12" w:space="0" w:color="auto"/>
            </w:tcBorders>
            <w:noWrap/>
            <w:vAlign w:val="center"/>
            <w:hideMark/>
          </w:tcPr>
          <w:p w14:paraId="243D1D1D" w14:textId="77777777" w:rsidR="00B91787" w:rsidRPr="007B613B" w:rsidRDefault="00B91787" w:rsidP="00E6141B">
            <w:r w:rsidRPr="007B613B">
              <w:t xml:space="preserve">$5,000 </w:t>
            </w:r>
          </w:p>
        </w:tc>
      </w:tr>
      <w:tr w:rsidR="00B91787" w:rsidRPr="007B613B" w14:paraId="33884A5A" w14:textId="77777777" w:rsidTr="00735838">
        <w:trPr>
          <w:trHeight w:val="300"/>
        </w:trPr>
        <w:tc>
          <w:tcPr>
            <w:tcW w:w="1033" w:type="pct"/>
            <w:vMerge/>
            <w:tcBorders>
              <w:left w:val="single" w:sz="12" w:space="0" w:color="auto"/>
            </w:tcBorders>
            <w:noWrap/>
            <w:hideMark/>
          </w:tcPr>
          <w:p w14:paraId="318D362C"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163FAFF" w14:textId="296D99B4" w:rsidR="00B91787" w:rsidRPr="007B613B" w:rsidRDefault="00B91787" w:rsidP="00A46923">
            <w:pPr>
              <w:rPr>
                <w:color w:val="0000FF"/>
                <w:u w:val="single"/>
              </w:rPr>
            </w:pPr>
            <w:hyperlink r:id="rId55" w:history="1">
              <w:r w:rsidRPr="007B613B">
                <w:rPr>
                  <w:rStyle w:val="Hyperlink"/>
                </w:rPr>
                <w:t>309.03</w:t>
              </w:r>
            </w:hyperlink>
          </w:p>
        </w:tc>
        <w:tc>
          <w:tcPr>
            <w:tcW w:w="1841" w:type="pct"/>
            <w:tcBorders>
              <w:top w:val="nil"/>
              <w:left w:val="nil"/>
              <w:bottom w:val="single" w:sz="4" w:space="0" w:color="auto"/>
              <w:right w:val="single" w:sz="4" w:space="0" w:color="auto"/>
            </w:tcBorders>
            <w:noWrap/>
            <w:hideMark/>
          </w:tcPr>
          <w:p w14:paraId="43A0C747" w14:textId="77777777" w:rsidR="00B91787" w:rsidRPr="007B613B" w:rsidRDefault="00B91787" w:rsidP="00A46923">
            <w:r w:rsidRPr="007B613B">
              <w:t>Prosecuting Attorney</w:t>
            </w:r>
          </w:p>
        </w:tc>
        <w:tc>
          <w:tcPr>
            <w:tcW w:w="1497" w:type="pct"/>
            <w:tcBorders>
              <w:top w:val="nil"/>
              <w:left w:val="nil"/>
              <w:bottom w:val="single" w:sz="4" w:space="0" w:color="auto"/>
              <w:right w:val="single" w:sz="12" w:space="0" w:color="auto"/>
            </w:tcBorders>
            <w:noWrap/>
            <w:vAlign w:val="center"/>
            <w:hideMark/>
          </w:tcPr>
          <w:p w14:paraId="0A09C2F1" w14:textId="77777777" w:rsidR="00B91787" w:rsidRPr="007B613B" w:rsidRDefault="00B91787" w:rsidP="00E6141B">
            <w:r w:rsidRPr="007B613B">
              <w:t xml:space="preserve">$1,000 </w:t>
            </w:r>
          </w:p>
        </w:tc>
      </w:tr>
      <w:tr w:rsidR="00B91787" w:rsidRPr="007B613B" w14:paraId="63CC3453" w14:textId="77777777" w:rsidTr="00735838">
        <w:trPr>
          <w:trHeight w:val="300"/>
        </w:trPr>
        <w:tc>
          <w:tcPr>
            <w:tcW w:w="1033" w:type="pct"/>
            <w:vMerge/>
            <w:tcBorders>
              <w:left w:val="single" w:sz="12" w:space="0" w:color="auto"/>
            </w:tcBorders>
            <w:noWrap/>
            <w:hideMark/>
          </w:tcPr>
          <w:p w14:paraId="0E993E62"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27FAE75B" w14:textId="6CAE4DA1" w:rsidR="00B91787" w:rsidRPr="007B613B" w:rsidRDefault="00B91787" w:rsidP="00A46923">
            <w:pPr>
              <w:rPr>
                <w:color w:val="0000FF"/>
                <w:u w:val="single"/>
              </w:rPr>
            </w:pPr>
            <w:hyperlink r:id="rId56" w:history="1">
              <w:r w:rsidRPr="007B613B">
                <w:rPr>
                  <w:rStyle w:val="Hyperlink"/>
                </w:rPr>
                <w:t>325.12</w:t>
              </w:r>
            </w:hyperlink>
          </w:p>
        </w:tc>
        <w:tc>
          <w:tcPr>
            <w:tcW w:w="1841" w:type="pct"/>
            <w:tcBorders>
              <w:top w:val="nil"/>
              <w:left w:val="nil"/>
              <w:bottom w:val="single" w:sz="4" w:space="0" w:color="auto"/>
              <w:right w:val="single" w:sz="4" w:space="0" w:color="auto"/>
            </w:tcBorders>
            <w:noWrap/>
            <w:hideMark/>
          </w:tcPr>
          <w:p w14:paraId="5F8A58E9" w14:textId="77777777" w:rsidR="00B91787" w:rsidRPr="007B613B" w:rsidRDefault="00B91787" w:rsidP="00A46923">
            <w:r w:rsidRPr="007B613B">
              <w:t>Prosecuting Attorney</w:t>
            </w:r>
          </w:p>
        </w:tc>
        <w:tc>
          <w:tcPr>
            <w:tcW w:w="1497" w:type="pct"/>
            <w:tcBorders>
              <w:top w:val="nil"/>
              <w:left w:val="nil"/>
              <w:bottom w:val="single" w:sz="4" w:space="0" w:color="auto"/>
              <w:right w:val="single" w:sz="12" w:space="0" w:color="auto"/>
            </w:tcBorders>
            <w:noWrap/>
            <w:vAlign w:val="center"/>
            <w:hideMark/>
          </w:tcPr>
          <w:p w14:paraId="5981CE17" w14:textId="77777777" w:rsidR="00B91787" w:rsidRPr="007B613B" w:rsidRDefault="00B91787" w:rsidP="00E6141B">
            <w:r w:rsidRPr="007B613B">
              <w:t>annual salary</w:t>
            </w:r>
          </w:p>
        </w:tc>
      </w:tr>
      <w:tr w:rsidR="00B91787" w:rsidRPr="007B613B" w14:paraId="0B1B94A8" w14:textId="77777777" w:rsidTr="00735838">
        <w:trPr>
          <w:trHeight w:val="300"/>
        </w:trPr>
        <w:tc>
          <w:tcPr>
            <w:tcW w:w="1033" w:type="pct"/>
            <w:vMerge/>
            <w:tcBorders>
              <w:left w:val="single" w:sz="12" w:space="0" w:color="auto"/>
            </w:tcBorders>
            <w:noWrap/>
            <w:hideMark/>
          </w:tcPr>
          <w:p w14:paraId="2C004A8A"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223869AD" w14:textId="75E4FF03" w:rsidR="00B91787" w:rsidRPr="007B613B" w:rsidRDefault="00B91787" w:rsidP="00A46923">
            <w:pPr>
              <w:rPr>
                <w:color w:val="0000FF"/>
                <w:u w:val="single"/>
              </w:rPr>
            </w:pPr>
            <w:hyperlink r:id="rId57" w:history="1">
              <w:r w:rsidRPr="007B613B">
                <w:rPr>
                  <w:rStyle w:val="Hyperlink"/>
                </w:rPr>
                <w:t>311.02</w:t>
              </w:r>
            </w:hyperlink>
          </w:p>
        </w:tc>
        <w:tc>
          <w:tcPr>
            <w:tcW w:w="1841" w:type="pct"/>
            <w:tcBorders>
              <w:top w:val="nil"/>
              <w:left w:val="nil"/>
              <w:bottom w:val="single" w:sz="4" w:space="0" w:color="auto"/>
              <w:right w:val="single" w:sz="4" w:space="0" w:color="auto"/>
            </w:tcBorders>
            <w:noWrap/>
            <w:hideMark/>
          </w:tcPr>
          <w:p w14:paraId="693AC7A5" w14:textId="77777777" w:rsidR="00B91787" w:rsidRPr="007B613B" w:rsidRDefault="00B91787" w:rsidP="00A46923">
            <w:r w:rsidRPr="007B613B">
              <w:t>Sheriff</w:t>
            </w:r>
          </w:p>
        </w:tc>
        <w:tc>
          <w:tcPr>
            <w:tcW w:w="1497" w:type="pct"/>
            <w:tcBorders>
              <w:top w:val="nil"/>
              <w:left w:val="nil"/>
              <w:bottom w:val="single" w:sz="4" w:space="0" w:color="auto"/>
              <w:right w:val="single" w:sz="12" w:space="0" w:color="auto"/>
            </w:tcBorders>
            <w:noWrap/>
            <w:vAlign w:val="center"/>
            <w:hideMark/>
          </w:tcPr>
          <w:p w14:paraId="0F09EED2" w14:textId="77777777" w:rsidR="00B91787" w:rsidRPr="007B613B" w:rsidRDefault="00B91787" w:rsidP="00E6141B">
            <w:r w:rsidRPr="007B613B">
              <w:t>$5,000 - $50,000</w:t>
            </w:r>
          </w:p>
        </w:tc>
      </w:tr>
      <w:tr w:rsidR="00B91787" w:rsidRPr="007B613B" w14:paraId="2A0CEAD5" w14:textId="77777777" w:rsidTr="00735838">
        <w:trPr>
          <w:trHeight w:val="300"/>
        </w:trPr>
        <w:tc>
          <w:tcPr>
            <w:tcW w:w="1033" w:type="pct"/>
            <w:vMerge/>
            <w:tcBorders>
              <w:left w:val="single" w:sz="12" w:space="0" w:color="auto"/>
            </w:tcBorders>
            <w:noWrap/>
            <w:hideMark/>
          </w:tcPr>
          <w:p w14:paraId="3C22A482"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80DE0E7" w14:textId="058F9FF5" w:rsidR="00B91787" w:rsidRPr="007B613B" w:rsidRDefault="00B91787" w:rsidP="00A46923">
            <w:pPr>
              <w:rPr>
                <w:color w:val="0000FF"/>
                <w:u w:val="single"/>
              </w:rPr>
            </w:pPr>
            <w:hyperlink r:id="rId58" w:history="1">
              <w:r w:rsidRPr="00550560">
                <w:rPr>
                  <w:rStyle w:val="Hyperlink"/>
                </w:rPr>
                <w:t>325.071</w:t>
              </w:r>
            </w:hyperlink>
          </w:p>
        </w:tc>
        <w:tc>
          <w:tcPr>
            <w:tcW w:w="1841" w:type="pct"/>
            <w:tcBorders>
              <w:top w:val="nil"/>
              <w:left w:val="nil"/>
              <w:bottom w:val="single" w:sz="4" w:space="0" w:color="auto"/>
              <w:right w:val="single" w:sz="4" w:space="0" w:color="auto"/>
            </w:tcBorders>
            <w:noWrap/>
            <w:hideMark/>
          </w:tcPr>
          <w:p w14:paraId="6779B0F1" w14:textId="77777777" w:rsidR="00B91787" w:rsidRPr="007B613B" w:rsidRDefault="00B91787" w:rsidP="00A46923">
            <w:r w:rsidRPr="007B613B">
              <w:t>Sheriff</w:t>
            </w:r>
          </w:p>
        </w:tc>
        <w:tc>
          <w:tcPr>
            <w:tcW w:w="1497" w:type="pct"/>
            <w:tcBorders>
              <w:top w:val="nil"/>
              <w:left w:val="nil"/>
              <w:bottom w:val="single" w:sz="4" w:space="0" w:color="auto"/>
              <w:right w:val="single" w:sz="12" w:space="0" w:color="auto"/>
            </w:tcBorders>
            <w:noWrap/>
            <w:vAlign w:val="center"/>
            <w:hideMark/>
          </w:tcPr>
          <w:p w14:paraId="42860224" w14:textId="77777777" w:rsidR="00B91787" w:rsidRPr="007B613B" w:rsidRDefault="00B91787" w:rsidP="00E6141B">
            <w:r w:rsidRPr="007B613B">
              <w:t>annual salary</w:t>
            </w:r>
          </w:p>
        </w:tc>
      </w:tr>
      <w:tr w:rsidR="00B91787" w:rsidRPr="007B613B" w14:paraId="01CBD828" w14:textId="77777777" w:rsidTr="00735838">
        <w:trPr>
          <w:trHeight w:val="300"/>
        </w:trPr>
        <w:tc>
          <w:tcPr>
            <w:tcW w:w="1033" w:type="pct"/>
            <w:vMerge/>
            <w:tcBorders>
              <w:left w:val="single" w:sz="12" w:space="0" w:color="auto"/>
            </w:tcBorders>
            <w:noWrap/>
            <w:hideMark/>
          </w:tcPr>
          <w:p w14:paraId="4C99B95B"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4068B8F1" w14:textId="6D181B16" w:rsidR="00B91787" w:rsidRPr="007B613B" w:rsidRDefault="00B91787" w:rsidP="00A46923">
            <w:pPr>
              <w:rPr>
                <w:color w:val="0000FF"/>
                <w:u w:val="single"/>
              </w:rPr>
            </w:pPr>
            <w:hyperlink r:id="rId59" w:history="1">
              <w:r w:rsidRPr="007B613B">
                <w:rPr>
                  <w:rStyle w:val="Hyperlink"/>
                </w:rPr>
                <w:t>313.03</w:t>
              </w:r>
            </w:hyperlink>
          </w:p>
        </w:tc>
        <w:tc>
          <w:tcPr>
            <w:tcW w:w="1841" w:type="pct"/>
            <w:tcBorders>
              <w:top w:val="nil"/>
              <w:left w:val="nil"/>
              <w:bottom w:val="single" w:sz="4" w:space="0" w:color="auto"/>
              <w:right w:val="single" w:sz="4" w:space="0" w:color="auto"/>
            </w:tcBorders>
            <w:noWrap/>
            <w:hideMark/>
          </w:tcPr>
          <w:p w14:paraId="0C8BCA13" w14:textId="77777777" w:rsidR="00B91787" w:rsidRPr="007B613B" w:rsidRDefault="00B91787" w:rsidP="00A46923">
            <w:r w:rsidRPr="007B613B">
              <w:t>Coroner</w:t>
            </w:r>
          </w:p>
        </w:tc>
        <w:tc>
          <w:tcPr>
            <w:tcW w:w="1497" w:type="pct"/>
            <w:tcBorders>
              <w:top w:val="nil"/>
              <w:left w:val="nil"/>
              <w:bottom w:val="single" w:sz="4" w:space="0" w:color="auto"/>
              <w:right w:val="single" w:sz="12" w:space="0" w:color="auto"/>
            </w:tcBorders>
            <w:noWrap/>
            <w:vAlign w:val="center"/>
            <w:hideMark/>
          </w:tcPr>
          <w:p w14:paraId="69D3EA2E" w14:textId="77777777" w:rsidR="00B91787" w:rsidRPr="007B613B" w:rsidRDefault="00B91787" w:rsidP="00E6141B">
            <w:r w:rsidRPr="007B613B">
              <w:t>$5,000 - $50,000</w:t>
            </w:r>
          </w:p>
        </w:tc>
      </w:tr>
      <w:tr w:rsidR="00B91787" w:rsidRPr="007B613B" w14:paraId="1BB63264" w14:textId="77777777" w:rsidTr="00735838">
        <w:trPr>
          <w:trHeight w:val="300"/>
        </w:trPr>
        <w:tc>
          <w:tcPr>
            <w:tcW w:w="1033" w:type="pct"/>
            <w:vMerge/>
            <w:tcBorders>
              <w:left w:val="single" w:sz="12" w:space="0" w:color="auto"/>
            </w:tcBorders>
            <w:noWrap/>
            <w:hideMark/>
          </w:tcPr>
          <w:p w14:paraId="04302A29"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46CE2024" w14:textId="50D404B7" w:rsidR="00B91787" w:rsidRPr="007B613B" w:rsidRDefault="00B91787" w:rsidP="00A46923">
            <w:pPr>
              <w:rPr>
                <w:color w:val="0000FF"/>
                <w:u w:val="single"/>
              </w:rPr>
            </w:pPr>
            <w:hyperlink r:id="rId60" w:history="1">
              <w:r w:rsidRPr="007B613B">
                <w:rPr>
                  <w:rStyle w:val="Hyperlink"/>
                </w:rPr>
                <w:t>315.03</w:t>
              </w:r>
            </w:hyperlink>
          </w:p>
        </w:tc>
        <w:tc>
          <w:tcPr>
            <w:tcW w:w="1841" w:type="pct"/>
            <w:tcBorders>
              <w:top w:val="nil"/>
              <w:left w:val="nil"/>
              <w:bottom w:val="single" w:sz="4" w:space="0" w:color="auto"/>
              <w:right w:val="single" w:sz="4" w:space="0" w:color="auto"/>
            </w:tcBorders>
            <w:noWrap/>
            <w:hideMark/>
          </w:tcPr>
          <w:p w14:paraId="6CB3ED37" w14:textId="77777777" w:rsidR="00B91787" w:rsidRPr="007B613B" w:rsidRDefault="00B91787" w:rsidP="00A46923">
            <w:r w:rsidRPr="007B613B">
              <w:t>Engineer</w:t>
            </w:r>
          </w:p>
        </w:tc>
        <w:tc>
          <w:tcPr>
            <w:tcW w:w="1497" w:type="pct"/>
            <w:tcBorders>
              <w:top w:val="nil"/>
              <w:left w:val="nil"/>
              <w:bottom w:val="single" w:sz="4" w:space="0" w:color="auto"/>
              <w:right w:val="single" w:sz="12" w:space="0" w:color="auto"/>
            </w:tcBorders>
            <w:noWrap/>
            <w:vAlign w:val="center"/>
            <w:hideMark/>
          </w:tcPr>
          <w:p w14:paraId="4DA05A54" w14:textId="77777777" w:rsidR="00B91787" w:rsidRPr="007B613B" w:rsidRDefault="00B91787" w:rsidP="00E6141B">
            <w:r w:rsidRPr="007B613B">
              <w:t>$2,000 - $10,000</w:t>
            </w:r>
          </w:p>
        </w:tc>
      </w:tr>
      <w:tr w:rsidR="00B91787" w:rsidRPr="007B613B" w14:paraId="408A853B" w14:textId="77777777" w:rsidTr="00735838">
        <w:trPr>
          <w:trHeight w:val="300"/>
        </w:trPr>
        <w:tc>
          <w:tcPr>
            <w:tcW w:w="1033" w:type="pct"/>
            <w:vMerge/>
            <w:tcBorders>
              <w:left w:val="single" w:sz="12" w:space="0" w:color="auto"/>
            </w:tcBorders>
            <w:noWrap/>
            <w:hideMark/>
          </w:tcPr>
          <w:p w14:paraId="37B7F30E"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26F439ED" w14:textId="70C5C5B5" w:rsidR="00B91787" w:rsidRPr="007B613B" w:rsidRDefault="00B91787" w:rsidP="00A46923">
            <w:pPr>
              <w:rPr>
                <w:color w:val="0000FF"/>
                <w:u w:val="single"/>
              </w:rPr>
            </w:pPr>
            <w:hyperlink r:id="rId61" w:history="1">
              <w:r w:rsidRPr="007B613B">
                <w:rPr>
                  <w:rStyle w:val="Hyperlink"/>
                </w:rPr>
                <w:t>317.02</w:t>
              </w:r>
            </w:hyperlink>
          </w:p>
        </w:tc>
        <w:tc>
          <w:tcPr>
            <w:tcW w:w="1841" w:type="pct"/>
            <w:tcBorders>
              <w:top w:val="nil"/>
              <w:left w:val="nil"/>
              <w:bottom w:val="single" w:sz="4" w:space="0" w:color="auto"/>
              <w:right w:val="single" w:sz="4" w:space="0" w:color="auto"/>
            </w:tcBorders>
            <w:noWrap/>
            <w:hideMark/>
          </w:tcPr>
          <w:p w14:paraId="025F0AC6" w14:textId="77777777" w:rsidR="00B91787" w:rsidRPr="007B613B" w:rsidRDefault="00B91787" w:rsidP="00A46923">
            <w:r w:rsidRPr="007B613B">
              <w:t>Recorder</w:t>
            </w:r>
          </w:p>
        </w:tc>
        <w:tc>
          <w:tcPr>
            <w:tcW w:w="1497" w:type="pct"/>
            <w:tcBorders>
              <w:top w:val="nil"/>
              <w:left w:val="nil"/>
              <w:bottom w:val="single" w:sz="4" w:space="0" w:color="auto"/>
              <w:right w:val="single" w:sz="12" w:space="0" w:color="auto"/>
            </w:tcBorders>
            <w:noWrap/>
            <w:vAlign w:val="center"/>
            <w:hideMark/>
          </w:tcPr>
          <w:p w14:paraId="132D00F5" w14:textId="77777777" w:rsidR="00B91787" w:rsidRPr="007B613B" w:rsidRDefault="00B91787" w:rsidP="00E6141B">
            <w:r w:rsidRPr="007B613B">
              <w:t xml:space="preserve">$10,000 </w:t>
            </w:r>
          </w:p>
        </w:tc>
      </w:tr>
      <w:tr w:rsidR="00B91787" w:rsidRPr="007B613B" w14:paraId="47CA70C2" w14:textId="77777777" w:rsidTr="00735838">
        <w:trPr>
          <w:trHeight w:val="300"/>
        </w:trPr>
        <w:tc>
          <w:tcPr>
            <w:tcW w:w="1033" w:type="pct"/>
            <w:vMerge/>
            <w:tcBorders>
              <w:left w:val="single" w:sz="12" w:space="0" w:color="auto"/>
            </w:tcBorders>
            <w:noWrap/>
            <w:hideMark/>
          </w:tcPr>
          <w:p w14:paraId="1D260B31"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578819B6" w14:textId="7BC5F72C" w:rsidR="00B91787" w:rsidRPr="007B613B" w:rsidRDefault="00B91787" w:rsidP="00A46923">
            <w:pPr>
              <w:rPr>
                <w:color w:val="0000FF"/>
                <w:u w:val="single"/>
              </w:rPr>
            </w:pPr>
            <w:hyperlink r:id="rId62" w:history="1">
              <w:r w:rsidRPr="00B3217E">
                <w:rPr>
                  <w:rStyle w:val="Hyperlink"/>
                </w:rPr>
                <w:t>319.02</w:t>
              </w:r>
            </w:hyperlink>
          </w:p>
        </w:tc>
        <w:tc>
          <w:tcPr>
            <w:tcW w:w="1841" w:type="pct"/>
            <w:tcBorders>
              <w:top w:val="nil"/>
              <w:left w:val="nil"/>
              <w:bottom w:val="single" w:sz="4" w:space="0" w:color="auto"/>
              <w:right w:val="single" w:sz="4" w:space="0" w:color="auto"/>
            </w:tcBorders>
            <w:noWrap/>
            <w:hideMark/>
          </w:tcPr>
          <w:p w14:paraId="1B4F3CD4" w14:textId="77777777" w:rsidR="00B91787" w:rsidRPr="007B613B" w:rsidRDefault="00B91787" w:rsidP="00A46923">
            <w:r w:rsidRPr="007B613B">
              <w:t>Auditor</w:t>
            </w:r>
          </w:p>
        </w:tc>
        <w:tc>
          <w:tcPr>
            <w:tcW w:w="1497" w:type="pct"/>
            <w:tcBorders>
              <w:top w:val="nil"/>
              <w:left w:val="nil"/>
              <w:bottom w:val="single" w:sz="4" w:space="0" w:color="auto"/>
              <w:right w:val="single" w:sz="12" w:space="0" w:color="auto"/>
            </w:tcBorders>
            <w:noWrap/>
            <w:vAlign w:val="center"/>
            <w:hideMark/>
          </w:tcPr>
          <w:p w14:paraId="49DD3F19" w14:textId="77777777" w:rsidR="00B91787" w:rsidRPr="007B613B" w:rsidRDefault="00B91787" w:rsidP="00E6141B">
            <w:r w:rsidRPr="007B613B">
              <w:t>$5,000 - $20,000</w:t>
            </w:r>
          </w:p>
        </w:tc>
      </w:tr>
      <w:tr w:rsidR="00B91787" w:rsidRPr="007B613B" w14:paraId="09B50D6F" w14:textId="77777777" w:rsidTr="00735838">
        <w:trPr>
          <w:trHeight w:val="300"/>
        </w:trPr>
        <w:tc>
          <w:tcPr>
            <w:tcW w:w="1033" w:type="pct"/>
            <w:vMerge/>
            <w:tcBorders>
              <w:left w:val="single" w:sz="12" w:space="0" w:color="auto"/>
            </w:tcBorders>
            <w:noWrap/>
            <w:hideMark/>
          </w:tcPr>
          <w:p w14:paraId="3C5491AD" w14:textId="77777777" w:rsidR="00B91787" w:rsidRPr="007B613B" w:rsidRDefault="00B91787" w:rsidP="00A4692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3657377" w14:textId="68183B41" w:rsidR="00B91787" w:rsidRPr="007B613B" w:rsidRDefault="00B91787" w:rsidP="00A46923">
            <w:pPr>
              <w:rPr>
                <w:color w:val="0000FF"/>
                <w:u w:val="single"/>
              </w:rPr>
            </w:pPr>
            <w:hyperlink r:id="rId63" w:history="1">
              <w:r w:rsidRPr="00B3217E">
                <w:rPr>
                  <w:rStyle w:val="Hyperlink"/>
                </w:rPr>
                <w:t>955.12</w:t>
              </w:r>
            </w:hyperlink>
          </w:p>
        </w:tc>
        <w:tc>
          <w:tcPr>
            <w:tcW w:w="1841" w:type="pct"/>
            <w:tcBorders>
              <w:top w:val="nil"/>
              <w:left w:val="nil"/>
              <w:bottom w:val="single" w:sz="4" w:space="0" w:color="auto"/>
              <w:right w:val="single" w:sz="4" w:space="0" w:color="auto"/>
            </w:tcBorders>
            <w:noWrap/>
            <w:hideMark/>
          </w:tcPr>
          <w:p w14:paraId="360B5900" w14:textId="77777777" w:rsidR="00B91787" w:rsidRPr="007B613B" w:rsidRDefault="00B91787" w:rsidP="00A46923">
            <w:r w:rsidRPr="007B613B">
              <w:t>Dog Warden/deputy</w:t>
            </w:r>
          </w:p>
        </w:tc>
        <w:tc>
          <w:tcPr>
            <w:tcW w:w="1497" w:type="pct"/>
            <w:tcBorders>
              <w:top w:val="nil"/>
              <w:left w:val="nil"/>
              <w:bottom w:val="single" w:sz="4" w:space="0" w:color="auto"/>
              <w:right w:val="single" w:sz="12" w:space="0" w:color="auto"/>
            </w:tcBorders>
            <w:noWrap/>
            <w:vAlign w:val="center"/>
            <w:hideMark/>
          </w:tcPr>
          <w:p w14:paraId="6C621463" w14:textId="77777777" w:rsidR="00B91787" w:rsidRPr="007B613B" w:rsidRDefault="00B91787" w:rsidP="00E6141B">
            <w:r w:rsidRPr="007B613B">
              <w:t>$500 - $2,000</w:t>
            </w:r>
          </w:p>
        </w:tc>
      </w:tr>
      <w:tr w:rsidR="00B91787" w:rsidRPr="007B613B" w14:paraId="187BCC1B" w14:textId="77777777" w:rsidTr="00735838">
        <w:trPr>
          <w:trHeight w:val="300"/>
        </w:trPr>
        <w:tc>
          <w:tcPr>
            <w:tcW w:w="1033" w:type="pct"/>
            <w:vMerge/>
            <w:tcBorders>
              <w:left w:val="single" w:sz="12" w:space="0" w:color="auto"/>
            </w:tcBorders>
            <w:noWrap/>
            <w:hideMark/>
          </w:tcPr>
          <w:p w14:paraId="6B2C2B86" w14:textId="77777777" w:rsidR="00B91787" w:rsidRPr="007B613B" w:rsidRDefault="00B91787" w:rsidP="008E25E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88EB169" w14:textId="6E3E99CD" w:rsidR="00B91787" w:rsidRPr="007B613B" w:rsidRDefault="00B91787" w:rsidP="008E25E3">
            <w:pPr>
              <w:rPr>
                <w:color w:val="0000FF"/>
                <w:u w:val="single"/>
              </w:rPr>
            </w:pPr>
            <w:hyperlink r:id="rId64" w:history="1">
              <w:r w:rsidRPr="007B613B">
                <w:rPr>
                  <w:rStyle w:val="Hyperlink"/>
                </w:rPr>
                <w:t>1907.20(A)</w:t>
              </w:r>
            </w:hyperlink>
          </w:p>
        </w:tc>
        <w:tc>
          <w:tcPr>
            <w:tcW w:w="1841" w:type="pct"/>
            <w:tcBorders>
              <w:top w:val="nil"/>
              <w:left w:val="nil"/>
              <w:bottom w:val="single" w:sz="4" w:space="0" w:color="auto"/>
              <w:right w:val="single" w:sz="4" w:space="0" w:color="auto"/>
            </w:tcBorders>
            <w:noWrap/>
            <w:hideMark/>
          </w:tcPr>
          <w:p w14:paraId="3538DB31" w14:textId="77777777" w:rsidR="00B91787" w:rsidRPr="007B613B" w:rsidRDefault="00B91787" w:rsidP="008E25E3">
            <w:r w:rsidRPr="007B613B">
              <w:t>Clerk of County Court</w:t>
            </w:r>
          </w:p>
        </w:tc>
        <w:tc>
          <w:tcPr>
            <w:tcW w:w="1497" w:type="pct"/>
            <w:tcBorders>
              <w:top w:val="nil"/>
              <w:left w:val="nil"/>
              <w:bottom w:val="single" w:sz="4" w:space="0" w:color="auto"/>
              <w:right w:val="single" w:sz="12" w:space="0" w:color="auto"/>
            </w:tcBorders>
            <w:noWrap/>
            <w:vAlign w:val="center"/>
            <w:hideMark/>
          </w:tcPr>
          <w:p w14:paraId="613DBCAB" w14:textId="77777777" w:rsidR="00B91787" w:rsidRPr="007B613B" w:rsidRDefault="00B91787" w:rsidP="008E25E3">
            <w:r w:rsidRPr="007B613B">
              <w:t xml:space="preserve">$5,000 </w:t>
            </w:r>
          </w:p>
        </w:tc>
      </w:tr>
      <w:tr w:rsidR="00B91787" w:rsidRPr="007B613B" w14:paraId="21485014" w14:textId="77777777" w:rsidTr="00735838">
        <w:trPr>
          <w:trHeight w:val="300"/>
        </w:trPr>
        <w:tc>
          <w:tcPr>
            <w:tcW w:w="1033" w:type="pct"/>
            <w:vMerge/>
            <w:tcBorders>
              <w:left w:val="single" w:sz="12" w:space="0" w:color="auto"/>
            </w:tcBorders>
            <w:noWrap/>
            <w:hideMark/>
          </w:tcPr>
          <w:p w14:paraId="6051F56F" w14:textId="77777777" w:rsidR="00B91787" w:rsidRPr="007B613B" w:rsidRDefault="00B91787" w:rsidP="008E25E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4341840F" w14:textId="729F40C9" w:rsidR="00B91787" w:rsidRPr="007B613B" w:rsidRDefault="00B91787" w:rsidP="008E25E3">
            <w:pPr>
              <w:rPr>
                <w:color w:val="0000FF"/>
                <w:u w:val="single"/>
              </w:rPr>
            </w:pPr>
            <w:hyperlink r:id="rId65" w:history="1">
              <w:r w:rsidRPr="007B613B">
                <w:rPr>
                  <w:rStyle w:val="Hyperlink"/>
                </w:rPr>
                <w:t>2101.03</w:t>
              </w:r>
            </w:hyperlink>
          </w:p>
        </w:tc>
        <w:tc>
          <w:tcPr>
            <w:tcW w:w="1841" w:type="pct"/>
            <w:tcBorders>
              <w:top w:val="nil"/>
              <w:left w:val="nil"/>
              <w:bottom w:val="single" w:sz="4" w:space="0" w:color="auto"/>
              <w:right w:val="single" w:sz="4" w:space="0" w:color="auto"/>
            </w:tcBorders>
            <w:noWrap/>
            <w:hideMark/>
          </w:tcPr>
          <w:p w14:paraId="4373FA08" w14:textId="77777777" w:rsidR="00B91787" w:rsidRPr="007B613B" w:rsidRDefault="00B91787" w:rsidP="008E25E3">
            <w:r w:rsidRPr="007B613B">
              <w:t>Probate Judge</w:t>
            </w:r>
          </w:p>
        </w:tc>
        <w:tc>
          <w:tcPr>
            <w:tcW w:w="1497" w:type="pct"/>
            <w:tcBorders>
              <w:top w:val="nil"/>
              <w:left w:val="nil"/>
              <w:bottom w:val="single" w:sz="4" w:space="0" w:color="auto"/>
              <w:right w:val="single" w:sz="12" w:space="0" w:color="auto"/>
            </w:tcBorders>
            <w:noWrap/>
            <w:vAlign w:val="center"/>
            <w:hideMark/>
          </w:tcPr>
          <w:p w14:paraId="534BE2CA" w14:textId="77777777" w:rsidR="00B91787" w:rsidRPr="007B613B" w:rsidRDefault="00B91787" w:rsidP="008E25E3">
            <w:r w:rsidRPr="007B613B">
              <w:t xml:space="preserve">$5,000 </w:t>
            </w:r>
          </w:p>
        </w:tc>
      </w:tr>
      <w:tr w:rsidR="00B91787" w:rsidRPr="007B613B" w14:paraId="336234E4" w14:textId="77777777" w:rsidTr="00735838">
        <w:trPr>
          <w:trHeight w:val="300"/>
        </w:trPr>
        <w:tc>
          <w:tcPr>
            <w:tcW w:w="1033" w:type="pct"/>
            <w:vMerge/>
            <w:tcBorders>
              <w:left w:val="single" w:sz="12" w:space="0" w:color="auto"/>
            </w:tcBorders>
            <w:noWrap/>
            <w:hideMark/>
          </w:tcPr>
          <w:p w14:paraId="6E34C9EF" w14:textId="77777777" w:rsidR="00B91787" w:rsidRPr="007B613B" w:rsidRDefault="00B91787" w:rsidP="008E25E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7A33B847" w14:textId="62854DD6" w:rsidR="00B91787" w:rsidRPr="007B613B" w:rsidRDefault="00B91787" w:rsidP="008E25E3">
            <w:pPr>
              <w:rPr>
                <w:color w:val="0000FF"/>
                <w:u w:val="single"/>
              </w:rPr>
            </w:pPr>
            <w:hyperlink r:id="rId66" w:history="1">
              <w:r>
                <w:rPr>
                  <w:rStyle w:val="Hyperlink"/>
                </w:rPr>
                <w:t>2153.10</w:t>
              </w:r>
            </w:hyperlink>
          </w:p>
        </w:tc>
        <w:tc>
          <w:tcPr>
            <w:tcW w:w="1841" w:type="pct"/>
            <w:tcBorders>
              <w:top w:val="nil"/>
              <w:left w:val="nil"/>
              <w:bottom w:val="single" w:sz="4" w:space="0" w:color="auto"/>
              <w:right w:val="single" w:sz="4" w:space="0" w:color="auto"/>
            </w:tcBorders>
            <w:noWrap/>
            <w:hideMark/>
          </w:tcPr>
          <w:p w14:paraId="2D316FB5" w14:textId="77777777" w:rsidR="00B91787" w:rsidRPr="007B613B" w:rsidRDefault="00B91787" w:rsidP="008E25E3">
            <w:r w:rsidRPr="007B613B">
              <w:t>Cuyahoga county juvenile court judge/clerk</w:t>
            </w:r>
          </w:p>
        </w:tc>
        <w:tc>
          <w:tcPr>
            <w:tcW w:w="1497" w:type="pct"/>
            <w:tcBorders>
              <w:top w:val="nil"/>
              <w:left w:val="nil"/>
              <w:bottom w:val="single" w:sz="4" w:space="0" w:color="auto"/>
              <w:right w:val="single" w:sz="12" w:space="0" w:color="auto"/>
            </w:tcBorders>
            <w:noWrap/>
            <w:vAlign w:val="center"/>
            <w:hideMark/>
          </w:tcPr>
          <w:p w14:paraId="5C974C97" w14:textId="77777777" w:rsidR="00B91787" w:rsidRPr="007B613B" w:rsidRDefault="00B91787" w:rsidP="008E25E3">
            <w:r w:rsidRPr="007B613B">
              <w:t xml:space="preserve">$5,000 </w:t>
            </w:r>
          </w:p>
        </w:tc>
      </w:tr>
      <w:tr w:rsidR="00B91787" w:rsidRPr="007B613B" w14:paraId="0FCD0318" w14:textId="77777777" w:rsidTr="00735838">
        <w:trPr>
          <w:trHeight w:val="300"/>
        </w:trPr>
        <w:tc>
          <w:tcPr>
            <w:tcW w:w="1033" w:type="pct"/>
            <w:vMerge/>
            <w:tcBorders>
              <w:left w:val="single" w:sz="12" w:space="0" w:color="auto"/>
            </w:tcBorders>
            <w:noWrap/>
            <w:hideMark/>
          </w:tcPr>
          <w:p w14:paraId="5993E837" w14:textId="77777777" w:rsidR="00B91787" w:rsidRPr="007B613B" w:rsidRDefault="00B91787" w:rsidP="001E3E45">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A407A92" w14:textId="2F07FD75" w:rsidR="00B91787" w:rsidRPr="007B613B" w:rsidRDefault="00B91787" w:rsidP="001E3E45">
            <w:pPr>
              <w:rPr>
                <w:color w:val="0000FF"/>
                <w:u w:val="single"/>
              </w:rPr>
            </w:pPr>
            <w:hyperlink r:id="rId67" w:history="1">
              <w:r w:rsidRPr="007B613B">
                <w:rPr>
                  <w:rStyle w:val="Hyperlink"/>
                </w:rPr>
                <w:t>2301.16</w:t>
              </w:r>
            </w:hyperlink>
          </w:p>
        </w:tc>
        <w:tc>
          <w:tcPr>
            <w:tcW w:w="1841" w:type="pct"/>
            <w:tcBorders>
              <w:top w:val="nil"/>
              <w:left w:val="nil"/>
              <w:bottom w:val="single" w:sz="4" w:space="0" w:color="auto"/>
              <w:right w:val="single" w:sz="4" w:space="0" w:color="auto"/>
            </w:tcBorders>
            <w:noWrap/>
            <w:hideMark/>
          </w:tcPr>
          <w:p w14:paraId="36AAFECB" w14:textId="77777777" w:rsidR="00B91787" w:rsidRPr="007B613B" w:rsidRDefault="00B91787" w:rsidP="001E3E45">
            <w:r w:rsidRPr="007B613B">
              <w:t>Criminal Bailiff of Court of Common Pleas</w:t>
            </w:r>
          </w:p>
        </w:tc>
        <w:tc>
          <w:tcPr>
            <w:tcW w:w="1497" w:type="pct"/>
            <w:tcBorders>
              <w:top w:val="nil"/>
              <w:left w:val="nil"/>
              <w:bottom w:val="single" w:sz="4" w:space="0" w:color="auto"/>
              <w:right w:val="single" w:sz="12" w:space="0" w:color="auto"/>
            </w:tcBorders>
            <w:noWrap/>
            <w:vAlign w:val="center"/>
            <w:hideMark/>
          </w:tcPr>
          <w:p w14:paraId="58FD7DB9" w14:textId="77777777" w:rsidR="00B91787" w:rsidRPr="007B613B" w:rsidRDefault="00B91787" w:rsidP="001E3E45">
            <w:r w:rsidRPr="007B613B">
              <w:t xml:space="preserve">$5,000 </w:t>
            </w:r>
          </w:p>
        </w:tc>
      </w:tr>
      <w:tr w:rsidR="00B91787" w:rsidRPr="007B613B" w14:paraId="78EEAD51" w14:textId="77777777" w:rsidTr="00735838">
        <w:trPr>
          <w:trHeight w:val="300"/>
        </w:trPr>
        <w:tc>
          <w:tcPr>
            <w:tcW w:w="1033" w:type="pct"/>
            <w:vMerge/>
            <w:tcBorders>
              <w:left w:val="single" w:sz="12" w:space="0" w:color="auto"/>
            </w:tcBorders>
            <w:noWrap/>
            <w:hideMark/>
          </w:tcPr>
          <w:p w14:paraId="46FC5DE0" w14:textId="77777777" w:rsidR="00B91787" w:rsidRPr="007B613B" w:rsidRDefault="00B91787" w:rsidP="008E25E3">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5AAA3004" w14:textId="60934EDD" w:rsidR="00B91787" w:rsidRPr="007B613B" w:rsidRDefault="00B91787" w:rsidP="008E25E3">
            <w:pPr>
              <w:rPr>
                <w:color w:val="0000FF"/>
                <w:u w:val="single"/>
              </w:rPr>
            </w:pPr>
            <w:hyperlink r:id="rId68" w:history="1">
              <w:r w:rsidRPr="007B613B">
                <w:rPr>
                  <w:rStyle w:val="Hyperlink"/>
                </w:rPr>
                <w:t>2303.02</w:t>
              </w:r>
            </w:hyperlink>
          </w:p>
        </w:tc>
        <w:tc>
          <w:tcPr>
            <w:tcW w:w="1841" w:type="pct"/>
            <w:tcBorders>
              <w:top w:val="nil"/>
              <w:left w:val="nil"/>
              <w:bottom w:val="single" w:sz="4" w:space="0" w:color="auto"/>
              <w:right w:val="single" w:sz="4" w:space="0" w:color="auto"/>
            </w:tcBorders>
            <w:noWrap/>
            <w:hideMark/>
          </w:tcPr>
          <w:p w14:paraId="4E00FAE5" w14:textId="77777777" w:rsidR="00B91787" w:rsidRPr="007B613B" w:rsidRDefault="00B91787" w:rsidP="008E25E3">
            <w:r w:rsidRPr="007B613B">
              <w:t>Clerk of the Court of Common Pleas</w:t>
            </w:r>
          </w:p>
        </w:tc>
        <w:tc>
          <w:tcPr>
            <w:tcW w:w="1497" w:type="pct"/>
            <w:tcBorders>
              <w:top w:val="nil"/>
              <w:left w:val="nil"/>
              <w:bottom w:val="single" w:sz="4" w:space="0" w:color="auto"/>
              <w:right w:val="single" w:sz="12" w:space="0" w:color="auto"/>
            </w:tcBorders>
            <w:noWrap/>
            <w:vAlign w:val="center"/>
            <w:hideMark/>
          </w:tcPr>
          <w:p w14:paraId="16A5FD2F" w14:textId="77777777" w:rsidR="00B91787" w:rsidRPr="007B613B" w:rsidRDefault="00B91787" w:rsidP="008E25E3">
            <w:r w:rsidRPr="007B613B">
              <w:t>$10,000 - $40,000</w:t>
            </w:r>
          </w:p>
        </w:tc>
      </w:tr>
      <w:tr w:rsidR="00B91787" w:rsidRPr="007B613B" w14:paraId="7C83786D" w14:textId="77777777" w:rsidTr="00735838">
        <w:trPr>
          <w:trHeight w:val="300"/>
        </w:trPr>
        <w:tc>
          <w:tcPr>
            <w:tcW w:w="1033" w:type="pct"/>
            <w:vMerge/>
            <w:tcBorders>
              <w:left w:val="single" w:sz="12" w:space="0" w:color="auto"/>
            </w:tcBorders>
            <w:noWrap/>
            <w:hideMark/>
          </w:tcPr>
          <w:p w14:paraId="777BF3EF" w14:textId="77777777" w:rsidR="00B91787" w:rsidRPr="007B613B" w:rsidRDefault="00B91787" w:rsidP="001E3E45">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694A0D3C" w14:textId="0E455A91" w:rsidR="00B91787" w:rsidRPr="007B613B" w:rsidRDefault="00B91787" w:rsidP="001E3E45">
            <w:pPr>
              <w:rPr>
                <w:color w:val="0000FF"/>
                <w:u w:val="single"/>
              </w:rPr>
            </w:pPr>
            <w:hyperlink r:id="rId69" w:history="1">
              <w:r w:rsidRPr="007B613B">
                <w:rPr>
                  <w:rStyle w:val="Hyperlink"/>
                </w:rPr>
                <w:t>5153.13</w:t>
              </w:r>
            </w:hyperlink>
          </w:p>
        </w:tc>
        <w:tc>
          <w:tcPr>
            <w:tcW w:w="1841" w:type="pct"/>
            <w:tcBorders>
              <w:top w:val="nil"/>
              <w:left w:val="nil"/>
              <w:bottom w:val="single" w:sz="4" w:space="0" w:color="auto"/>
              <w:right w:val="single" w:sz="4" w:space="0" w:color="auto"/>
            </w:tcBorders>
            <w:noWrap/>
            <w:hideMark/>
          </w:tcPr>
          <w:p w14:paraId="58EAA8E9" w14:textId="77777777" w:rsidR="00B91787" w:rsidRPr="007B613B" w:rsidRDefault="00B91787" w:rsidP="001E3E45">
            <w:r w:rsidRPr="007B613B">
              <w:t>Executive Director of Children Services</w:t>
            </w:r>
          </w:p>
        </w:tc>
        <w:tc>
          <w:tcPr>
            <w:tcW w:w="1497" w:type="pct"/>
            <w:tcBorders>
              <w:top w:val="nil"/>
              <w:left w:val="nil"/>
              <w:bottom w:val="single" w:sz="4" w:space="0" w:color="auto"/>
              <w:right w:val="single" w:sz="12" w:space="0" w:color="auto"/>
            </w:tcBorders>
            <w:noWrap/>
            <w:vAlign w:val="center"/>
            <w:hideMark/>
          </w:tcPr>
          <w:p w14:paraId="3D5EE4FC" w14:textId="77777777" w:rsidR="00B91787" w:rsidRPr="007B613B" w:rsidRDefault="00B91787" w:rsidP="001E3E45">
            <w:r w:rsidRPr="007B613B">
              <w:t xml:space="preserve">$5,000 </w:t>
            </w:r>
          </w:p>
        </w:tc>
      </w:tr>
      <w:tr w:rsidR="00B91787" w:rsidRPr="007B613B" w14:paraId="742732DC" w14:textId="77777777" w:rsidTr="00735838">
        <w:trPr>
          <w:trHeight w:val="300"/>
        </w:trPr>
        <w:tc>
          <w:tcPr>
            <w:tcW w:w="1033" w:type="pct"/>
            <w:vMerge/>
            <w:tcBorders>
              <w:left w:val="single" w:sz="12" w:space="0" w:color="auto"/>
            </w:tcBorders>
            <w:noWrap/>
            <w:hideMark/>
          </w:tcPr>
          <w:p w14:paraId="5AAFE87B" w14:textId="77777777" w:rsidR="00B91787" w:rsidRPr="007B613B" w:rsidRDefault="00B91787" w:rsidP="00074B03">
            <w:pPr>
              <w:rPr>
                <w:color w:val="000000"/>
              </w:rPr>
            </w:pPr>
          </w:p>
        </w:tc>
        <w:tc>
          <w:tcPr>
            <w:tcW w:w="629" w:type="pct"/>
            <w:tcBorders>
              <w:top w:val="nil"/>
              <w:left w:val="single" w:sz="4" w:space="0" w:color="auto"/>
              <w:bottom w:val="single" w:sz="12" w:space="0" w:color="auto"/>
              <w:right w:val="single" w:sz="4" w:space="0" w:color="auto"/>
            </w:tcBorders>
            <w:shd w:val="clear" w:color="auto" w:fill="FFFF00"/>
            <w:noWrap/>
          </w:tcPr>
          <w:p w14:paraId="29768C54" w14:textId="15B01DD5" w:rsidR="00B91787" w:rsidRPr="007B613B" w:rsidRDefault="00B91787" w:rsidP="00074B03">
            <w:pPr>
              <w:rPr>
                <w:color w:val="0000FF"/>
                <w:u w:val="single"/>
              </w:rPr>
            </w:pPr>
            <w:hyperlink r:id="rId70" w:history="1">
              <w:r w:rsidRPr="007B613B">
                <w:rPr>
                  <w:rStyle w:val="Hyperlink"/>
                </w:rPr>
                <w:t>5593.05</w:t>
              </w:r>
            </w:hyperlink>
          </w:p>
        </w:tc>
        <w:tc>
          <w:tcPr>
            <w:tcW w:w="1841" w:type="pct"/>
            <w:tcBorders>
              <w:top w:val="nil"/>
              <w:left w:val="nil"/>
              <w:bottom w:val="single" w:sz="12" w:space="0" w:color="auto"/>
              <w:right w:val="single" w:sz="4" w:space="0" w:color="auto"/>
            </w:tcBorders>
            <w:noWrap/>
          </w:tcPr>
          <w:p w14:paraId="43F23D98" w14:textId="78102389" w:rsidR="00B91787" w:rsidRPr="007B613B" w:rsidRDefault="00B91787" w:rsidP="00074B03">
            <w:r w:rsidRPr="007B613B">
              <w:t>Bridge Commissioner</w:t>
            </w:r>
          </w:p>
        </w:tc>
        <w:tc>
          <w:tcPr>
            <w:tcW w:w="1497" w:type="pct"/>
            <w:tcBorders>
              <w:top w:val="nil"/>
              <w:left w:val="nil"/>
              <w:bottom w:val="single" w:sz="12" w:space="0" w:color="auto"/>
              <w:right w:val="single" w:sz="12" w:space="0" w:color="auto"/>
            </w:tcBorders>
            <w:noWrap/>
            <w:vAlign w:val="center"/>
          </w:tcPr>
          <w:p w14:paraId="3F31CA35" w14:textId="1E3026EC" w:rsidR="00B91787" w:rsidRPr="007B613B" w:rsidRDefault="00B91787" w:rsidP="00074B03">
            <w:r w:rsidRPr="007B613B">
              <w:t xml:space="preserve">$5,000 </w:t>
            </w:r>
          </w:p>
        </w:tc>
      </w:tr>
      <w:tr w:rsidR="00B91787" w:rsidRPr="007B613B" w14:paraId="64C6E3D6" w14:textId="77777777" w:rsidTr="31335BFF">
        <w:trPr>
          <w:trHeight w:val="315"/>
        </w:trPr>
        <w:tc>
          <w:tcPr>
            <w:tcW w:w="1033" w:type="pct"/>
            <w:tcBorders>
              <w:top w:val="single" w:sz="12" w:space="0" w:color="auto"/>
              <w:left w:val="single" w:sz="12" w:space="0" w:color="auto"/>
              <w:bottom w:val="single" w:sz="12" w:space="0" w:color="auto"/>
              <w:right w:val="nil"/>
            </w:tcBorders>
            <w:noWrap/>
          </w:tcPr>
          <w:p w14:paraId="2D7BC6EC" w14:textId="095739D7" w:rsidR="00B91787" w:rsidRPr="007B613B" w:rsidRDefault="00B91787" w:rsidP="00B91787">
            <w:pPr>
              <w:rPr>
                <w:color w:val="000000"/>
              </w:rPr>
            </w:pPr>
            <w:r w:rsidRPr="00995C1D">
              <w:t>Sanitary Districts</w:t>
            </w:r>
          </w:p>
        </w:tc>
        <w:tc>
          <w:tcPr>
            <w:tcW w:w="629" w:type="pct"/>
            <w:tcBorders>
              <w:top w:val="single" w:sz="12" w:space="0" w:color="auto"/>
              <w:left w:val="single" w:sz="4" w:space="0" w:color="auto"/>
              <w:bottom w:val="single" w:sz="12" w:space="0" w:color="auto"/>
              <w:right w:val="single" w:sz="4" w:space="0" w:color="auto"/>
            </w:tcBorders>
            <w:noWrap/>
          </w:tcPr>
          <w:p w14:paraId="008B0B47" w14:textId="20752DDA" w:rsidR="00B91787" w:rsidRDefault="00B91787" w:rsidP="00B91787">
            <w:hyperlink r:id="rId71" w:history="1">
              <w:r w:rsidRPr="007B613B">
                <w:rPr>
                  <w:rStyle w:val="Hyperlink"/>
                </w:rPr>
                <w:t>6115.57</w:t>
              </w:r>
            </w:hyperlink>
          </w:p>
        </w:tc>
        <w:tc>
          <w:tcPr>
            <w:tcW w:w="1841" w:type="pct"/>
            <w:tcBorders>
              <w:top w:val="single" w:sz="12" w:space="0" w:color="auto"/>
              <w:left w:val="nil"/>
              <w:bottom w:val="single" w:sz="12" w:space="0" w:color="auto"/>
              <w:right w:val="single" w:sz="4" w:space="0" w:color="auto"/>
            </w:tcBorders>
            <w:noWrap/>
          </w:tcPr>
          <w:p w14:paraId="713C5777" w14:textId="10A5FA9E" w:rsidR="00B91787" w:rsidRPr="007B613B" w:rsidRDefault="00B91787" w:rsidP="00B91787">
            <w:r>
              <w:t>County T</w:t>
            </w:r>
            <w:r w:rsidRPr="007B613B">
              <w:t>reasurer</w:t>
            </w:r>
          </w:p>
        </w:tc>
        <w:tc>
          <w:tcPr>
            <w:tcW w:w="1497" w:type="pct"/>
            <w:tcBorders>
              <w:top w:val="single" w:sz="12" w:space="0" w:color="auto"/>
              <w:left w:val="nil"/>
              <w:bottom w:val="single" w:sz="12" w:space="0" w:color="auto"/>
              <w:right w:val="single" w:sz="12" w:space="0" w:color="auto"/>
            </w:tcBorders>
            <w:noWrap/>
            <w:vAlign w:val="center"/>
          </w:tcPr>
          <w:p w14:paraId="32F464AC" w14:textId="4A8C47DB" w:rsidR="00B91787" w:rsidRPr="007B613B" w:rsidRDefault="00B91787" w:rsidP="00B91787">
            <w:r w:rsidRPr="007B613B">
              <w:t xml:space="preserve">not less than probable </w:t>
            </w:r>
            <w:proofErr w:type="gramStart"/>
            <w:r w:rsidRPr="007B613B">
              <w:t>amount</w:t>
            </w:r>
            <w:proofErr w:type="gramEnd"/>
            <w:r w:rsidRPr="007B613B">
              <w:t xml:space="preserve"> of levy(s)</w:t>
            </w:r>
          </w:p>
        </w:tc>
      </w:tr>
      <w:tr w:rsidR="00B91787" w:rsidRPr="007B613B" w14:paraId="383DE9E6" w14:textId="77777777" w:rsidTr="31335BFF">
        <w:trPr>
          <w:trHeight w:val="300"/>
        </w:trPr>
        <w:tc>
          <w:tcPr>
            <w:tcW w:w="1033" w:type="pct"/>
            <w:vMerge w:val="restart"/>
            <w:tcBorders>
              <w:top w:val="single" w:sz="12" w:space="0" w:color="auto"/>
              <w:left w:val="single" w:sz="12" w:space="0" w:color="auto"/>
              <w:right w:val="nil"/>
            </w:tcBorders>
            <w:noWrap/>
            <w:hideMark/>
          </w:tcPr>
          <w:p w14:paraId="71A372B8" w14:textId="77777777" w:rsidR="00B91787" w:rsidRPr="007B613B" w:rsidRDefault="00B91787" w:rsidP="00B91787">
            <w:pPr>
              <w:rPr>
                <w:color w:val="000000"/>
              </w:rPr>
            </w:pPr>
            <w:r w:rsidRPr="007B613B">
              <w:rPr>
                <w:color w:val="000000"/>
              </w:rPr>
              <w:t>Township</w:t>
            </w:r>
          </w:p>
        </w:tc>
        <w:tc>
          <w:tcPr>
            <w:tcW w:w="629" w:type="pct"/>
            <w:tcBorders>
              <w:top w:val="single" w:sz="12" w:space="0" w:color="auto"/>
              <w:left w:val="single" w:sz="4" w:space="0" w:color="auto"/>
              <w:bottom w:val="single" w:sz="4" w:space="0" w:color="auto"/>
              <w:right w:val="single" w:sz="4" w:space="0" w:color="auto"/>
            </w:tcBorders>
            <w:shd w:val="clear" w:color="auto" w:fill="FFFF00"/>
            <w:noWrap/>
            <w:hideMark/>
          </w:tcPr>
          <w:p w14:paraId="2674F841" w14:textId="4A6CC3E2" w:rsidR="00B91787" w:rsidRPr="007B613B" w:rsidRDefault="00B91787" w:rsidP="00B91787">
            <w:pPr>
              <w:rPr>
                <w:color w:val="0000FF"/>
                <w:u w:val="single"/>
              </w:rPr>
            </w:pPr>
            <w:hyperlink r:id="rId72" w:history="1">
              <w:r w:rsidRPr="007B613B">
                <w:rPr>
                  <w:rStyle w:val="Hyperlink"/>
                </w:rPr>
                <w:t>505.02</w:t>
              </w:r>
            </w:hyperlink>
          </w:p>
        </w:tc>
        <w:tc>
          <w:tcPr>
            <w:tcW w:w="1841" w:type="pct"/>
            <w:tcBorders>
              <w:top w:val="single" w:sz="12" w:space="0" w:color="auto"/>
              <w:left w:val="nil"/>
              <w:bottom w:val="single" w:sz="4" w:space="0" w:color="auto"/>
              <w:right w:val="single" w:sz="4" w:space="0" w:color="auto"/>
            </w:tcBorders>
            <w:noWrap/>
            <w:hideMark/>
          </w:tcPr>
          <w:p w14:paraId="70648F61" w14:textId="77777777" w:rsidR="00B91787" w:rsidRPr="007B613B" w:rsidRDefault="00B91787" w:rsidP="00B91787">
            <w:r w:rsidRPr="007B613B">
              <w:t>Trustees</w:t>
            </w:r>
          </w:p>
        </w:tc>
        <w:tc>
          <w:tcPr>
            <w:tcW w:w="1497" w:type="pct"/>
            <w:tcBorders>
              <w:top w:val="single" w:sz="12" w:space="0" w:color="auto"/>
              <w:left w:val="nil"/>
              <w:bottom w:val="single" w:sz="4" w:space="0" w:color="auto"/>
              <w:right w:val="single" w:sz="12" w:space="0" w:color="auto"/>
            </w:tcBorders>
            <w:noWrap/>
            <w:vAlign w:val="center"/>
            <w:hideMark/>
          </w:tcPr>
          <w:p w14:paraId="5CDD7E2A" w14:textId="77777777" w:rsidR="00B91787" w:rsidRPr="007B613B" w:rsidRDefault="00B91787" w:rsidP="00B91787">
            <w:r w:rsidRPr="007B613B">
              <w:t xml:space="preserve">$1,000 </w:t>
            </w:r>
          </w:p>
        </w:tc>
      </w:tr>
      <w:tr w:rsidR="00B91787" w:rsidRPr="007B613B" w14:paraId="04EEC8A6" w14:textId="77777777" w:rsidTr="00735838">
        <w:trPr>
          <w:trHeight w:val="300"/>
        </w:trPr>
        <w:tc>
          <w:tcPr>
            <w:tcW w:w="1033" w:type="pct"/>
            <w:vMerge/>
            <w:tcBorders>
              <w:left w:val="single" w:sz="12" w:space="0" w:color="auto"/>
            </w:tcBorders>
            <w:noWrap/>
            <w:hideMark/>
          </w:tcPr>
          <w:p w14:paraId="3A42F1D3"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3543FA41" w14:textId="49A39E13" w:rsidR="00B91787" w:rsidRPr="007B613B" w:rsidRDefault="00B91787" w:rsidP="00B91787">
            <w:pPr>
              <w:rPr>
                <w:color w:val="0000FF"/>
                <w:u w:val="single"/>
              </w:rPr>
            </w:pPr>
            <w:hyperlink r:id="rId73" w:history="1">
              <w:r w:rsidRPr="007B613B">
                <w:rPr>
                  <w:rStyle w:val="Hyperlink"/>
                </w:rPr>
                <w:t>507.03</w:t>
              </w:r>
            </w:hyperlink>
          </w:p>
        </w:tc>
        <w:tc>
          <w:tcPr>
            <w:tcW w:w="1841" w:type="pct"/>
            <w:tcBorders>
              <w:top w:val="nil"/>
              <w:left w:val="nil"/>
              <w:bottom w:val="single" w:sz="4" w:space="0" w:color="auto"/>
              <w:right w:val="single" w:sz="4" w:space="0" w:color="auto"/>
            </w:tcBorders>
            <w:noWrap/>
            <w:hideMark/>
          </w:tcPr>
          <w:p w14:paraId="0BE457D9" w14:textId="77777777" w:rsidR="00B91787" w:rsidRPr="007B613B" w:rsidRDefault="00B91787" w:rsidP="00B91787">
            <w:r w:rsidRPr="007B613B">
              <w:t>Fiscal Officer</w:t>
            </w:r>
          </w:p>
        </w:tc>
        <w:tc>
          <w:tcPr>
            <w:tcW w:w="1497" w:type="pct"/>
            <w:tcBorders>
              <w:top w:val="nil"/>
              <w:left w:val="nil"/>
              <w:bottom w:val="single" w:sz="4" w:space="0" w:color="auto"/>
              <w:right w:val="single" w:sz="12" w:space="0" w:color="auto"/>
            </w:tcBorders>
            <w:noWrap/>
            <w:vAlign w:val="center"/>
            <w:hideMark/>
          </w:tcPr>
          <w:p w14:paraId="520AD734" w14:textId="77777777" w:rsidR="00B91787" w:rsidRPr="007B613B" w:rsidRDefault="00B91787" w:rsidP="00B91787">
            <w:r w:rsidRPr="007B613B">
              <w:t>Based on budget</w:t>
            </w:r>
          </w:p>
        </w:tc>
      </w:tr>
      <w:tr w:rsidR="00B91787" w:rsidRPr="007B613B" w14:paraId="36D6C2DD" w14:textId="77777777" w:rsidTr="00735838">
        <w:trPr>
          <w:trHeight w:val="300"/>
        </w:trPr>
        <w:tc>
          <w:tcPr>
            <w:tcW w:w="1033" w:type="pct"/>
            <w:vMerge/>
            <w:tcBorders>
              <w:left w:val="single" w:sz="12" w:space="0" w:color="auto"/>
            </w:tcBorders>
            <w:noWrap/>
            <w:hideMark/>
          </w:tcPr>
          <w:p w14:paraId="57944B37"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6F165EAF" w14:textId="24F42B1A" w:rsidR="00B91787" w:rsidRPr="007B613B" w:rsidRDefault="00B91787" w:rsidP="00B91787">
            <w:pPr>
              <w:rPr>
                <w:color w:val="0000FF"/>
                <w:u w:val="single"/>
              </w:rPr>
            </w:pPr>
            <w:hyperlink r:id="rId74" w:history="1">
              <w:r w:rsidRPr="007B613B">
                <w:rPr>
                  <w:rStyle w:val="Hyperlink"/>
                </w:rPr>
                <w:t>509.02</w:t>
              </w:r>
            </w:hyperlink>
          </w:p>
        </w:tc>
        <w:tc>
          <w:tcPr>
            <w:tcW w:w="1841" w:type="pct"/>
            <w:tcBorders>
              <w:top w:val="nil"/>
              <w:left w:val="nil"/>
              <w:bottom w:val="single" w:sz="4" w:space="0" w:color="auto"/>
              <w:right w:val="single" w:sz="4" w:space="0" w:color="auto"/>
            </w:tcBorders>
            <w:noWrap/>
            <w:hideMark/>
          </w:tcPr>
          <w:p w14:paraId="483B5A62" w14:textId="77777777" w:rsidR="00B91787" w:rsidRPr="007B613B" w:rsidRDefault="00B91787" w:rsidP="00B91787">
            <w:r w:rsidRPr="007B613B">
              <w:t>Constable</w:t>
            </w:r>
          </w:p>
        </w:tc>
        <w:tc>
          <w:tcPr>
            <w:tcW w:w="1497" w:type="pct"/>
            <w:tcBorders>
              <w:top w:val="nil"/>
              <w:left w:val="nil"/>
              <w:bottom w:val="single" w:sz="4" w:space="0" w:color="auto"/>
              <w:right w:val="single" w:sz="12" w:space="0" w:color="auto"/>
            </w:tcBorders>
            <w:noWrap/>
            <w:vAlign w:val="center"/>
            <w:hideMark/>
          </w:tcPr>
          <w:p w14:paraId="2807305A" w14:textId="77777777" w:rsidR="00B91787" w:rsidRPr="007B613B" w:rsidRDefault="00B91787" w:rsidP="00B91787">
            <w:r w:rsidRPr="007B613B">
              <w:t>$500 - $2,000</w:t>
            </w:r>
          </w:p>
        </w:tc>
      </w:tr>
      <w:tr w:rsidR="00B91787" w:rsidRPr="007B613B" w14:paraId="3A898F6C" w14:textId="77777777" w:rsidTr="00735838">
        <w:trPr>
          <w:trHeight w:val="300"/>
        </w:trPr>
        <w:tc>
          <w:tcPr>
            <w:tcW w:w="1033" w:type="pct"/>
            <w:vMerge/>
            <w:tcBorders>
              <w:left w:val="single" w:sz="12" w:space="0" w:color="auto"/>
            </w:tcBorders>
            <w:noWrap/>
            <w:hideMark/>
          </w:tcPr>
          <w:p w14:paraId="67FE6DC7"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26C64ECD" w14:textId="46264303" w:rsidR="00B91787" w:rsidRPr="007B613B" w:rsidRDefault="00B91787" w:rsidP="00B91787">
            <w:pPr>
              <w:rPr>
                <w:color w:val="0000FF"/>
                <w:u w:val="single"/>
              </w:rPr>
            </w:pPr>
            <w:hyperlink r:id="rId75" w:history="1">
              <w:r w:rsidRPr="007B613B">
                <w:rPr>
                  <w:rStyle w:val="Hyperlink"/>
                </w:rPr>
                <w:t>519.161</w:t>
              </w:r>
            </w:hyperlink>
          </w:p>
        </w:tc>
        <w:tc>
          <w:tcPr>
            <w:tcW w:w="1841" w:type="pct"/>
            <w:tcBorders>
              <w:top w:val="nil"/>
              <w:left w:val="nil"/>
              <w:bottom w:val="single" w:sz="4" w:space="0" w:color="auto"/>
              <w:right w:val="single" w:sz="4" w:space="0" w:color="auto"/>
            </w:tcBorders>
            <w:noWrap/>
            <w:hideMark/>
          </w:tcPr>
          <w:p w14:paraId="20C9CA58" w14:textId="77777777" w:rsidR="00B91787" w:rsidRPr="007B613B" w:rsidRDefault="00B91787" w:rsidP="00B91787">
            <w:r w:rsidRPr="007B613B">
              <w:t>Zoning Inspector</w:t>
            </w:r>
          </w:p>
        </w:tc>
        <w:tc>
          <w:tcPr>
            <w:tcW w:w="1497" w:type="pct"/>
            <w:tcBorders>
              <w:top w:val="nil"/>
              <w:left w:val="nil"/>
              <w:bottom w:val="single" w:sz="4" w:space="0" w:color="auto"/>
              <w:right w:val="single" w:sz="12" w:space="0" w:color="auto"/>
            </w:tcBorders>
            <w:noWrap/>
            <w:vAlign w:val="center"/>
            <w:hideMark/>
          </w:tcPr>
          <w:p w14:paraId="78644A76" w14:textId="77777777" w:rsidR="00B91787" w:rsidRPr="007B613B" w:rsidRDefault="00B91787" w:rsidP="00B91787">
            <w:r w:rsidRPr="007B613B">
              <w:t>$1,000 - $5,000</w:t>
            </w:r>
          </w:p>
        </w:tc>
      </w:tr>
      <w:tr w:rsidR="00B91787" w:rsidRPr="007B613B" w14:paraId="0F5671F8" w14:textId="77777777" w:rsidTr="00735838">
        <w:trPr>
          <w:trHeight w:val="315"/>
        </w:trPr>
        <w:tc>
          <w:tcPr>
            <w:tcW w:w="1033" w:type="pct"/>
            <w:vMerge/>
            <w:tcBorders>
              <w:left w:val="single" w:sz="12" w:space="0" w:color="auto"/>
            </w:tcBorders>
            <w:noWrap/>
            <w:hideMark/>
          </w:tcPr>
          <w:p w14:paraId="4A4FF421" w14:textId="77777777" w:rsidR="00B91787" w:rsidRPr="007B613B" w:rsidRDefault="00B91787" w:rsidP="00B91787">
            <w:pPr>
              <w:rPr>
                <w:color w:val="000000"/>
              </w:rPr>
            </w:pPr>
          </w:p>
        </w:tc>
        <w:tc>
          <w:tcPr>
            <w:tcW w:w="629" w:type="pct"/>
            <w:tcBorders>
              <w:top w:val="nil"/>
              <w:left w:val="single" w:sz="4" w:space="0" w:color="auto"/>
              <w:bottom w:val="single" w:sz="12" w:space="0" w:color="auto"/>
              <w:right w:val="single" w:sz="4" w:space="0" w:color="auto"/>
            </w:tcBorders>
            <w:shd w:val="clear" w:color="auto" w:fill="FFFF00"/>
            <w:noWrap/>
            <w:hideMark/>
          </w:tcPr>
          <w:p w14:paraId="78558448" w14:textId="44E59744" w:rsidR="00B91787" w:rsidRPr="007B613B" w:rsidRDefault="00B91787" w:rsidP="00B91787">
            <w:pPr>
              <w:rPr>
                <w:color w:val="0000FF"/>
                <w:u w:val="single"/>
              </w:rPr>
            </w:pPr>
            <w:hyperlink r:id="rId76" w:history="1">
              <w:r w:rsidRPr="007B613B">
                <w:rPr>
                  <w:rStyle w:val="Hyperlink"/>
                </w:rPr>
                <w:t>5571.04</w:t>
              </w:r>
            </w:hyperlink>
          </w:p>
        </w:tc>
        <w:tc>
          <w:tcPr>
            <w:tcW w:w="1841" w:type="pct"/>
            <w:tcBorders>
              <w:top w:val="nil"/>
              <w:left w:val="nil"/>
              <w:bottom w:val="single" w:sz="12" w:space="0" w:color="auto"/>
              <w:right w:val="single" w:sz="4" w:space="0" w:color="auto"/>
            </w:tcBorders>
            <w:noWrap/>
            <w:hideMark/>
          </w:tcPr>
          <w:p w14:paraId="03C0A663" w14:textId="77777777" w:rsidR="00B91787" w:rsidRPr="007B613B" w:rsidRDefault="00B91787" w:rsidP="00B91787">
            <w:r w:rsidRPr="007B613B">
              <w:t>Highway Superintendent</w:t>
            </w:r>
          </w:p>
        </w:tc>
        <w:tc>
          <w:tcPr>
            <w:tcW w:w="1497" w:type="pct"/>
            <w:tcBorders>
              <w:top w:val="nil"/>
              <w:left w:val="nil"/>
              <w:bottom w:val="single" w:sz="12" w:space="0" w:color="auto"/>
              <w:right w:val="single" w:sz="12" w:space="0" w:color="auto"/>
            </w:tcBorders>
            <w:noWrap/>
            <w:vAlign w:val="center"/>
            <w:hideMark/>
          </w:tcPr>
          <w:p w14:paraId="10BBCA8E" w14:textId="77777777" w:rsidR="00B91787" w:rsidRPr="007B613B" w:rsidRDefault="00B91787" w:rsidP="00B91787">
            <w:r w:rsidRPr="007B613B">
              <w:t xml:space="preserve">$2,000 </w:t>
            </w:r>
          </w:p>
        </w:tc>
      </w:tr>
      <w:tr w:rsidR="00B91787" w:rsidRPr="007B613B" w14:paraId="386D4003" w14:textId="77777777" w:rsidTr="31335BFF">
        <w:trPr>
          <w:trHeight w:val="300"/>
        </w:trPr>
        <w:tc>
          <w:tcPr>
            <w:tcW w:w="1033" w:type="pct"/>
            <w:vMerge w:val="restart"/>
            <w:tcBorders>
              <w:top w:val="single" w:sz="12" w:space="0" w:color="auto"/>
              <w:left w:val="single" w:sz="12" w:space="0" w:color="auto"/>
              <w:right w:val="nil"/>
            </w:tcBorders>
            <w:noWrap/>
            <w:hideMark/>
          </w:tcPr>
          <w:p w14:paraId="025EFC68" w14:textId="77777777" w:rsidR="00B91787" w:rsidRPr="007B613B" w:rsidRDefault="00B91787" w:rsidP="00B91787">
            <w:pPr>
              <w:rPr>
                <w:color w:val="000000"/>
              </w:rPr>
            </w:pPr>
            <w:r w:rsidRPr="007B613B">
              <w:rPr>
                <w:color w:val="000000"/>
              </w:rPr>
              <w:t>City</w:t>
            </w:r>
          </w:p>
        </w:tc>
        <w:tc>
          <w:tcPr>
            <w:tcW w:w="629" w:type="pct"/>
            <w:tcBorders>
              <w:top w:val="single" w:sz="12" w:space="0" w:color="auto"/>
              <w:left w:val="single" w:sz="4" w:space="0" w:color="auto"/>
              <w:bottom w:val="single" w:sz="4" w:space="0" w:color="auto"/>
              <w:right w:val="single" w:sz="4" w:space="0" w:color="auto"/>
            </w:tcBorders>
            <w:shd w:val="clear" w:color="auto" w:fill="FFFF00"/>
            <w:noWrap/>
            <w:hideMark/>
          </w:tcPr>
          <w:p w14:paraId="1105D5EF" w14:textId="36E8E8FD" w:rsidR="00B91787" w:rsidRPr="007B613B" w:rsidRDefault="00B91787" w:rsidP="00B91787">
            <w:pPr>
              <w:rPr>
                <w:color w:val="0000FF"/>
                <w:u w:val="single"/>
              </w:rPr>
            </w:pPr>
            <w:hyperlink r:id="rId77" w:history="1">
              <w:r w:rsidRPr="007B613B">
                <w:rPr>
                  <w:rStyle w:val="Hyperlink"/>
                </w:rPr>
                <w:t>749.22</w:t>
              </w:r>
            </w:hyperlink>
          </w:p>
        </w:tc>
        <w:tc>
          <w:tcPr>
            <w:tcW w:w="1841" w:type="pct"/>
            <w:tcBorders>
              <w:top w:val="single" w:sz="12" w:space="0" w:color="auto"/>
              <w:left w:val="nil"/>
              <w:bottom w:val="single" w:sz="4" w:space="0" w:color="auto"/>
              <w:right w:val="single" w:sz="4" w:space="0" w:color="auto"/>
            </w:tcBorders>
            <w:noWrap/>
            <w:hideMark/>
          </w:tcPr>
          <w:p w14:paraId="27ECF57D" w14:textId="77777777" w:rsidR="00B91787" w:rsidRPr="007B613B" w:rsidRDefault="00B91787" w:rsidP="00B91787">
            <w:r w:rsidRPr="007B613B">
              <w:t>Hospital Trustee</w:t>
            </w:r>
          </w:p>
        </w:tc>
        <w:tc>
          <w:tcPr>
            <w:tcW w:w="1497" w:type="pct"/>
            <w:tcBorders>
              <w:top w:val="single" w:sz="12" w:space="0" w:color="auto"/>
              <w:left w:val="nil"/>
              <w:bottom w:val="single" w:sz="4" w:space="0" w:color="auto"/>
              <w:right w:val="single" w:sz="12" w:space="0" w:color="auto"/>
            </w:tcBorders>
            <w:noWrap/>
            <w:vAlign w:val="center"/>
            <w:hideMark/>
          </w:tcPr>
          <w:p w14:paraId="489287B7" w14:textId="77777777" w:rsidR="00B91787" w:rsidRPr="007B613B" w:rsidRDefault="00B91787" w:rsidP="00B91787">
            <w:r w:rsidRPr="007B613B">
              <w:t xml:space="preserve">$2,500 </w:t>
            </w:r>
          </w:p>
        </w:tc>
      </w:tr>
      <w:tr w:rsidR="00B91787" w:rsidRPr="007B613B" w14:paraId="25BE1688" w14:textId="77777777" w:rsidTr="00735838">
        <w:trPr>
          <w:trHeight w:val="300"/>
        </w:trPr>
        <w:tc>
          <w:tcPr>
            <w:tcW w:w="1033" w:type="pct"/>
            <w:vMerge/>
            <w:tcBorders>
              <w:left w:val="single" w:sz="12" w:space="0" w:color="auto"/>
            </w:tcBorders>
            <w:noWrap/>
            <w:hideMark/>
          </w:tcPr>
          <w:p w14:paraId="523D8656"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hideMark/>
          </w:tcPr>
          <w:p w14:paraId="1D576384" w14:textId="203F1139" w:rsidR="00B91787" w:rsidRPr="007B613B" w:rsidRDefault="00B91787" w:rsidP="00B91787">
            <w:pPr>
              <w:rPr>
                <w:color w:val="0000FF"/>
                <w:u w:val="single"/>
              </w:rPr>
            </w:pPr>
            <w:hyperlink r:id="rId78" w:history="1">
              <w:r w:rsidRPr="007B613B">
                <w:rPr>
                  <w:rStyle w:val="Hyperlink"/>
                </w:rPr>
                <w:t>755.23</w:t>
              </w:r>
            </w:hyperlink>
          </w:p>
        </w:tc>
        <w:tc>
          <w:tcPr>
            <w:tcW w:w="1841" w:type="pct"/>
            <w:tcBorders>
              <w:top w:val="nil"/>
              <w:left w:val="nil"/>
              <w:bottom w:val="single" w:sz="4" w:space="0" w:color="auto"/>
              <w:right w:val="single" w:sz="4" w:space="0" w:color="auto"/>
            </w:tcBorders>
            <w:noWrap/>
            <w:hideMark/>
          </w:tcPr>
          <w:p w14:paraId="3C91835D" w14:textId="77777777" w:rsidR="00B91787" w:rsidRPr="007B613B" w:rsidRDefault="00B91787" w:rsidP="00B91787">
            <w:r w:rsidRPr="007B613B">
              <w:t>Park Trustee</w:t>
            </w:r>
          </w:p>
        </w:tc>
        <w:tc>
          <w:tcPr>
            <w:tcW w:w="1497" w:type="pct"/>
            <w:tcBorders>
              <w:top w:val="nil"/>
              <w:left w:val="nil"/>
              <w:bottom w:val="single" w:sz="4" w:space="0" w:color="auto"/>
              <w:right w:val="single" w:sz="12" w:space="0" w:color="auto"/>
            </w:tcBorders>
            <w:noWrap/>
            <w:vAlign w:val="center"/>
            <w:hideMark/>
          </w:tcPr>
          <w:p w14:paraId="35695A68" w14:textId="77777777" w:rsidR="00B91787" w:rsidRPr="007B613B" w:rsidRDefault="00B91787" w:rsidP="00B91787">
            <w:r w:rsidRPr="007B613B">
              <w:t xml:space="preserve">$2,500 </w:t>
            </w:r>
          </w:p>
        </w:tc>
      </w:tr>
      <w:tr w:rsidR="00B91787" w:rsidRPr="007B613B" w14:paraId="4D052B0D" w14:textId="77777777" w:rsidTr="00735838">
        <w:trPr>
          <w:trHeight w:val="300"/>
        </w:trPr>
        <w:tc>
          <w:tcPr>
            <w:tcW w:w="1033" w:type="pct"/>
            <w:vMerge/>
            <w:tcBorders>
              <w:left w:val="single" w:sz="12" w:space="0" w:color="auto"/>
            </w:tcBorders>
            <w:noWrap/>
          </w:tcPr>
          <w:p w14:paraId="08733594"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tcPr>
          <w:p w14:paraId="46DB1DE5" w14:textId="2E846CFC" w:rsidR="00B91787" w:rsidRPr="007B613B" w:rsidRDefault="00B91787" w:rsidP="00B91787">
            <w:pPr>
              <w:rPr>
                <w:color w:val="0000FF"/>
                <w:u w:val="single"/>
              </w:rPr>
            </w:pPr>
            <w:hyperlink r:id="rId79" w:history="1">
              <w:r w:rsidRPr="007B613B">
                <w:rPr>
                  <w:rStyle w:val="Hyperlink"/>
                </w:rPr>
                <w:t>1901.32(A)(1)</w:t>
              </w:r>
            </w:hyperlink>
          </w:p>
        </w:tc>
        <w:tc>
          <w:tcPr>
            <w:tcW w:w="1841" w:type="pct"/>
            <w:tcBorders>
              <w:top w:val="nil"/>
              <w:left w:val="nil"/>
              <w:bottom w:val="single" w:sz="4" w:space="0" w:color="auto"/>
              <w:right w:val="single" w:sz="4" w:space="0" w:color="auto"/>
            </w:tcBorders>
            <w:noWrap/>
          </w:tcPr>
          <w:p w14:paraId="5F16BDB2" w14:textId="77777777" w:rsidR="00B91787" w:rsidRPr="007B613B" w:rsidRDefault="00B91787" w:rsidP="00B91787">
            <w:r w:rsidRPr="007B613B">
              <w:t>Bailiff of Muni Court</w:t>
            </w:r>
          </w:p>
        </w:tc>
        <w:tc>
          <w:tcPr>
            <w:tcW w:w="1497" w:type="pct"/>
            <w:tcBorders>
              <w:top w:val="nil"/>
              <w:left w:val="nil"/>
              <w:bottom w:val="single" w:sz="4" w:space="0" w:color="auto"/>
              <w:right w:val="single" w:sz="12" w:space="0" w:color="auto"/>
            </w:tcBorders>
            <w:noWrap/>
            <w:vAlign w:val="center"/>
          </w:tcPr>
          <w:p w14:paraId="067837E6" w14:textId="77777777" w:rsidR="00B91787" w:rsidRPr="007B613B" w:rsidRDefault="00B91787" w:rsidP="00B91787">
            <w:r w:rsidRPr="007B613B">
              <w:t>$3,000</w:t>
            </w:r>
          </w:p>
        </w:tc>
      </w:tr>
      <w:tr w:rsidR="00B91787" w:rsidRPr="007B613B" w14:paraId="47419B87" w14:textId="77777777" w:rsidTr="00735838">
        <w:trPr>
          <w:trHeight w:val="300"/>
        </w:trPr>
        <w:tc>
          <w:tcPr>
            <w:tcW w:w="1033" w:type="pct"/>
            <w:vMerge/>
            <w:tcBorders>
              <w:left w:val="single" w:sz="12" w:space="0" w:color="auto"/>
            </w:tcBorders>
            <w:noWrap/>
          </w:tcPr>
          <w:p w14:paraId="5A5169E9" w14:textId="77777777" w:rsidR="00B91787" w:rsidRPr="007B613B" w:rsidRDefault="00B91787" w:rsidP="00B91787">
            <w:pPr>
              <w:rPr>
                <w:color w:val="000000"/>
              </w:rPr>
            </w:pPr>
          </w:p>
        </w:tc>
        <w:tc>
          <w:tcPr>
            <w:tcW w:w="629" w:type="pct"/>
            <w:tcBorders>
              <w:top w:val="nil"/>
              <w:left w:val="single" w:sz="4" w:space="0" w:color="auto"/>
              <w:bottom w:val="single" w:sz="4" w:space="0" w:color="auto"/>
              <w:right w:val="single" w:sz="4" w:space="0" w:color="auto"/>
            </w:tcBorders>
            <w:shd w:val="clear" w:color="auto" w:fill="FFFF00"/>
            <w:noWrap/>
          </w:tcPr>
          <w:p w14:paraId="005907D5" w14:textId="2955B8A5" w:rsidR="00B91787" w:rsidRPr="007B613B" w:rsidRDefault="00B91787" w:rsidP="00B91787">
            <w:pPr>
              <w:rPr>
                <w:color w:val="0000FF"/>
                <w:u w:val="single"/>
              </w:rPr>
            </w:pPr>
            <w:hyperlink r:id="rId80" w:history="1">
              <w:r w:rsidRPr="007B613B">
                <w:rPr>
                  <w:rStyle w:val="Hyperlink"/>
                </w:rPr>
                <w:t>1901.32(A)(2)</w:t>
              </w:r>
            </w:hyperlink>
          </w:p>
        </w:tc>
        <w:tc>
          <w:tcPr>
            <w:tcW w:w="1841" w:type="pct"/>
            <w:tcBorders>
              <w:top w:val="nil"/>
              <w:left w:val="nil"/>
              <w:bottom w:val="single" w:sz="4" w:space="0" w:color="auto"/>
              <w:right w:val="single" w:sz="4" w:space="0" w:color="auto"/>
            </w:tcBorders>
            <w:noWrap/>
          </w:tcPr>
          <w:p w14:paraId="728E3757" w14:textId="77777777" w:rsidR="00B91787" w:rsidRPr="007B613B" w:rsidRDefault="00B91787" w:rsidP="00B91787">
            <w:r w:rsidRPr="007B613B">
              <w:t>Deputy bailiff of Muni Court</w:t>
            </w:r>
          </w:p>
        </w:tc>
        <w:tc>
          <w:tcPr>
            <w:tcW w:w="1497" w:type="pct"/>
            <w:tcBorders>
              <w:top w:val="nil"/>
              <w:left w:val="nil"/>
              <w:bottom w:val="single" w:sz="4" w:space="0" w:color="auto"/>
              <w:right w:val="single" w:sz="12" w:space="0" w:color="auto"/>
            </w:tcBorders>
            <w:noWrap/>
            <w:vAlign w:val="center"/>
          </w:tcPr>
          <w:p w14:paraId="54EDF0F4" w14:textId="77777777" w:rsidR="00B91787" w:rsidRPr="007B613B" w:rsidRDefault="00B91787" w:rsidP="00B91787">
            <w:r w:rsidRPr="007B613B">
              <w:t>$1,000</w:t>
            </w:r>
          </w:p>
        </w:tc>
      </w:tr>
      <w:tr w:rsidR="00B91787" w:rsidRPr="007B613B" w14:paraId="32BBF591" w14:textId="77777777" w:rsidTr="00735838">
        <w:trPr>
          <w:trHeight w:val="315"/>
        </w:trPr>
        <w:tc>
          <w:tcPr>
            <w:tcW w:w="1033" w:type="pct"/>
            <w:vMerge/>
            <w:tcBorders>
              <w:left w:val="single" w:sz="12" w:space="0" w:color="auto"/>
            </w:tcBorders>
            <w:noWrap/>
            <w:hideMark/>
          </w:tcPr>
          <w:p w14:paraId="3AF8708C" w14:textId="77777777" w:rsidR="00B91787" w:rsidRPr="007B613B" w:rsidRDefault="00B91787" w:rsidP="00B91787">
            <w:pPr>
              <w:rPr>
                <w:color w:val="000000"/>
              </w:rPr>
            </w:pPr>
          </w:p>
        </w:tc>
        <w:tc>
          <w:tcPr>
            <w:tcW w:w="629" w:type="pct"/>
            <w:tcBorders>
              <w:top w:val="nil"/>
              <w:left w:val="single" w:sz="4" w:space="0" w:color="auto"/>
              <w:bottom w:val="single" w:sz="12" w:space="0" w:color="auto"/>
              <w:right w:val="single" w:sz="4" w:space="0" w:color="auto"/>
            </w:tcBorders>
            <w:shd w:val="clear" w:color="auto" w:fill="FFFF00"/>
            <w:noWrap/>
            <w:hideMark/>
          </w:tcPr>
          <w:p w14:paraId="680270EA" w14:textId="58995527" w:rsidR="00B91787" w:rsidRPr="007B613B" w:rsidRDefault="00B91787" w:rsidP="00B91787">
            <w:pPr>
              <w:rPr>
                <w:color w:val="0000FF"/>
                <w:u w:val="single"/>
              </w:rPr>
            </w:pPr>
            <w:hyperlink r:id="rId81" w:history="1">
              <w:r w:rsidRPr="007B613B">
                <w:rPr>
                  <w:rStyle w:val="Hyperlink"/>
                </w:rPr>
                <w:t>1901.31(D)</w:t>
              </w:r>
            </w:hyperlink>
          </w:p>
        </w:tc>
        <w:tc>
          <w:tcPr>
            <w:tcW w:w="1841" w:type="pct"/>
            <w:tcBorders>
              <w:top w:val="nil"/>
              <w:left w:val="nil"/>
              <w:bottom w:val="single" w:sz="12" w:space="0" w:color="auto"/>
              <w:right w:val="single" w:sz="4" w:space="0" w:color="auto"/>
            </w:tcBorders>
            <w:noWrap/>
            <w:hideMark/>
          </w:tcPr>
          <w:p w14:paraId="40B2BAD7" w14:textId="77777777" w:rsidR="00B91787" w:rsidRPr="007B613B" w:rsidRDefault="00B91787" w:rsidP="00B91787">
            <w:r w:rsidRPr="007B613B">
              <w:t>Clerk/deputy clerk of Muni Court</w:t>
            </w:r>
          </w:p>
        </w:tc>
        <w:tc>
          <w:tcPr>
            <w:tcW w:w="1497" w:type="pct"/>
            <w:tcBorders>
              <w:top w:val="nil"/>
              <w:left w:val="nil"/>
              <w:bottom w:val="single" w:sz="12" w:space="0" w:color="auto"/>
              <w:right w:val="single" w:sz="12" w:space="0" w:color="auto"/>
            </w:tcBorders>
            <w:noWrap/>
            <w:vAlign w:val="center"/>
            <w:hideMark/>
          </w:tcPr>
          <w:p w14:paraId="23B6B149" w14:textId="77777777" w:rsidR="00B91787" w:rsidRPr="007B613B" w:rsidRDefault="00B91787" w:rsidP="00B91787">
            <w:r w:rsidRPr="007B613B">
              <w:t xml:space="preserve">$6,000 </w:t>
            </w:r>
          </w:p>
        </w:tc>
      </w:tr>
      <w:tr w:rsidR="00B91787" w:rsidRPr="007B613B" w14:paraId="0394FA07" w14:textId="77777777" w:rsidTr="31335BFF">
        <w:trPr>
          <w:trHeight w:val="315"/>
        </w:trPr>
        <w:tc>
          <w:tcPr>
            <w:tcW w:w="1033" w:type="pct"/>
            <w:tcBorders>
              <w:top w:val="single" w:sz="12" w:space="0" w:color="auto"/>
              <w:left w:val="single" w:sz="12" w:space="0" w:color="auto"/>
              <w:bottom w:val="single" w:sz="12" w:space="0" w:color="auto"/>
              <w:right w:val="nil"/>
            </w:tcBorders>
            <w:noWrap/>
            <w:hideMark/>
          </w:tcPr>
          <w:p w14:paraId="6FC8906B" w14:textId="77777777" w:rsidR="00B91787" w:rsidRPr="007B613B" w:rsidRDefault="00B91787" w:rsidP="00B91787">
            <w:r w:rsidRPr="007B613B">
              <w:t>New Community Organizations</w:t>
            </w:r>
          </w:p>
        </w:tc>
        <w:tc>
          <w:tcPr>
            <w:tcW w:w="629" w:type="pct"/>
            <w:tcBorders>
              <w:top w:val="single" w:sz="12" w:space="0" w:color="auto"/>
              <w:left w:val="single" w:sz="4" w:space="0" w:color="auto"/>
              <w:bottom w:val="single" w:sz="12" w:space="0" w:color="auto"/>
              <w:right w:val="single" w:sz="4" w:space="0" w:color="auto"/>
            </w:tcBorders>
            <w:noWrap/>
            <w:hideMark/>
          </w:tcPr>
          <w:p w14:paraId="7C59436A" w14:textId="0D649063" w:rsidR="00B91787" w:rsidRPr="007B613B" w:rsidRDefault="00B91787" w:rsidP="00B91787">
            <w:pPr>
              <w:rPr>
                <w:color w:val="0000FF"/>
                <w:u w:val="single"/>
              </w:rPr>
            </w:pPr>
            <w:hyperlink r:id="rId82" w:history="1">
              <w:r w:rsidRPr="007B613B">
                <w:rPr>
                  <w:rStyle w:val="Hyperlink"/>
                </w:rPr>
                <w:t>349.04</w:t>
              </w:r>
            </w:hyperlink>
          </w:p>
        </w:tc>
        <w:tc>
          <w:tcPr>
            <w:tcW w:w="1841" w:type="pct"/>
            <w:tcBorders>
              <w:top w:val="single" w:sz="12" w:space="0" w:color="auto"/>
              <w:left w:val="nil"/>
              <w:bottom w:val="single" w:sz="12" w:space="0" w:color="auto"/>
              <w:right w:val="single" w:sz="4" w:space="0" w:color="auto"/>
            </w:tcBorders>
            <w:noWrap/>
            <w:hideMark/>
          </w:tcPr>
          <w:p w14:paraId="077C451A" w14:textId="77777777" w:rsidR="00B91787" w:rsidRPr="007B613B" w:rsidRDefault="00B91787" w:rsidP="00B91787">
            <w:r w:rsidRPr="007B613B">
              <w:t>Board Member</w:t>
            </w:r>
          </w:p>
        </w:tc>
        <w:tc>
          <w:tcPr>
            <w:tcW w:w="1497" w:type="pct"/>
            <w:tcBorders>
              <w:top w:val="single" w:sz="12" w:space="0" w:color="auto"/>
              <w:left w:val="nil"/>
              <w:bottom w:val="single" w:sz="12" w:space="0" w:color="auto"/>
              <w:right w:val="single" w:sz="12" w:space="0" w:color="auto"/>
            </w:tcBorders>
            <w:noWrap/>
            <w:hideMark/>
          </w:tcPr>
          <w:p w14:paraId="4573B935" w14:textId="77777777" w:rsidR="00B91787" w:rsidRPr="007B613B" w:rsidRDefault="00B91787" w:rsidP="00B91787">
            <w:r w:rsidRPr="007B613B">
              <w:t xml:space="preserve">$10,000 </w:t>
            </w:r>
          </w:p>
        </w:tc>
      </w:tr>
    </w:tbl>
    <w:p w14:paraId="054894DF" w14:textId="77777777" w:rsidR="00A46923" w:rsidRDefault="00A46923">
      <w:r>
        <w:br w:type="page"/>
      </w:r>
    </w:p>
    <w:tbl>
      <w:tblPr>
        <w:tblW w:w="4997" w:type="pct"/>
        <w:tblInd w:w="-15" w:type="dxa"/>
        <w:tblLayout w:type="fixed"/>
        <w:tblCellMar>
          <w:top w:w="29" w:type="dxa"/>
          <w:left w:w="58" w:type="dxa"/>
          <w:right w:w="58" w:type="dxa"/>
        </w:tblCellMar>
        <w:tblLook w:val="04A0" w:firstRow="1" w:lastRow="0" w:firstColumn="1" w:lastColumn="0" w:noHBand="0" w:noVBand="1"/>
      </w:tblPr>
      <w:tblGrid>
        <w:gridCol w:w="3600"/>
        <w:gridCol w:w="1620"/>
        <w:gridCol w:w="3510"/>
        <w:gridCol w:w="1170"/>
      </w:tblGrid>
      <w:tr w:rsidR="0099467B" w:rsidRPr="00995C1D" w14:paraId="78CB9BA4" w14:textId="77777777" w:rsidTr="77DD9EC8">
        <w:trPr>
          <w:tblHeader/>
        </w:trPr>
        <w:tc>
          <w:tcPr>
            <w:tcW w:w="9900" w:type="dxa"/>
            <w:gridSpan w:val="4"/>
            <w:tcBorders>
              <w:top w:val="single" w:sz="12" w:space="0" w:color="auto"/>
              <w:left w:val="single" w:sz="12" w:space="0" w:color="auto"/>
              <w:bottom w:val="single" w:sz="12" w:space="0" w:color="auto"/>
              <w:right w:val="single" w:sz="12" w:space="0" w:color="auto"/>
            </w:tcBorders>
            <w:shd w:val="clear" w:color="auto" w:fill="4F81BD" w:themeFill="accent1"/>
            <w:vAlign w:val="bottom"/>
            <w:hideMark/>
          </w:tcPr>
          <w:p w14:paraId="4C83D693" w14:textId="77777777" w:rsidR="0099467B" w:rsidRPr="00F44499" w:rsidRDefault="00CC6D64" w:rsidP="0034599E">
            <w:pPr>
              <w:jc w:val="center"/>
              <w:rPr>
                <w:b/>
                <w:bCs/>
                <w:color w:val="FFFFFF"/>
                <w:sz w:val="24"/>
                <w:szCs w:val="24"/>
              </w:rPr>
            </w:pPr>
            <w:r w:rsidRPr="00F44499">
              <w:rPr>
                <w:b/>
                <w:bCs/>
                <w:color w:val="FFFFFF"/>
                <w:sz w:val="24"/>
                <w:szCs w:val="24"/>
              </w:rPr>
              <w:t xml:space="preserve">Table 2: </w:t>
            </w:r>
            <w:r w:rsidR="0099467B" w:rsidRPr="00F44499">
              <w:rPr>
                <w:b/>
                <w:bCs/>
                <w:color w:val="FFFFFF"/>
                <w:sz w:val="24"/>
                <w:szCs w:val="24"/>
              </w:rPr>
              <w:t>Required to give bond (no amount specified</w:t>
            </w:r>
            <w:r w:rsidR="0034599E" w:rsidRPr="00F44499">
              <w:rPr>
                <w:b/>
                <w:bCs/>
                <w:color w:val="FFFFFF"/>
                <w:sz w:val="24"/>
                <w:szCs w:val="24"/>
              </w:rPr>
              <w:t xml:space="preserve"> by law</w:t>
            </w:r>
            <w:r w:rsidR="0099467B" w:rsidRPr="00F44499">
              <w:rPr>
                <w:b/>
                <w:bCs/>
                <w:color w:val="FFFFFF"/>
                <w:sz w:val="24"/>
                <w:szCs w:val="24"/>
              </w:rPr>
              <w:t>)</w:t>
            </w:r>
          </w:p>
        </w:tc>
      </w:tr>
      <w:tr w:rsidR="00344FCC" w:rsidRPr="00995C1D" w14:paraId="285FFE4D" w14:textId="77777777" w:rsidTr="77DD9EC8">
        <w:trPr>
          <w:tblHeader/>
        </w:trPr>
        <w:tc>
          <w:tcPr>
            <w:tcW w:w="3600" w:type="dxa"/>
            <w:tcBorders>
              <w:top w:val="single" w:sz="12" w:space="0" w:color="auto"/>
              <w:left w:val="single" w:sz="12" w:space="0" w:color="auto"/>
              <w:bottom w:val="nil"/>
              <w:right w:val="single" w:sz="4" w:space="0" w:color="auto"/>
            </w:tcBorders>
            <w:shd w:val="clear" w:color="auto" w:fill="4F81BD" w:themeFill="accent1"/>
            <w:vAlign w:val="bottom"/>
            <w:hideMark/>
          </w:tcPr>
          <w:p w14:paraId="361EE567" w14:textId="77777777" w:rsidR="0099467B" w:rsidRPr="00F44499" w:rsidRDefault="0099467B" w:rsidP="00F44499">
            <w:pPr>
              <w:jc w:val="center"/>
              <w:rPr>
                <w:b/>
                <w:bCs/>
                <w:color w:val="FFFFFF"/>
              </w:rPr>
            </w:pPr>
            <w:r w:rsidRPr="00F44499">
              <w:rPr>
                <w:b/>
                <w:bCs/>
                <w:color w:val="FFFFFF"/>
              </w:rPr>
              <w:t>Entity Type</w:t>
            </w:r>
          </w:p>
        </w:tc>
        <w:tc>
          <w:tcPr>
            <w:tcW w:w="1620" w:type="dxa"/>
            <w:tcBorders>
              <w:top w:val="single" w:sz="12" w:space="0" w:color="auto"/>
              <w:left w:val="single" w:sz="4" w:space="0" w:color="auto"/>
              <w:bottom w:val="single" w:sz="8" w:space="0" w:color="auto"/>
              <w:right w:val="single" w:sz="4" w:space="0" w:color="auto"/>
            </w:tcBorders>
            <w:shd w:val="clear" w:color="auto" w:fill="4F81BD" w:themeFill="accent1"/>
            <w:vAlign w:val="bottom"/>
            <w:hideMark/>
          </w:tcPr>
          <w:p w14:paraId="5A537FF3" w14:textId="77777777" w:rsidR="0099467B" w:rsidRPr="00F44499" w:rsidRDefault="0099467B" w:rsidP="00F44499">
            <w:pPr>
              <w:jc w:val="center"/>
              <w:rPr>
                <w:b/>
                <w:bCs/>
                <w:color w:val="FFFFFF"/>
              </w:rPr>
            </w:pPr>
            <w:r w:rsidRPr="00F44499">
              <w:rPr>
                <w:b/>
                <w:bCs/>
                <w:color w:val="FFFFFF"/>
              </w:rPr>
              <w:t>ORC</w:t>
            </w:r>
          </w:p>
        </w:tc>
        <w:tc>
          <w:tcPr>
            <w:tcW w:w="3510" w:type="dxa"/>
            <w:tcBorders>
              <w:top w:val="single" w:sz="12" w:space="0" w:color="auto"/>
              <w:left w:val="single" w:sz="4" w:space="0" w:color="auto"/>
              <w:bottom w:val="nil"/>
              <w:right w:val="single" w:sz="4" w:space="0" w:color="auto"/>
            </w:tcBorders>
            <w:shd w:val="clear" w:color="auto" w:fill="4F81BD" w:themeFill="accent1"/>
            <w:vAlign w:val="bottom"/>
            <w:hideMark/>
          </w:tcPr>
          <w:p w14:paraId="50607DD2" w14:textId="77777777" w:rsidR="0099467B" w:rsidRPr="00F44499" w:rsidRDefault="0099467B" w:rsidP="00F44499">
            <w:pPr>
              <w:jc w:val="center"/>
              <w:rPr>
                <w:b/>
                <w:bCs/>
                <w:color w:val="FFFFFF"/>
              </w:rPr>
            </w:pPr>
            <w:r w:rsidRPr="00F44499">
              <w:rPr>
                <w:b/>
                <w:bCs/>
                <w:color w:val="FFFFFF"/>
              </w:rPr>
              <w:t>Employee/officer Position</w:t>
            </w:r>
          </w:p>
        </w:tc>
        <w:tc>
          <w:tcPr>
            <w:tcW w:w="1170" w:type="dxa"/>
            <w:tcBorders>
              <w:top w:val="single" w:sz="12" w:space="0" w:color="auto"/>
              <w:left w:val="single" w:sz="4" w:space="0" w:color="auto"/>
              <w:bottom w:val="nil"/>
              <w:right w:val="single" w:sz="12" w:space="0" w:color="auto"/>
            </w:tcBorders>
            <w:shd w:val="clear" w:color="auto" w:fill="4F81BD" w:themeFill="accent1"/>
            <w:vAlign w:val="bottom"/>
            <w:hideMark/>
          </w:tcPr>
          <w:p w14:paraId="20C7B463" w14:textId="77777777" w:rsidR="0099467B" w:rsidRPr="00F44499" w:rsidRDefault="0099467B" w:rsidP="00F44499">
            <w:pPr>
              <w:jc w:val="center"/>
              <w:rPr>
                <w:b/>
                <w:bCs/>
                <w:color w:val="FFFFFF"/>
              </w:rPr>
            </w:pPr>
            <w:r w:rsidRPr="00F44499">
              <w:rPr>
                <w:b/>
                <w:bCs/>
                <w:color w:val="FFFFFF"/>
              </w:rPr>
              <w:t>Amount</w:t>
            </w:r>
          </w:p>
        </w:tc>
      </w:tr>
      <w:tr w:rsidR="00E2472A" w:rsidRPr="00995C1D" w14:paraId="66389091" w14:textId="77777777" w:rsidTr="77DD9EC8">
        <w:tc>
          <w:tcPr>
            <w:tcW w:w="3600" w:type="dxa"/>
            <w:vMerge w:val="restart"/>
            <w:tcBorders>
              <w:top w:val="single" w:sz="8" w:space="0" w:color="auto"/>
              <w:left w:val="single" w:sz="12" w:space="0" w:color="auto"/>
              <w:right w:val="single" w:sz="8" w:space="0" w:color="auto"/>
            </w:tcBorders>
            <w:noWrap/>
            <w:hideMark/>
          </w:tcPr>
          <w:p w14:paraId="05AB9CA1" w14:textId="77777777" w:rsidR="00932BB7" w:rsidRPr="005D60A5" w:rsidRDefault="00932BB7" w:rsidP="00932BB7">
            <w:r w:rsidRPr="005D60A5">
              <w:t>Joint juvenile detention facilities </w:t>
            </w:r>
          </w:p>
        </w:tc>
        <w:tc>
          <w:tcPr>
            <w:tcW w:w="1620" w:type="dxa"/>
            <w:tcBorders>
              <w:top w:val="single" w:sz="8" w:space="0" w:color="auto"/>
              <w:left w:val="single" w:sz="8" w:space="0" w:color="auto"/>
              <w:bottom w:val="single" w:sz="4" w:space="0" w:color="auto"/>
              <w:right w:val="single" w:sz="4" w:space="0" w:color="auto"/>
            </w:tcBorders>
            <w:shd w:val="clear" w:color="auto" w:fill="FFFF00"/>
            <w:noWrap/>
            <w:hideMark/>
          </w:tcPr>
          <w:p w14:paraId="23A478FF" w14:textId="6603E9EC" w:rsidR="00932BB7" w:rsidRPr="005D60A5" w:rsidRDefault="6155B5D5" w:rsidP="00932BB7">
            <w:pPr>
              <w:rPr>
                <w:color w:val="0000FF"/>
                <w:u w:val="single"/>
              </w:rPr>
            </w:pPr>
            <w:hyperlink r:id="rId83">
              <w:r w:rsidRPr="005D60A5">
                <w:rPr>
                  <w:color w:val="0000FF"/>
                  <w:u w:val="single"/>
                </w:rPr>
                <w:t>2151.70</w:t>
              </w:r>
            </w:hyperlink>
          </w:p>
        </w:tc>
        <w:tc>
          <w:tcPr>
            <w:tcW w:w="3510" w:type="dxa"/>
            <w:tcBorders>
              <w:top w:val="single" w:sz="8" w:space="0" w:color="auto"/>
              <w:left w:val="nil"/>
              <w:bottom w:val="single" w:sz="4" w:space="0" w:color="auto"/>
              <w:right w:val="single" w:sz="12" w:space="0" w:color="auto"/>
            </w:tcBorders>
            <w:noWrap/>
            <w:hideMark/>
          </w:tcPr>
          <w:p w14:paraId="77C2A46D" w14:textId="77777777" w:rsidR="00932BB7" w:rsidRPr="005D60A5" w:rsidRDefault="00932BB7" w:rsidP="00932BB7">
            <w:r w:rsidRPr="005D60A5">
              <w:t>Superintendent</w:t>
            </w:r>
          </w:p>
        </w:tc>
        <w:tc>
          <w:tcPr>
            <w:tcW w:w="1170" w:type="dxa"/>
            <w:vMerge w:val="restart"/>
            <w:tcBorders>
              <w:top w:val="single" w:sz="8" w:space="0" w:color="auto"/>
              <w:left w:val="single" w:sz="12" w:space="0" w:color="auto"/>
              <w:bottom w:val="single" w:sz="8" w:space="0" w:color="000000" w:themeColor="text1"/>
              <w:right w:val="single" w:sz="12" w:space="0" w:color="auto"/>
            </w:tcBorders>
            <w:noWrap/>
            <w:textDirection w:val="btLr"/>
            <w:vAlign w:val="center"/>
            <w:hideMark/>
          </w:tcPr>
          <w:p w14:paraId="012AE8FB" w14:textId="77777777" w:rsidR="00932BB7" w:rsidRPr="00932BB7" w:rsidRDefault="00932BB7" w:rsidP="0099467B">
            <w:pPr>
              <w:jc w:val="center"/>
            </w:pPr>
            <w:r w:rsidRPr="00932BB7">
              <w:t>Determined by board/court/etc., or amount otherwise not specified</w:t>
            </w:r>
          </w:p>
        </w:tc>
      </w:tr>
      <w:tr w:rsidR="00E2472A" w:rsidRPr="00995C1D" w14:paraId="29331A97" w14:textId="77777777" w:rsidTr="007B27D9">
        <w:tc>
          <w:tcPr>
            <w:tcW w:w="3600" w:type="dxa"/>
            <w:vMerge/>
            <w:tcBorders>
              <w:left w:val="single" w:sz="12" w:space="0" w:color="auto"/>
            </w:tcBorders>
            <w:noWrap/>
            <w:hideMark/>
          </w:tcPr>
          <w:p w14:paraId="230EEB09" w14:textId="77777777" w:rsidR="00932BB7" w:rsidRPr="005D60A5" w:rsidRDefault="00932BB7" w:rsidP="00932BB7"/>
        </w:tc>
        <w:tc>
          <w:tcPr>
            <w:tcW w:w="1620" w:type="dxa"/>
            <w:tcBorders>
              <w:top w:val="single" w:sz="4" w:space="0" w:color="auto"/>
              <w:left w:val="single" w:sz="8" w:space="0" w:color="auto"/>
              <w:bottom w:val="single" w:sz="12" w:space="0" w:color="auto"/>
              <w:right w:val="single" w:sz="4" w:space="0" w:color="auto"/>
            </w:tcBorders>
            <w:shd w:val="clear" w:color="auto" w:fill="FFFF00"/>
            <w:noWrap/>
            <w:hideMark/>
          </w:tcPr>
          <w:p w14:paraId="0E5B8DD7" w14:textId="3F31F945" w:rsidR="00932BB7" w:rsidRPr="005D60A5" w:rsidRDefault="00932BB7" w:rsidP="00932BB7">
            <w:pPr>
              <w:rPr>
                <w:color w:val="0000FF"/>
                <w:u w:val="single"/>
              </w:rPr>
            </w:pPr>
            <w:hyperlink r:id="rId84" w:history="1">
              <w:r w:rsidRPr="005D60A5">
                <w:rPr>
                  <w:color w:val="0000FF"/>
                  <w:u w:val="single"/>
                </w:rPr>
                <w:t>2152.42</w:t>
              </w:r>
            </w:hyperlink>
          </w:p>
        </w:tc>
        <w:tc>
          <w:tcPr>
            <w:tcW w:w="3510" w:type="dxa"/>
            <w:tcBorders>
              <w:top w:val="nil"/>
              <w:left w:val="nil"/>
              <w:bottom w:val="single" w:sz="12" w:space="0" w:color="auto"/>
              <w:right w:val="single" w:sz="12" w:space="0" w:color="auto"/>
            </w:tcBorders>
            <w:noWrap/>
            <w:hideMark/>
          </w:tcPr>
          <w:p w14:paraId="695D3537" w14:textId="77777777" w:rsidR="00932BB7" w:rsidRPr="005D60A5" w:rsidRDefault="00932BB7" w:rsidP="00932BB7">
            <w:r w:rsidRPr="005D60A5">
              <w:t>Superintendent</w:t>
            </w:r>
          </w:p>
        </w:tc>
        <w:tc>
          <w:tcPr>
            <w:tcW w:w="1170" w:type="dxa"/>
            <w:vMerge/>
            <w:tcBorders>
              <w:right w:val="single" w:sz="12" w:space="0" w:color="auto"/>
            </w:tcBorders>
            <w:vAlign w:val="center"/>
            <w:hideMark/>
          </w:tcPr>
          <w:p w14:paraId="37CF5D17" w14:textId="77777777" w:rsidR="00932BB7" w:rsidRPr="00995C1D" w:rsidRDefault="00932BB7" w:rsidP="0099467B"/>
        </w:tc>
      </w:tr>
      <w:tr w:rsidR="0099467B" w:rsidRPr="00995C1D" w14:paraId="7BF61D8E" w14:textId="77777777" w:rsidTr="007B27D9">
        <w:tc>
          <w:tcPr>
            <w:tcW w:w="3600" w:type="dxa"/>
            <w:tcBorders>
              <w:top w:val="single" w:sz="12" w:space="0" w:color="auto"/>
              <w:left w:val="single" w:sz="12" w:space="0" w:color="auto"/>
              <w:bottom w:val="single" w:sz="12" w:space="0" w:color="auto"/>
              <w:right w:val="single" w:sz="4" w:space="0" w:color="auto"/>
            </w:tcBorders>
            <w:noWrap/>
            <w:hideMark/>
          </w:tcPr>
          <w:p w14:paraId="288FE787" w14:textId="77777777" w:rsidR="0099467B" w:rsidRPr="005D60A5" w:rsidRDefault="0099467B" w:rsidP="00932BB7">
            <w:r w:rsidRPr="005D60A5">
              <w:t>Airport authorities</w:t>
            </w:r>
          </w:p>
        </w:tc>
        <w:tc>
          <w:tcPr>
            <w:tcW w:w="1620" w:type="dxa"/>
            <w:tcBorders>
              <w:top w:val="single" w:sz="12" w:space="0" w:color="auto"/>
              <w:left w:val="nil"/>
              <w:bottom w:val="single" w:sz="12" w:space="0" w:color="auto"/>
              <w:right w:val="single" w:sz="4" w:space="0" w:color="auto"/>
            </w:tcBorders>
            <w:noWrap/>
            <w:hideMark/>
          </w:tcPr>
          <w:p w14:paraId="33B1E343" w14:textId="7B34B38A" w:rsidR="0099467B" w:rsidRPr="005D60A5" w:rsidRDefault="0099467B" w:rsidP="00932BB7">
            <w:pPr>
              <w:rPr>
                <w:color w:val="0000FF"/>
                <w:u w:val="single"/>
              </w:rPr>
            </w:pPr>
            <w:hyperlink r:id="rId85" w:history="1">
              <w:r w:rsidRPr="005D60A5">
                <w:rPr>
                  <w:color w:val="0000FF"/>
                  <w:u w:val="single"/>
                </w:rPr>
                <w:t>308.12</w:t>
              </w:r>
            </w:hyperlink>
          </w:p>
        </w:tc>
        <w:tc>
          <w:tcPr>
            <w:tcW w:w="3510" w:type="dxa"/>
            <w:tcBorders>
              <w:top w:val="single" w:sz="12" w:space="0" w:color="auto"/>
              <w:left w:val="nil"/>
              <w:bottom w:val="single" w:sz="12" w:space="0" w:color="auto"/>
              <w:right w:val="single" w:sz="12" w:space="0" w:color="auto"/>
            </w:tcBorders>
            <w:noWrap/>
            <w:hideMark/>
          </w:tcPr>
          <w:p w14:paraId="4A68442D" w14:textId="77777777" w:rsidR="0099467B" w:rsidRPr="005D60A5" w:rsidRDefault="0099467B" w:rsidP="00932BB7">
            <w:r w:rsidRPr="005D60A5">
              <w:t>Fiscal Officer</w:t>
            </w:r>
          </w:p>
        </w:tc>
        <w:tc>
          <w:tcPr>
            <w:tcW w:w="1170" w:type="dxa"/>
            <w:vMerge/>
            <w:tcBorders>
              <w:right w:val="single" w:sz="12" w:space="0" w:color="auto"/>
            </w:tcBorders>
            <w:vAlign w:val="center"/>
            <w:hideMark/>
          </w:tcPr>
          <w:p w14:paraId="1D0C4D17" w14:textId="77777777" w:rsidR="0099467B" w:rsidRPr="00995C1D" w:rsidRDefault="0099467B" w:rsidP="0099467B"/>
        </w:tc>
      </w:tr>
      <w:tr w:rsidR="00E2472A" w:rsidRPr="00995C1D" w14:paraId="1D22CAFE" w14:textId="77777777" w:rsidTr="007B27D9">
        <w:tc>
          <w:tcPr>
            <w:tcW w:w="3600" w:type="dxa"/>
            <w:tcBorders>
              <w:top w:val="single" w:sz="12" w:space="0" w:color="auto"/>
              <w:left w:val="single" w:sz="12" w:space="0" w:color="auto"/>
              <w:bottom w:val="single" w:sz="12" w:space="0" w:color="auto"/>
              <w:right w:val="single" w:sz="4" w:space="0" w:color="auto"/>
            </w:tcBorders>
            <w:noWrap/>
            <w:hideMark/>
          </w:tcPr>
          <w:p w14:paraId="2BD8C540" w14:textId="77777777" w:rsidR="0099467B" w:rsidRPr="005D60A5" w:rsidRDefault="0099467B" w:rsidP="00932BB7">
            <w:r w:rsidRPr="005D60A5">
              <w:t>Soil and water conservation districts</w:t>
            </w:r>
          </w:p>
        </w:tc>
        <w:tc>
          <w:tcPr>
            <w:tcW w:w="1620" w:type="dxa"/>
            <w:tcBorders>
              <w:top w:val="single" w:sz="12" w:space="0" w:color="auto"/>
              <w:left w:val="nil"/>
              <w:bottom w:val="single" w:sz="12" w:space="0" w:color="auto"/>
              <w:right w:val="single" w:sz="4" w:space="0" w:color="auto"/>
            </w:tcBorders>
            <w:shd w:val="clear" w:color="auto" w:fill="FFFF00"/>
            <w:noWrap/>
            <w:hideMark/>
          </w:tcPr>
          <w:p w14:paraId="3613FB0C" w14:textId="2FD8AF6B" w:rsidR="0099467B" w:rsidRPr="005D60A5" w:rsidRDefault="00D634BC" w:rsidP="00932BB7">
            <w:pPr>
              <w:rPr>
                <w:color w:val="0000FF"/>
                <w:u w:val="single"/>
              </w:rPr>
            </w:pPr>
            <w:hyperlink r:id="rId86" w:history="1">
              <w:r w:rsidRPr="005D60A5">
                <w:rPr>
                  <w:color w:val="0000FF"/>
                  <w:u w:val="single"/>
                </w:rPr>
                <w:t>940.05</w:t>
              </w:r>
            </w:hyperlink>
          </w:p>
        </w:tc>
        <w:tc>
          <w:tcPr>
            <w:tcW w:w="3510" w:type="dxa"/>
            <w:tcBorders>
              <w:top w:val="single" w:sz="12" w:space="0" w:color="auto"/>
              <w:left w:val="nil"/>
              <w:bottom w:val="single" w:sz="12" w:space="0" w:color="auto"/>
              <w:right w:val="single" w:sz="12" w:space="0" w:color="auto"/>
            </w:tcBorders>
            <w:noWrap/>
            <w:hideMark/>
          </w:tcPr>
          <w:p w14:paraId="3792CA2F" w14:textId="77777777" w:rsidR="0099467B" w:rsidRPr="005D60A5" w:rsidRDefault="0099467B" w:rsidP="00932BB7">
            <w:r w:rsidRPr="005D60A5">
              <w:t>all entrusted with funds</w:t>
            </w:r>
          </w:p>
        </w:tc>
        <w:tc>
          <w:tcPr>
            <w:tcW w:w="1170" w:type="dxa"/>
            <w:vMerge/>
            <w:tcBorders>
              <w:right w:val="single" w:sz="12" w:space="0" w:color="auto"/>
            </w:tcBorders>
            <w:vAlign w:val="center"/>
            <w:hideMark/>
          </w:tcPr>
          <w:p w14:paraId="15634A37" w14:textId="77777777" w:rsidR="0099467B" w:rsidRPr="00995C1D" w:rsidRDefault="0099467B" w:rsidP="0099467B"/>
        </w:tc>
      </w:tr>
      <w:tr w:rsidR="0099467B" w:rsidRPr="00995C1D" w14:paraId="63461C0B" w14:textId="77777777" w:rsidTr="007B27D9">
        <w:tc>
          <w:tcPr>
            <w:tcW w:w="3600" w:type="dxa"/>
            <w:tcBorders>
              <w:top w:val="single" w:sz="12" w:space="0" w:color="auto"/>
              <w:left w:val="single" w:sz="12" w:space="0" w:color="auto"/>
              <w:bottom w:val="single" w:sz="12" w:space="0" w:color="auto"/>
              <w:right w:val="nil"/>
            </w:tcBorders>
            <w:noWrap/>
            <w:hideMark/>
          </w:tcPr>
          <w:p w14:paraId="5AD22FCA" w14:textId="77777777" w:rsidR="0099467B" w:rsidRPr="005D60A5" w:rsidRDefault="0099467B" w:rsidP="00932BB7">
            <w:r w:rsidRPr="005D60A5">
              <w:t>Conservancy District</w:t>
            </w:r>
          </w:p>
        </w:tc>
        <w:tc>
          <w:tcPr>
            <w:tcW w:w="1620" w:type="dxa"/>
            <w:tcBorders>
              <w:top w:val="single" w:sz="12" w:space="0" w:color="auto"/>
              <w:left w:val="single" w:sz="4" w:space="0" w:color="auto"/>
              <w:bottom w:val="single" w:sz="12" w:space="0" w:color="auto"/>
              <w:right w:val="single" w:sz="4" w:space="0" w:color="auto"/>
            </w:tcBorders>
            <w:noWrap/>
            <w:hideMark/>
          </w:tcPr>
          <w:p w14:paraId="4C803717" w14:textId="26CE6022" w:rsidR="0099467B" w:rsidRPr="005D60A5" w:rsidRDefault="0099467B" w:rsidP="00932BB7">
            <w:pPr>
              <w:rPr>
                <w:color w:val="0000FF"/>
                <w:u w:val="single"/>
              </w:rPr>
            </w:pPr>
            <w:hyperlink r:id="rId87" w:history="1">
              <w:r w:rsidRPr="005D60A5">
                <w:rPr>
                  <w:color w:val="0000FF"/>
                  <w:u w:val="single"/>
                </w:rPr>
                <w:t>6101.58</w:t>
              </w:r>
            </w:hyperlink>
          </w:p>
        </w:tc>
        <w:tc>
          <w:tcPr>
            <w:tcW w:w="3510" w:type="dxa"/>
            <w:tcBorders>
              <w:top w:val="single" w:sz="12" w:space="0" w:color="auto"/>
              <w:left w:val="nil"/>
              <w:bottom w:val="single" w:sz="12" w:space="0" w:color="auto"/>
              <w:right w:val="single" w:sz="12" w:space="0" w:color="auto"/>
            </w:tcBorders>
            <w:noWrap/>
            <w:hideMark/>
          </w:tcPr>
          <w:p w14:paraId="6DCE5DF8" w14:textId="77777777" w:rsidR="0099467B" w:rsidRPr="005D60A5" w:rsidRDefault="0099467B" w:rsidP="00932BB7">
            <w:r w:rsidRPr="005D60A5">
              <w:t>County treasurer</w:t>
            </w:r>
          </w:p>
        </w:tc>
        <w:tc>
          <w:tcPr>
            <w:tcW w:w="1170" w:type="dxa"/>
            <w:vMerge/>
            <w:tcBorders>
              <w:right w:val="single" w:sz="12" w:space="0" w:color="auto"/>
            </w:tcBorders>
            <w:vAlign w:val="center"/>
            <w:hideMark/>
          </w:tcPr>
          <w:p w14:paraId="20F7F386" w14:textId="77777777" w:rsidR="0099467B" w:rsidRPr="00995C1D" w:rsidRDefault="0099467B" w:rsidP="0099467B"/>
        </w:tc>
      </w:tr>
      <w:tr w:rsidR="00E2472A" w:rsidRPr="00995C1D" w14:paraId="523E50F1" w14:textId="77777777" w:rsidTr="007B27D9">
        <w:tc>
          <w:tcPr>
            <w:tcW w:w="3600" w:type="dxa"/>
            <w:vMerge w:val="restart"/>
            <w:tcBorders>
              <w:top w:val="single" w:sz="12" w:space="0" w:color="auto"/>
              <w:left w:val="single" w:sz="12" w:space="0" w:color="auto"/>
              <w:right w:val="single" w:sz="8" w:space="0" w:color="auto"/>
            </w:tcBorders>
            <w:noWrap/>
            <w:hideMark/>
          </w:tcPr>
          <w:p w14:paraId="13AEACF6" w14:textId="77777777" w:rsidR="00932BB7" w:rsidRPr="005D60A5" w:rsidRDefault="00932BB7" w:rsidP="00932BB7">
            <w:r w:rsidRPr="005D60A5">
              <w:t>Libraries  </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hideMark/>
          </w:tcPr>
          <w:p w14:paraId="2F2E207A" w14:textId="564ABE09" w:rsidR="00932BB7" w:rsidRPr="005D60A5" w:rsidRDefault="00932BB7" w:rsidP="00932BB7">
            <w:pPr>
              <w:rPr>
                <w:color w:val="0000FF"/>
                <w:u w:val="single"/>
              </w:rPr>
            </w:pPr>
            <w:hyperlink r:id="rId88" w:history="1">
              <w:r w:rsidRPr="005D60A5">
                <w:rPr>
                  <w:color w:val="0000FF"/>
                  <w:u w:val="single"/>
                </w:rPr>
                <w:t>3375.32</w:t>
              </w:r>
            </w:hyperlink>
          </w:p>
        </w:tc>
        <w:tc>
          <w:tcPr>
            <w:tcW w:w="3510" w:type="dxa"/>
            <w:tcBorders>
              <w:top w:val="single" w:sz="12" w:space="0" w:color="auto"/>
              <w:left w:val="nil"/>
              <w:bottom w:val="single" w:sz="4" w:space="0" w:color="auto"/>
              <w:right w:val="single" w:sz="12" w:space="0" w:color="auto"/>
            </w:tcBorders>
            <w:noWrap/>
            <w:hideMark/>
          </w:tcPr>
          <w:p w14:paraId="17A0AA43" w14:textId="77777777" w:rsidR="00932BB7" w:rsidRPr="005D60A5" w:rsidRDefault="00932BB7" w:rsidP="00932BB7">
            <w:r w:rsidRPr="005D60A5">
              <w:t>Clerk</w:t>
            </w:r>
          </w:p>
        </w:tc>
        <w:tc>
          <w:tcPr>
            <w:tcW w:w="1170" w:type="dxa"/>
            <w:vMerge/>
            <w:tcBorders>
              <w:right w:val="single" w:sz="12" w:space="0" w:color="auto"/>
            </w:tcBorders>
            <w:vAlign w:val="center"/>
            <w:hideMark/>
          </w:tcPr>
          <w:p w14:paraId="09B079D3" w14:textId="77777777" w:rsidR="00932BB7" w:rsidRPr="00995C1D" w:rsidRDefault="00932BB7" w:rsidP="0099467B"/>
        </w:tc>
      </w:tr>
      <w:tr w:rsidR="00E2472A" w:rsidRPr="00995C1D" w14:paraId="03024774" w14:textId="77777777" w:rsidTr="007B27D9">
        <w:tc>
          <w:tcPr>
            <w:tcW w:w="3600" w:type="dxa"/>
            <w:vMerge/>
            <w:tcBorders>
              <w:left w:val="single" w:sz="12" w:space="0" w:color="auto"/>
            </w:tcBorders>
            <w:noWrap/>
            <w:hideMark/>
          </w:tcPr>
          <w:p w14:paraId="3BB41DB8" w14:textId="77777777" w:rsidR="001E3E45" w:rsidRPr="005D60A5" w:rsidRDefault="001E3E45" w:rsidP="001E3E45"/>
        </w:tc>
        <w:tc>
          <w:tcPr>
            <w:tcW w:w="1620" w:type="dxa"/>
            <w:tcBorders>
              <w:top w:val="nil"/>
              <w:left w:val="single" w:sz="8" w:space="0" w:color="auto"/>
              <w:bottom w:val="single" w:sz="12" w:space="0" w:color="auto"/>
              <w:right w:val="single" w:sz="4" w:space="0" w:color="auto"/>
            </w:tcBorders>
            <w:shd w:val="clear" w:color="auto" w:fill="FFFF00"/>
            <w:noWrap/>
            <w:hideMark/>
          </w:tcPr>
          <w:p w14:paraId="07E4F277" w14:textId="0C693644" w:rsidR="001E3E45" w:rsidRPr="005D60A5" w:rsidRDefault="001E3E45" w:rsidP="001E3E45">
            <w:pPr>
              <w:rPr>
                <w:color w:val="0000FF"/>
                <w:u w:val="single"/>
              </w:rPr>
            </w:pPr>
            <w:hyperlink r:id="rId89" w:history="1">
              <w:r w:rsidRPr="005D60A5">
                <w:rPr>
                  <w:color w:val="0000FF"/>
                  <w:u w:val="single"/>
                </w:rPr>
                <w:t>3375.36</w:t>
              </w:r>
            </w:hyperlink>
          </w:p>
        </w:tc>
        <w:tc>
          <w:tcPr>
            <w:tcW w:w="3510" w:type="dxa"/>
            <w:tcBorders>
              <w:top w:val="nil"/>
              <w:left w:val="nil"/>
              <w:bottom w:val="single" w:sz="12" w:space="0" w:color="auto"/>
              <w:right w:val="single" w:sz="12" w:space="0" w:color="auto"/>
            </w:tcBorders>
            <w:noWrap/>
            <w:hideMark/>
          </w:tcPr>
          <w:p w14:paraId="753671CE" w14:textId="77777777" w:rsidR="001E3E45" w:rsidRPr="005D60A5" w:rsidRDefault="001E3E45" w:rsidP="001E3E45">
            <w:r w:rsidRPr="005D60A5">
              <w:t>Deputy Clerk</w:t>
            </w:r>
          </w:p>
        </w:tc>
        <w:tc>
          <w:tcPr>
            <w:tcW w:w="1170" w:type="dxa"/>
            <w:vMerge/>
            <w:tcBorders>
              <w:right w:val="single" w:sz="12" w:space="0" w:color="auto"/>
            </w:tcBorders>
            <w:vAlign w:val="center"/>
            <w:hideMark/>
          </w:tcPr>
          <w:p w14:paraId="44B8DCFA" w14:textId="77777777" w:rsidR="001E3E45" w:rsidRPr="00995C1D" w:rsidRDefault="001E3E45" w:rsidP="001E3E45"/>
        </w:tc>
      </w:tr>
      <w:tr w:rsidR="00635AEE" w:rsidRPr="00995C1D" w14:paraId="5907D72E" w14:textId="77777777" w:rsidTr="007B27D9">
        <w:tc>
          <w:tcPr>
            <w:tcW w:w="3600" w:type="dxa"/>
            <w:vMerge w:val="restart"/>
            <w:tcBorders>
              <w:top w:val="single" w:sz="12" w:space="0" w:color="auto"/>
              <w:left w:val="single" w:sz="12" w:space="0" w:color="auto"/>
              <w:right w:val="single" w:sz="8" w:space="0" w:color="auto"/>
            </w:tcBorders>
            <w:noWrap/>
            <w:hideMark/>
          </w:tcPr>
          <w:p w14:paraId="097BDE72" w14:textId="3C2B1E23" w:rsidR="00635AEE" w:rsidRPr="005D60A5" w:rsidRDefault="00635AEE" w:rsidP="00932BB7">
            <w:r w:rsidRPr="005D60A5">
              <w:t>State Community colleges</w:t>
            </w:r>
          </w:p>
        </w:tc>
        <w:tc>
          <w:tcPr>
            <w:tcW w:w="1620" w:type="dxa"/>
            <w:tcBorders>
              <w:top w:val="single" w:sz="12" w:space="0" w:color="auto"/>
              <w:left w:val="single" w:sz="8" w:space="0" w:color="auto"/>
              <w:bottom w:val="single" w:sz="4" w:space="0" w:color="auto"/>
              <w:right w:val="single" w:sz="4" w:space="0" w:color="auto"/>
            </w:tcBorders>
            <w:noWrap/>
            <w:hideMark/>
          </w:tcPr>
          <w:p w14:paraId="701182D2" w14:textId="3B537DC2" w:rsidR="00635AEE" w:rsidRPr="005D60A5" w:rsidRDefault="00635AEE" w:rsidP="00932BB7">
            <w:pPr>
              <w:rPr>
                <w:color w:val="0000FF"/>
                <w:u w:val="single"/>
              </w:rPr>
            </w:pPr>
            <w:hyperlink r:id="rId90" w:history="1">
              <w:r w:rsidRPr="005D60A5">
                <w:rPr>
                  <w:color w:val="0000FF"/>
                  <w:u w:val="single"/>
                </w:rPr>
                <w:t>3358.06</w:t>
              </w:r>
            </w:hyperlink>
          </w:p>
        </w:tc>
        <w:tc>
          <w:tcPr>
            <w:tcW w:w="3510" w:type="dxa"/>
            <w:tcBorders>
              <w:top w:val="single" w:sz="12" w:space="0" w:color="auto"/>
              <w:left w:val="nil"/>
              <w:bottom w:val="single" w:sz="4" w:space="0" w:color="auto"/>
              <w:right w:val="single" w:sz="12" w:space="0" w:color="auto"/>
            </w:tcBorders>
            <w:noWrap/>
            <w:hideMark/>
          </w:tcPr>
          <w:p w14:paraId="6AD4A717" w14:textId="5D2FFBDB" w:rsidR="00635AEE" w:rsidRPr="005D60A5" w:rsidRDefault="00635AEE" w:rsidP="00932BB7">
            <w:r w:rsidRPr="005D60A5">
              <w:t>Treasurer</w:t>
            </w:r>
          </w:p>
        </w:tc>
        <w:tc>
          <w:tcPr>
            <w:tcW w:w="1170" w:type="dxa"/>
            <w:vMerge/>
            <w:tcBorders>
              <w:right w:val="single" w:sz="12" w:space="0" w:color="auto"/>
            </w:tcBorders>
            <w:vAlign w:val="center"/>
            <w:hideMark/>
          </w:tcPr>
          <w:p w14:paraId="7B1B152A" w14:textId="77777777" w:rsidR="00635AEE" w:rsidRPr="00995C1D" w:rsidRDefault="00635AEE" w:rsidP="0099467B"/>
        </w:tc>
      </w:tr>
      <w:tr w:rsidR="00635AEE" w:rsidRPr="000D22DA" w14:paraId="13361914" w14:textId="77777777" w:rsidTr="007B27D9">
        <w:tc>
          <w:tcPr>
            <w:tcW w:w="3600" w:type="dxa"/>
            <w:vMerge/>
            <w:tcBorders>
              <w:left w:val="single" w:sz="12" w:space="0" w:color="auto"/>
            </w:tcBorders>
            <w:noWrap/>
          </w:tcPr>
          <w:p w14:paraId="46A1F3FD" w14:textId="77777777" w:rsidR="00635AEE" w:rsidRPr="00387AB4" w:rsidRDefault="00635AEE" w:rsidP="00932BB7"/>
        </w:tc>
        <w:tc>
          <w:tcPr>
            <w:tcW w:w="1620" w:type="dxa"/>
            <w:tcBorders>
              <w:top w:val="single" w:sz="4" w:space="0" w:color="auto"/>
              <w:left w:val="single" w:sz="8" w:space="0" w:color="auto"/>
              <w:bottom w:val="single" w:sz="12" w:space="0" w:color="auto"/>
              <w:right w:val="single" w:sz="4" w:space="0" w:color="auto"/>
            </w:tcBorders>
            <w:noWrap/>
          </w:tcPr>
          <w:p w14:paraId="4E1A1384" w14:textId="4416313E" w:rsidR="00635AEE" w:rsidRPr="00387AB4" w:rsidRDefault="00747DEA" w:rsidP="00932BB7">
            <w:hyperlink r:id="rId91" w:history="1">
              <w:r w:rsidRPr="005D60A5">
                <w:rPr>
                  <w:rStyle w:val="Hyperlink"/>
                  <w:u w:val="none"/>
                </w:rPr>
                <w:t>33</w:t>
              </w:r>
              <w:r w:rsidR="005451F9" w:rsidRPr="005D60A5">
                <w:rPr>
                  <w:rStyle w:val="Hyperlink"/>
                  <w:u w:val="none"/>
                </w:rPr>
                <w:t>45.04</w:t>
              </w:r>
            </w:hyperlink>
          </w:p>
        </w:tc>
        <w:tc>
          <w:tcPr>
            <w:tcW w:w="3510" w:type="dxa"/>
            <w:tcBorders>
              <w:top w:val="single" w:sz="4" w:space="0" w:color="auto"/>
              <w:left w:val="nil"/>
              <w:bottom w:val="single" w:sz="12" w:space="0" w:color="auto"/>
              <w:right w:val="single" w:sz="12" w:space="0" w:color="auto"/>
            </w:tcBorders>
            <w:noWrap/>
          </w:tcPr>
          <w:p w14:paraId="596B8A4A" w14:textId="2D1991C2" w:rsidR="00635AEE" w:rsidRPr="00387AB4" w:rsidRDefault="005451F9" w:rsidP="00932BB7">
            <w:r w:rsidRPr="005D60A5">
              <w:t>Law enforcement officer</w:t>
            </w:r>
          </w:p>
        </w:tc>
        <w:tc>
          <w:tcPr>
            <w:tcW w:w="1170" w:type="dxa"/>
            <w:vMerge/>
            <w:tcBorders>
              <w:right w:val="single" w:sz="12" w:space="0" w:color="auto"/>
            </w:tcBorders>
            <w:vAlign w:val="center"/>
          </w:tcPr>
          <w:p w14:paraId="0DA522D6" w14:textId="77777777" w:rsidR="00635AEE" w:rsidRPr="00C909C3" w:rsidRDefault="00635AEE" w:rsidP="0099467B"/>
        </w:tc>
      </w:tr>
      <w:tr w:rsidR="005451F9" w:rsidRPr="00995C1D" w14:paraId="26E1919F" w14:textId="77777777" w:rsidTr="007B27D9">
        <w:tc>
          <w:tcPr>
            <w:tcW w:w="3600" w:type="dxa"/>
            <w:vMerge w:val="restart"/>
            <w:tcBorders>
              <w:top w:val="single" w:sz="12" w:space="0" w:color="auto"/>
              <w:left w:val="single" w:sz="12" w:space="0" w:color="auto"/>
              <w:right w:val="single" w:sz="8" w:space="0" w:color="auto"/>
            </w:tcBorders>
            <w:noWrap/>
          </w:tcPr>
          <w:p w14:paraId="240C11E8" w14:textId="341D067E" w:rsidR="005451F9" w:rsidRPr="00387AB4" w:rsidRDefault="005451F9" w:rsidP="00932BB7">
            <w:r w:rsidRPr="005D60A5">
              <w:t xml:space="preserve">State </w:t>
            </w:r>
            <w:r w:rsidR="008B354F" w:rsidRPr="005D60A5">
              <w:t>c</w:t>
            </w:r>
            <w:r w:rsidRPr="005D60A5">
              <w:t xml:space="preserve">olleges and </w:t>
            </w:r>
            <w:r w:rsidR="008B354F" w:rsidRPr="005D60A5">
              <w:t>u</w:t>
            </w:r>
            <w:r w:rsidRPr="005D60A5">
              <w:t>niversities</w:t>
            </w:r>
          </w:p>
        </w:tc>
        <w:tc>
          <w:tcPr>
            <w:tcW w:w="1620" w:type="dxa"/>
            <w:tcBorders>
              <w:top w:val="single" w:sz="12" w:space="0" w:color="auto"/>
              <w:left w:val="single" w:sz="8" w:space="0" w:color="auto"/>
              <w:bottom w:val="single" w:sz="4" w:space="0" w:color="auto"/>
              <w:right w:val="single" w:sz="4" w:space="0" w:color="auto"/>
            </w:tcBorders>
            <w:noWrap/>
          </w:tcPr>
          <w:p w14:paraId="7E17C798" w14:textId="5158313B" w:rsidR="005451F9" w:rsidRPr="00387AB4" w:rsidRDefault="005451F9" w:rsidP="00932BB7">
            <w:r w:rsidRPr="005D60A5">
              <w:t>Various</w:t>
            </w:r>
          </w:p>
        </w:tc>
        <w:tc>
          <w:tcPr>
            <w:tcW w:w="3510" w:type="dxa"/>
            <w:tcBorders>
              <w:top w:val="single" w:sz="12" w:space="0" w:color="auto"/>
              <w:left w:val="nil"/>
              <w:bottom w:val="single" w:sz="4" w:space="0" w:color="auto"/>
              <w:right w:val="single" w:sz="12" w:space="0" w:color="auto"/>
            </w:tcBorders>
            <w:noWrap/>
          </w:tcPr>
          <w:p w14:paraId="71511C02" w14:textId="7893B39C" w:rsidR="005451F9" w:rsidRPr="005D60A5" w:rsidRDefault="005451F9" w:rsidP="00932BB7">
            <w:r w:rsidRPr="005D60A5">
              <w:t>Treasurer</w:t>
            </w:r>
          </w:p>
        </w:tc>
        <w:tc>
          <w:tcPr>
            <w:tcW w:w="1170" w:type="dxa"/>
            <w:vMerge/>
            <w:tcBorders>
              <w:right w:val="single" w:sz="12" w:space="0" w:color="auto"/>
            </w:tcBorders>
            <w:vAlign w:val="center"/>
          </w:tcPr>
          <w:p w14:paraId="4FAC7A6D" w14:textId="77777777" w:rsidR="005451F9" w:rsidRPr="00995C1D" w:rsidRDefault="005451F9" w:rsidP="0099467B"/>
        </w:tc>
      </w:tr>
      <w:tr w:rsidR="005451F9" w:rsidRPr="00995C1D" w14:paraId="0C935C4D" w14:textId="77777777" w:rsidTr="007B27D9">
        <w:tc>
          <w:tcPr>
            <w:tcW w:w="3600" w:type="dxa"/>
            <w:vMerge/>
            <w:tcBorders>
              <w:left w:val="single" w:sz="12" w:space="0" w:color="auto"/>
            </w:tcBorders>
            <w:noWrap/>
          </w:tcPr>
          <w:p w14:paraId="0F379441" w14:textId="77777777" w:rsidR="005451F9" w:rsidRPr="00387AB4" w:rsidRDefault="005451F9" w:rsidP="005451F9"/>
        </w:tc>
        <w:tc>
          <w:tcPr>
            <w:tcW w:w="1620" w:type="dxa"/>
            <w:tcBorders>
              <w:top w:val="single" w:sz="4" w:space="0" w:color="auto"/>
              <w:left w:val="single" w:sz="8" w:space="0" w:color="auto"/>
              <w:bottom w:val="single" w:sz="12" w:space="0" w:color="auto"/>
              <w:right w:val="single" w:sz="4" w:space="0" w:color="auto"/>
            </w:tcBorders>
            <w:noWrap/>
          </w:tcPr>
          <w:p w14:paraId="623F4952" w14:textId="710B85C5" w:rsidR="005451F9" w:rsidRPr="00387AB4" w:rsidRDefault="005451F9" w:rsidP="005451F9">
            <w:hyperlink r:id="rId92" w:history="1">
              <w:r w:rsidRPr="005D60A5">
                <w:rPr>
                  <w:rStyle w:val="Hyperlink"/>
                  <w:u w:val="none"/>
                </w:rPr>
                <w:t>3345.04</w:t>
              </w:r>
            </w:hyperlink>
          </w:p>
        </w:tc>
        <w:tc>
          <w:tcPr>
            <w:tcW w:w="3510" w:type="dxa"/>
            <w:tcBorders>
              <w:top w:val="single" w:sz="4" w:space="0" w:color="auto"/>
              <w:left w:val="nil"/>
              <w:bottom w:val="single" w:sz="12" w:space="0" w:color="auto"/>
              <w:right w:val="single" w:sz="12" w:space="0" w:color="auto"/>
            </w:tcBorders>
            <w:noWrap/>
          </w:tcPr>
          <w:p w14:paraId="30ECB07A" w14:textId="4E01BB0D" w:rsidR="005451F9" w:rsidRPr="005D60A5" w:rsidRDefault="005451F9" w:rsidP="005451F9">
            <w:r w:rsidRPr="005D60A5">
              <w:t>Law enforcement officer</w:t>
            </w:r>
          </w:p>
        </w:tc>
        <w:tc>
          <w:tcPr>
            <w:tcW w:w="1170" w:type="dxa"/>
            <w:vMerge/>
            <w:tcBorders>
              <w:right w:val="single" w:sz="12" w:space="0" w:color="auto"/>
            </w:tcBorders>
            <w:vAlign w:val="center"/>
          </w:tcPr>
          <w:p w14:paraId="033B14A3" w14:textId="77777777" w:rsidR="005451F9" w:rsidRPr="00995C1D" w:rsidRDefault="005451F9" w:rsidP="005451F9"/>
        </w:tc>
      </w:tr>
      <w:tr w:rsidR="005451F9" w:rsidRPr="00995C1D" w14:paraId="32360337" w14:textId="77777777" w:rsidTr="007B27D9">
        <w:tc>
          <w:tcPr>
            <w:tcW w:w="3600" w:type="dxa"/>
            <w:tcBorders>
              <w:top w:val="single" w:sz="12" w:space="0" w:color="auto"/>
              <w:left w:val="single" w:sz="12" w:space="0" w:color="auto"/>
              <w:bottom w:val="single" w:sz="12" w:space="0" w:color="auto"/>
              <w:right w:val="single" w:sz="8" w:space="0" w:color="auto"/>
            </w:tcBorders>
            <w:noWrap/>
          </w:tcPr>
          <w:p w14:paraId="0E6922BB" w14:textId="0ACCEA43" w:rsidR="005451F9" w:rsidRPr="00387AB4" w:rsidRDefault="008B354F" w:rsidP="005451F9">
            <w:r w:rsidRPr="005D60A5">
              <w:t>Technical college</w:t>
            </w:r>
            <w:r w:rsidR="00090FA9" w:rsidRPr="005D60A5">
              <w:t>s</w:t>
            </w:r>
          </w:p>
        </w:tc>
        <w:tc>
          <w:tcPr>
            <w:tcW w:w="1620" w:type="dxa"/>
            <w:tcBorders>
              <w:top w:val="single" w:sz="12" w:space="0" w:color="auto"/>
              <w:left w:val="single" w:sz="8" w:space="0" w:color="auto"/>
              <w:bottom w:val="single" w:sz="12" w:space="0" w:color="auto"/>
              <w:right w:val="single" w:sz="4" w:space="0" w:color="auto"/>
            </w:tcBorders>
            <w:noWrap/>
          </w:tcPr>
          <w:p w14:paraId="72661ECC" w14:textId="61BFD163" w:rsidR="005451F9" w:rsidRPr="00387AB4" w:rsidRDefault="008B354F" w:rsidP="005451F9">
            <w:hyperlink r:id="rId93" w:history="1">
              <w:r w:rsidRPr="005D60A5">
                <w:rPr>
                  <w:rStyle w:val="Hyperlink"/>
                  <w:u w:val="none"/>
                </w:rPr>
                <w:t>3345.04</w:t>
              </w:r>
            </w:hyperlink>
          </w:p>
        </w:tc>
        <w:tc>
          <w:tcPr>
            <w:tcW w:w="3510" w:type="dxa"/>
            <w:tcBorders>
              <w:top w:val="single" w:sz="12" w:space="0" w:color="auto"/>
              <w:left w:val="nil"/>
              <w:bottom w:val="single" w:sz="12" w:space="0" w:color="auto"/>
              <w:right w:val="single" w:sz="12" w:space="0" w:color="auto"/>
            </w:tcBorders>
            <w:noWrap/>
          </w:tcPr>
          <w:p w14:paraId="52B86128" w14:textId="7AB9351C" w:rsidR="005451F9" w:rsidRPr="005D60A5" w:rsidRDefault="008B354F" w:rsidP="005451F9">
            <w:r w:rsidRPr="005D60A5">
              <w:t>Law enforcement officer</w:t>
            </w:r>
          </w:p>
        </w:tc>
        <w:tc>
          <w:tcPr>
            <w:tcW w:w="1170" w:type="dxa"/>
            <w:vMerge/>
            <w:tcBorders>
              <w:right w:val="single" w:sz="12" w:space="0" w:color="auto"/>
            </w:tcBorders>
            <w:vAlign w:val="center"/>
          </w:tcPr>
          <w:p w14:paraId="06742EDA" w14:textId="77777777" w:rsidR="005451F9" w:rsidRPr="00995C1D" w:rsidRDefault="005451F9" w:rsidP="005451F9"/>
        </w:tc>
      </w:tr>
      <w:tr w:rsidR="005451F9" w:rsidRPr="00995C1D" w14:paraId="7EBE0421" w14:textId="77777777" w:rsidTr="007B27D9">
        <w:tc>
          <w:tcPr>
            <w:tcW w:w="3600" w:type="dxa"/>
            <w:tcBorders>
              <w:top w:val="single" w:sz="12" w:space="0" w:color="auto"/>
              <w:left w:val="single" w:sz="12" w:space="0" w:color="auto"/>
              <w:bottom w:val="single" w:sz="12" w:space="0" w:color="auto"/>
              <w:right w:val="single" w:sz="8" w:space="0" w:color="auto"/>
            </w:tcBorders>
            <w:noWrap/>
            <w:hideMark/>
          </w:tcPr>
          <w:p w14:paraId="1CD6E158" w14:textId="77777777" w:rsidR="005451F9" w:rsidRPr="005D60A5" w:rsidRDefault="005451F9" w:rsidP="005451F9">
            <w:r w:rsidRPr="005D60A5">
              <w:t>Joint ambulance districts</w:t>
            </w:r>
          </w:p>
        </w:tc>
        <w:tc>
          <w:tcPr>
            <w:tcW w:w="1620" w:type="dxa"/>
            <w:tcBorders>
              <w:top w:val="single" w:sz="12" w:space="0" w:color="auto"/>
              <w:left w:val="single" w:sz="8" w:space="0" w:color="auto"/>
              <w:bottom w:val="single" w:sz="12" w:space="0" w:color="auto"/>
              <w:right w:val="single" w:sz="4" w:space="0" w:color="auto"/>
            </w:tcBorders>
            <w:noWrap/>
            <w:hideMark/>
          </w:tcPr>
          <w:p w14:paraId="7A8FBA71" w14:textId="0D0C5804" w:rsidR="005451F9" w:rsidRPr="005D60A5" w:rsidRDefault="005451F9" w:rsidP="005451F9">
            <w:pPr>
              <w:rPr>
                <w:color w:val="0000FF"/>
                <w:u w:val="single"/>
              </w:rPr>
            </w:pPr>
            <w:hyperlink r:id="rId94" w:history="1">
              <w:r w:rsidRPr="005D60A5">
                <w:rPr>
                  <w:color w:val="0000FF"/>
                  <w:u w:val="single"/>
                </w:rPr>
                <w:t>505.71</w:t>
              </w:r>
            </w:hyperlink>
          </w:p>
        </w:tc>
        <w:tc>
          <w:tcPr>
            <w:tcW w:w="3510" w:type="dxa"/>
            <w:tcBorders>
              <w:top w:val="single" w:sz="12" w:space="0" w:color="auto"/>
              <w:left w:val="nil"/>
              <w:bottom w:val="single" w:sz="12" w:space="0" w:color="auto"/>
              <w:right w:val="single" w:sz="12" w:space="0" w:color="auto"/>
            </w:tcBorders>
            <w:noWrap/>
            <w:hideMark/>
          </w:tcPr>
          <w:p w14:paraId="76F07A35" w14:textId="77777777" w:rsidR="005451F9" w:rsidRPr="005D60A5" w:rsidRDefault="005451F9" w:rsidP="005451F9">
            <w:r w:rsidRPr="005D60A5">
              <w:t>Clerk</w:t>
            </w:r>
          </w:p>
        </w:tc>
        <w:tc>
          <w:tcPr>
            <w:tcW w:w="1170" w:type="dxa"/>
            <w:vMerge/>
            <w:tcBorders>
              <w:right w:val="single" w:sz="12" w:space="0" w:color="auto"/>
            </w:tcBorders>
            <w:vAlign w:val="center"/>
            <w:hideMark/>
          </w:tcPr>
          <w:p w14:paraId="028D3885" w14:textId="77777777" w:rsidR="005451F9" w:rsidRPr="00995C1D" w:rsidRDefault="005451F9" w:rsidP="005451F9"/>
        </w:tc>
      </w:tr>
      <w:tr w:rsidR="005451F9" w:rsidRPr="00995C1D" w14:paraId="0897D98F" w14:textId="77777777" w:rsidTr="007B27D9">
        <w:tc>
          <w:tcPr>
            <w:tcW w:w="3600" w:type="dxa"/>
            <w:tcBorders>
              <w:top w:val="single" w:sz="12" w:space="0" w:color="auto"/>
              <w:left w:val="single" w:sz="12" w:space="0" w:color="auto"/>
              <w:bottom w:val="single" w:sz="12" w:space="0" w:color="auto"/>
              <w:right w:val="single" w:sz="8" w:space="0" w:color="auto"/>
            </w:tcBorders>
            <w:noWrap/>
            <w:hideMark/>
          </w:tcPr>
          <w:p w14:paraId="5AB16092" w14:textId="77777777" w:rsidR="005451F9" w:rsidRPr="005D60A5" w:rsidRDefault="005451F9" w:rsidP="005451F9">
            <w:r w:rsidRPr="005D60A5">
              <w:t>Joint Fire Districts</w:t>
            </w:r>
          </w:p>
        </w:tc>
        <w:tc>
          <w:tcPr>
            <w:tcW w:w="1620" w:type="dxa"/>
            <w:tcBorders>
              <w:top w:val="single" w:sz="12" w:space="0" w:color="auto"/>
              <w:left w:val="single" w:sz="8" w:space="0" w:color="auto"/>
              <w:bottom w:val="single" w:sz="12" w:space="0" w:color="auto"/>
              <w:right w:val="single" w:sz="4" w:space="0" w:color="auto"/>
            </w:tcBorders>
            <w:noWrap/>
            <w:hideMark/>
          </w:tcPr>
          <w:p w14:paraId="61D2B840" w14:textId="2D995171" w:rsidR="005451F9" w:rsidRPr="005D60A5" w:rsidRDefault="005451F9" w:rsidP="005451F9">
            <w:pPr>
              <w:rPr>
                <w:color w:val="0000FF"/>
                <w:u w:val="single"/>
              </w:rPr>
            </w:pPr>
            <w:hyperlink r:id="rId95" w:history="1">
              <w:r w:rsidRPr="005D60A5">
                <w:rPr>
                  <w:color w:val="0000FF"/>
                  <w:u w:val="single"/>
                </w:rPr>
                <w:t>505.372</w:t>
              </w:r>
            </w:hyperlink>
          </w:p>
        </w:tc>
        <w:tc>
          <w:tcPr>
            <w:tcW w:w="3510" w:type="dxa"/>
            <w:tcBorders>
              <w:top w:val="single" w:sz="12" w:space="0" w:color="auto"/>
              <w:left w:val="nil"/>
              <w:bottom w:val="single" w:sz="12" w:space="0" w:color="auto"/>
              <w:right w:val="single" w:sz="12" w:space="0" w:color="auto"/>
            </w:tcBorders>
            <w:noWrap/>
            <w:hideMark/>
          </w:tcPr>
          <w:p w14:paraId="6BF348B6" w14:textId="77777777" w:rsidR="005451F9" w:rsidRPr="005D60A5" w:rsidRDefault="005451F9" w:rsidP="005451F9">
            <w:r w:rsidRPr="005D60A5">
              <w:t>Clerk</w:t>
            </w:r>
          </w:p>
        </w:tc>
        <w:tc>
          <w:tcPr>
            <w:tcW w:w="1170" w:type="dxa"/>
            <w:vMerge/>
            <w:tcBorders>
              <w:right w:val="single" w:sz="12" w:space="0" w:color="auto"/>
            </w:tcBorders>
            <w:vAlign w:val="center"/>
            <w:hideMark/>
          </w:tcPr>
          <w:p w14:paraId="6F3969AC" w14:textId="77777777" w:rsidR="005451F9" w:rsidRPr="00995C1D" w:rsidRDefault="005451F9" w:rsidP="005451F9"/>
        </w:tc>
      </w:tr>
      <w:tr w:rsidR="005451F9" w:rsidRPr="00995C1D" w14:paraId="5AABFEF3" w14:textId="77777777" w:rsidTr="007B27D9">
        <w:tc>
          <w:tcPr>
            <w:tcW w:w="3600" w:type="dxa"/>
            <w:tcBorders>
              <w:top w:val="single" w:sz="12" w:space="0" w:color="auto"/>
              <w:left w:val="single" w:sz="12" w:space="0" w:color="auto"/>
              <w:bottom w:val="single" w:sz="12" w:space="0" w:color="auto"/>
              <w:right w:val="single" w:sz="8" w:space="0" w:color="auto"/>
            </w:tcBorders>
            <w:noWrap/>
            <w:hideMark/>
          </w:tcPr>
          <w:p w14:paraId="4481EFFB" w14:textId="77777777" w:rsidR="005451F9" w:rsidRPr="005D60A5" w:rsidRDefault="005451F9" w:rsidP="005451F9">
            <w:r w:rsidRPr="005D60A5">
              <w:t>Fire &amp; Ambulance District</w:t>
            </w:r>
          </w:p>
        </w:tc>
        <w:tc>
          <w:tcPr>
            <w:tcW w:w="1620" w:type="dxa"/>
            <w:tcBorders>
              <w:top w:val="single" w:sz="12" w:space="0" w:color="auto"/>
              <w:left w:val="single" w:sz="8" w:space="0" w:color="auto"/>
              <w:bottom w:val="single" w:sz="12" w:space="0" w:color="auto"/>
              <w:right w:val="single" w:sz="4" w:space="0" w:color="auto"/>
            </w:tcBorders>
            <w:noWrap/>
            <w:hideMark/>
          </w:tcPr>
          <w:p w14:paraId="47E05064" w14:textId="6DD63A88" w:rsidR="005451F9" w:rsidRPr="005D60A5" w:rsidRDefault="005451F9" w:rsidP="005451F9">
            <w:pPr>
              <w:rPr>
                <w:color w:val="0000FF"/>
                <w:u w:val="single"/>
              </w:rPr>
            </w:pPr>
            <w:hyperlink r:id="rId96" w:history="1">
              <w:r w:rsidRPr="005D60A5">
                <w:rPr>
                  <w:color w:val="0000FF"/>
                  <w:u w:val="single"/>
                </w:rPr>
                <w:t>505.375</w:t>
              </w:r>
            </w:hyperlink>
          </w:p>
        </w:tc>
        <w:tc>
          <w:tcPr>
            <w:tcW w:w="3510" w:type="dxa"/>
            <w:tcBorders>
              <w:top w:val="single" w:sz="12" w:space="0" w:color="auto"/>
              <w:left w:val="nil"/>
              <w:bottom w:val="single" w:sz="12" w:space="0" w:color="auto"/>
              <w:right w:val="single" w:sz="12" w:space="0" w:color="auto"/>
            </w:tcBorders>
            <w:noWrap/>
            <w:hideMark/>
          </w:tcPr>
          <w:p w14:paraId="0378EEDD" w14:textId="77777777" w:rsidR="005451F9" w:rsidRPr="005D60A5" w:rsidRDefault="005451F9" w:rsidP="005451F9">
            <w:r w:rsidRPr="005D60A5">
              <w:t>Clerk</w:t>
            </w:r>
          </w:p>
        </w:tc>
        <w:tc>
          <w:tcPr>
            <w:tcW w:w="1170" w:type="dxa"/>
            <w:vMerge/>
            <w:tcBorders>
              <w:right w:val="single" w:sz="12" w:space="0" w:color="auto"/>
            </w:tcBorders>
            <w:vAlign w:val="center"/>
            <w:hideMark/>
          </w:tcPr>
          <w:p w14:paraId="5170424A" w14:textId="77777777" w:rsidR="005451F9" w:rsidRPr="00995C1D" w:rsidRDefault="005451F9" w:rsidP="005451F9"/>
        </w:tc>
      </w:tr>
      <w:tr w:rsidR="005451F9" w:rsidRPr="00995C1D" w14:paraId="6D826EC1" w14:textId="77777777" w:rsidTr="007B27D9">
        <w:tc>
          <w:tcPr>
            <w:tcW w:w="3600" w:type="dxa"/>
            <w:tcBorders>
              <w:top w:val="single" w:sz="12" w:space="0" w:color="auto"/>
              <w:left w:val="single" w:sz="12" w:space="0" w:color="auto"/>
              <w:bottom w:val="single" w:sz="12" w:space="0" w:color="auto"/>
              <w:right w:val="single" w:sz="8" w:space="0" w:color="auto"/>
            </w:tcBorders>
            <w:noWrap/>
            <w:hideMark/>
          </w:tcPr>
          <w:p w14:paraId="1360A9F7" w14:textId="77777777" w:rsidR="005451F9" w:rsidRPr="005D60A5" w:rsidRDefault="005451F9" w:rsidP="005451F9">
            <w:r w:rsidRPr="005D60A5">
              <w:t>Joint Police Districts</w:t>
            </w:r>
          </w:p>
        </w:tc>
        <w:tc>
          <w:tcPr>
            <w:tcW w:w="1620" w:type="dxa"/>
            <w:tcBorders>
              <w:top w:val="single" w:sz="12" w:space="0" w:color="auto"/>
              <w:left w:val="single" w:sz="8" w:space="0" w:color="auto"/>
              <w:bottom w:val="single" w:sz="12" w:space="0" w:color="auto"/>
              <w:right w:val="single" w:sz="4" w:space="0" w:color="auto"/>
            </w:tcBorders>
            <w:noWrap/>
            <w:hideMark/>
          </w:tcPr>
          <w:p w14:paraId="7E651B9A" w14:textId="4E90757B" w:rsidR="005451F9" w:rsidRPr="005D60A5" w:rsidRDefault="005451F9" w:rsidP="005451F9">
            <w:pPr>
              <w:rPr>
                <w:color w:val="0000FF"/>
                <w:u w:val="single"/>
              </w:rPr>
            </w:pPr>
            <w:hyperlink r:id="rId97" w:history="1">
              <w:r w:rsidRPr="005D60A5">
                <w:rPr>
                  <w:color w:val="0000FF"/>
                  <w:u w:val="single"/>
                </w:rPr>
                <w:t>505.484</w:t>
              </w:r>
            </w:hyperlink>
          </w:p>
        </w:tc>
        <w:tc>
          <w:tcPr>
            <w:tcW w:w="3510" w:type="dxa"/>
            <w:tcBorders>
              <w:top w:val="single" w:sz="12" w:space="0" w:color="auto"/>
              <w:left w:val="nil"/>
              <w:bottom w:val="single" w:sz="12" w:space="0" w:color="auto"/>
              <w:right w:val="single" w:sz="12" w:space="0" w:color="auto"/>
            </w:tcBorders>
            <w:noWrap/>
            <w:hideMark/>
          </w:tcPr>
          <w:p w14:paraId="07E0EFF7" w14:textId="77777777" w:rsidR="005451F9" w:rsidRPr="005D60A5" w:rsidRDefault="005451F9" w:rsidP="005451F9">
            <w:r w:rsidRPr="005D60A5">
              <w:t>Treasurer</w:t>
            </w:r>
          </w:p>
        </w:tc>
        <w:tc>
          <w:tcPr>
            <w:tcW w:w="1170" w:type="dxa"/>
            <w:vMerge/>
            <w:tcBorders>
              <w:right w:val="single" w:sz="12" w:space="0" w:color="auto"/>
            </w:tcBorders>
            <w:vAlign w:val="center"/>
            <w:hideMark/>
          </w:tcPr>
          <w:p w14:paraId="5B628483" w14:textId="77777777" w:rsidR="005451F9" w:rsidRPr="00995C1D" w:rsidRDefault="005451F9" w:rsidP="005451F9"/>
        </w:tc>
      </w:tr>
      <w:tr w:rsidR="00E2472A" w:rsidRPr="00995C1D" w14:paraId="521CCF7F" w14:textId="77777777" w:rsidTr="007B27D9">
        <w:tc>
          <w:tcPr>
            <w:tcW w:w="3600" w:type="dxa"/>
            <w:tcBorders>
              <w:top w:val="single" w:sz="12" w:space="0" w:color="auto"/>
              <w:left w:val="single" w:sz="12" w:space="0" w:color="auto"/>
              <w:right w:val="single" w:sz="8" w:space="0" w:color="auto"/>
            </w:tcBorders>
            <w:noWrap/>
          </w:tcPr>
          <w:p w14:paraId="47EF8F59" w14:textId="48DB5A31" w:rsidR="005451F9" w:rsidRPr="005D60A5" w:rsidRDefault="005451F9" w:rsidP="005451F9">
            <w:r w:rsidRPr="005D60A5">
              <w:t>Park District</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tcPr>
          <w:p w14:paraId="4C5B1EC0" w14:textId="16F7D61D" w:rsidR="005451F9" w:rsidRPr="005D60A5" w:rsidRDefault="005451F9" w:rsidP="005451F9">
            <w:pPr>
              <w:rPr>
                <w:u w:val="single"/>
              </w:rPr>
            </w:pPr>
            <w:hyperlink r:id="rId98" w:history="1">
              <w:r w:rsidRPr="005D60A5">
                <w:rPr>
                  <w:color w:val="0000FF"/>
                  <w:u w:val="single"/>
                </w:rPr>
                <w:t>1545.13</w:t>
              </w:r>
            </w:hyperlink>
          </w:p>
        </w:tc>
        <w:tc>
          <w:tcPr>
            <w:tcW w:w="3510" w:type="dxa"/>
            <w:tcBorders>
              <w:top w:val="single" w:sz="12" w:space="0" w:color="auto"/>
              <w:left w:val="nil"/>
              <w:bottom w:val="single" w:sz="4" w:space="0" w:color="auto"/>
              <w:right w:val="single" w:sz="12" w:space="0" w:color="auto"/>
            </w:tcBorders>
            <w:noWrap/>
          </w:tcPr>
          <w:p w14:paraId="5EB78849" w14:textId="05327371" w:rsidR="005451F9" w:rsidRPr="005D60A5" w:rsidRDefault="005451F9" w:rsidP="005451F9">
            <w:r w:rsidRPr="005D60A5">
              <w:t>Park law enforcement officer</w:t>
            </w:r>
          </w:p>
        </w:tc>
        <w:tc>
          <w:tcPr>
            <w:tcW w:w="1170" w:type="dxa"/>
            <w:vMerge/>
            <w:tcBorders>
              <w:right w:val="single" w:sz="12" w:space="0" w:color="auto"/>
            </w:tcBorders>
            <w:vAlign w:val="center"/>
          </w:tcPr>
          <w:p w14:paraId="41F43EDF" w14:textId="77777777" w:rsidR="005451F9" w:rsidRPr="00995C1D" w:rsidRDefault="005451F9" w:rsidP="005451F9"/>
        </w:tc>
      </w:tr>
      <w:tr w:rsidR="005451F9" w:rsidRPr="00995C1D" w14:paraId="2B69DBE3" w14:textId="77777777" w:rsidTr="007B27D9">
        <w:tc>
          <w:tcPr>
            <w:tcW w:w="3600" w:type="dxa"/>
            <w:vMerge w:val="restart"/>
            <w:tcBorders>
              <w:top w:val="single" w:sz="12" w:space="0" w:color="auto"/>
              <w:left w:val="single" w:sz="12" w:space="0" w:color="auto"/>
              <w:right w:val="single" w:sz="8" w:space="0" w:color="auto"/>
            </w:tcBorders>
            <w:noWrap/>
            <w:hideMark/>
          </w:tcPr>
          <w:p w14:paraId="3FDFC1CC" w14:textId="77777777" w:rsidR="005451F9" w:rsidRPr="005D60A5" w:rsidRDefault="005451F9" w:rsidP="005451F9">
            <w:r w:rsidRPr="005D60A5">
              <w:t>Port Authorities  </w:t>
            </w:r>
          </w:p>
        </w:tc>
        <w:tc>
          <w:tcPr>
            <w:tcW w:w="1620" w:type="dxa"/>
            <w:tcBorders>
              <w:top w:val="single" w:sz="12" w:space="0" w:color="auto"/>
              <w:left w:val="single" w:sz="8" w:space="0" w:color="auto"/>
              <w:bottom w:val="single" w:sz="4" w:space="0" w:color="auto"/>
              <w:right w:val="single" w:sz="4" w:space="0" w:color="auto"/>
            </w:tcBorders>
            <w:noWrap/>
            <w:hideMark/>
          </w:tcPr>
          <w:p w14:paraId="061A874E" w14:textId="3CDDD5A0" w:rsidR="005451F9" w:rsidRPr="005D60A5" w:rsidRDefault="005451F9" w:rsidP="005451F9">
            <w:pPr>
              <w:rPr>
                <w:color w:val="0000FF"/>
                <w:u w:val="single"/>
              </w:rPr>
            </w:pPr>
            <w:hyperlink r:id="rId99" w:history="1">
              <w:r w:rsidRPr="005D60A5">
                <w:rPr>
                  <w:color w:val="0000FF"/>
                  <w:u w:val="single"/>
                </w:rPr>
                <w:t>4582.15</w:t>
              </w:r>
            </w:hyperlink>
          </w:p>
        </w:tc>
        <w:tc>
          <w:tcPr>
            <w:tcW w:w="3510" w:type="dxa"/>
            <w:tcBorders>
              <w:top w:val="single" w:sz="12" w:space="0" w:color="auto"/>
              <w:left w:val="nil"/>
              <w:bottom w:val="single" w:sz="4" w:space="0" w:color="auto"/>
              <w:right w:val="single" w:sz="12" w:space="0" w:color="auto"/>
            </w:tcBorders>
            <w:noWrap/>
            <w:hideMark/>
          </w:tcPr>
          <w:p w14:paraId="42C566CB" w14:textId="77777777" w:rsidR="005451F9" w:rsidRPr="005D60A5" w:rsidRDefault="005451F9" w:rsidP="005451F9">
            <w:r w:rsidRPr="005D60A5">
              <w:t>Secretary</w:t>
            </w:r>
          </w:p>
        </w:tc>
        <w:tc>
          <w:tcPr>
            <w:tcW w:w="1170" w:type="dxa"/>
            <w:vMerge/>
            <w:tcBorders>
              <w:right w:val="single" w:sz="12" w:space="0" w:color="auto"/>
            </w:tcBorders>
            <w:vAlign w:val="center"/>
            <w:hideMark/>
          </w:tcPr>
          <w:p w14:paraId="2A056113" w14:textId="77777777" w:rsidR="005451F9" w:rsidRPr="00995C1D" w:rsidRDefault="005451F9" w:rsidP="005451F9"/>
        </w:tc>
      </w:tr>
      <w:tr w:rsidR="005451F9" w:rsidRPr="00995C1D" w14:paraId="19C72DB3" w14:textId="77777777" w:rsidTr="007B27D9">
        <w:tc>
          <w:tcPr>
            <w:tcW w:w="3600" w:type="dxa"/>
            <w:vMerge/>
            <w:tcBorders>
              <w:left w:val="single" w:sz="12" w:space="0" w:color="auto"/>
            </w:tcBorders>
            <w:noWrap/>
            <w:hideMark/>
          </w:tcPr>
          <w:p w14:paraId="17255FF8" w14:textId="77777777" w:rsidR="005451F9" w:rsidRPr="005D60A5" w:rsidRDefault="005451F9" w:rsidP="005451F9"/>
        </w:tc>
        <w:tc>
          <w:tcPr>
            <w:tcW w:w="1620" w:type="dxa"/>
            <w:tcBorders>
              <w:top w:val="nil"/>
              <w:left w:val="single" w:sz="8" w:space="0" w:color="auto"/>
              <w:bottom w:val="single" w:sz="12" w:space="0" w:color="auto"/>
              <w:right w:val="single" w:sz="4" w:space="0" w:color="auto"/>
            </w:tcBorders>
            <w:noWrap/>
            <w:hideMark/>
          </w:tcPr>
          <w:p w14:paraId="0FDF7208" w14:textId="255932B8" w:rsidR="005451F9" w:rsidRPr="005D60A5" w:rsidRDefault="005451F9" w:rsidP="005451F9">
            <w:pPr>
              <w:rPr>
                <w:color w:val="0000FF"/>
                <w:u w:val="single"/>
              </w:rPr>
            </w:pPr>
            <w:hyperlink r:id="rId100" w:history="1">
              <w:r w:rsidRPr="005D60A5">
                <w:rPr>
                  <w:color w:val="0000FF"/>
                  <w:u w:val="single"/>
                </w:rPr>
                <w:t>4582.41</w:t>
              </w:r>
            </w:hyperlink>
          </w:p>
        </w:tc>
        <w:tc>
          <w:tcPr>
            <w:tcW w:w="3510" w:type="dxa"/>
            <w:tcBorders>
              <w:top w:val="nil"/>
              <w:left w:val="nil"/>
              <w:bottom w:val="single" w:sz="12" w:space="0" w:color="auto"/>
              <w:right w:val="single" w:sz="12" w:space="0" w:color="auto"/>
            </w:tcBorders>
            <w:noWrap/>
            <w:hideMark/>
          </w:tcPr>
          <w:p w14:paraId="0A265495" w14:textId="77777777" w:rsidR="005451F9" w:rsidRPr="005D60A5" w:rsidRDefault="005451F9" w:rsidP="005451F9">
            <w:r w:rsidRPr="005D60A5">
              <w:t>Secretary</w:t>
            </w:r>
          </w:p>
        </w:tc>
        <w:tc>
          <w:tcPr>
            <w:tcW w:w="1170" w:type="dxa"/>
            <w:vMerge/>
            <w:tcBorders>
              <w:right w:val="single" w:sz="12" w:space="0" w:color="auto"/>
            </w:tcBorders>
            <w:vAlign w:val="center"/>
            <w:hideMark/>
          </w:tcPr>
          <w:p w14:paraId="7B878A07" w14:textId="77777777" w:rsidR="005451F9" w:rsidRPr="00995C1D" w:rsidRDefault="005451F9" w:rsidP="005451F9"/>
        </w:tc>
      </w:tr>
      <w:tr w:rsidR="00E2472A" w:rsidRPr="00995C1D" w14:paraId="56F1AE82" w14:textId="77777777" w:rsidTr="007B27D9">
        <w:tc>
          <w:tcPr>
            <w:tcW w:w="3600" w:type="dxa"/>
            <w:vMerge w:val="restart"/>
            <w:tcBorders>
              <w:top w:val="single" w:sz="12" w:space="0" w:color="auto"/>
              <w:left w:val="single" w:sz="12" w:space="0" w:color="auto"/>
              <w:right w:val="single" w:sz="8" w:space="0" w:color="auto"/>
            </w:tcBorders>
            <w:noWrap/>
            <w:hideMark/>
          </w:tcPr>
          <w:p w14:paraId="0930E8F3" w14:textId="77777777" w:rsidR="005451F9" w:rsidRPr="005D60A5" w:rsidRDefault="005451F9" w:rsidP="005451F9">
            <w:r w:rsidRPr="005D60A5">
              <w:t>County </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hideMark/>
          </w:tcPr>
          <w:p w14:paraId="3465593E" w14:textId="69FB7D48" w:rsidR="005451F9" w:rsidRPr="005D60A5" w:rsidRDefault="005451F9" w:rsidP="005451F9">
            <w:pPr>
              <w:rPr>
                <w:color w:val="0000FF"/>
                <w:u w:val="single"/>
              </w:rPr>
            </w:pPr>
            <w:hyperlink r:id="rId101" w:history="1">
              <w:r w:rsidRPr="005D60A5">
                <w:rPr>
                  <w:color w:val="0000FF"/>
                  <w:u w:val="single"/>
                </w:rPr>
                <w:t>153.24</w:t>
              </w:r>
            </w:hyperlink>
          </w:p>
        </w:tc>
        <w:tc>
          <w:tcPr>
            <w:tcW w:w="3510" w:type="dxa"/>
            <w:tcBorders>
              <w:top w:val="single" w:sz="12" w:space="0" w:color="auto"/>
              <w:left w:val="nil"/>
              <w:bottom w:val="single" w:sz="4" w:space="0" w:color="auto"/>
              <w:right w:val="single" w:sz="12" w:space="0" w:color="auto"/>
            </w:tcBorders>
            <w:noWrap/>
            <w:hideMark/>
          </w:tcPr>
          <w:p w14:paraId="2F1D6462" w14:textId="77777777" w:rsidR="005451F9" w:rsidRPr="005D60A5" w:rsidRDefault="005451F9" w:rsidP="005451F9">
            <w:r w:rsidRPr="005D60A5">
              <w:t>Building Commissioner</w:t>
            </w:r>
          </w:p>
        </w:tc>
        <w:tc>
          <w:tcPr>
            <w:tcW w:w="1170" w:type="dxa"/>
            <w:vMerge/>
            <w:tcBorders>
              <w:right w:val="single" w:sz="12" w:space="0" w:color="auto"/>
            </w:tcBorders>
            <w:vAlign w:val="center"/>
            <w:hideMark/>
          </w:tcPr>
          <w:p w14:paraId="15A0DAAC" w14:textId="77777777" w:rsidR="005451F9" w:rsidRPr="00995C1D" w:rsidRDefault="005451F9" w:rsidP="005451F9"/>
        </w:tc>
      </w:tr>
      <w:tr w:rsidR="00E2472A" w:rsidRPr="00995C1D" w14:paraId="4A29B291" w14:textId="77777777" w:rsidTr="007B27D9">
        <w:tc>
          <w:tcPr>
            <w:tcW w:w="3600" w:type="dxa"/>
            <w:vMerge/>
            <w:tcBorders>
              <w:left w:val="single" w:sz="12" w:space="0" w:color="auto"/>
            </w:tcBorders>
            <w:noWrap/>
            <w:hideMark/>
          </w:tcPr>
          <w:p w14:paraId="10C089A5"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456D3F4E" w14:textId="70021516" w:rsidR="005451F9" w:rsidRPr="005D60A5" w:rsidRDefault="005451F9" w:rsidP="005451F9">
            <w:pPr>
              <w:rPr>
                <w:color w:val="0000FF"/>
                <w:u w:val="single"/>
              </w:rPr>
            </w:pPr>
            <w:hyperlink r:id="rId102" w:history="1">
              <w:r w:rsidRPr="005D60A5">
                <w:rPr>
                  <w:color w:val="0000FF"/>
                  <w:u w:val="single"/>
                </w:rPr>
                <w:t>321.02</w:t>
              </w:r>
            </w:hyperlink>
          </w:p>
        </w:tc>
        <w:tc>
          <w:tcPr>
            <w:tcW w:w="3510" w:type="dxa"/>
            <w:tcBorders>
              <w:top w:val="nil"/>
              <w:left w:val="nil"/>
              <w:bottom w:val="single" w:sz="4" w:space="0" w:color="auto"/>
              <w:right w:val="single" w:sz="12" w:space="0" w:color="auto"/>
            </w:tcBorders>
            <w:noWrap/>
            <w:hideMark/>
          </w:tcPr>
          <w:p w14:paraId="0B226E4D" w14:textId="77777777" w:rsidR="005451F9" w:rsidRPr="005D60A5" w:rsidRDefault="005451F9" w:rsidP="005451F9">
            <w:r w:rsidRPr="005D60A5">
              <w:t>Treasurer</w:t>
            </w:r>
          </w:p>
        </w:tc>
        <w:tc>
          <w:tcPr>
            <w:tcW w:w="1170" w:type="dxa"/>
            <w:vMerge/>
            <w:tcBorders>
              <w:right w:val="single" w:sz="12" w:space="0" w:color="auto"/>
            </w:tcBorders>
            <w:vAlign w:val="center"/>
            <w:hideMark/>
          </w:tcPr>
          <w:p w14:paraId="42EE4714" w14:textId="77777777" w:rsidR="005451F9" w:rsidRPr="00995C1D" w:rsidRDefault="005451F9" w:rsidP="005451F9"/>
        </w:tc>
      </w:tr>
      <w:tr w:rsidR="00E2472A" w:rsidRPr="00995C1D" w14:paraId="14DF26F2" w14:textId="77777777" w:rsidTr="007B27D9">
        <w:tc>
          <w:tcPr>
            <w:tcW w:w="3600" w:type="dxa"/>
            <w:vMerge/>
            <w:tcBorders>
              <w:left w:val="single" w:sz="12" w:space="0" w:color="auto"/>
            </w:tcBorders>
            <w:noWrap/>
            <w:hideMark/>
          </w:tcPr>
          <w:p w14:paraId="3CB43885"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68E929F8" w14:textId="1AEFD658" w:rsidR="005451F9" w:rsidRPr="005D60A5" w:rsidRDefault="005451F9" w:rsidP="005451F9">
            <w:pPr>
              <w:rPr>
                <w:color w:val="0000FF"/>
                <w:u w:val="single"/>
              </w:rPr>
            </w:pPr>
            <w:hyperlink r:id="rId103" w:history="1">
              <w:r w:rsidRPr="005D60A5">
                <w:rPr>
                  <w:color w:val="0000FF"/>
                  <w:u w:val="single"/>
                </w:rPr>
                <w:t>329.01</w:t>
              </w:r>
            </w:hyperlink>
          </w:p>
        </w:tc>
        <w:tc>
          <w:tcPr>
            <w:tcW w:w="3510" w:type="dxa"/>
            <w:tcBorders>
              <w:top w:val="nil"/>
              <w:left w:val="nil"/>
              <w:bottom w:val="single" w:sz="4" w:space="0" w:color="auto"/>
              <w:right w:val="single" w:sz="12" w:space="0" w:color="auto"/>
            </w:tcBorders>
            <w:noWrap/>
            <w:hideMark/>
          </w:tcPr>
          <w:p w14:paraId="53FBFF43" w14:textId="77777777" w:rsidR="005451F9" w:rsidRPr="005D60A5" w:rsidRDefault="005451F9" w:rsidP="005451F9">
            <w:r w:rsidRPr="005D60A5">
              <w:t>CDJFS director</w:t>
            </w:r>
          </w:p>
        </w:tc>
        <w:tc>
          <w:tcPr>
            <w:tcW w:w="1170" w:type="dxa"/>
            <w:vMerge/>
            <w:tcBorders>
              <w:right w:val="single" w:sz="12" w:space="0" w:color="auto"/>
            </w:tcBorders>
            <w:vAlign w:val="center"/>
            <w:hideMark/>
          </w:tcPr>
          <w:p w14:paraId="057C83F6" w14:textId="77777777" w:rsidR="005451F9" w:rsidRPr="00995C1D" w:rsidRDefault="005451F9" w:rsidP="005451F9"/>
        </w:tc>
      </w:tr>
      <w:tr w:rsidR="00E2472A" w:rsidRPr="00995C1D" w14:paraId="78D75E39" w14:textId="77777777" w:rsidTr="007B27D9">
        <w:tc>
          <w:tcPr>
            <w:tcW w:w="3600" w:type="dxa"/>
            <w:vMerge/>
            <w:tcBorders>
              <w:left w:val="single" w:sz="12" w:space="0" w:color="auto"/>
            </w:tcBorders>
            <w:noWrap/>
            <w:hideMark/>
          </w:tcPr>
          <w:p w14:paraId="143C6A7D"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6CCDFF0C" w14:textId="7DFEB06D" w:rsidR="005451F9" w:rsidRPr="005D60A5" w:rsidRDefault="005451F9" w:rsidP="005451F9">
            <w:pPr>
              <w:rPr>
                <w:color w:val="0000FF"/>
                <w:u w:val="single"/>
              </w:rPr>
            </w:pPr>
            <w:hyperlink r:id="rId104" w:history="1">
              <w:r w:rsidRPr="005D60A5">
                <w:rPr>
                  <w:color w:val="0000FF"/>
                  <w:u w:val="single"/>
                </w:rPr>
                <w:t>2151.12</w:t>
              </w:r>
            </w:hyperlink>
          </w:p>
        </w:tc>
        <w:tc>
          <w:tcPr>
            <w:tcW w:w="3510" w:type="dxa"/>
            <w:tcBorders>
              <w:top w:val="nil"/>
              <w:left w:val="nil"/>
              <w:bottom w:val="single" w:sz="4" w:space="0" w:color="auto"/>
              <w:right w:val="single" w:sz="12" w:space="0" w:color="auto"/>
            </w:tcBorders>
            <w:noWrap/>
            <w:hideMark/>
          </w:tcPr>
          <w:p w14:paraId="35BE4DB2" w14:textId="77777777" w:rsidR="005451F9" w:rsidRPr="005D60A5" w:rsidRDefault="005451F9" w:rsidP="005451F9">
            <w:r w:rsidRPr="005D60A5">
              <w:t>Judge/clerk of Juvenile Court</w:t>
            </w:r>
          </w:p>
        </w:tc>
        <w:tc>
          <w:tcPr>
            <w:tcW w:w="1170" w:type="dxa"/>
            <w:vMerge/>
            <w:tcBorders>
              <w:right w:val="single" w:sz="12" w:space="0" w:color="auto"/>
            </w:tcBorders>
            <w:vAlign w:val="center"/>
            <w:hideMark/>
          </w:tcPr>
          <w:p w14:paraId="60B77383" w14:textId="77777777" w:rsidR="005451F9" w:rsidRPr="00995C1D" w:rsidRDefault="005451F9" w:rsidP="005451F9"/>
        </w:tc>
      </w:tr>
      <w:tr w:rsidR="00E2472A" w:rsidRPr="00995C1D" w14:paraId="43F6ED39" w14:textId="77777777" w:rsidTr="007B27D9">
        <w:tc>
          <w:tcPr>
            <w:tcW w:w="3600" w:type="dxa"/>
            <w:vMerge/>
            <w:tcBorders>
              <w:left w:val="single" w:sz="12" w:space="0" w:color="auto"/>
            </w:tcBorders>
            <w:noWrap/>
            <w:hideMark/>
          </w:tcPr>
          <w:p w14:paraId="7946B7A6"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290060C1" w14:textId="2EC34A39" w:rsidR="005451F9" w:rsidRPr="005D60A5" w:rsidRDefault="005451F9" w:rsidP="005451F9">
            <w:pPr>
              <w:rPr>
                <w:color w:val="0000FF"/>
                <w:u w:val="single"/>
              </w:rPr>
            </w:pPr>
            <w:hyperlink r:id="rId105" w:history="1">
              <w:r w:rsidRPr="005D60A5">
                <w:rPr>
                  <w:color w:val="0000FF"/>
                  <w:u w:val="single"/>
                </w:rPr>
                <w:t xml:space="preserve">2301.12(C) </w:t>
              </w:r>
            </w:hyperlink>
          </w:p>
        </w:tc>
        <w:tc>
          <w:tcPr>
            <w:tcW w:w="3510" w:type="dxa"/>
            <w:tcBorders>
              <w:top w:val="nil"/>
              <w:left w:val="nil"/>
              <w:bottom w:val="single" w:sz="4" w:space="0" w:color="auto"/>
              <w:right w:val="single" w:sz="12" w:space="0" w:color="auto"/>
            </w:tcBorders>
            <w:noWrap/>
            <w:hideMark/>
          </w:tcPr>
          <w:p w14:paraId="0E8C92ED" w14:textId="77777777" w:rsidR="005451F9" w:rsidRPr="005D60A5" w:rsidRDefault="005451F9" w:rsidP="005451F9">
            <w:r w:rsidRPr="005D60A5">
              <w:t>Chief Court Constable</w:t>
            </w:r>
          </w:p>
        </w:tc>
        <w:tc>
          <w:tcPr>
            <w:tcW w:w="1170" w:type="dxa"/>
            <w:vMerge/>
            <w:tcBorders>
              <w:right w:val="single" w:sz="12" w:space="0" w:color="auto"/>
            </w:tcBorders>
            <w:vAlign w:val="center"/>
            <w:hideMark/>
          </w:tcPr>
          <w:p w14:paraId="41ED3429" w14:textId="77777777" w:rsidR="005451F9" w:rsidRPr="00995C1D" w:rsidRDefault="005451F9" w:rsidP="005451F9"/>
        </w:tc>
      </w:tr>
      <w:tr w:rsidR="00E2472A" w:rsidRPr="00995C1D" w14:paraId="7568EDD7" w14:textId="77777777" w:rsidTr="007B27D9">
        <w:tc>
          <w:tcPr>
            <w:tcW w:w="3600" w:type="dxa"/>
            <w:vMerge/>
            <w:tcBorders>
              <w:left w:val="single" w:sz="12" w:space="0" w:color="auto"/>
            </w:tcBorders>
            <w:noWrap/>
            <w:hideMark/>
          </w:tcPr>
          <w:p w14:paraId="72F785DC" w14:textId="77777777" w:rsidR="005451F9" w:rsidRPr="005D60A5" w:rsidRDefault="005451F9" w:rsidP="005451F9"/>
        </w:tc>
        <w:tc>
          <w:tcPr>
            <w:tcW w:w="1620" w:type="dxa"/>
            <w:tcBorders>
              <w:top w:val="nil"/>
              <w:left w:val="single" w:sz="8" w:space="0" w:color="auto"/>
              <w:bottom w:val="single" w:sz="12" w:space="0" w:color="auto"/>
              <w:right w:val="single" w:sz="4" w:space="0" w:color="auto"/>
            </w:tcBorders>
            <w:shd w:val="clear" w:color="auto" w:fill="FFFF00"/>
            <w:noWrap/>
            <w:hideMark/>
          </w:tcPr>
          <w:p w14:paraId="1CD7472E" w14:textId="150333AB" w:rsidR="005451F9" w:rsidRPr="005D60A5" w:rsidRDefault="005451F9" w:rsidP="005451F9">
            <w:pPr>
              <w:rPr>
                <w:color w:val="0000FF"/>
                <w:u w:val="single"/>
              </w:rPr>
            </w:pPr>
            <w:hyperlink r:id="rId106" w:history="1">
              <w:r w:rsidRPr="005D60A5">
                <w:rPr>
                  <w:color w:val="0000FF"/>
                  <w:u w:val="single"/>
                </w:rPr>
                <w:t>5155.04</w:t>
              </w:r>
            </w:hyperlink>
          </w:p>
        </w:tc>
        <w:tc>
          <w:tcPr>
            <w:tcW w:w="3510" w:type="dxa"/>
            <w:tcBorders>
              <w:top w:val="nil"/>
              <w:left w:val="nil"/>
              <w:bottom w:val="single" w:sz="12" w:space="0" w:color="auto"/>
              <w:right w:val="single" w:sz="12" w:space="0" w:color="auto"/>
            </w:tcBorders>
            <w:noWrap/>
            <w:hideMark/>
          </w:tcPr>
          <w:p w14:paraId="09D265BD" w14:textId="77777777" w:rsidR="005451F9" w:rsidRPr="005D60A5" w:rsidRDefault="005451F9" w:rsidP="005451F9">
            <w:r w:rsidRPr="005D60A5">
              <w:t>Superintendent of County Home</w:t>
            </w:r>
          </w:p>
        </w:tc>
        <w:tc>
          <w:tcPr>
            <w:tcW w:w="1170" w:type="dxa"/>
            <w:vMerge/>
            <w:tcBorders>
              <w:right w:val="single" w:sz="12" w:space="0" w:color="auto"/>
            </w:tcBorders>
            <w:vAlign w:val="center"/>
            <w:hideMark/>
          </w:tcPr>
          <w:p w14:paraId="6795B5B6" w14:textId="77777777" w:rsidR="005451F9" w:rsidRPr="00995C1D" w:rsidRDefault="005451F9" w:rsidP="005451F9"/>
        </w:tc>
      </w:tr>
      <w:tr w:rsidR="00E2472A" w:rsidRPr="00995C1D" w14:paraId="5B7BB822" w14:textId="77777777" w:rsidTr="007B27D9">
        <w:tc>
          <w:tcPr>
            <w:tcW w:w="3600" w:type="dxa"/>
            <w:vMerge w:val="restart"/>
            <w:tcBorders>
              <w:top w:val="single" w:sz="12" w:space="0" w:color="auto"/>
              <w:left w:val="single" w:sz="12" w:space="0" w:color="auto"/>
              <w:right w:val="single" w:sz="8" w:space="0" w:color="auto"/>
            </w:tcBorders>
            <w:noWrap/>
            <w:hideMark/>
          </w:tcPr>
          <w:p w14:paraId="5579526E" w14:textId="77777777" w:rsidR="005451F9" w:rsidRPr="005D60A5" w:rsidRDefault="005451F9" w:rsidP="005451F9">
            <w:r w:rsidRPr="005D60A5">
              <w:t>Township </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hideMark/>
          </w:tcPr>
          <w:p w14:paraId="2A5C3395" w14:textId="36E1DB1F" w:rsidR="005451F9" w:rsidRPr="005D60A5" w:rsidRDefault="005451F9" w:rsidP="005451F9">
            <w:pPr>
              <w:rPr>
                <w:color w:val="0000FF"/>
                <w:u w:val="single"/>
              </w:rPr>
            </w:pPr>
            <w:hyperlink r:id="rId107" w:history="1">
              <w:r w:rsidRPr="005D60A5">
                <w:rPr>
                  <w:color w:val="0000FF"/>
                  <w:u w:val="single"/>
                </w:rPr>
                <w:t>507.02</w:t>
              </w:r>
            </w:hyperlink>
          </w:p>
        </w:tc>
        <w:tc>
          <w:tcPr>
            <w:tcW w:w="3510" w:type="dxa"/>
            <w:tcBorders>
              <w:top w:val="single" w:sz="12" w:space="0" w:color="auto"/>
              <w:left w:val="nil"/>
              <w:bottom w:val="single" w:sz="4" w:space="0" w:color="auto"/>
              <w:right w:val="single" w:sz="12" w:space="0" w:color="auto"/>
            </w:tcBorders>
            <w:noWrap/>
            <w:hideMark/>
          </w:tcPr>
          <w:p w14:paraId="2E33AB01" w14:textId="77777777" w:rsidR="005451F9" w:rsidRPr="005D60A5" w:rsidRDefault="005451F9" w:rsidP="005451F9">
            <w:r w:rsidRPr="005D60A5">
              <w:t>Deputy Fiscal Officer</w:t>
            </w:r>
          </w:p>
        </w:tc>
        <w:tc>
          <w:tcPr>
            <w:tcW w:w="1170" w:type="dxa"/>
            <w:vMerge/>
            <w:tcBorders>
              <w:right w:val="single" w:sz="12" w:space="0" w:color="auto"/>
            </w:tcBorders>
            <w:vAlign w:val="center"/>
            <w:hideMark/>
          </w:tcPr>
          <w:p w14:paraId="0F3410F8" w14:textId="77777777" w:rsidR="005451F9" w:rsidRPr="00995C1D" w:rsidRDefault="005451F9" w:rsidP="005451F9"/>
        </w:tc>
      </w:tr>
      <w:tr w:rsidR="005451F9" w:rsidRPr="00995C1D" w14:paraId="4DE1B6FA" w14:textId="77777777" w:rsidTr="007B27D9">
        <w:tc>
          <w:tcPr>
            <w:tcW w:w="3600" w:type="dxa"/>
            <w:vMerge/>
            <w:tcBorders>
              <w:left w:val="single" w:sz="12" w:space="0" w:color="auto"/>
            </w:tcBorders>
            <w:noWrap/>
            <w:hideMark/>
          </w:tcPr>
          <w:p w14:paraId="3453D97A" w14:textId="77777777" w:rsidR="005451F9" w:rsidRPr="005D60A5" w:rsidRDefault="005451F9" w:rsidP="005451F9"/>
        </w:tc>
        <w:tc>
          <w:tcPr>
            <w:tcW w:w="1620" w:type="dxa"/>
            <w:tcBorders>
              <w:top w:val="nil"/>
              <w:left w:val="single" w:sz="8" w:space="0" w:color="auto"/>
              <w:bottom w:val="single" w:sz="12" w:space="0" w:color="auto"/>
              <w:right w:val="single" w:sz="4" w:space="0" w:color="auto"/>
            </w:tcBorders>
            <w:noWrap/>
            <w:hideMark/>
          </w:tcPr>
          <w:p w14:paraId="0FCAF118" w14:textId="11A0105A" w:rsidR="005451F9" w:rsidRPr="005D60A5" w:rsidRDefault="005451F9" w:rsidP="005451F9">
            <w:pPr>
              <w:rPr>
                <w:color w:val="0000FF"/>
                <w:u w:val="single"/>
              </w:rPr>
            </w:pPr>
            <w:hyperlink r:id="rId108" w:history="1">
              <w:r w:rsidRPr="005D60A5">
                <w:rPr>
                  <w:color w:val="0000FF"/>
                  <w:u w:val="single"/>
                </w:rPr>
                <w:t>511.232</w:t>
              </w:r>
            </w:hyperlink>
          </w:p>
        </w:tc>
        <w:tc>
          <w:tcPr>
            <w:tcW w:w="3510" w:type="dxa"/>
            <w:tcBorders>
              <w:top w:val="nil"/>
              <w:left w:val="nil"/>
              <w:bottom w:val="single" w:sz="12" w:space="0" w:color="auto"/>
              <w:right w:val="single" w:sz="12" w:space="0" w:color="auto"/>
            </w:tcBorders>
            <w:noWrap/>
            <w:hideMark/>
          </w:tcPr>
          <w:p w14:paraId="778FDC0A" w14:textId="77777777" w:rsidR="005451F9" w:rsidRPr="005D60A5" w:rsidRDefault="005451F9" w:rsidP="005451F9">
            <w:r w:rsidRPr="005D60A5">
              <w:t>Township Park Law Enforcement</w:t>
            </w:r>
          </w:p>
        </w:tc>
        <w:tc>
          <w:tcPr>
            <w:tcW w:w="1170" w:type="dxa"/>
            <w:vMerge/>
            <w:tcBorders>
              <w:right w:val="single" w:sz="12" w:space="0" w:color="auto"/>
            </w:tcBorders>
            <w:vAlign w:val="center"/>
            <w:hideMark/>
          </w:tcPr>
          <w:p w14:paraId="64F95FEB" w14:textId="77777777" w:rsidR="005451F9" w:rsidRPr="00995C1D" w:rsidRDefault="005451F9" w:rsidP="005451F9"/>
        </w:tc>
      </w:tr>
      <w:tr w:rsidR="00E2472A" w:rsidRPr="00995C1D" w14:paraId="585296D4" w14:textId="77777777" w:rsidTr="007B27D9">
        <w:tc>
          <w:tcPr>
            <w:tcW w:w="3600" w:type="dxa"/>
            <w:tcBorders>
              <w:top w:val="single" w:sz="12" w:space="0" w:color="auto"/>
              <w:left w:val="single" w:sz="12" w:space="0" w:color="auto"/>
            </w:tcBorders>
            <w:noWrap/>
          </w:tcPr>
          <w:p w14:paraId="7EC513E3" w14:textId="4F37DB96" w:rsidR="005451F9" w:rsidRPr="00387AB4" w:rsidRDefault="005451F9" w:rsidP="005451F9">
            <w:r w:rsidRPr="005D60A5">
              <w:t>Village</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tcPr>
          <w:p w14:paraId="6998F960" w14:textId="40E9B14D" w:rsidR="005451F9" w:rsidRPr="00387AB4" w:rsidRDefault="005451F9" w:rsidP="005451F9">
            <w:hyperlink r:id="rId109" w:history="1">
              <w:r w:rsidRPr="005D60A5">
                <w:rPr>
                  <w:rStyle w:val="Hyperlink"/>
                  <w:u w:val="none"/>
                </w:rPr>
                <w:t>705.27</w:t>
              </w:r>
            </w:hyperlink>
          </w:p>
        </w:tc>
        <w:tc>
          <w:tcPr>
            <w:tcW w:w="3510" w:type="dxa"/>
            <w:tcBorders>
              <w:top w:val="single" w:sz="12" w:space="0" w:color="auto"/>
              <w:left w:val="nil"/>
              <w:bottom w:val="single" w:sz="4" w:space="0" w:color="auto"/>
              <w:right w:val="single" w:sz="12" w:space="0" w:color="auto"/>
            </w:tcBorders>
            <w:noWrap/>
          </w:tcPr>
          <w:p w14:paraId="2CA3D947" w14:textId="1D983A84" w:rsidR="005451F9" w:rsidRPr="005D60A5" w:rsidRDefault="005451F9" w:rsidP="005451F9">
            <w:r w:rsidRPr="005D60A5">
              <w:t>Treasurer/Auditor</w:t>
            </w:r>
          </w:p>
        </w:tc>
        <w:tc>
          <w:tcPr>
            <w:tcW w:w="1170" w:type="dxa"/>
            <w:vMerge/>
            <w:tcBorders>
              <w:right w:val="single" w:sz="12" w:space="0" w:color="auto"/>
            </w:tcBorders>
            <w:vAlign w:val="center"/>
          </w:tcPr>
          <w:p w14:paraId="24D346DF" w14:textId="77777777" w:rsidR="005451F9" w:rsidRPr="00995C1D" w:rsidRDefault="005451F9" w:rsidP="005451F9"/>
        </w:tc>
      </w:tr>
      <w:tr w:rsidR="005451F9" w:rsidRPr="00995C1D" w14:paraId="19466AA3" w14:textId="77777777" w:rsidTr="007B27D9">
        <w:tc>
          <w:tcPr>
            <w:tcW w:w="3600" w:type="dxa"/>
            <w:tcBorders>
              <w:left w:val="single" w:sz="12" w:space="0" w:color="auto"/>
            </w:tcBorders>
            <w:noWrap/>
          </w:tcPr>
          <w:p w14:paraId="2E83DB2F" w14:textId="77777777" w:rsidR="005451F9" w:rsidRPr="00387AB4" w:rsidRDefault="005451F9" w:rsidP="005451F9"/>
        </w:tc>
        <w:tc>
          <w:tcPr>
            <w:tcW w:w="1620" w:type="dxa"/>
            <w:tcBorders>
              <w:top w:val="single" w:sz="4" w:space="0" w:color="auto"/>
              <w:left w:val="single" w:sz="8" w:space="0" w:color="auto"/>
              <w:bottom w:val="single" w:sz="4" w:space="0" w:color="auto"/>
              <w:right w:val="single" w:sz="4" w:space="0" w:color="auto"/>
            </w:tcBorders>
            <w:shd w:val="clear" w:color="auto" w:fill="FFFF00"/>
            <w:noWrap/>
          </w:tcPr>
          <w:p w14:paraId="137C5A97" w14:textId="1BDAB086" w:rsidR="005451F9" w:rsidRPr="00387AB4" w:rsidRDefault="005451F9" w:rsidP="005451F9">
            <w:hyperlink r:id="rId110" w:history="1">
              <w:r w:rsidRPr="005D60A5">
                <w:rPr>
                  <w:rStyle w:val="Hyperlink"/>
                  <w:u w:val="none"/>
                </w:rPr>
                <w:t>739.02</w:t>
              </w:r>
            </w:hyperlink>
          </w:p>
        </w:tc>
        <w:tc>
          <w:tcPr>
            <w:tcW w:w="3510" w:type="dxa"/>
            <w:tcBorders>
              <w:top w:val="single" w:sz="4" w:space="0" w:color="auto"/>
              <w:left w:val="nil"/>
              <w:bottom w:val="single" w:sz="4" w:space="0" w:color="auto"/>
              <w:right w:val="single" w:sz="12" w:space="0" w:color="auto"/>
            </w:tcBorders>
            <w:noWrap/>
          </w:tcPr>
          <w:p w14:paraId="24AC1565" w14:textId="3A3DD37C" w:rsidR="005451F9" w:rsidRPr="005D60A5" w:rsidRDefault="005451F9" w:rsidP="005451F9">
            <w:r w:rsidRPr="005D60A5">
              <w:t>Trustees of Municipal Sinking Fund</w:t>
            </w:r>
          </w:p>
        </w:tc>
        <w:tc>
          <w:tcPr>
            <w:tcW w:w="1170" w:type="dxa"/>
            <w:vMerge/>
            <w:tcBorders>
              <w:right w:val="single" w:sz="12" w:space="0" w:color="auto"/>
            </w:tcBorders>
            <w:vAlign w:val="center"/>
          </w:tcPr>
          <w:p w14:paraId="78BD828E" w14:textId="77777777" w:rsidR="005451F9" w:rsidRPr="00995C1D" w:rsidRDefault="005451F9" w:rsidP="005451F9"/>
        </w:tc>
      </w:tr>
      <w:tr w:rsidR="00E2472A" w:rsidRPr="00995C1D" w14:paraId="4C171796" w14:textId="77777777" w:rsidTr="007B27D9">
        <w:tc>
          <w:tcPr>
            <w:tcW w:w="3600" w:type="dxa"/>
            <w:vMerge w:val="restart"/>
            <w:tcBorders>
              <w:top w:val="single" w:sz="12" w:space="0" w:color="auto"/>
              <w:left w:val="single" w:sz="12" w:space="0" w:color="auto"/>
              <w:right w:val="single" w:sz="8" w:space="0" w:color="auto"/>
            </w:tcBorders>
            <w:noWrap/>
            <w:hideMark/>
          </w:tcPr>
          <w:p w14:paraId="67357148" w14:textId="77777777" w:rsidR="005451F9" w:rsidRPr="005D60A5" w:rsidRDefault="005451F9" w:rsidP="005451F9">
            <w:r w:rsidRPr="005D60A5">
              <w:t xml:space="preserve">City </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hideMark/>
          </w:tcPr>
          <w:p w14:paraId="0847B68B" w14:textId="44A0093D" w:rsidR="005451F9" w:rsidRPr="005D60A5" w:rsidRDefault="005451F9" w:rsidP="005451F9">
            <w:pPr>
              <w:rPr>
                <w:color w:val="0000FF"/>
                <w:u w:val="single"/>
              </w:rPr>
            </w:pPr>
            <w:hyperlink r:id="rId111" w:history="1">
              <w:r w:rsidRPr="005D60A5">
                <w:rPr>
                  <w:color w:val="0000FF"/>
                  <w:u w:val="single"/>
                  <w:shd w:val="clear" w:color="auto" w:fill="FFFF00"/>
                </w:rPr>
                <w:t>705.2</w:t>
              </w:r>
              <w:r w:rsidRPr="005D60A5">
                <w:rPr>
                  <w:color w:val="0000FF"/>
                  <w:u w:val="single"/>
                </w:rPr>
                <w:t>7</w:t>
              </w:r>
            </w:hyperlink>
          </w:p>
        </w:tc>
        <w:tc>
          <w:tcPr>
            <w:tcW w:w="3510" w:type="dxa"/>
            <w:tcBorders>
              <w:top w:val="single" w:sz="12" w:space="0" w:color="auto"/>
              <w:left w:val="nil"/>
              <w:bottom w:val="single" w:sz="4" w:space="0" w:color="auto"/>
              <w:right w:val="single" w:sz="12" w:space="0" w:color="auto"/>
            </w:tcBorders>
            <w:noWrap/>
            <w:hideMark/>
          </w:tcPr>
          <w:p w14:paraId="4232AEBD" w14:textId="77777777" w:rsidR="005451F9" w:rsidRPr="005D60A5" w:rsidRDefault="005451F9" w:rsidP="005451F9">
            <w:r w:rsidRPr="005D60A5">
              <w:t>Treasurer/Auditor</w:t>
            </w:r>
          </w:p>
        </w:tc>
        <w:tc>
          <w:tcPr>
            <w:tcW w:w="1170" w:type="dxa"/>
            <w:vMerge/>
            <w:tcBorders>
              <w:right w:val="single" w:sz="12" w:space="0" w:color="auto"/>
            </w:tcBorders>
            <w:vAlign w:val="center"/>
            <w:hideMark/>
          </w:tcPr>
          <w:p w14:paraId="2D666400" w14:textId="77777777" w:rsidR="005451F9" w:rsidRPr="00995C1D" w:rsidRDefault="005451F9" w:rsidP="005451F9"/>
        </w:tc>
      </w:tr>
      <w:tr w:rsidR="00E2472A" w:rsidRPr="00995C1D" w14:paraId="14F9A9FD" w14:textId="77777777" w:rsidTr="007B27D9">
        <w:tc>
          <w:tcPr>
            <w:tcW w:w="3600" w:type="dxa"/>
            <w:vMerge/>
            <w:tcBorders>
              <w:left w:val="single" w:sz="12" w:space="0" w:color="auto"/>
            </w:tcBorders>
            <w:noWrap/>
            <w:hideMark/>
          </w:tcPr>
          <w:p w14:paraId="2CF0A930"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27976C28" w14:textId="4A8F3A02" w:rsidR="005451F9" w:rsidRPr="005D60A5" w:rsidRDefault="005451F9" w:rsidP="005451F9">
            <w:pPr>
              <w:rPr>
                <w:color w:val="0000FF"/>
                <w:u w:val="single"/>
              </w:rPr>
            </w:pPr>
            <w:hyperlink r:id="rId112" w:history="1">
              <w:r w:rsidRPr="005D60A5">
                <w:rPr>
                  <w:color w:val="0000FF"/>
                  <w:u w:val="single"/>
                </w:rPr>
                <w:t>705.60</w:t>
              </w:r>
            </w:hyperlink>
          </w:p>
        </w:tc>
        <w:tc>
          <w:tcPr>
            <w:tcW w:w="3510" w:type="dxa"/>
            <w:tcBorders>
              <w:top w:val="nil"/>
              <w:left w:val="nil"/>
              <w:bottom w:val="single" w:sz="4" w:space="0" w:color="auto"/>
              <w:right w:val="single" w:sz="12" w:space="0" w:color="auto"/>
            </w:tcBorders>
            <w:noWrap/>
            <w:hideMark/>
          </w:tcPr>
          <w:p w14:paraId="771D0C93" w14:textId="77777777" w:rsidR="005451F9" w:rsidRPr="005D60A5" w:rsidRDefault="005451F9" w:rsidP="005451F9">
            <w:r w:rsidRPr="005D60A5">
              <w:t>City Manager</w:t>
            </w:r>
          </w:p>
        </w:tc>
        <w:tc>
          <w:tcPr>
            <w:tcW w:w="1170" w:type="dxa"/>
            <w:vMerge/>
            <w:tcBorders>
              <w:right w:val="single" w:sz="12" w:space="0" w:color="auto"/>
            </w:tcBorders>
            <w:vAlign w:val="center"/>
            <w:hideMark/>
          </w:tcPr>
          <w:p w14:paraId="30785FA2" w14:textId="77777777" w:rsidR="005451F9" w:rsidRPr="00995C1D" w:rsidRDefault="005451F9" w:rsidP="005451F9"/>
        </w:tc>
      </w:tr>
      <w:tr w:rsidR="00E2472A" w:rsidRPr="00995C1D" w14:paraId="118A7003" w14:textId="77777777" w:rsidTr="007B27D9">
        <w:tc>
          <w:tcPr>
            <w:tcW w:w="3600" w:type="dxa"/>
            <w:vMerge/>
            <w:tcBorders>
              <w:left w:val="single" w:sz="12" w:space="0" w:color="auto"/>
            </w:tcBorders>
            <w:noWrap/>
            <w:hideMark/>
          </w:tcPr>
          <w:p w14:paraId="48FB041C"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60D97EA9" w14:textId="73B13830" w:rsidR="005451F9" w:rsidRPr="005D60A5" w:rsidRDefault="005451F9" w:rsidP="005451F9">
            <w:pPr>
              <w:rPr>
                <w:color w:val="0000FF"/>
                <w:u w:val="single"/>
              </w:rPr>
            </w:pPr>
            <w:hyperlink r:id="rId113" w:history="1">
              <w:r w:rsidRPr="005D60A5">
                <w:rPr>
                  <w:color w:val="0000FF"/>
                  <w:u w:val="single"/>
                </w:rPr>
                <w:t>733.65</w:t>
              </w:r>
            </w:hyperlink>
          </w:p>
        </w:tc>
        <w:tc>
          <w:tcPr>
            <w:tcW w:w="3510" w:type="dxa"/>
            <w:tcBorders>
              <w:top w:val="nil"/>
              <w:left w:val="nil"/>
              <w:bottom w:val="single" w:sz="4" w:space="0" w:color="auto"/>
              <w:right w:val="single" w:sz="12" w:space="0" w:color="auto"/>
            </w:tcBorders>
            <w:noWrap/>
            <w:hideMark/>
          </w:tcPr>
          <w:p w14:paraId="12DD0718" w14:textId="77777777" w:rsidR="005451F9" w:rsidRPr="005D60A5" w:rsidRDefault="005451F9" w:rsidP="005451F9">
            <w:r w:rsidRPr="005D60A5">
              <w:t>Sealer of Weights and measures</w:t>
            </w:r>
          </w:p>
        </w:tc>
        <w:tc>
          <w:tcPr>
            <w:tcW w:w="1170" w:type="dxa"/>
            <w:vMerge/>
            <w:tcBorders>
              <w:right w:val="single" w:sz="12" w:space="0" w:color="auto"/>
            </w:tcBorders>
            <w:vAlign w:val="center"/>
            <w:hideMark/>
          </w:tcPr>
          <w:p w14:paraId="4465D433" w14:textId="77777777" w:rsidR="005451F9" w:rsidRPr="00995C1D" w:rsidRDefault="005451F9" w:rsidP="005451F9"/>
        </w:tc>
      </w:tr>
      <w:tr w:rsidR="00E2472A" w:rsidRPr="00995C1D" w14:paraId="025C85D3" w14:textId="77777777" w:rsidTr="007B27D9">
        <w:tc>
          <w:tcPr>
            <w:tcW w:w="3600" w:type="dxa"/>
            <w:vMerge/>
            <w:tcBorders>
              <w:left w:val="single" w:sz="12" w:space="0" w:color="auto"/>
            </w:tcBorders>
            <w:noWrap/>
            <w:hideMark/>
          </w:tcPr>
          <w:p w14:paraId="06F7E182"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6E92F777" w14:textId="70C584FE" w:rsidR="005451F9" w:rsidRPr="005D60A5" w:rsidRDefault="005451F9" w:rsidP="005451F9">
            <w:pPr>
              <w:rPr>
                <w:color w:val="0000FF"/>
                <w:u w:val="single"/>
              </w:rPr>
            </w:pPr>
            <w:hyperlink r:id="rId114" w:history="1">
              <w:r w:rsidRPr="005D60A5">
                <w:rPr>
                  <w:color w:val="0000FF"/>
                  <w:u w:val="single"/>
                </w:rPr>
                <w:t>739.02</w:t>
              </w:r>
            </w:hyperlink>
          </w:p>
        </w:tc>
        <w:tc>
          <w:tcPr>
            <w:tcW w:w="3510" w:type="dxa"/>
            <w:tcBorders>
              <w:top w:val="nil"/>
              <w:left w:val="nil"/>
              <w:bottom w:val="single" w:sz="4" w:space="0" w:color="auto"/>
              <w:right w:val="single" w:sz="12" w:space="0" w:color="auto"/>
            </w:tcBorders>
            <w:noWrap/>
            <w:hideMark/>
          </w:tcPr>
          <w:p w14:paraId="172C75C3" w14:textId="77777777" w:rsidR="005451F9" w:rsidRPr="005D60A5" w:rsidRDefault="005451F9" w:rsidP="005451F9">
            <w:r w:rsidRPr="005D60A5">
              <w:t>Trustees of Municipal Sinking Fund</w:t>
            </w:r>
          </w:p>
        </w:tc>
        <w:tc>
          <w:tcPr>
            <w:tcW w:w="1170" w:type="dxa"/>
            <w:vMerge/>
            <w:tcBorders>
              <w:right w:val="single" w:sz="12" w:space="0" w:color="auto"/>
            </w:tcBorders>
            <w:vAlign w:val="center"/>
            <w:hideMark/>
          </w:tcPr>
          <w:p w14:paraId="1FAE721D" w14:textId="77777777" w:rsidR="005451F9" w:rsidRPr="00995C1D" w:rsidRDefault="005451F9" w:rsidP="005451F9"/>
        </w:tc>
      </w:tr>
      <w:tr w:rsidR="00E2472A" w:rsidRPr="00995C1D" w14:paraId="57694B37" w14:textId="77777777" w:rsidTr="007B27D9">
        <w:tc>
          <w:tcPr>
            <w:tcW w:w="3600" w:type="dxa"/>
            <w:vMerge/>
            <w:tcBorders>
              <w:left w:val="single" w:sz="12" w:space="0" w:color="auto"/>
            </w:tcBorders>
            <w:noWrap/>
            <w:hideMark/>
          </w:tcPr>
          <w:p w14:paraId="3286A77A"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72D3B329" w14:textId="319ECD31" w:rsidR="005451F9" w:rsidRPr="005D60A5" w:rsidRDefault="005451F9" w:rsidP="005451F9">
            <w:pPr>
              <w:rPr>
                <w:color w:val="0000FF"/>
                <w:u w:val="single"/>
              </w:rPr>
            </w:pPr>
            <w:hyperlink r:id="rId115" w:history="1">
              <w:r w:rsidRPr="005D60A5">
                <w:rPr>
                  <w:color w:val="0000FF"/>
                  <w:u w:val="single"/>
                </w:rPr>
                <w:t>747.01</w:t>
              </w:r>
            </w:hyperlink>
          </w:p>
        </w:tc>
        <w:tc>
          <w:tcPr>
            <w:tcW w:w="3510" w:type="dxa"/>
            <w:tcBorders>
              <w:top w:val="nil"/>
              <w:left w:val="nil"/>
              <w:bottom w:val="single" w:sz="4" w:space="0" w:color="auto"/>
              <w:right w:val="single" w:sz="12" w:space="0" w:color="auto"/>
            </w:tcBorders>
            <w:noWrap/>
            <w:hideMark/>
          </w:tcPr>
          <w:p w14:paraId="3E8D1372" w14:textId="77777777" w:rsidR="005451F9" w:rsidRPr="005D60A5" w:rsidRDefault="005451F9" w:rsidP="005451F9">
            <w:r w:rsidRPr="005D60A5">
              <w:t>Rapid Transit Commissioner</w:t>
            </w:r>
          </w:p>
        </w:tc>
        <w:tc>
          <w:tcPr>
            <w:tcW w:w="1170" w:type="dxa"/>
            <w:vMerge/>
            <w:tcBorders>
              <w:right w:val="single" w:sz="12" w:space="0" w:color="auto"/>
            </w:tcBorders>
            <w:vAlign w:val="center"/>
            <w:hideMark/>
          </w:tcPr>
          <w:p w14:paraId="452FD774" w14:textId="77777777" w:rsidR="005451F9" w:rsidRPr="00995C1D" w:rsidRDefault="005451F9" w:rsidP="005451F9"/>
        </w:tc>
      </w:tr>
      <w:tr w:rsidR="00E2472A" w:rsidRPr="00995C1D" w14:paraId="18A4C711" w14:textId="77777777" w:rsidTr="007B27D9">
        <w:tc>
          <w:tcPr>
            <w:tcW w:w="3600" w:type="dxa"/>
            <w:vMerge/>
            <w:tcBorders>
              <w:left w:val="single" w:sz="12" w:space="0" w:color="auto"/>
            </w:tcBorders>
            <w:noWrap/>
            <w:hideMark/>
          </w:tcPr>
          <w:p w14:paraId="7D776128" w14:textId="77777777" w:rsidR="005451F9" w:rsidRPr="005D60A5" w:rsidRDefault="005451F9" w:rsidP="005451F9"/>
        </w:tc>
        <w:tc>
          <w:tcPr>
            <w:tcW w:w="1620" w:type="dxa"/>
            <w:tcBorders>
              <w:top w:val="nil"/>
              <w:left w:val="single" w:sz="8" w:space="0" w:color="auto"/>
              <w:bottom w:val="single" w:sz="4" w:space="0" w:color="auto"/>
              <w:right w:val="single" w:sz="4" w:space="0" w:color="auto"/>
            </w:tcBorders>
            <w:shd w:val="clear" w:color="auto" w:fill="FFFF00"/>
            <w:noWrap/>
            <w:hideMark/>
          </w:tcPr>
          <w:p w14:paraId="67D7361D" w14:textId="67DCED5D" w:rsidR="005451F9" w:rsidRPr="005D60A5" w:rsidRDefault="005451F9" w:rsidP="005451F9">
            <w:pPr>
              <w:rPr>
                <w:color w:val="0000FF"/>
                <w:u w:val="single"/>
              </w:rPr>
            </w:pPr>
            <w:hyperlink r:id="rId116" w:history="1">
              <w:r w:rsidRPr="005D60A5">
                <w:rPr>
                  <w:color w:val="0000FF"/>
                  <w:u w:val="single"/>
                </w:rPr>
                <w:t>5593.05</w:t>
              </w:r>
            </w:hyperlink>
          </w:p>
        </w:tc>
        <w:tc>
          <w:tcPr>
            <w:tcW w:w="3510" w:type="dxa"/>
            <w:tcBorders>
              <w:top w:val="nil"/>
              <w:left w:val="nil"/>
              <w:bottom w:val="single" w:sz="4" w:space="0" w:color="auto"/>
              <w:right w:val="single" w:sz="12" w:space="0" w:color="auto"/>
            </w:tcBorders>
            <w:noWrap/>
            <w:hideMark/>
          </w:tcPr>
          <w:p w14:paraId="4643D6AB" w14:textId="77777777" w:rsidR="005451F9" w:rsidRPr="005D60A5" w:rsidRDefault="005451F9" w:rsidP="005451F9">
            <w:r w:rsidRPr="005D60A5">
              <w:t>Bridge Commissioner</w:t>
            </w:r>
          </w:p>
        </w:tc>
        <w:tc>
          <w:tcPr>
            <w:tcW w:w="1170" w:type="dxa"/>
            <w:vMerge/>
            <w:tcBorders>
              <w:right w:val="single" w:sz="12" w:space="0" w:color="auto"/>
            </w:tcBorders>
            <w:vAlign w:val="center"/>
            <w:hideMark/>
          </w:tcPr>
          <w:p w14:paraId="338F39AF" w14:textId="77777777" w:rsidR="005451F9" w:rsidRPr="00995C1D" w:rsidRDefault="005451F9" w:rsidP="005451F9"/>
        </w:tc>
      </w:tr>
      <w:tr w:rsidR="00E2472A" w:rsidRPr="00995C1D" w14:paraId="3BF2A2E6" w14:textId="77777777" w:rsidTr="007B27D9">
        <w:tc>
          <w:tcPr>
            <w:tcW w:w="3600" w:type="dxa"/>
            <w:vMerge w:val="restart"/>
            <w:tcBorders>
              <w:top w:val="single" w:sz="12" w:space="0" w:color="auto"/>
              <w:left w:val="single" w:sz="12" w:space="0" w:color="auto"/>
              <w:right w:val="single" w:sz="8" w:space="0" w:color="auto"/>
            </w:tcBorders>
            <w:noWrap/>
            <w:hideMark/>
          </w:tcPr>
          <w:p w14:paraId="04759E83" w14:textId="77777777" w:rsidR="005451F9" w:rsidRPr="005D60A5" w:rsidRDefault="005451F9" w:rsidP="005451F9">
            <w:r w:rsidRPr="005D60A5">
              <w:t>Traditional school districts</w:t>
            </w:r>
          </w:p>
        </w:tc>
        <w:tc>
          <w:tcPr>
            <w:tcW w:w="1620" w:type="dxa"/>
            <w:tcBorders>
              <w:top w:val="single" w:sz="12" w:space="0" w:color="auto"/>
              <w:left w:val="single" w:sz="8" w:space="0" w:color="auto"/>
              <w:bottom w:val="single" w:sz="4" w:space="0" w:color="auto"/>
              <w:right w:val="single" w:sz="4" w:space="0" w:color="auto"/>
            </w:tcBorders>
            <w:shd w:val="clear" w:color="auto" w:fill="FFFF00"/>
            <w:noWrap/>
            <w:hideMark/>
          </w:tcPr>
          <w:p w14:paraId="2F4EB812" w14:textId="218AE8FF" w:rsidR="005451F9" w:rsidRPr="005D60A5" w:rsidRDefault="005451F9" w:rsidP="005451F9">
            <w:pPr>
              <w:rPr>
                <w:color w:val="0000FF"/>
                <w:u w:val="single"/>
              </w:rPr>
            </w:pPr>
            <w:hyperlink r:id="rId117" w:history="1">
              <w:r w:rsidRPr="005D60A5">
                <w:rPr>
                  <w:color w:val="0000FF"/>
                  <w:u w:val="single"/>
                </w:rPr>
                <w:t>3313.25</w:t>
              </w:r>
            </w:hyperlink>
          </w:p>
        </w:tc>
        <w:tc>
          <w:tcPr>
            <w:tcW w:w="3510" w:type="dxa"/>
            <w:tcBorders>
              <w:top w:val="single" w:sz="12" w:space="0" w:color="auto"/>
              <w:left w:val="nil"/>
              <w:bottom w:val="single" w:sz="4" w:space="0" w:color="auto"/>
              <w:right w:val="single" w:sz="12" w:space="0" w:color="auto"/>
            </w:tcBorders>
            <w:noWrap/>
            <w:hideMark/>
          </w:tcPr>
          <w:p w14:paraId="79F85204" w14:textId="77777777" w:rsidR="005451F9" w:rsidRPr="005D60A5" w:rsidRDefault="005451F9" w:rsidP="005451F9">
            <w:r w:rsidRPr="005D60A5">
              <w:t>Treasurer</w:t>
            </w:r>
          </w:p>
        </w:tc>
        <w:tc>
          <w:tcPr>
            <w:tcW w:w="1170" w:type="dxa"/>
            <w:vMerge/>
            <w:tcBorders>
              <w:right w:val="single" w:sz="12" w:space="0" w:color="auto"/>
            </w:tcBorders>
            <w:vAlign w:val="center"/>
            <w:hideMark/>
          </w:tcPr>
          <w:p w14:paraId="466F6E98" w14:textId="77777777" w:rsidR="005451F9" w:rsidRPr="00995C1D" w:rsidRDefault="005451F9" w:rsidP="005451F9"/>
        </w:tc>
      </w:tr>
      <w:tr w:rsidR="005451F9" w:rsidRPr="00995C1D" w14:paraId="2E301D1C" w14:textId="77777777" w:rsidTr="007B27D9">
        <w:tc>
          <w:tcPr>
            <w:tcW w:w="3600" w:type="dxa"/>
            <w:vMerge/>
            <w:tcBorders>
              <w:left w:val="single" w:sz="12" w:space="0" w:color="auto"/>
            </w:tcBorders>
            <w:noWrap/>
            <w:hideMark/>
          </w:tcPr>
          <w:p w14:paraId="666017B0" w14:textId="77777777" w:rsidR="005451F9" w:rsidRPr="005D60A5" w:rsidRDefault="005451F9" w:rsidP="005451F9"/>
        </w:tc>
        <w:tc>
          <w:tcPr>
            <w:tcW w:w="1620" w:type="dxa"/>
            <w:tcBorders>
              <w:top w:val="single" w:sz="4" w:space="0" w:color="auto"/>
              <w:left w:val="single" w:sz="8" w:space="0" w:color="auto"/>
              <w:bottom w:val="single" w:sz="4" w:space="0" w:color="auto"/>
              <w:right w:val="single" w:sz="4" w:space="0" w:color="auto"/>
            </w:tcBorders>
            <w:shd w:val="clear" w:color="auto" w:fill="FFFF00"/>
            <w:noWrap/>
            <w:hideMark/>
          </w:tcPr>
          <w:p w14:paraId="0F799561" w14:textId="69193ACD" w:rsidR="005451F9" w:rsidRPr="005D60A5" w:rsidRDefault="005451F9" w:rsidP="005451F9">
            <w:pPr>
              <w:rPr>
                <w:color w:val="0000FF"/>
                <w:u w:val="single"/>
              </w:rPr>
            </w:pPr>
            <w:hyperlink r:id="rId118" w:history="1">
              <w:r w:rsidRPr="005D60A5">
                <w:rPr>
                  <w:color w:val="0000FF"/>
                  <w:u w:val="single"/>
                </w:rPr>
                <w:t>3319.05</w:t>
              </w:r>
            </w:hyperlink>
          </w:p>
        </w:tc>
        <w:tc>
          <w:tcPr>
            <w:tcW w:w="3510" w:type="dxa"/>
            <w:tcBorders>
              <w:top w:val="single" w:sz="4" w:space="0" w:color="auto"/>
              <w:left w:val="nil"/>
              <w:bottom w:val="single" w:sz="4" w:space="0" w:color="auto"/>
              <w:right w:val="single" w:sz="12" w:space="0" w:color="auto"/>
            </w:tcBorders>
            <w:noWrap/>
            <w:hideMark/>
          </w:tcPr>
          <w:p w14:paraId="466466EE" w14:textId="77777777" w:rsidR="005451F9" w:rsidRPr="005D60A5" w:rsidRDefault="005451F9" w:rsidP="005451F9">
            <w:r w:rsidRPr="005D60A5">
              <w:t>Business Manager</w:t>
            </w:r>
          </w:p>
        </w:tc>
        <w:tc>
          <w:tcPr>
            <w:tcW w:w="1170" w:type="dxa"/>
            <w:vMerge/>
            <w:tcBorders>
              <w:right w:val="single" w:sz="12" w:space="0" w:color="auto"/>
            </w:tcBorders>
            <w:vAlign w:val="center"/>
            <w:hideMark/>
          </w:tcPr>
          <w:p w14:paraId="14CD9740" w14:textId="77777777" w:rsidR="005451F9" w:rsidRPr="00995C1D" w:rsidRDefault="005451F9" w:rsidP="005451F9"/>
        </w:tc>
      </w:tr>
      <w:tr w:rsidR="00E2472A" w:rsidRPr="00995C1D" w14:paraId="541F6BF5" w14:textId="77777777" w:rsidTr="007B27D9">
        <w:tc>
          <w:tcPr>
            <w:tcW w:w="3600" w:type="dxa"/>
            <w:vMerge/>
            <w:tcBorders>
              <w:left w:val="single" w:sz="12" w:space="0" w:color="auto"/>
            </w:tcBorders>
            <w:noWrap/>
            <w:hideMark/>
          </w:tcPr>
          <w:p w14:paraId="06D9911E" w14:textId="77777777" w:rsidR="005451F9" w:rsidRPr="005D60A5" w:rsidRDefault="005451F9" w:rsidP="005451F9"/>
        </w:tc>
        <w:tc>
          <w:tcPr>
            <w:tcW w:w="1620" w:type="dxa"/>
            <w:tcBorders>
              <w:top w:val="single" w:sz="4" w:space="0" w:color="auto"/>
              <w:left w:val="single" w:sz="8" w:space="0" w:color="auto"/>
              <w:bottom w:val="single" w:sz="12" w:space="0" w:color="auto"/>
              <w:right w:val="single" w:sz="4" w:space="0" w:color="auto"/>
            </w:tcBorders>
            <w:shd w:val="clear" w:color="auto" w:fill="FFFF00"/>
            <w:noWrap/>
            <w:hideMark/>
          </w:tcPr>
          <w:p w14:paraId="63A0EC7C" w14:textId="07F1C535" w:rsidR="005451F9" w:rsidRPr="005D60A5" w:rsidRDefault="005451F9" w:rsidP="005451F9">
            <w:pPr>
              <w:rPr>
                <w:color w:val="0000FF"/>
                <w:u w:val="single"/>
              </w:rPr>
            </w:pPr>
            <w:hyperlink r:id="rId119" w:history="1">
              <w:r w:rsidRPr="005D60A5">
                <w:rPr>
                  <w:color w:val="0000FF"/>
                  <w:u w:val="single"/>
                </w:rPr>
                <w:t xml:space="preserve">3327.10(C) </w:t>
              </w:r>
            </w:hyperlink>
          </w:p>
        </w:tc>
        <w:tc>
          <w:tcPr>
            <w:tcW w:w="3510" w:type="dxa"/>
            <w:tcBorders>
              <w:top w:val="single" w:sz="4" w:space="0" w:color="auto"/>
              <w:left w:val="nil"/>
              <w:bottom w:val="single" w:sz="12" w:space="0" w:color="auto"/>
              <w:right w:val="single" w:sz="12" w:space="0" w:color="auto"/>
            </w:tcBorders>
            <w:noWrap/>
            <w:hideMark/>
          </w:tcPr>
          <w:p w14:paraId="2F9D40EB" w14:textId="77777777" w:rsidR="005451F9" w:rsidRPr="005D60A5" w:rsidRDefault="005451F9" w:rsidP="005451F9">
            <w:r w:rsidRPr="005D60A5">
              <w:t>Non-employee Bus Drivers</w:t>
            </w:r>
          </w:p>
        </w:tc>
        <w:tc>
          <w:tcPr>
            <w:tcW w:w="1170" w:type="dxa"/>
            <w:vMerge/>
            <w:tcBorders>
              <w:right w:val="single" w:sz="12" w:space="0" w:color="auto"/>
            </w:tcBorders>
            <w:vAlign w:val="center"/>
            <w:hideMark/>
          </w:tcPr>
          <w:p w14:paraId="3ED0321E" w14:textId="77777777" w:rsidR="005451F9" w:rsidRPr="00995C1D" w:rsidRDefault="005451F9" w:rsidP="005451F9"/>
        </w:tc>
      </w:tr>
      <w:tr w:rsidR="00E2472A" w:rsidRPr="00995C1D" w14:paraId="4291566B" w14:textId="77777777" w:rsidTr="007B27D9">
        <w:tc>
          <w:tcPr>
            <w:tcW w:w="3600" w:type="dxa"/>
            <w:tcBorders>
              <w:top w:val="single" w:sz="12" w:space="0" w:color="auto"/>
              <w:left w:val="single" w:sz="12" w:space="0" w:color="auto"/>
              <w:bottom w:val="single" w:sz="12" w:space="0" w:color="auto"/>
              <w:right w:val="single" w:sz="4" w:space="0" w:color="auto"/>
            </w:tcBorders>
            <w:noWrap/>
            <w:hideMark/>
          </w:tcPr>
          <w:p w14:paraId="547D85A5" w14:textId="77777777" w:rsidR="005451F9" w:rsidRPr="005D60A5" w:rsidRDefault="005451F9" w:rsidP="005451F9">
            <w:r w:rsidRPr="005D60A5">
              <w:t>Community schools</w:t>
            </w:r>
          </w:p>
        </w:tc>
        <w:tc>
          <w:tcPr>
            <w:tcW w:w="1620" w:type="dxa"/>
            <w:tcBorders>
              <w:top w:val="single" w:sz="12" w:space="0" w:color="auto"/>
              <w:left w:val="nil"/>
              <w:bottom w:val="single" w:sz="12" w:space="0" w:color="auto"/>
              <w:right w:val="single" w:sz="4" w:space="0" w:color="auto"/>
            </w:tcBorders>
            <w:shd w:val="clear" w:color="auto" w:fill="FFFF00"/>
            <w:noWrap/>
            <w:hideMark/>
          </w:tcPr>
          <w:p w14:paraId="6E7CFD81" w14:textId="612749F5" w:rsidR="005451F9" w:rsidRPr="005D60A5" w:rsidRDefault="005451F9" w:rsidP="005451F9">
            <w:pPr>
              <w:rPr>
                <w:color w:val="0000FF"/>
                <w:u w:val="single"/>
              </w:rPr>
            </w:pPr>
            <w:hyperlink r:id="rId120" w:history="1">
              <w:r w:rsidRPr="005D60A5">
                <w:rPr>
                  <w:color w:val="0000FF"/>
                  <w:u w:val="single"/>
                </w:rPr>
                <w:t>3314.011</w:t>
              </w:r>
            </w:hyperlink>
          </w:p>
        </w:tc>
        <w:tc>
          <w:tcPr>
            <w:tcW w:w="3510" w:type="dxa"/>
            <w:tcBorders>
              <w:top w:val="single" w:sz="12" w:space="0" w:color="auto"/>
              <w:left w:val="nil"/>
              <w:bottom w:val="single" w:sz="12" w:space="0" w:color="auto"/>
              <w:right w:val="single" w:sz="12" w:space="0" w:color="auto"/>
            </w:tcBorders>
            <w:noWrap/>
            <w:hideMark/>
          </w:tcPr>
          <w:p w14:paraId="4C1633A6" w14:textId="77777777" w:rsidR="005451F9" w:rsidRPr="005D60A5" w:rsidRDefault="005451F9" w:rsidP="005451F9">
            <w:r w:rsidRPr="005D60A5">
              <w:t>Fiscal Officer</w:t>
            </w:r>
          </w:p>
        </w:tc>
        <w:tc>
          <w:tcPr>
            <w:tcW w:w="1170" w:type="dxa"/>
            <w:vMerge/>
            <w:tcBorders>
              <w:right w:val="single" w:sz="12" w:space="0" w:color="auto"/>
            </w:tcBorders>
            <w:vAlign w:val="center"/>
            <w:hideMark/>
          </w:tcPr>
          <w:p w14:paraId="0AC855D4" w14:textId="77777777" w:rsidR="005451F9" w:rsidRPr="00995C1D" w:rsidRDefault="005451F9" w:rsidP="005451F9"/>
        </w:tc>
      </w:tr>
      <w:tr w:rsidR="00E2472A" w:rsidRPr="00995C1D" w14:paraId="032E49D9" w14:textId="77777777" w:rsidTr="007B27D9">
        <w:tc>
          <w:tcPr>
            <w:tcW w:w="3600" w:type="dxa"/>
            <w:tcBorders>
              <w:top w:val="single" w:sz="12" w:space="0" w:color="auto"/>
              <w:left w:val="single" w:sz="12" w:space="0" w:color="auto"/>
              <w:bottom w:val="single" w:sz="12" w:space="0" w:color="auto"/>
              <w:right w:val="nil"/>
            </w:tcBorders>
            <w:noWrap/>
          </w:tcPr>
          <w:p w14:paraId="702952FC" w14:textId="5A400054" w:rsidR="005451F9" w:rsidRPr="00387AB4" w:rsidRDefault="005451F9" w:rsidP="005451F9">
            <w:r w:rsidRPr="005D60A5">
              <w:t>STEM/STEAM schools</w:t>
            </w:r>
          </w:p>
        </w:tc>
        <w:tc>
          <w:tcPr>
            <w:tcW w:w="1620" w:type="dxa"/>
            <w:tcBorders>
              <w:top w:val="single" w:sz="12" w:space="0" w:color="auto"/>
              <w:left w:val="single" w:sz="4" w:space="0" w:color="auto"/>
              <w:bottom w:val="single" w:sz="12" w:space="0" w:color="auto"/>
              <w:right w:val="single" w:sz="4" w:space="0" w:color="auto"/>
            </w:tcBorders>
            <w:shd w:val="clear" w:color="auto" w:fill="FFFF00"/>
            <w:noWrap/>
          </w:tcPr>
          <w:p w14:paraId="7C618415" w14:textId="2B87379A" w:rsidR="005451F9" w:rsidRPr="00387AB4" w:rsidRDefault="005451F9" w:rsidP="005451F9">
            <w:pPr>
              <w:rPr>
                <w:highlight w:val="yellow"/>
              </w:rPr>
            </w:pPr>
            <w:hyperlink r:id="rId121" w:history="1">
              <w:r w:rsidRPr="005D60A5">
                <w:rPr>
                  <w:rStyle w:val="Hyperlink"/>
                  <w:u w:val="none"/>
                </w:rPr>
                <w:t>3326.21</w:t>
              </w:r>
            </w:hyperlink>
          </w:p>
        </w:tc>
        <w:tc>
          <w:tcPr>
            <w:tcW w:w="3510" w:type="dxa"/>
            <w:tcBorders>
              <w:top w:val="single" w:sz="12" w:space="0" w:color="auto"/>
              <w:left w:val="nil"/>
              <w:bottom w:val="single" w:sz="12" w:space="0" w:color="auto"/>
              <w:right w:val="single" w:sz="12" w:space="0" w:color="auto"/>
            </w:tcBorders>
            <w:noWrap/>
          </w:tcPr>
          <w:p w14:paraId="44150141" w14:textId="4799282A" w:rsidR="005451F9" w:rsidRPr="005D60A5" w:rsidRDefault="005451F9" w:rsidP="005451F9">
            <w:r w:rsidRPr="005D60A5">
              <w:t>Treasurer</w:t>
            </w:r>
          </w:p>
        </w:tc>
        <w:tc>
          <w:tcPr>
            <w:tcW w:w="1170" w:type="dxa"/>
            <w:vMerge/>
            <w:tcBorders>
              <w:right w:val="single" w:sz="12" w:space="0" w:color="auto"/>
            </w:tcBorders>
            <w:vAlign w:val="center"/>
          </w:tcPr>
          <w:p w14:paraId="74DDFC8B" w14:textId="77777777" w:rsidR="005451F9" w:rsidRPr="00995C1D" w:rsidRDefault="005451F9" w:rsidP="005451F9"/>
        </w:tc>
      </w:tr>
      <w:tr w:rsidR="005451F9" w:rsidRPr="00995C1D" w14:paraId="74EA7F5B" w14:textId="77777777" w:rsidTr="007B27D9">
        <w:tc>
          <w:tcPr>
            <w:tcW w:w="3600" w:type="dxa"/>
            <w:tcBorders>
              <w:top w:val="single" w:sz="12" w:space="0" w:color="auto"/>
              <w:left w:val="single" w:sz="12" w:space="0" w:color="auto"/>
              <w:bottom w:val="single" w:sz="12" w:space="0" w:color="auto"/>
              <w:right w:val="nil"/>
            </w:tcBorders>
            <w:noWrap/>
            <w:hideMark/>
          </w:tcPr>
          <w:p w14:paraId="5CAD2DBF" w14:textId="77777777" w:rsidR="005451F9" w:rsidRPr="005D60A5" w:rsidRDefault="005451F9" w:rsidP="005451F9">
            <w:r w:rsidRPr="005D60A5">
              <w:t>Joint Children's Home</w:t>
            </w:r>
          </w:p>
        </w:tc>
        <w:tc>
          <w:tcPr>
            <w:tcW w:w="1620" w:type="dxa"/>
            <w:tcBorders>
              <w:top w:val="single" w:sz="12" w:space="0" w:color="auto"/>
              <w:left w:val="single" w:sz="4" w:space="0" w:color="auto"/>
              <w:bottom w:val="single" w:sz="12" w:space="0" w:color="auto"/>
              <w:right w:val="single" w:sz="4" w:space="0" w:color="auto"/>
            </w:tcBorders>
            <w:noWrap/>
            <w:hideMark/>
          </w:tcPr>
          <w:p w14:paraId="7AC0E148" w14:textId="3B4D35B0" w:rsidR="005451F9" w:rsidRPr="005D60A5" w:rsidRDefault="005451F9" w:rsidP="005451F9">
            <w:pPr>
              <w:rPr>
                <w:color w:val="0000FF"/>
                <w:u w:val="single"/>
              </w:rPr>
            </w:pPr>
            <w:hyperlink r:id="rId122" w:history="1">
              <w:r w:rsidRPr="005D60A5">
                <w:rPr>
                  <w:color w:val="0000FF"/>
                  <w:u w:val="single"/>
                </w:rPr>
                <w:t>5153.41</w:t>
              </w:r>
            </w:hyperlink>
          </w:p>
        </w:tc>
        <w:tc>
          <w:tcPr>
            <w:tcW w:w="3510" w:type="dxa"/>
            <w:tcBorders>
              <w:top w:val="single" w:sz="12" w:space="0" w:color="auto"/>
              <w:left w:val="nil"/>
              <w:bottom w:val="single" w:sz="12" w:space="0" w:color="auto"/>
              <w:right w:val="single" w:sz="12" w:space="0" w:color="auto"/>
            </w:tcBorders>
            <w:noWrap/>
            <w:hideMark/>
          </w:tcPr>
          <w:p w14:paraId="548F92BF" w14:textId="77777777" w:rsidR="005451F9" w:rsidRPr="005D60A5" w:rsidRDefault="005451F9" w:rsidP="005451F9">
            <w:r w:rsidRPr="005D60A5">
              <w:t>Superintendent</w:t>
            </w:r>
          </w:p>
        </w:tc>
        <w:tc>
          <w:tcPr>
            <w:tcW w:w="1170" w:type="dxa"/>
            <w:vMerge/>
            <w:tcBorders>
              <w:right w:val="single" w:sz="12" w:space="0" w:color="auto"/>
            </w:tcBorders>
            <w:vAlign w:val="center"/>
            <w:hideMark/>
          </w:tcPr>
          <w:p w14:paraId="22FD9283" w14:textId="77777777" w:rsidR="005451F9" w:rsidRPr="00995C1D" w:rsidRDefault="005451F9" w:rsidP="005451F9"/>
        </w:tc>
      </w:tr>
      <w:tr w:rsidR="005451F9" w:rsidRPr="00995C1D" w14:paraId="0E2B68B3" w14:textId="77777777" w:rsidTr="007B27D9">
        <w:tc>
          <w:tcPr>
            <w:tcW w:w="3600" w:type="dxa"/>
            <w:tcBorders>
              <w:top w:val="single" w:sz="12" w:space="0" w:color="auto"/>
              <w:left w:val="single" w:sz="12" w:space="0" w:color="auto"/>
              <w:bottom w:val="single" w:sz="8" w:space="0" w:color="auto"/>
              <w:right w:val="nil"/>
            </w:tcBorders>
            <w:noWrap/>
            <w:hideMark/>
          </w:tcPr>
          <w:p w14:paraId="6324C91B" w14:textId="77777777" w:rsidR="005451F9" w:rsidRPr="005D60A5" w:rsidRDefault="005451F9" w:rsidP="005451F9">
            <w:r w:rsidRPr="005D60A5">
              <w:t>Regional Transit Authority (RTAs)</w:t>
            </w:r>
          </w:p>
        </w:tc>
        <w:tc>
          <w:tcPr>
            <w:tcW w:w="1620" w:type="dxa"/>
            <w:tcBorders>
              <w:top w:val="single" w:sz="12" w:space="0" w:color="auto"/>
              <w:left w:val="single" w:sz="4" w:space="0" w:color="auto"/>
              <w:bottom w:val="single" w:sz="8" w:space="0" w:color="auto"/>
              <w:right w:val="single" w:sz="4" w:space="0" w:color="auto"/>
            </w:tcBorders>
            <w:noWrap/>
            <w:hideMark/>
          </w:tcPr>
          <w:p w14:paraId="1544052D" w14:textId="1C117A2E" w:rsidR="005451F9" w:rsidRPr="005D60A5" w:rsidRDefault="005451F9" w:rsidP="005451F9">
            <w:pPr>
              <w:rPr>
                <w:color w:val="0000FF"/>
                <w:u w:val="single"/>
              </w:rPr>
            </w:pPr>
            <w:hyperlink r:id="rId123" w:history="1">
              <w:r w:rsidRPr="005D60A5">
                <w:rPr>
                  <w:color w:val="0000FF"/>
                  <w:u w:val="single"/>
                </w:rPr>
                <w:t>306.42</w:t>
              </w:r>
            </w:hyperlink>
          </w:p>
        </w:tc>
        <w:tc>
          <w:tcPr>
            <w:tcW w:w="3510" w:type="dxa"/>
            <w:tcBorders>
              <w:top w:val="single" w:sz="12" w:space="0" w:color="auto"/>
              <w:left w:val="nil"/>
              <w:bottom w:val="single" w:sz="8" w:space="0" w:color="auto"/>
              <w:right w:val="single" w:sz="12" w:space="0" w:color="auto"/>
            </w:tcBorders>
            <w:noWrap/>
            <w:hideMark/>
          </w:tcPr>
          <w:p w14:paraId="6D874631" w14:textId="77777777" w:rsidR="005451F9" w:rsidRPr="005D60A5" w:rsidRDefault="005451F9" w:rsidP="005451F9">
            <w:r w:rsidRPr="005D60A5">
              <w:t>Secretary Treasurer</w:t>
            </w:r>
          </w:p>
        </w:tc>
        <w:tc>
          <w:tcPr>
            <w:tcW w:w="1170" w:type="dxa"/>
            <w:vMerge/>
            <w:tcBorders>
              <w:right w:val="single" w:sz="12" w:space="0" w:color="auto"/>
            </w:tcBorders>
            <w:vAlign w:val="center"/>
            <w:hideMark/>
          </w:tcPr>
          <w:p w14:paraId="799CC480" w14:textId="77777777" w:rsidR="005451F9" w:rsidRPr="00995C1D" w:rsidRDefault="005451F9" w:rsidP="005451F9"/>
        </w:tc>
      </w:tr>
      <w:tr w:rsidR="00E2472A" w:rsidRPr="00995C1D" w14:paraId="48F04587" w14:textId="77777777" w:rsidTr="007B27D9">
        <w:tc>
          <w:tcPr>
            <w:tcW w:w="3600" w:type="dxa"/>
            <w:tcBorders>
              <w:top w:val="single" w:sz="12" w:space="0" w:color="auto"/>
              <w:left w:val="single" w:sz="12" w:space="0" w:color="auto"/>
              <w:bottom w:val="single" w:sz="12" w:space="0" w:color="auto"/>
              <w:right w:val="nil"/>
            </w:tcBorders>
            <w:noWrap/>
            <w:hideMark/>
          </w:tcPr>
          <w:p w14:paraId="325C5ACB" w14:textId="77777777" w:rsidR="005451F9" w:rsidRPr="005D60A5" w:rsidRDefault="005451F9" w:rsidP="005451F9">
            <w:r w:rsidRPr="005D60A5">
              <w:t>Regional Library Systems</w:t>
            </w:r>
          </w:p>
        </w:tc>
        <w:tc>
          <w:tcPr>
            <w:tcW w:w="1620" w:type="dxa"/>
            <w:tcBorders>
              <w:top w:val="single" w:sz="12" w:space="0" w:color="auto"/>
              <w:left w:val="single" w:sz="4" w:space="0" w:color="auto"/>
              <w:bottom w:val="single" w:sz="12" w:space="0" w:color="auto"/>
              <w:right w:val="single" w:sz="4" w:space="0" w:color="auto"/>
            </w:tcBorders>
            <w:shd w:val="clear" w:color="auto" w:fill="FFFF00"/>
            <w:noWrap/>
            <w:hideMark/>
          </w:tcPr>
          <w:p w14:paraId="1C13E754" w14:textId="6588F6FF" w:rsidR="005451F9" w:rsidRPr="005D60A5" w:rsidRDefault="005451F9" w:rsidP="005451F9">
            <w:pPr>
              <w:rPr>
                <w:color w:val="0000FF"/>
                <w:u w:val="single"/>
              </w:rPr>
            </w:pPr>
            <w:hyperlink r:id="rId124" w:history="1">
              <w:r w:rsidRPr="005D60A5">
                <w:rPr>
                  <w:color w:val="0000FF"/>
                  <w:u w:val="single"/>
                </w:rPr>
                <w:t>3375.92</w:t>
              </w:r>
            </w:hyperlink>
          </w:p>
        </w:tc>
        <w:tc>
          <w:tcPr>
            <w:tcW w:w="3510" w:type="dxa"/>
            <w:tcBorders>
              <w:top w:val="single" w:sz="12" w:space="0" w:color="auto"/>
              <w:left w:val="nil"/>
              <w:bottom w:val="single" w:sz="12" w:space="0" w:color="auto"/>
              <w:right w:val="single" w:sz="12" w:space="0" w:color="auto"/>
            </w:tcBorders>
            <w:noWrap/>
            <w:hideMark/>
          </w:tcPr>
          <w:p w14:paraId="429E433A" w14:textId="77777777" w:rsidR="005451F9" w:rsidRPr="005D60A5" w:rsidRDefault="005451F9" w:rsidP="005451F9">
            <w:r w:rsidRPr="005D60A5">
              <w:t>Fiscal Officer and Deputy</w:t>
            </w:r>
          </w:p>
        </w:tc>
        <w:tc>
          <w:tcPr>
            <w:tcW w:w="1170" w:type="dxa"/>
            <w:vMerge/>
            <w:tcBorders>
              <w:right w:val="single" w:sz="12" w:space="0" w:color="auto"/>
            </w:tcBorders>
            <w:vAlign w:val="center"/>
            <w:hideMark/>
          </w:tcPr>
          <w:p w14:paraId="4C85ED5F" w14:textId="77777777" w:rsidR="005451F9" w:rsidRPr="00995C1D" w:rsidRDefault="005451F9" w:rsidP="005451F9"/>
        </w:tc>
      </w:tr>
      <w:tr w:rsidR="005451F9" w:rsidRPr="00995C1D" w14:paraId="05E73FB6" w14:textId="77777777" w:rsidTr="007B27D9">
        <w:tc>
          <w:tcPr>
            <w:tcW w:w="3600" w:type="dxa"/>
            <w:tcBorders>
              <w:top w:val="single" w:sz="12" w:space="0" w:color="auto"/>
              <w:left w:val="single" w:sz="12" w:space="0" w:color="auto"/>
              <w:bottom w:val="single" w:sz="12" w:space="0" w:color="auto"/>
              <w:right w:val="nil"/>
            </w:tcBorders>
            <w:noWrap/>
            <w:hideMark/>
          </w:tcPr>
          <w:p w14:paraId="44A83B16" w14:textId="77777777" w:rsidR="005451F9" w:rsidRPr="005D60A5" w:rsidRDefault="005451F9" w:rsidP="005451F9">
            <w:r w:rsidRPr="005D60A5">
              <w:t>Sanitary Districts</w:t>
            </w:r>
          </w:p>
        </w:tc>
        <w:tc>
          <w:tcPr>
            <w:tcW w:w="1620" w:type="dxa"/>
            <w:tcBorders>
              <w:top w:val="single" w:sz="12" w:space="0" w:color="auto"/>
              <w:left w:val="single" w:sz="4" w:space="0" w:color="auto"/>
              <w:bottom w:val="single" w:sz="12" w:space="0" w:color="auto"/>
              <w:right w:val="single" w:sz="4" w:space="0" w:color="auto"/>
            </w:tcBorders>
            <w:noWrap/>
            <w:hideMark/>
          </w:tcPr>
          <w:p w14:paraId="04EF9C2E" w14:textId="52788EFE" w:rsidR="005451F9" w:rsidRPr="005D60A5" w:rsidRDefault="005451F9" w:rsidP="005451F9">
            <w:pPr>
              <w:rPr>
                <w:color w:val="0000FF"/>
                <w:u w:val="single"/>
              </w:rPr>
            </w:pPr>
            <w:hyperlink r:id="rId125" w:history="1">
              <w:r w:rsidRPr="005D60A5">
                <w:rPr>
                  <w:color w:val="0000FF"/>
                  <w:u w:val="single"/>
                </w:rPr>
                <w:t>6115.51</w:t>
              </w:r>
            </w:hyperlink>
          </w:p>
        </w:tc>
        <w:tc>
          <w:tcPr>
            <w:tcW w:w="3510" w:type="dxa"/>
            <w:tcBorders>
              <w:top w:val="single" w:sz="12" w:space="0" w:color="auto"/>
              <w:left w:val="nil"/>
              <w:bottom w:val="single" w:sz="12" w:space="0" w:color="auto"/>
              <w:right w:val="single" w:sz="12" w:space="0" w:color="auto"/>
            </w:tcBorders>
            <w:noWrap/>
            <w:hideMark/>
          </w:tcPr>
          <w:p w14:paraId="77473460" w14:textId="77777777" w:rsidR="005451F9" w:rsidRPr="005D60A5" w:rsidRDefault="005451F9" w:rsidP="005451F9">
            <w:r w:rsidRPr="005D60A5">
              <w:t>Treasurer</w:t>
            </w:r>
          </w:p>
        </w:tc>
        <w:tc>
          <w:tcPr>
            <w:tcW w:w="1170" w:type="dxa"/>
            <w:vMerge/>
            <w:tcBorders>
              <w:right w:val="single" w:sz="12" w:space="0" w:color="auto"/>
            </w:tcBorders>
            <w:vAlign w:val="center"/>
            <w:hideMark/>
          </w:tcPr>
          <w:p w14:paraId="01B13267" w14:textId="77777777" w:rsidR="005451F9" w:rsidRPr="00995C1D" w:rsidRDefault="005451F9" w:rsidP="005451F9"/>
        </w:tc>
      </w:tr>
      <w:tr w:rsidR="005451F9" w:rsidRPr="00995C1D" w14:paraId="05305301" w14:textId="77777777" w:rsidTr="007B27D9">
        <w:tc>
          <w:tcPr>
            <w:tcW w:w="3600" w:type="dxa"/>
            <w:tcBorders>
              <w:top w:val="single" w:sz="12" w:space="0" w:color="auto"/>
              <w:left w:val="single" w:sz="12" w:space="0" w:color="auto"/>
              <w:bottom w:val="single" w:sz="12" w:space="0" w:color="auto"/>
              <w:right w:val="nil"/>
            </w:tcBorders>
            <w:noWrap/>
            <w:vAlign w:val="center"/>
            <w:hideMark/>
          </w:tcPr>
          <w:p w14:paraId="1383D5A1" w14:textId="77777777" w:rsidR="005451F9" w:rsidRPr="005D60A5" w:rsidRDefault="005451F9" w:rsidP="005451F9">
            <w:r w:rsidRPr="005D60A5">
              <w:t>Regional Arts and Cultural Districts</w:t>
            </w:r>
          </w:p>
        </w:tc>
        <w:tc>
          <w:tcPr>
            <w:tcW w:w="1620" w:type="dxa"/>
            <w:tcBorders>
              <w:top w:val="single" w:sz="12" w:space="0" w:color="auto"/>
              <w:left w:val="single" w:sz="4" w:space="0" w:color="auto"/>
              <w:bottom w:val="single" w:sz="12" w:space="0" w:color="auto"/>
              <w:right w:val="single" w:sz="4" w:space="0" w:color="auto"/>
            </w:tcBorders>
            <w:noWrap/>
            <w:vAlign w:val="center"/>
            <w:hideMark/>
          </w:tcPr>
          <w:p w14:paraId="43A747E9" w14:textId="57F742E8" w:rsidR="005451F9" w:rsidRPr="005D60A5" w:rsidRDefault="005451F9" w:rsidP="005451F9">
            <w:pPr>
              <w:rPr>
                <w:color w:val="0000FF"/>
                <w:u w:val="single"/>
              </w:rPr>
            </w:pPr>
            <w:hyperlink r:id="rId126" w:history="1">
              <w:r w:rsidRPr="005D60A5">
                <w:rPr>
                  <w:color w:val="0000FF"/>
                  <w:u w:val="single"/>
                </w:rPr>
                <w:t>3381.1</w:t>
              </w:r>
            </w:hyperlink>
            <w:r w:rsidRPr="005D60A5">
              <w:rPr>
                <w:color w:val="0000FF"/>
                <w:u w:val="single"/>
              </w:rPr>
              <w:t>0</w:t>
            </w:r>
          </w:p>
        </w:tc>
        <w:tc>
          <w:tcPr>
            <w:tcW w:w="3510" w:type="dxa"/>
            <w:tcBorders>
              <w:top w:val="single" w:sz="12" w:space="0" w:color="auto"/>
              <w:left w:val="nil"/>
              <w:bottom w:val="single" w:sz="12" w:space="0" w:color="auto"/>
              <w:right w:val="single" w:sz="12" w:space="0" w:color="auto"/>
            </w:tcBorders>
            <w:noWrap/>
            <w:vAlign w:val="center"/>
            <w:hideMark/>
          </w:tcPr>
          <w:p w14:paraId="037E9CB6" w14:textId="77777777" w:rsidR="005451F9" w:rsidRPr="005D60A5" w:rsidRDefault="005451F9" w:rsidP="005451F9">
            <w:r w:rsidRPr="005D60A5">
              <w:t>Executive Director</w:t>
            </w:r>
          </w:p>
        </w:tc>
        <w:tc>
          <w:tcPr>
            <w:tcW w:w="1170" w:type="dxa"/>
            <w:vMerge/>
            <w:tcBorders>
              <w:right w:val="single" w:sz="12" w:space="0" w:color="auto"/>
            </w:tcBorders>
            <w:vAlign w:val="center"/>
            <w:hideMark/>
          </w:tcPr>
          <w:p w14:paraId="2B4EB2DB" w14:textId="77777777" w:rsidR="005451F9" w:rsidRPr="00995C1D" w:rsidRDefault="005451F9" w:rsidP="005451F9"/>
        </w:tc>
      </w:tr>
      <w:tr w:rsidR="005451F9" w:rsidRPr="00995C1D" w14:paraId="0E5D8F82" w14:textId="77777777" w:rsidTr="007B27D9">
        <w:tc>
          <w:tcPr>
            <w:tcW w:w="3600" w:type="dxa"/>
            <w:tcBorders>
              <w:top w:val="single" w:sz="12" w:space="0" w:color="auto"/>
              <w:left w:val="single" w:sz="12" w:space="0" w:color="auto"/>
              <w:bottom w:val="single" w:sz="12" w:space="0" w:color="auto"/>
              <w:right w:val="nil"/>
            </w:tcBorders>
            <w:noWrap/>
            <w:vAlign w:val="center"/>
            <w:hideMark/>
          </w:tcPr>
          <w:p w14:paraId="29ECFFDE" w14:textId="77777777" w:rsidR="005451F9" w:rsidRPr="005D60A5" w:rsidRDefault="005451F9" w:rsidP="005451F9">
            <w:r w:rsidRPr="005D60A5">
              <w:t>Watershed Districts</w:t>
            </w:r>
          </w:p>
        </w:tc>
        <w:tc>
          <w:tcPr>
            <w:tcW w:w="1620" w:type="dxa"/>
            <w:tcBorders>
              <w:top w:val="single" w:sz="12" w:space="0" w:color="auto"/>
              <w:left w:val="single" w:sz="4" w:space="0" w:color="auto"/>
              <w:bottom w:val="single" w:sz="12" w:space="0" w:color="auto"/>
              <w:right w:val="single" w:sz="4" w:space="0" w:color="auto"/>
            </w:tcBorders>
            <w:noWrap/>
            <w:vAlign w:val="center"/>
            <w:hideMark/>
          </w:tcPr>
          <w:p w14:paraId="0420AB76" w14:textId="02810A15" w:rsidR="005451F9" w:rsidRPr="005D60A5" w:rsidRDefault="005451F9" w:rsidP="005451F9">
            <w:pPr>
              <w:rPr>
                <w:color w:val="0000FF"/>
                <w:u w:val="single"/>
              </w:rPr>
            </w:pPr>
            <w:hyperlink r:id="rId127" w:history="1">
              <w:r w:rsidRPr="005D60A5">
                <w:rPr>
                  <w:color w:val="0000FF"/>
                  <w:u w:val="single"/>
                </w:rPr>
                <w:t>6105.1</w:t>
              </w:r>
            </w:hyperlink>
            <w:r w:rsidRPr="005D60A5">
              <w:rPr>
                <w:color w:val="0000FF"/>
                <w:u w:val="single"/>
              </w:rPr>
              <w:t>0</w:t>
            </w:r>
          </w:p>
        </w:tc>
        <w:tc>
          <w:tcPr>
            <w:tcW w:w="3510" w:type="dxa"/>
            <w:tcBorders>
              <w:top w:val="single" w:sz="12" w:space="0" w:color="auto"/>
              <w:left w:val="nil"/>
              <w:bottom w:val="single" w:sz="12" w:space="0" w:color="auto"/>
              <w:right w:val="single" w:sz="12" w:space="0" w:color="auto"/>
            </w:tcBorders>
            <w:noWrap/>
            <w:vAlign w:val="center"/>
            <w:hideMark/>
          </w:tcPr>
          <w:p w14:paraId="745E901A" w14:textId="77777777" w:rsidR="005451F9" w:rsidRPr="005D60A5" w:rsidRDefault="005451F9" w:rsidP="005451F9">
            <w:r w:rsidRPr="005D60A5">
              <w:t>Secretary Treasurer</w:t>
            </w:r>
          </w:p>
        </w:tc>
        <w:tc>
          <w:tcPr>
            <w:tcW w:w="1170" w:type="dxa"/>
            <w:vMerge/>
            <w:tcBorders>
              <w:right w:val="single" w:sz="12" w:space="0" w:color="auto"/>
            </w:tcBorders>
            <w:vAlign w:val="center"/>
            <w:hideMark/>
          </w:tcPr>
          <w:p w14:paraId="6ACB2529" w14:textId="77777777" w:rsidR="005451F9" w:rsidRPr="00995C1D" w:rsidRDefault="005451F9" w:rsidP="005451F9"/>
        </w:tc>
      </w:tr>
      <w:tr w:rsidR="005451F9" w:rsidRPr="00995C1D" w14:paraId="65B21DC0" w14:textId="77777777" w:rsidTr="007B27D9">
        <w:tc>
          <w:tcPr>
            <w:tcW w:w="3600" w:type="dxa"/>
            <w:tcBorders>
              <w:top w:val="single" w:sz="12" w:space="0" w:color="auto"/>
              <w:left w:val="single" w:sz="12" w:space="0" w:color="auto"/>
              <w:bottom w:val="single" w:sz="12" w:space="0" w:color="auto"/>
              <w:right w:val="nil"/>
            </w:tcBorders>
            <w:noWrap/>
            <w:vAlign w:val="center"/>
            <w:hideMark/>
          </w:tcPr>
          <w:p w14:paraId="36571A36" w14:textId="77777777" w:rsidR="005451F9" w:rsidRPr="005D60A5" w:rsidRDefault="005451F9" w:rsidP="005451F9">
            <w:r w:rsidRPr="005D60A5">
              <w:t>Memorial Buildings (Board of Trustees)</w:t>
            </w:r>
          </w:p>
        </w:tc>
        <w:tc>
          <w:tcPr>
            <w:tcW w:w="1620" w:type="dxa"/>
            <w:tcBorders>
              <w:top w:val="single" w:sz="12" w:space="0" w:color="auto"/>
              <w:left w:val="single" w:sz="4" w:space="0" w:color="auto"/>
              <w:bottom w:val="single" w:sz="12" w:space="0" w:color="auto"/>
              <w:right w:val="single" w:sz="4" w:space="0" w:color="auto"/>
            </w:tcBorders>
            <w:noWrap/>
            <w:vAlign w:val="center"/>
            <w:hideMark/>
          </w:tcPr>
          <w:p w14:paraId="469554FF" w14:textId="300C7D74" w:rsidR="005451F9" w:rsidRPr="005D60A5" w:rsidRDefault="005451F9" w:rsidP="005451F9">
            <w:pPr>
              <w:rPr>
                <w:color w:val="0000FF"/>
                <w:u w:val="single"/>
              </w:rPr>
            </w:pPr>
            <w:hyperlink r:id="rId128" w:history="1">
              <w:r w:rsidRPr="005D60A5">
                <w:rPr>
                  <w:color w:val="0000FF"/>
                  <w:u w:val="single"/>
                </w:rPr>
                <w:t>345.1</w:t>
              </w:r>
            </w:hyperlink>
            <w:r w:rsidRPr="005D60A5">
              <w:rPr>
                <w:color w:val="0000FF"/>
                <w:u w:val="single"/>
              </w:rPr>
              <w:t>0</w:t>
            </w:r>
          </w:p>
        </w:tc>
        <w:tc>
          <w:tcPr>
            <w:tcW w:w="3510" w:type="dxa"/>
            <w:tcBorders>
              <w:top w:val="single" w:sz="12" w:space="0" w:color="auto"/>
              <w:left w:val="nil"/>
              <w:bottom w:val="single" w:sz="12" w:space="0" w:color="auto"/>
              <w:right w:val="single" w:sz="12" w:space="0" w:color="auto"/>
            </w:tcBorders>
            <w:noWrap/>
            <w:vAlign w:val="center"/>
            <w:hideMark/>
          </w:tcPr>
          <w:p w14:paraId="69EA8A22" w14:textId="77777777" w:rsidR="005451F9" w:rsidRPr="005D60A5" w:rsidRDefault="005451F9" w:rsidP="005451F9">
            <w:r w:rsidRPr="005D60A5">
              <w:t>Trustees</w:t>
            </w:r>
          </w:p>
        </w:tc>
        <w:tc>
          <w:tcPr>
            <w:tcW w:w="1170" w:type="dxa"/>
            <w:vMerge/>
            <w:tcBorders>
              <w:bottom w:val="single" w:sz="12" w:space="0" w:color="auto"/>
              <w:right w:val="single" w:sz="12" w:space="0" w:color="auto"/>
            </w:tcBorders>
            <w:vAlign w:val="center"/>
            <w:hideMark/>
          </w:tcPr>
          <w:p w14:paraId="65C22FD6" w14:textId="77777777" w:rsidR="005451F9" w:rsidRPr="00995C1D" w:rsidRDefault="005451F9" w:rsidP="005451F9"/>
        </w:tc>
      </w:tr>
    </w:tbl>
    <w:p w14:paraId="7D2C35FF" w14:textId="77777777" w:rsidR="00A46923" w:rsidRDefault="00A46923" w:rsidP="0099467B">
      <w:pPr>
        <w:tabs>
          <w:tab w:val="left" w:pos="3600"/>
        </w:tabs>
        <w:jc w:val="center"/>
        <w:rPr>
          <w:b/>
          <w:color w:val="000000"/>
          <w:sz w:val="28"/>
          <w:szCs w:val="28"/>
          <w:u w:val="single"/>
        </w:rPr>
      </w:pPr>
    </w:p>
    <w:tbl>
      <w:tblPr>
        <w:tblW w:w="4997" w:type="pct"/>
        <w:tblInd w:w="-15" w:type="dxa"/>
        <w:tblLayout w:type="fixed"/>
        <w:tblLook w:val="04A0" w:firstRow="1" w:lastRow="0" w:firstColumn="1" w:lastColumn="0" w:noHBand="0" w:noVBand="1"/>
      </w:tblPr>
      <w:tblGrid>
        <w:gridCol w:w="3599"/>
        <w:gridCol w:w="1622"/>
        <w:gridCol w:w="3509"/>
        <w:gridCol w:w="1170"/>
      </w:tblGrid>
      <w:tr w:rsidR="0099467B" w:rsidRPr="00995C1D" w14:paraId="0E5CF0F0" w14:textId="77777777" w:rsidTr="434F9B2B">
        <w:trPr>
          <w:trHeight w:val="480"/>
        </w:trPr>
        <w:tc>
          <w:tcPr>
            <w:tcW w:w="5000" w:type="pct"/>
            <w:gridSpan w:val="4"/>
            <w:tcBorders>
              <w:top w:val="single" w:sz="12" w:space="0" w:color="auto"/>
              <w:left w:val="single" w:sz="12" w:space="0" w:color="auto"/>
              <w:bottom w:val="single" w:sz="12" w:space="0" w:color="auto"/>
              <w:right w:val="single" w:sz="12" w:space="0" w:color="auto"/>
            </w:tcBorders>
            <w:shd w:val="clear" w:color="auto" w:fill="4F81BD" w:themeFill="accent1"/>
            <w:vAlign w:val="bottom"/>
            <w:hideMark/>
          </w:tcPr>
          <w:p w14:paraId="24208361" w14:textId="77777777" w:rsidR="0099467B" w:rsidRPr="00F44499" w:rsidRDefault="00CC6D64" w:rsidP="0099467B">
            <w:pPr>
              <w:jc w:val="center"/>
              <w:rPr>
                <w:b/>
                <w:bCs/>
                <w:color w:val="FFFFFF"/>
                <w:sz w:val="24"/>
                <w:szCs w:val="24"/>
              </w:rPr>
            </w:pPr>
            <w:r w:rsidRPr="00F44499">
              <w:rPr>
                <w:b/>
                <w:bCs/>
                <w:color w:val="FFFFFF"/>
                <w:sz w:val="24"/>
                <w:szCs w:val="24"/>
              </w:rPr>
              <w:t xml:space="preserve">Table 3: </w:t>
            </w:r>
            <w:r w:rsidR="0099467B" w:rsidRPr="00F44499">
              <w:rPr>
                <w:b/>
                <w:bCs/>
                <w:color w:val="FFFFFF"/>
                <w:sz w:val="24"/>
                <w:szCs w:val="24"/>
              </w:rPr>
              <w:t>Board may require bond</w:t>
            </w:r>
          </w:p>
        </w:tc>
      </w:tr>
      <w:tr w:rsidR="00E2472A" w:rsidRPr="00995C1D" w14:paraId="7DF246EE" w14:textId="77777777" w:rsidTr="434F9B2B">
        <w:trPr>
          <w:trHeight w:val="315"/>
        </w:trPr>
        <w:tc>
          <w:tcPr>
            <w:tcW w:w="1818" w:type="pct"/>
            <w:tcBorders>
              <w:top w:val="single" w:sz="12" w:space="0" w:color="auto"/>
              <w:left w:val="single" w:sz="12" w:space="0" w:color="auto"/>
              <w:bottom w:val="nil"/>
              <w:right w:val="single" w:sz="4" w:space="0" w:color="auto"/>
            </w:tcBorders>
            <w:shd w:val="clear" w:color="auto" w:fill="4F81BD" w:themeFill="accent1"/>
            <w:vAlign w:val="bottom"/>
            <w:hideMark/>
          </w:tcPr>
          <w:p w14:paraId="1E93F2B8" w14:textId="77777777" w:rsidR="0099467B" w:rsidRPr="00F44499" w:rsidRDefault="0099467B" w:rsidP="00F44499">
            <w:pPr>
              <w:jc w:val="center"/>
              <w:rPr>
                <w:b/>
                <w:bCs/>
                <w:color w:val="FFFFFF"/>
              </w:rPr>
            </w:pPr>
            <w:r w:rsidRPr="00F44499">
              <w:rPr>
                <w:b/>
                <w:bCs/>
                <w:color w:val="FFFFFF"/>
              </w:rPr>
              <w:t>Entity Type</w:t>
            </w:r>
          </w:p>
        </w:tc>
        <w:tc>
          <w:tcPr>
            <w:tcW w:w="819" w:type="pct"/>
            <w:tcBorders>
              <w:top w:val="single" w:sz="12" w:space="0" w:color="auto"/>
              <w:left w:val="single" w:sz="4" w:space="0" w:color="auto"/>
              <w:bottom w:val="nil"/>
              <w:right w:val="single" w:sz="4" w:space="0" w:color="auto"/>
            </w:tcBorders>
            <w:shd w:val="clear" w:color="auto" w:fill="4F81BD" w:themeFill="accent1"/>
            <w:vAlign w:val="bottom"/>
            <w:hideMark/>
          </w:tcPr>
          <w:p w14:paraId="2CD333EB" w14:textId="77777777" w:rsidR="0099467B" w:rsidRPr="00F44499" w:rsidRDefault="0099467B" w:rsidP="00F44499">
            <w:pPr>
              <w:jc w:val="center"/>
              <w:rPr>
                <w:b/>
                <w:bCs/>
                <w:color w:val="FFFFFF"/>
              </w:rPr>
            </w:pPr>
            <w:r w:rsidRPr="00F44499">
              <w:rPr>
                <w:b/>
                <w:bCs/>
                <w:color w:val="FFFFFF"/>
              </w:rPr>
              <w:t>ORC</w:t>
            </w:r>
          </w:p>
        </w:tc>
        <w:tc>
          <w:tcPr>
            <w:tcW w:w="1772" w:type="pct"/>
            <w:tcBorders>
              <w:top w:val="single" w:sz="12" w:space="0" w:color="auto"/>
              <w:left w:val="single" w:sz="4" w:space="0" w:color="auto"/>
              <w:bottom w:val="nil"/>
              <w:right w:val="single" w:sz="4" w:space="0" w:color="auto"/>
            </w:tcBorders>
            <w:shd w:val="clear" w:color="auto" w:fill="4F81BD" w:themeFill="accent1"/>
            <w:vAlign w:val="bottom"/>
            <w:hideMark/>
          </w:tcPr>
          <w:p w14:paraId="3D7B8541" w14:textId="77777777" w:rsidR="0099467B" w:rsidRPr="00F44499" w:rsidRDefault="0099467B" w:rsidP="00F44499">
            <w:pPr>
              <w:jc w:val="center"/>
              <w:rPr>
                <w:b/>
                <w:bCs/>
                <w:color w:val="FFFFFF"/>
              </w:rPr>
            </w:pPr>
            <w:r w:rsidRPr="00F44499">
              <w:rPr>
                <w:b/>
                <w:bCs/>
                <w:color w:val="FFFFFF"/>
              </w:rPr>
              <w:t>Employee/officer Position</w:t>
            </w:r>
          </w:p>
        </w:tc>
        <w:tc>
          <w:tcPr>
            <w:tcW w:w="591" w:type="pct"/>
            <w:tcBorders>
              <w:top w:val="single" w:sz="12" w:space="0" w:color="auto"/>
              <w:left w:val="single" w:sz="4" w:space="0" w:color="auto"/>
              <w:bottom w:val="nil"/>
              <w:right w:val="single" w:sz="12" w:space="0" w:color="auto"/>
            </w:tcBorders>
            <w:shd w:val="clear" w:color="auto" w:fill="4F81BD" w:themeFill="accent1"/>
            <w:vAlign w:val="bottom"/>
            <w:hideMark/>
          </w:tcPr>
          <w:p w14:paraId="46B3E202" w14:textId="77777777" w:rsidR="0099467B" w:rsidRPr="00F44499" w:rsidRDefault="0099467B" w:rsidP="00F44499">
            <w:pPr>
              <w:jc w:val="center"/>
              <w:rPr>
                <w:b/>
                <w:bCs/>
                <w:color w:val="FFFFFF"/>
              </w:rPr>
            </w:pPr>
            <w:r w:rsidRPr="00F44499">
              <w:rPr>
                <w:b/>
                <w:bCs/>
                <w:color w:val="FFFFFF"/>
              </w:rPr>
              <w:t>Minimum amt.</w:t>
            </w:r>
          </w:p>
        </w:tc>
      </w:tr>
      <w:tr w:rsidR="0099467B" w:rsidRPr="00995C1D" w14:paraId="1EDABE7F" w14:textId="77777777" w:rsidTr="000F451F">
        <w:trPr>
          <w:trHeight w:val="315"/>
        </w:trPr>
        <w:tc>
          <w:tcPr>
            <w:tcW w:w="1818" w:type="pct"/>
            <w:tcBorders>
              <w:top w:val="single" w:sz="8" w:space="0" w:color="auto"/>
              <w:left w:val="single" w:sz="12" w:space="0" w:color="auto"/>
              <w:bottom w:val="single" w:sz="12" w:space="0" w:color="auto"/>
              <w:right w:val="single" w:sz="4" w:space="0" w:color="auto"/>
            </w:tcBorders>
            <w:noWrap/>
            <w:hideMark/>
          </w:tcPr>
          <w:p w14:paraId="5298215B" w14:textId="77777777" w:rsidR="0099467B" w:rsidRPr="005D60A5" w:rsidRDefault="3F36AC3A" w:rsidP="00A46923">
            <w:r w:rsidRPr="005D60A5">
              <w:t>Joint Township cemeteries or Union cemeteries</w:t>
            </w:r>
          </w:p>
        </w:tc>
        <w:tc>
          <w:tcPr>
            <w:tcW w:w="819" w:type="pct"/>
            <w:tcBorders>
              <w:top w:val="single" w:sz="8" w:space="0" w:color="auto"/>
              <w:left w:val="nil"/>
              <w:bottom w:val="single" w:sz="12" w:space="0" w:color="auto"/>
              <w:right w:val="single" w:sz="4" w:space="0" w:color="auto"/>
            </w:tcBorders>
            <w:shd w:val="clear" w:color="auto" w:fill="FFFF00"/>
            <w:noWrap/>
            <w:hideMark/>
          </w:tcPr>
          <w:p w14:paraId="31447481" w14:textId="22099451" w:rsidR="0099467B" w:rsidRPr="005D60A5" w:rsidRDefault="0099467B" w:rsidP="00A46923">
            <w:pPr>
              <w:rPr>
                <w:color w:val="0000FF"/>
                <w:u w:val="single"/>
              </w:rPr>
            </w:pPr>
            <w:hyperlink r:id="rId129" w:history="1">
              <w:r w:rsidRPr="005D60A5">
                <w:rPr>
                  <w:color w:val="0000FF"/>
                  <w:u w:val="single"/>
                </w:rPr>
                <w:t>759.06</w:t>
              </w:r>
            </w:hyperlink>
          </w:p>
        </w:tc>
        <w:tc>
          <w:tcPr>
            <w:tcW w:w="1772" w:type="pct"/>
            <w:tcBorders>
              <w:top w:val="single" w:sz="8" w:space="0" w:color="auto"/>
              <w:left w:val="nil"/>
              <w:bottom w:val="single" w:sz="12" w:space="0" w:color="auto"/>
              <w:right w:val="single" w:sz="4" w:space="0" w:color="auto"/>
            </w:tcBorders>
            <w:noWrap/>
            <w:hideMark/>
          </w:tcPr>
          <w:p w14:paraId="2A36478A" w14:textId="77777777" w:rsidR="0099467B" w:rsidRPr="005D60A5" w:rsidRDefault="0099467B" w:rsidP="00A46923">
            <w:r w:rsidRPr="005D60A5">
              <w:t>Officer</w:t>
            </w:r>
          </w:p>
        </w:tc>
        <w:tc>
          <w:tcPr>
            <w:tcW w:w="591" w:type="pct"/>
            <w:tcBorders>
              <w:top w:val="single" w:sz="8" w:space="0" w:color="auto"/>
              <w:left w:val="nil"/>
              <w:bottom w:val="single" w:sz="12" w:space="0" w:color="auto"/>
              <w:right w:val="single" w:sz="12" w:space="0" w:color="auto"/>
            </w:tcBorders>
            <w:noWrap/>
            <w:hideMark/>
          </w:tcPr>
          <w:p w14:paraId="7F634854" w14:textId="77777777" w:rsidR="0099467B" w:rsidRPr="005D60A5" w:rsidRDefault="0099467B" w:rsidP="00A46923">
            <w:r w:rsidRPr="005D60A5">
              <w:t>*</w:t>
            </w:r>
          </w:p>
        </w:tc>
      </w:tr>
      <w:tr w:rsidR="0099467B" w:rsidRPr="00995C1D" w14:paraId="11CADCA2" w14:textId="77777777" w:rsidTr="434F9B2B">
        <w:trPr>
          <w:trHeight w:val="315"/>
        </w:trPr>
        <w:tc>
          <w:tcPr>
            <w:tcW w:w="1818" w:type="pct"/>
            <w:tcBorders>
              <w:top w:val="single" w:sz="12" w:space="0" w:color="auto"/>
              <w:left w:val="single" w:sz="12" w:space="0" w:color="auto"/>
              <w:bottom w:val="single" w:sz="12" w:space="0" w:color="auto"/>
              <w:right w:val="single" w:sz="4" w:space="0" w:color="auto"/>
            </w:tcBorders>
            <w:noWrap/>
            <w:hideMark/>
          </w:tcPr>
          <w:p w14:paraId="48CACAE7" w14:textId="77777777" w:rsidR="0099467B" w:rsidRPr="005D60A5" w:rsidRDefault="0099467B" w:rsidP="00A46923">
            <w:r w:rsidRPr="005D60A5">
              <w:t>Conservancy districts</w:t>
            </w:r>
          </w:p>
        </w:tc>
        <w:tc>
          <w:tcPr>
            <w:tcW w:w="819" w:type="pct"/>
            <w:tcBorders>
              <w:top w:val="single" w:sz="12" w:space="0" w:color="auto"/>
              <w:left w:val="nil"/>
              <w:bottom w:val="single" w:sz="12" w:space="0" w:color="auto"/>
              <w:right w:val="single" w:sz="4" w:space="0" w:color="auto"/>
            </w:tcBorders>
            <w:noWrap/>
            <w:hideMark/>
          </w:tcPr>
          <w:p w14:paraId="26D6E5AC" w14:textId="648BAB3C" w:rsidR="0099467B" w:rsidRPr="005D60A5" w:rsidRDefault="0099467B" w:rsidP="00A46923">
            <w:pPr>
              <w:rPr>
                <w:color w:val="0000FF"/>
                <w:u w:val="single"/>
              </w:rPr>
            </w:pPr>
            <w:hyperlink r:id="rId130" w:history="1">
              <w:r w:rsidRPr="005D60A5">
                <w:rPr>
                  <w:color w:val="0000FF"/>
                  <w:u w:val="single"/>
                </w:rPr>
                <w:t>6101.12</w:t>
              </w:r>
            </w:hyperlink>
          </w:p>
        </w:tc>
        <w:tc>
          <w:tcPr>
            <w:tcW w:w="1772" w:type="pct"/>
            <w:tcBorders>
              <w:top w:val="single" w:sz="12" w:space="0" w:color="auto"/>
              <w:left w:val="nil"/>
              <w:bottom w:val="single" w:sz="12" w:space="0" w:color="auto"/>
              <w:right w:val="single" w:sz="4" w:space="0" w:color="auto"/>
            </w:tcBorders>
            <w:noWrap/>
            <w:hideMark/>
          </w:tcPr>
          <w:p w14:paraId="1D35C497" w14:textId="77777777" w:rsidR="0099467B" w:rsidRPr="005D60A5" w:rsidRDefault="00A46923" w:rsidP="00A46923">
            <w:r w:rsidRPr="005D60A5">
              <w:t>S</w:t>
            </w:r>
            <w:r w:rsidR="0099467B" w:rsidRPr="005D60A5">
              <w:t>ecretary, employees</w:t>
            </w:r>
          </w:p>
        </w:tc>
        <w:tc>
          <w:tcPr>
            <w:tcW w:w="591" w:type="pct"/>
            <w:tcBorders>
              <w:top w:val="single" w:sz="12" w:space="0" w:color="auto"/>
              <w:left w:val="nil"/>
              <w:bottom w:val="single" w:sz="12" w:space="0" w:color="auto"/>
              <w:right w:val="single" w:sz="12" w:space="0" w:color="auto"/>
            </w:tcBorders>
            <w:noWrap/>
            <w:hideMark/>
          </w:tcPr>
          <w:p w14:paraId="32C384D0" w14:textId="77777777" w:rsidR="0099467B" w:rsidRPr="005D60A5" w:rsidRDefault="0099467B" w:rsidP="00A46923">
            <w:r w:rsidRPr="005D60A5">
              <w:t>*</w:t>
            </w:r>
          </w:p>
        </w:tc>
      </w:tr>
      <w:tr w:rsidR="00E2472A" w:rsidRPr="00995C1D" w14:paraId="400F28ED" w14:textId="77777777" w:rsidTr="00DD5B1D">
        <w:trPr>
          <w:trHeight w:val="300"/>
        </w:trPr>
        <w:tc>
          <w:tcPr>
            <w:tcW w:w="1818" w:type="pct"/>
            <w:vMerge w:val="restart"/>
            <w:tcBorders>
              <w:top w:val="single" w:sz="12" w:space="0" w:color="auto"/>
              <w:left w:val="single" w:sz="12" w:space="0" w:color="auto"/>
              <w:right w:val="single" w:sz="8" w:space="0" w:color="auto"/>
            </w:tcBorders>
            <w:noWrap/>
            <w:hideMark/>
          </w:tcPr>
          <w:p w14:paraId="5AABD7FE" w14:textId="77777777" w:rsidR="00A46923" w:rsidRPr="005D60A5" w:rsidRDefault="00A46923" w:rsidP="00A46923">
            <w:r w:rsidRPr="005D60A5">
              <w:t>County</w:t>
            </w:r>
          </w:p>
        </w:tc>
        <w:tc>
          <w:tcPr>
            <w:tcW w:w="819" w:type="pct"/>
            <w:tcBorders>
              <w:top w:val="single" w:sz="12" w:space="0" w:color="auto"/>
              <w:left w:val="single" w:sz="8" w:space="0" w:color="auto"/>
              <w:bottom w:val="single" w:sz="4" w:space="0" w:color="auto"/>
              <w:right w:val="single" w:sz="4" w:space="0" w:color="auto"/>
            </w:tcBorders>
            <w:shd w:val="clear" w:color="auto" w:fill="FFFF00"/>
            <w:noWrap/>
            <w:hideMark/>
          </w:tcPr>
          <w:p w14:paraId="0D8A0976" w14:textId="561CE369" w:rsidR="00A46923" w:rsidRPr="005D60A5" w:rsidRDefault="00A46923" w:rsidP="00A46923">
            <w:pPr>
              <w:rPr>
                <w:color w:val="0000FF"/>
                <w:u w:val="single"/>
              </w:rPr>
            </w:pPr>
            <w:hyperlink r:id="rId131" w:history="1">
              <w:r w:rsidRPr="005D60A5">
                <w:rPr>
                  <w:color w:val="0000FF"/>
                  <w:u w:val="single"/>
                </w:rPr>
                <w:t>329.01</w:t>
              </w:r>
            </w:hyperlink>
          </w:p>
        </w:tc>
        <w:tc>
          <w:tcPr>
            <w:tcW w:w="1772" w:type="pct"/>
            <w:tcBorders>
              <w:top w:val="single" w:sz="12" w:space="0" w:color="auto"/>
              <w:left w:val="nil"/>
              <w:bottom w:val="single" w:sz="4" w:space="0" w:color="auto"/>
              <w:right w:val="single" w:sz="4" w:space="0" w:color="auto"/>
            </w:tcBorders>
            <w:noWrap/>
            <w:hideMark/>
          </w:tcPr>
          <w:p w14:paraId="0399B3B6" w14:textId="77777777" w:rsidR="00A46923" w:rsidRPr="005D60A5" w:rsidRDefault="00A46923" w:rsidP="00A46923">
            <w:r w:rsidRPr="005D60A5">
              <w:t>CDJFS employees</w:t>
            </w:r>
          </w:p>
        </w:tc>
        <w:tc>
          <w:tcPr>
            <w:tcW w:w="591" w:type="pct"/>
            <w:tcBorders>
              <w:top w:val="single" w:sz="12" w:space="0" w:color="auto"/>
              <w:left w:val="nil"/>
              <w:bottom w:val="single" w:sz="4" w:space="0" w:color="auto"/>
              <w:right w:val="single" w:sz="12" w:space="0" w:color="auto"/>
            </w:tcBorders>
            <w:noWrap/>
            <w:hideMark/>
          </w:tcPr>
          <w:p w14:paraId="3A8FF74D" w14:textId="77777777" w:rsidR="00A46923" w:rsidRPr="005D60A5" w:rsidRDefault="00A46923" w:rsidP="00A46923">
            <w:r w:rsidRPr="005D60A5">
              <w:t>*</w:t>
            </w:r>
          </w:p>
        </w:tc>
      </w:tr>
      <w:tr w:rsidR="00E2472A" w:rsidRPr="00995C1D" w14:paraId="354C63CF" w14:textId="77777777" w:rsidTr="00DD5B1D">
        <w:trPr>
          <w:trHeight w:val="300"/>
        </w:trPr>
        <w:tc>
          <w:tcPr>
            <w:tcW w:w="1818" w:type="pct"/>
            <w:vMerge/>
            <w:tcBorders>
              <w:left w:val="single" w:sz="12" w:space="0" w:color="auto"/>
              <w:right w:val="single" w:sz="8" w:space="0" w:color="auto"/>
            </w:tcBorders>
            <w:noWrap/>
            <w:hideMark/>
          </w:tcPr>
          <w:p w14:paraId="20A1F1C7" w14:textId="77777777" w:rsidR="00A46923" w:rsidRPr="005D60A5" w:rsidRDefault="00A46923" w:rsidP="00A46923"/>
        </w:tc>
        <w:tc>
          <w:tcPr>
            <w:tcW w:w="819" w:type="pct"/>
            <w:tcBorders>
              <w:top w:val="nil"/>
              <w:left w:val="single" w:sz="8" w:space="0" w:color="auto"/>
              <w:bottom w:val="single" w:sz="4" w:space="0" w:color="auto"/>
              <w:right w:val="single" w:sz="4" w:space="0" w:color="auto"/>
            </w:tcBorders>
            <w:shd w:val="clear" w:color="auto" w:fill="FFFF00"/>
            <w:noWrap/>
            <w:hideMark/>
          </w:tcPr>
          <w:p w14:paraId="7FC5256C" w14:textId="2D4D0651" w:rsidR="00A46923" w:rsidRPr="005D60A5" w:rsidRDefault="00A46923" w:rsidP="00A46923">
            <w:pPr>
              <w:rPr>
                <w:color w:val="0000FF"/>
                <w:u w:val="single"/>
              </w:rPr>
            </w:pPr>
            <w:hyperlink r:id="rId132" w:history="1">
              <w:r w:rsidRPr="005D60A5">
                <w:rPr>
                  <w:color w:val="0000FF"/>
                  <w:u w:val="single"/>
                </w:rPr>
                <w:t>1907.20(E)(1)</w:t>
              </w:r>
            </w:hyperlink>
          </w:p>
        </w:tc>
        <w:tc>
          <w:tcPr>
            <w:tcW w:w="1772" w:type="pct"/>
            <w:tcBorders>
              <w:top w:val="nil"/>
              <w:left w:val="nil"/>
              <w:bottom w:val="single" w:sz="4" w:space="0" w:color="auto"/>
              <w:right w:val="single" w:sz="4" w:space="0" w:color="auto"/>
            </w:tcBorders>
            <w:noWrap/>
            <w:hideMark/>
          </w:tcPr>
          <w:p w14:paraId="4939A109" w14:textId="77777777" w:rsidR="00A46923" w:rsidRPr="005D60A5" w:rsidRDefault="00A46923" w:rsidP="00A46923">
            <w:r w:rsidRPr="005D60A5">
              <w:t>Deputy Clerks of County Court</w:t>
            </w:r>
          </w:p>
        </w:tc>
        <w:tc>
          <w:tcPr>
            <w:tcW w:w="591" w:type="pct"/>
            <w:tcBorders>
              <w:top w:val="nil"/>
              <w:left w:val="nil"/>
              <w:bottom w:val="single" w:sz="4" w:space="0" w:color="auto"/>
              <w:right w:val="single" w:sz="12" w:space="0" w:color="auto"/>
            </w:tcBorders>
            <w:noWrap/>
            <w:hideMark/>
          </w:tcPr>
          <w:p w14:paraId="42E3B966" w14:textId="77777777" w:rsidR="00A46923" w:rsidRPr="005D60A5" w:rsidRDefault="00A46923" w:rsidP="00A46923">
            <w:r w:rsidRPr="005D60A5">
              <w:t xml:space="preserve">$3,000 </w:t>
            </w:r>
          </w:p>
        </w:tc>
      </w:tr>
      <w:tr w:rsidR="00E2472A" w:rsidRPr="00995C1D" w14:paraId="1FBF0E23" w14:textId="77777777" w:rsidTr="00DD5B1D">
        <w:trPr>
          <w:trHeight w:val="300"/>
        </w:trPr>
        <w:tc>
          <w:tcPr>
            <w:tcW w:w="1818" w:type="pct"/>
            <w:vMerge/>
            <w:tcBorders>
              <w:left w:val="single" w:sz="12" w:space="0" w:color="auto"/>
              <w:right w:val="single" w:sz="8" w:space="0" w:color="auto"/>
            </w:tcBorders>
            <w:noWrap/>
            <w:hideMark/>
          </w:tcPr>
          <w:p w14:paraId="4E9DC94D" w14:textId="77777777" w:rsidR="00A46923" w:rsidRPr="005D60A5" w:rsidRDefault="00A46923" w:rsidP="00A46923"/>
        </w:tc>
        <w:tc>
          <w:tcPr>
            <w:tcW w:w="819" w:type="pct"/>
            <w:tcBorders>
              <w:top w:val="nil"/>
              <w:left w:val="single" w:sz="8" w:space="0" w:color="auto"/>
              <w:bottom w:val="single" w:sz="4" w:space="0" w:color="auto"/>
              <w:right w:val="single" w:sz="4" w:space="0" w:color="auto"/>
            </w:tcBorders>
            <w:shd w:val="clear" w:color="auto" w:fill="FFFF00"/>
            <w:noWrap/>
            <w:hideMark/>
          </w:tcPr>
          <w:p w14:paraId="1640654B" w14:textId="7EF81CBA" w:rsidR="00A46923" w:rsidRPr="005D60A5" w:rsidRDefault="00A46923" w:rsidP="00A46923">
            <w:pPr>
              <w:rPr>
                <w:color w:val="0000FF"/>
                <w:u w:val="single"/>
              </w:rPr>
            </w:pPr>
            <w:hyperlink r:id="rId133" w:history="1">
              <w:r w:rsidRPr="005D60A5">
                <w:rPr>
                  <w:color w:val="0000FF"/>
                  <w:u w:val="single"/>
                </w:rPr>
                <w:t>1907.20(F)(1)</w:t>
              </w:r>
            </w:hyperlink>
          </w:p>
        </w:tc>
        <w:tc>
          <w:tcPr>
            <w:tcW w:w="1772" w:type="pct"/>
            <w:tcBorders>
              <w:top w:val="nil"/>
              <w:left w:val="nil"/>
              <w:bottom w:val="single" w:sz="4" w:space="0" w:color="auto"/>
              <w:right w:val="single" w:sz="4" w:space="0" w:color="auto"/>
            </w:tcBorders>
            <w:noWrap/>
            <w:hideMark/>
          </w:tcPr>
          <w:p w14:paraId="3F7AAB50" w14:textId="77777777" w:rsidR="00A46923" w:rsidRPr="005D60A5" w:rsidRDefault="00A46923" w:rsidP="00A46923">
            <w:r w:rsidRPr="005D60A5">
              <w:t>Special Deputy Clerks of County Court</w:t>
            </w:r>
          </w:p>
        </w:tc>
        <w:tc>
          <w:tcPr>
            <w:tcW w:w="591" w:type="pct"/>
            <w:tcBorders>
              <w:top w:val="nil"/>
              <w:left w:val="nil"/>
              <w:bottom w:val="single" w:sz="4" w:space="0" w:color="auto"/>
              <w:right w:val="single" w:sz="12" w:space="0" w:color="auto"/>
            </w:tcBorders>
            <w:noWrap/>
            <w:hideMark/>
          </w:tcPr>
          <w:p w14:paraId="600AF753" w14:textId="77777777" w:rsidR="00A46923" w:rsidRPr="005D60A5" w:rsidRDefault="00A46923" w:rsidP="00A46923">
            <w:r w:rsidRPr="005D60A5">
              <w:t xml:space="preserve">$3,000 </w:t>
            </w:r>
          </w:p>
        </w:tc>
      </w:tr>
      <w:tr w:rsidR="00E2472A" w:rsidRPr="00995C1D" w14:paraId="5A8468A1" w14:textId="77777777" w:rsidTr="00DD5B1D">
        <w:trPr>
          <w:trHeight w:val="300"/>
        </w:trPr>
        <w:tc>
          <w:tcPr>
            <w:tcW w:w="1818" w:type="pct"/>
            <w:vMerge/>
            <w:tcBorders>
              <w:left w:val="single" w:sz="12" w:space="0" w:color="auto"/>
              <w:right w:val="single" w:sz="8" w:space="0" w:color="auto"/>
            </w:tcBorders>
            <w:noWrap/>
            <w:hideMark/>
          </w:tcPr>
          <w:p w14:paraId="7F8E062A" w14:textId="77777777" w:rsidR="00A46923" w:rsidRPr="005D60A5" w:rsidRDefault="00A46923" w:rsidP="00A46923"/>
        </w:tc>
        <w:tc>
          <w:tcPr>
            <w:tcW w:w="819" w:type="pct"/>
            <w:tcBorders>
              <w:top w:val="nil"/>
              <w:left w:val="single" w:sz="8" w:space="0" w:color="auto"/>
              <w:bottom w:val="single" w:sz="4" w:space="0" w:color="auto"/>
              <w:right w:val="single" w:sz="4" w:space="0" w:color="auto"/>
            </w:tcBorders>
            <w:shd w:val="clear" w:color="auto" w:fill="FFFF00"/>
            <w:noWrap/>
            <w:hideMark/>
          </w:tcPr>
          <w:p w14:paraId="068F74F8" w14:textId="0F72FA78" w:rsidR="00A46923" w:rsidRPr="005D60A5" w:rsidRDefault="00A46923" w:rsidP="00A46923">
            <w:pPr>
              <w:rPr>
                <w:color w:val="0000FF"/>
                <w:u w:val="single"/>
              </w:rPr>
            </w:pPr>
            <w:hyperlink r:id="rId134" w:history="1">
              <w:r w:rsidRPr="005D60A5">
                <w:rPr>
                  <w:color w:val="0000FF"/>
                  <w:u w:val="single"/>
                </w:rPr>
                <w:t>1907.20(F)(2)</w:t>
              </w:r>
            </w:hyperlink>
          </w:p>
        </w:tc>
        <w:tc>
          <w:tcPr>
            <w:tcW w:w="1772" w:type="pct"/>
            <w:tcBorders>
              <w:top w:val="nil"/>
              <w:left w:val="nil"/>
              <w:bottom w:val="single" w:sz="4" w:space="0" w:color="auto"/>
              <w:right w:val="single" w:sz="4" w:space="0" w:color="auto"/>
            </w:tcBorders>
            <w:noWrap/>
            <w:hideMark/>
          </w:tcPr>
          <w:p w14:paraId="4886FD60" w14:textId="77777777" w:rsidR="00A46923" w:rsidRPr="005D60A5" w:rsidRDefault="00A46923" w:rsidP="00A46923">
            <w:r w:rsidRPr="005D60A5">
              <w:t>Special Deputy Clerks of County Court</w:t>
            </w:r>
          </w:p>
        </w:tc>
        <w:tc>
          <w:tcPr>
            <w:tcW w:w="591" w:type="pct"/>
            <w:tcBorders>
              <w:top w:val="nil"/>
              <w:left w:val="nil"/>
              <w:bottom w:val="single" w:sz="4" w:space="0" w:color="auto"/>
              <w:right w:val="single" w:sz="12" w:space="0" w:color="auto"/>
            </w:tcBorders>
            <w:noWrap/>
            <w:hideMark/>
          </w:tcPr>
          <w:p w14:paraId="7DB316F3" w14:textId="77777777" w:rsidR="00A46923" w:rsidRPr="005D60A5" w:rsidRDefault="00A46923" w:rsidP="00A46923">
            <w:r w:rsidRPr="005D60A5">
              <w:t xml:space="preserve">$3,000 </w:t>
            </w:r>
          </w:p>
        </w:tc>
      </w:tr>
      <w:tr w:rsidR="00E2472A" w:rsidRPr="00995C1D" w14:paraId="3CB2600F" w14:textId="77777777" w:rsidTr="00DD5B1D">
        <w:trPr>
          <w:trHeight w:val="300"/>
        </w:trPr>
        <w:tc>
          <w:tcPr>
            <w:tcW w:w="1818" w:type="pct"/>
            <w:vMerge/>
            <w:tcBorders>
              <w:left w:val="single" w:sz="12" w:space="0" w:color="auto"/>
              <w:right w:val="single" w:sz="8" w:space="0" w:color="auto"/>
            </w:tcBorders>
            <w:noWrap/>
            <w:hideMark/>
          </w:tcPr>
          <w:p w14:paraId="24AEC82C" w14:textId="77777777" w:rsidR="001E3E45" w:rsidRPr="005D60A5" w:rsidRDefault="001E3E45" w:rsidP="001E3E45"/>
        </w:tc>
        <w:tc>
          <w:tcPr>
            <w:tcW w:w="819" w:type="pct"/>
            <w:tcBorders>
              <w:top w:val="nil"/>
              <w:left w:val="single" w:sz="8" w:space="0" w:color="auto"/>
              <w:bottom w:val="single" w:sz="4" w:space="0" w:color="auto"/>
              <w:right w:val="single" w:sz="4" w:space="0" w:color="auto"/>
            </w:tcBorders>
            <w:shd w:val="clear" w:color="auto" w:fill="FFFF00"/>
            <w:noWrap/>
            <w:hideMark/>
          </w:tcPr>
          <w:p w14:paraId="60421819" w14:textId="48FF7A7A" w:rsidR="001E3E45" w:rsidRPr="005D60A5" w:rsidRDefault="001E3E45" w:rsidP="001E3E45">
            <w:pPr>
              <w:rPr>
                <w:color w:val="0000FF"/>
                <w:u w:val="single"/>
              </w:rPr>
            </w:pPr>
            <w:hyperlink r:id="rId135" w:history="1">
              <w:r w:rsidRPr="005D60A5">
                <w:rPr>
                  <w:color w:val="0000FF"/>
                  <w:u w:val="single"/>
                </w:rPr>
                <w:t>2101.06</w:t>
              </w:r>
            </w:hyperlink>
          </w:p>
        </w:tc>
        <w:tc>
          <w:tcPr>
            <w:tcW w:w="1772" w:type="pct"/>
            <w:tcBorders>
              <w:top w:val="nil"/>
              <w:left w:val="nil"/>
              <w:bottom w:val="single" w:sz="4" w:space="0" w:color="auto"/>
              <w:right w:val="single" w:sz="4" w:space="0" w:color="auto"/>
            </w:tcBorders>
            <w:noWrap/>
            <w:hideMark/>
          </w:tcPr>
          <w:p w14:paraId="62A3684C" w14:textId="77777777" w:rsidR="001E3E45" w:rsidRPr="005D60A5" w:rsidRDefault="001E3E45" w:rsidP="001E3E45">
            <w:r w:rsidRPr="005D60A5">
              <w:t>Special Master Commissioner</w:t>
            </w:r>
          </w:p>
        </w:tc>
        <w:tc>
          <w:tcPr>
            <w:tcW w:w="591" w:type="pct"/>
            <w:tcBorders>
              <w:top w:val="nil"/>
              <w:left w:val="nil"/>
              <w:bottom w:val="single" w:sz="4" w:space="0" w:color="auto"/>
              <w:right w:val="single" w:sz="12" w:space="0" w:color="auto"/>
            </w:tcBorders>
            <w:noWrap/>
            <w:hideMark/>
          </w:tcPr>
          <w:p w14:paraId="31E5170F" w14:textId="77777777" w:rsidR="001E3E45" w:rsidRPr="005D60A5" w:rsidRDefault="001E3E45" w:rsidP="001E3E45">
            <w:r w:rsidRPr="005D60A5">
              <w:t>*</w:t>
            </w:r>
          </w:p>
        </w:tc>
      </w:tr>
      <w:tr w:rsidR="00E2472A" w:rsidRPr="00995C1D" w14:paraId="146964C7" w14:textId="77777777" w:rsidTr="00DD5B1D">
        <w:trPr>
          <w:trHeight w:val="300"/>
        </w:trPr>
        <w:tc>
          <w:tcPr>
            <w:tcW w:w="1818" w:type="pct"/>
            <w:vMerge/>
            <w:tcBorders>
              <w:left w:val="single" w:sz="12" w:space="0" w:color="auto"/>
              <w:right w:val="single" w:sz="8" w:space="0" w:color="auto"/>
            </w:tcBorders>
            <w:noWrap/>
            <w:hideMark/>
          </w:tcPr>
          <w:p w14:paraId="221BEF7A" w14:textId="77777777" w:rsidR="001E3E45" w:rsidRPr="005D60A5" w:rsidRDefault="001E3E45" w:rsidP="001E3E45"/>
        </w:tc>
        <w:tc>
          <w:tcPr>
            <w:tcW w:w="819" w:type="pct"/>
            <w:tcBorders>
              <w:top w:val="nil"/>
              <w:left w:val="single" w:sz="8" w:space="0" w:color="auto"/>
              <w:bottom w:val="single" w:sz="4" w:space="0" w:color="auto"/>
              <w:right w:val="single" w:sz="4" w:space="0" w:color="auto"/>
            </w:tcBorders>
            <w:shd w:val="clear" w:color="auto" w:fill="FFFF00"/>
            <w:noWrap/>
            <w:hideMark/>
          </w:tcPr>
          <w:p w14:paraId="24BECE80" w14:textId="0C0A6C98" w:rsidR="001E3E45" w:rsidRPr="005D60A5" w:rsidRDefault="001E3E45" w:rsidP="001E3E45">
            <w:pPr>
              <w:rPr>
                <w:color w:val="0000FF"/>
                <w:u w:val="single"/>
              </w:rPr>
            </w:pPr>
            <w:hyperlink r:id="rId136" w:history="1">
              <w:r w:rsidRPr="005D60A5">
                <w:rPr>
                  <w:color w:val="0000FF"/>
                  <w:u w:val="single"/>
                </w:rPr>
                <w:t xml:space="preserve">2101.11(C) </w:t>
              </w:r>
            </w:hyperlink>
          </w:p>
        </w:tc>
        <w:tc>
          <w:tcPr>
            <w:tcW w:w="1772" w:type="pct"/>
            <w:tcBorders>
              <w:top w:val="nil"/>
              <w:left w:val="nil"/>
              <w:bottom w:val="single" w:sz="4" w:space="0" w:color="auto"/>
              <w:right w:val="single" w:sz="4" w:space="0" w:color="auto"/>
            </w:tcBorders>
            <w:noWrap/>
            <w:hideMark/>
          </w:tcPr>
          <w:p w14:paraId="4704BA4C" w14:textId="77777777" w:rsidR="001E3E45" w:rsidRPr="005D60A5" w:rsidRDefault="001E3E45" w:rsidP="001E3E45">
            <w:r w:rsidRPr="005D60A5">
              <w:t>Judge Appointees</w:t>
            </w:r>
          </w:p>
        </w:tc>
        <w:tc>
          <w:tcPr>
            <w:tcW w:w="591" w:type="pct"/>
            <w:tcBorders>
              <w:top w:val="nil"/>
              <w:left w:val="nil"/>
              <w:bottom w:val="single" w:sz="4" w:space="0" w:color="auto"/>
              <w:right w:val="single" w:sz="12" w:space="0" w:color="auto"/>
            </w:tcBorders>
            <w:noWrap/>
            <w:hideMark/>
          </w:tcPr>
          <w:p w14:paraId="1B6BDF7C" w14:textId="77777777" w:rsidR="001E3E45" w:rsidRPr="005D60A5" w:rsidRDefault="001E3E45" w:rsidP="001E3E45">
            <w:r w:rsidRPr="005D60A5">
              <w:t xml:space="preserve">$1,000 </w:t>
            </w:r>
          </w:p>
        </w:tc>
      </w:tr>
      <w:tr w:rsidR="00E2472A" w:rsidRPr="00995C1D" w14:paraId="3FFF5B88" w14:textId="77777777" w:rsidTr="00DD5B1D">
        <w:trPr>
          <w:trHeight w:val="300"/>
        </w:trPr>
        <w:tc>
          <w:tcPr>
            <w:tcW w:w="1818" w:type="pct"/>
            <w:vMerge/>
            <w:tcBorders>
              <w:left w:val="single" w:sz="12" w:space="0" w:color="auto"/>
              <w:right w:val="single" w:sz="8" w:space="0" w:color="auto"/>
            </w:tcBorders>
            <w:noWrap/>
            <w:hideMark/>
          </w:tcPr>
          <w:p w14:paraId="2A4BD9C5" w14:textId="77777777" w:rsidR="001E3E45" w:rsidRPr="005D60A5" w:rsidRDefault="001E3E45" w:rsidP="001E3E45"/>
        </w:tc>
        <w:tc>
          <w:tcPr>
            <w:tcW w:w="819" w:type="pct"/>
            <w:tcBorders>
              <w:top w:val="nil"/>
              <w:left w:val="single" w:sz="8" w:space="0" w:color="auto"/>
              <w:bottom w:val="single" w:sz="4" w:space="0" w:color="auto"/>
              <w:right w:val="single" w:sz="4" w:space="0" w:color="auto"/>
            </w:tcBorders>
            <w:shd w:val="clear" w:color="auto" w:fill="FFFF00"/>
            <w:noWrap/>
            <w:hideMark/>
          </w:tcPr>
          <w:p w14:paraId="3AEE2C3D" w14:textId="06F4C7A2" w:rsidR="001E3E45" w:rsidRPr="005D60A5" w:rsidRDefault="001E3E45" w:rsidP="001E3E45">
            <w:pPr>
              <w:rPr>
                <w:color w:val="0000FF"/>
                <w:u w:val="single"/>
              </w:rPr>
            </w:pPr>
            <w:hyperlink r:id="rId137" w:history="1">
              <w:r w:rsidRPr="005D60A5">
                <w:rPr>
                  <w:color w:val="0000FF"/>
                  <w:u w:val="single"/>
                </w:rPr>
                <w:t>2151.13</w:t>
              </w:r>
            </w:hyperlink>
          </w:p>
        </w:tc>
        <w:tc>
          <w:tcPr>
            <w:tcW w:w="1772" w:type="pct"/>
            <w:tcBorders>
              <w:top w:val="nil"/>
              <w:left w:val="nil"/>
              <w:bottom w:val="single" w:sz="4" w:space="0" w:color="auto"/>
              <w:right w:val="single" w:sz="4" w:space="0" w:color="auto"/>
            </w:tcBorders>
            <w:noWrap/>
            <w:hideMark/>
          </w:tcPr>
          <w:p w14:paraId="5E23F98C" w14:textId="77777777" w:rsidR="001E3E45" w:rsidRPr="005D60A5" w:rsidRDefault="001E3E45" w:rsidP="001E3E45">
            <w:r w:rsidRPr="005D60A5">
              <w:t>Juvenile Court Employees</w:t>
            </w:r>
          </w:p>
        </w:tc>
        <w:tc>
          <w:tcPr>
            <w:tcW w:w="591" w:type="pct"/>
            <w:tcBorders>
              <w:top w:val="nil"/>
              <w:left w:val="nil"/>
              <w:bottom w:val="single" w:sz="4" w:space="0" w:color="auto"/>
              <w:right w:val="single" w:sz="12" w:space="0" w:color="auto"/>
            </w:tcBorders>
            <w:noWrap/>
            <w:hideMark/>
          </w:tcPr>
          <w:p w14:paraId="25296473" w14:textId="77777777" w:rsidR="001E3E45" w:rsidRPr="005D60A5" w:rsidRDefault="001E3E45" w:rsidP="001E3E45">
            <w:r w:rsidRPr="005D60A5">
              <w:t xml:space="preserve">$1,000 </w:t>
            </w:r>
          </w:p>
        </w:tc>
      </w:tr>
      <w:tr w:rsidR="00E2472A" w:rsidRPr="00995C1D" w14:paraId="6AABA1DD" w14:textId="77777777" w:rsidTr="00DD5B1D">
        <w:trPr>
          <w:trHeight w:val="300"/>
        </w:trPr>
        <w:tc>
          <w:tcPr>
            <w:tcW w:w="1818" w:type="pct"/>
            <w:vMerge w:val="restart"/>
            <w:tcBorders>
              <w:top w:val="single" w:sz="12" w:space="0" w:color="auto"/>
              <w:left w:val="single" w:sz="12" w:space="0" w:color="auto"/>
              <w:right w:val="single" w:sz="8" w:space="0" w:color="auto"/>
            </w:tcBorders>
            <w:noWrap/>
            <w:hideMark/>
          </w:tcPr>
          <w:p w14:paraId="42673C62" w14:textId="77777777" w:rsidR="00074B03" w:rsidRPr="005D60A5" w:rsidRDefault="00074B03" w:rsidP="00A46923">
            <w:r w:rsidRPr="005D60A5">
              <w:t>Township</w:t>
            </w:r>
          </w:p>
        </w:tc>
        <w:tc>
          <w:tcPr>
            <w:tcW w:w="819" w:type="pct"/>
            <w:tcBorders>
              <w:top w:val="single" w:sz="12" w:space="0" w:color="auto"/>
              <w:left w:val="single" w:sz="8" w:space="0" w:color="auto"/>
              <w:bottom w:val="single" w:sz="4" w:space="0" w:color="auto"/>
              <w:right w:val="single" w:sz="4" w:space="0" w:color="auto"/>
            </w:tcBorders>
            <w:shd w:val="clear" w:color="auto" w:fill="FFFF00"/>
            <w:noWrap/>
            <w:hideMark/>
          </w:tcPr>
          <w:p w14:paraId="0D845C7D" w14:textId="779B3F1B" w:rsidR="00074B03" w:rsidRPr="005D60A5" w:rsidRDefault="00074B03" w:rsidP="00A46923">
            <w:pPr>
              <w:rPr>
                <w:color w:val="0000FF"/>
                <w:u w:val="single"/>
              </w:rPr>
            </w:pPr>
            <w:hyperlink r:id="rId138" w:history="1">
              <w:r w:rsidRPr="005D60A5">
                <w:rPr>
                  <w:color w:val="0000FF"/>
                  <w:u w:val="single"/>
                </w:rPr>
                <w:t>505.03</w:t>
              </w:r>
            </w:hyperlink>
          </w:p>
        </w:tc>
        <w:tc>
          <w:tcPr>
            <w:tcW w:w="1772" w:type="pct"/>
            <w:tcBorders>
              <w:top w:val="single" w:sz="12" w:space="0" w:color="auto"/>
              <w:left w:val="nil"/>
              <w:bottom w:val="single" w:sz="4" w:space="0" w:color="auto"/>
              <w:right w:val="single" w:sz="4" w:space="0" w:color="auto"/>
            </w:tcBorders>
            <w:noWrap/>
            <w:hideMark/>
          </w:tcPr>
          <w:p w14:paraId="29DCD591" w14:textId="77777777" w:rsidR="00074B03" w:rsidRPr="005D60A5" w:rsidRDefault="00074B03" w:rsidP="00A46923">
            <w:r w:rsidRPr="005D60A5">
              <w:t>Trustees</w:t>
            </w:r>
          </w:p>
        </w:tc>
        <w:tc>
          <w:tcPr>
            <w:tcW w:w="591" w:type="pct"/>
            <w:tcBorders>
              <w:top w:val="single" w:sz="12" w:space="0" w:color="auto"/>
              <w:left w:val="nil"/>
              <w:bottom w:val="single" w:sz="4" w:space="0" w:color="auto"/>
              <w:right w:val="single" w:sz="12" w:space="0" w:color="auto"/>
            </w:tcBorders>
            <w:noWrap/>
            <w:hideMark/>
          </w:tcPr>
          <w:p w14:paraId="17F9F152" w14:textId="77777777" w:rsidR="00074B03" w:rsidRPr="005D60A5" w:rsidRDefault="00074B03" w:rsidP="00A46923">
            <w:r w:rsidRPr="005D60A5">
              <w:t>*</w:t>
            </w:r>
          </w:p>
        </w:tc>
      </w:tr>
      <w:tr w:rsidR="00E2472A" w:rsidRPr="00995C1D" w14:paraId="6BC1397C" w14:textId="77777777" w:rsidTr="00DD5B1D">
        <w:trPr>
          <w:trHeight w:val="300"/>
        </w:trPr>
        <w:tc>
          <w:tcPr>
            <w:tcW w:w="1818" w:type="pct"/>
            <w:vMerge/>
            <w:tcBorders>
              <w:left w:val="single" w:sz="12" w:space="0" w:color="auto"/>
              <w:right w:val="single" w:sz="8" w:space="0" w:color="auto"/>
            </w:tcBorders>
            <w:noWrap/>
            <w:hideMark/>
          </w:tcPr>
          <w:p w14:paraId="556D9BA3" w14:textId="77777777" w:rsidR="00074B03" w:rsidRPr="005D60A5" w:rsidRDefault="00074B03" w:rsidP="00A46923"/>
        </w:tc>
        <w:tc>
          <w:tcPr>
            <w:tcW w:w="819" w:type="pct"/>
            <w:tcBorders>
              <w:top w:val="nil"/>
              <w:left w:val="single" w:sz="8" w:space="0" w:color="auto"/>
              <w:bottom w:val="single" w:sz="4" w:space="0" w:color="auto"/>
              <w:right w:val="single" w:sz="4" w:space="0" w:color="auto"/>
            </w:tcBorders>
            <w:shd w:val="clear" w:color="auto" w:fill="FFFF00"/>
            <w:noWrap/>
            <w:hideMark/>
          </w:tcPr>
          <w:p w14:paraId="68F89BD2" w14:textId="19D0E3ED" w:rsidR="00074B03" w:rsidRPr="005D60A5" w:rsidRDefault="00074B03" w:rsidP="00A46923">
            <w:pPr>
              <w:rPr>
                <w:color w:val="0000FF"/>
                <w:u w:val="single"/>
              </w:rPr>
            </w:pPr>
            <w:hyperlink r:id="rId139" w:history="1">
              <w:r w:rsidRPr="005D60A5">
                <w:rPr>
                  <w:color w:val="0000FF"/>
                  <w:u w:val="single"/>
                </w:rPr>
                <w:t xml:space="preserve">507.021(C) </w:t>
              </w:r>
            </w:hyperlink>
          </w:p>
        </w:tc>
        <w:tc>
          <w:tcPr>
            <w:tcW w:w="1772" w:type="pct"/>
            <w:tcBorders>
              <w:top w:val="nil"/>
              <w:left w:val="nil"/>
              <w:bottom w:val="single" w:sz="4" w:space="0" w:color="auto"/>
              <w:right w:val="single" w:sz="4" w:space="0" w:color="auto"/>
            </w:tcBorders>
            <w:noWrap/>
            <w:hideMark/>
          </w:tcPr>
          <w:p w14:paraId="247EBECD" w14:textId="77777777" w:rsidR="00074B03" w:rsidRPr="005D60A5" w:rsidRDefault="00074B03" w:rsidP="0097028E">
            <w:r w:rsidRPr="005D60A5">
              <w:t>Fiscal Officer Assistants</w:t>
            </w:r>
          </w:p>
        </w:tc>
        <w:tc>
          <w:tcPr>
            <w:tcW w:w="591" w:type="pct"/>
            <w:tcBorders>
              <w:top w:val="nil"/>
              <w:left w:val="nil"/>
              <w:bottom w:val="single" w:sz="4" w:space="0" w:color="auto"/>
              <w:right w:val="single" w:sz="12" w:space="0" w:color="auto"/>
            </w:tcBorders>
            <w:noWrap/>
            <w:hideMark/>
          </w:tcPr>
          <w:p w14:paraId="2D6A8D73" w14:textId="77777777" w:rsidR="00074B03" w:rsidRPr="005D60A5" w:rsidRDefault="00074B03" w:rsidP="00A46923">
            <w:r w:rsidRPr="005D60A5">
              <w:t>*</w:t>
            </w:r>
          </w:p>
        </w:tc>
      </w:tr>
      <w:tr w:rsidR="00E2472A" w:rsidRPr="00995C1D" w14:paraId="43F0E4FD" w14:textId="77777777" w:rsidTr="00DD5B1D">
        <w:trPr>
          <w:trHeight w:val="300"/>
        </w:trPr>
        <w:tc>
          <w:tcPr>
            <w:tcW w:w="1818" w:type="pct"/>
            <w:vMerge w:val="restart"/>
            <w:tcBorders>
              <w:top w:val="single" w:sz="12" w:space="0" w:color="auto"/>
              <w:left w:val="single" w:sz="12" w:space="0" w:color="auto"/>
              <w:right w:val="single" w:sz="8" w:space="0" w:color="auto"/>
            </w:tcBorders>
            <w:noWrap/>
            <w:hideMark/>
          </w:tcPr>
          <w:p w14:paraId="5E612436" w14:textId="77777777" w:rsidR="00A46923" w:rsidRPr="005D60A5" w:rsidRDefault="00A46923" w:rsidP="00A46923">
            <w:r w:rsidRPr="005D60A5">
              <w:t>City</w:t>
            </w:r>
          </w:p>
        </w:tc>
        <w:tc>
          <w:tcPr>
            <w:tcW w:w="819" w:type="pct"/>
            <w:tcBorders>
              <w:top w:val="single" w:sz="12" w:space="0" w:color="auto"/>
              <w:left w:val="single" w:sz="8" w:space="0" w:color="auto"/>
              <w:bottom w:val="single" w:sz="4" w:space="0" w:color="auto"/>
              <w:right w:val="single" w:sz="4" w:space="0" w:color="auto"/>
            </w:tcBorders>
            <w:shd w:val="clear" w:color="auto" w:fill="FFFF00"/>
            <w:noWrap/>
            <w:hideMark/>
          </w:tcPr>
          <w:p w14:paraId="4FB70D9F" w14:textId="7DC4AAF9" w:rsidR="00A46923" w:rsidRPr="005D60A5" w:rsidRDefault="00A46923" w:rsidP="00A46923">
            <w:pPr>
              <w:rPr>
                <w:color w:val="0000FF"/>
                <w:u w:val="single"/>
              </w:rPr>
            </w:pPr>
            <w:hyperlink r:id="rId140" w:history="1">
              <w:r w:rsidRPr="005D60A5">
                <w:rPr>
                  <w:color w:val="0000FF"/>
                  <w:u w:val="single"/>
                </w:rPr>
                <w:t>733.69</w:t>
              </w:r>
            </w:hyperlink>
          </w:p>
        </w:tc>
        <w:tc>
          <w:tcPr>
            <w:tcW w:w="1772" w:type="pct"/>
            <w:tcBorders>
              <w:top w:val="single" w:sz="12" w:space="0" w:color="auto"/>
              <w:left w:val="nil"/>
              <w:bottom w:val="single" w:sz="4" w:space="0" w:color="auto"/>
              <w:right w:val="single" w:sz="4" w:space="0" w:color="auto"/>
            </w:tcBorders>
            <w:noWrap/>
            <w:hideMark/>
          </w:tcPr>
          <w:p w14:paraId="3C927D14" w14:textId="77777777" w:rsidR="00A46923" w:rsidRPr="005D60A5" w:rsidRDefault="00A46923" w:rsidP="00A46923">
            <w:r w:rsidRPr="005D60A5">
              <w:t>Various (“additional bonds”)</w:t>
            </w:r>
          </w:p>
        </w:tc>
        <w:tc>
          <w:tcPr>
            <w:tcW w:w="591" w:type="pct"/>
            <w:tcBorders>
              <w:top w:val="single" w:sz="12" w:space="0" w:color="auto"/>
              <w:left w:val="nil"/>
              <w:bottom w:val="single" w:sz="4" w:space="0" w:color="auto"/>
              <w:right w:val="single" w:sz="12" w:space="0" w:color="auto"/>
            </w:tcBorders>
            <w:noWrap/>
            <w:hideMark/>
          </w:tcPr>
          <w:p w14:paraId="5AD54CD1" w14:textId="77777777" w:rsidR="00A46923" w:rsidRPr="005D60A5" w:rsidRDefault="00A46923" w:rsidP="00A46923">
            <w:r w:rsidRPr="005D60A5">
              <w:t>*</w:t>
            </w:r>
          </w:p>
        </w:tc>
      </w:tr>
      <w:tr w:rsidR="00E2472A" w:rsidRPr="00995C1D" w14:paraId="6CFAC2F8" w14:textId="77777777" w:rsidTr="00DD5B1D">
        <w:trPr>
          <w:trHeight w:val="300"/>
        </w:trPr>
        <w:tc>
          <w:tcPr>
            <w:tcW w:w="1818" w:type="pct"/>
            <w:vMerge/>
            <w:tcBorders>
              <w:left w:val="single" w:sz="12" w:space="0" w:color="auto"/>
              <w:right w:val="single" w:sz="8" w:space="0" w:color="auto"/>
            </w:tcBorders>
            <w:noWrap/>
            <w:hideMark/>
          </w:tcPr>
          <w:p w14:paraId="0B8D8971" w14:textId="77777777" w:rsidR="008E25E3" w:rsidRPr="005D60A5" w:rsidRDefault="008E25E3" w:rsidP="008E25E3"/>
        </w:tc>
        <w:tc>
          <w:tcPr>
            <w:tcW w:w="819" w:type="pct"/>
            <w:tcBorders>
              <w:top w:val="nil"/>
              <w:left w:val="single" w:sz="8" w:space="0" w:color="auto"/>
              <w:bottom w:val="single" w:sz="4" w:space="0" w:color="auto"/>
              <w:right w:val="single" w:sz="4" w:space="0" w:color="auto"/>
            </w:tcBorders>
            <w:shd w:val="clear" w:color="auto" w:fill="FFFF00"/>
            <w:noWrap/>
            <w:hideMark/>
          </w:tcPr>
          <w:p w14:paraId="4FDE6B1F" w14:textId="7CE01547" w:rsidR="008E25E3" w:rsidRPr="005D60A5" w:rsidRDefault="008E25E3" w:rsidP="008E25E3">
            <w:pPr>
              <w:rPr>
                <w:color w:val="0000FF"/>
                <w:u w:val="single"/>
              </w:rPr>
            </w:pPr>
            <w:hyperlink r:id="rId141" w:history="1">
              <w:r w:rsidRPr="005D60A5">
                <w:rPr>
                  <w:color w:val="0000FF"/>
                  <w:u w:val="single"/>
                </w:rPr>
                <w:t>705.27</w:t>
              </w:r>
            </w:hyperlink>
          </w:p>
        </w:tc>
        <w:tc>
          <w:tcPr>
            <w:tcW w:w="1772" w:type="pct"/>
            <w:tcBorders>
              <w:top w:val="nil"/>
              <w:left w:val="nil"/>
              <w:bottom w:val="single" w:sz="4" w:space="0" w:color="auto"/>
              <w:right w:val="single" w:sz="4" w:space="0" w:color="auto"/>
            </w:tcBorders>
            <w:noWrap/>
            <w:hideMark/>
          </w:tcPr>
          <w:p w14:paraId="22C07182" w14:textId="77777777" w:rsidR="008E25E3" w:rsidRPr="005D60A5" w:rsidRDefault="008E25E3" w:rsidP="008E25E3">
            <w:r w:rsidRPr="005D60A5">
              <w:t>Various</w:t>
            </w:r>
          </w:p>
        </w:tc>
        <w:tc>
          <w:tcPr>
            <w:tcW w:w="591" w:type="pct"/>
            <w:tcBorders>
              <w:top w:val="nil"/>
              <w:left w:val="nil"/>
              <w:bottom w:val="single" w:sz="4" w:space="0" w:color="auto"/>
              <w:right w:val="single" w:sz="12" w:space="0" w:color="auto"/>
            </w:tcBorders>
            <w:noWrap/>
            <w:hideMark/>
          </w:tcPr>
          <w:p w14:paraId="4BCF5B9F" w14:textId="77777777" w:rsidR="008E25E3" w:rsidRPr="005D60A5" w:rsidRDefault="008E25E3" w:rsidP="008E25E3">
            <w:r w:rsidRPr="005D60A5">
              <w:t>*</w:t>
            </w:r>
          </w:p>
        </w:tc>
      </w:tr>
      <w:tr w:rsidR="00E2472A" w:rsidRPr="00995C1D" w14:paraId="2A3098B8" w14:textId="77777777" w:rsidTr="00DD5B1D">
        <w:trPr>
          <w:trHeight w:val="300"/>
        </w:trPr>
        <w:tc>
          <w:tcPr>
            <w:tcW w:w="1818" w:type="pct"/>
            <w:vMerge/>
            <w:tcBorders>
              <w:left w:val="single" w:sz="12" w:space="0" w:color="auto"/>
              <w:right w:val="single" w:sz="8" w:space="0" w:color="auto"/>
            </w:tcBorders>
            <w:noWrap/>
            <w:hideMark/>
          </w:tcPr>
          <w:p w14:paraId="6B16869F" w14:textId="77777777" w:rsidR="00A46923" w:rsidRPr="005D60A5" w:rsidRDefault="00A46923" w:rsidP="00A46923"/>
        </w:tc>
        <w:tc>
          <w:tcPr>
            <w:tcW w:w="819" w:type="pct"/>
            <w:tcBorders>
              <w:top w:val="nil"/>
              <w:left w:val="single" w:sz="8" w:space="0" w:color="auto"/>
              <w:bottom w:val="single" w:sz="4" w:space="0" w:color="auto"/>
              <w:right w:val="single" w:sz="4" w:space="0" w:color="auto"/>
            </w:tcBorders>
            <w:shd w:val="clear" w:color="auto" w:fill="FFFF00"/>
            <w:noWrap/>
            <w:hideMark/>
          </w:tcPr>
          <w:p w14:paraId="5A377C91" w14:textId="3B9D4AB1" w:rsidR="00A46923" w:rsidRPr="005D60A5" w:rsidRDefault="00A46923" w:rsidP="00A46923">
            <w:pPr>
              <w:rPr>
                <w:color w:val="0000FF"/>
                <w:u w:val="single"/>
              </w:rPr>
            </w:pPr>
            <w:hyperlink r:id="rId142" w:history="1">
              <w:r w:rsidRPr="005D60A5">
                <w:rPr>
                  <w:color w:val="0000FF"/>
                  <w:u w:val="single"/>
                </w:rPr>
                <w:t>735.03</w:t>
              </w:r>
            </w:hyperlink>
          </w:p>
        </w:tc>
        <w:tc>
          <w:tcPr>
            <w:tcW w:w="1772" w:type="pct"/>
            <w:tcBorders>
              <w:top w:val="nil"/>
              <w:left w:val="nil"/>
              <w:bottom w:val="single" w:sz="4" w:space="0" w:color="auto"/>
              <w:right w:val="single" w:sz="4" w:space="0" w:color="auto"/>
            </w:tcBorders>
            <w:noWrap/>
            <w:hideMark/>
          </w:tcPr>
          <w:p w14:paraId="1DB2BBCB" w14:textId="77777777" w:rsidR="00A46923" w:rsidRPr="005D60A5" w:rsidRDefault="00A46923" w:rsidP="00A46923">
            <w:r w:rsidRPr="005D60A5">
              <w:t>Public Utility Board Member</w:t>
            </w:r>
          </w:p>
        </w:tc>
        <w:tc>
          <w:tcPr>
            <w:tcW w:w="591" w:type="pct"/>
            <w:tcBorders>
              <w:top w:val="nil"/>
              <w:left w:val="nil"/>
              <w:bottom w:val="single" w:sz="4" w:space="0" w:color="auto"/>
              <w:right w:val="single" w:sz="12" w:space="0" w:color="auto"/>
            </w:tcBorders>
            <w:noWrap/>
            <w:hideMark/>
          </w:tcPr>
          <w:p w14:paraId="6CDB0A8C" w14:textId="77777777" w:rsidR="00A46923" w:rsidRPr="005D60A5" w:rsidRDefault="00A46923" w:rsidP="00A46923">
            <w:r w:rsidRPr="005D60A5">
              <w:t>*</w:t>
            </w:r>
          </w:p>
        </w:tc>
      </w:tr>
      <w:tr w:rsidR="00E2472A" w:rsidRPr="00995C1D" w14:paraId="100ACB9E" w14:textId="77777777" w:rsidTr="00DD5B1D">
        <w:trPr>
          <w:trHeight w:val="300"/>
        </w:trPr>
        <w:tc>
          <w:tcPr>
            <w:tcW w:w="1818" w:type="pct"/>
            <w:vMerge/>
            <w:tcBorders>
              <w:left w:val="single" w:sz="12" w:space="0" w:color="auto"/>
              <w:right w:val="single" w:sz="8" w:space="0" w:color="auto"/>
            </w:tcBorders>
            <w:noWrap/>
            <w:hideMark/>
          </w:tcPr>
          <w:p w14:paraId="255F8810" w14:textId="77777777" w:rsidR="001E3E45" w:rsidRPr="005D60A5" w:rsidRDefault="001E3E45" w:rsidP="001E3E45"/>
        </w:tc>
        <w:tc>
          <w:tcPr>
            <w:tcW w:w="819" w:type="pct"/>
            <w:tcBorders>
              <w:top w:val="nil"/>
              <w:left w:val="single" w:sz="8" w:space="0" w:color="auto"/>
              <w:bottom w:val="single" w:sz="4" w:space="0" w:color="auto"/>
              <w:right w:val="single" w:sz="4" w:space="0" w:color="auto"/>
            </w:tcBorders>
            <w:shd w:val="clear" w:color="auto" w:fill="FFFF00"/>
            <w:noWrap/>
            <w:hideMark/>
          </w:tcPr>
          <w:p w14:paraId="5CF390A6" w14:textId="1C47328F" w:rsidR="001E3E45" w:rsidRPr="005D60A5" w:rsidRDefault="001E3E45" w:rsidP="001E3E45">
            <w:pPr>
              <w:rPr>
                <w:color w:val="0000FF"/>
                <w:u w:val="single"/>
              </w:rPr>
            </w:pPr>
            <w:hyperlink r:id="rId143" w:history="1">
              <w:r w:rsidRPr="005D60A5">
                <w:rPr>
                  <w:color w:val="0000FF"/>
                  <w:u w:val="single"/>
                </w:rPr>
                <w:t>1901.31(H)</w:t>
              </w:r>
            </w:hyperlink>
          </w:p>
        </w:tc>
        <w:tc>
          <w:tcPr>
            <w:tcW w:w="1772" w:type="pct"/>
            <w:tcBorders>
              <w:top w:val="nil"/>
              <w:left w:val="nil"/>
              <w:bottom w:val="single" w:sz="4" w:space="0" w:color="auto"/>
              <w:right w:val="single" w:sz="4" w:space="0" w:color="auto"/>
            </w:tcBorders>
            <w:noWrap/>
            <w:hideMark/>
          </w:tcPr>
          <w:p w14:paraId="07010B0C" w14:textId="77777777" w:rsidR="001E3E45" w:rsidRPr="005D60A5" w:rsidRDefault="001E3E45" w:rsidP="001E3E45">
            <w:r w:rsidRPr="005D60A5">
              <w:t>Deputy clerk of Muni Court</w:t>
            </w:r>
          </w:p>
        </w:tc>
        <w:tc>
          <w:tcPr>
            <w:tcW w:w="591" w:type="pct"/>
            <w:tcBorders>
              <w:top w:val="nil"/>
              <w:left w:val="nil"/>
              <w:bottom w:val="single" w:sz="4" w:space="0" w:color="auto"/>
              <w:right w:val="single" w:sz="12" w:space="0" w:color="auto"/>
            </w:tcBorders>
            <w:noWrap/>
            <w:hideMark/>
          </w:tcPr>
          <w:p w14:paraId="4E117D90" w14:textId="77777777" w:rsidR="001E3E45" w:rsidRPr="005D60A5" w:rsidRDefault="001E3E45" w:rsidP="001E3E45">
            <w:r w:rsidRPr="005D60A5">
              <w:t xml:space="preserve">$3,000 </w:t>
            </w:r>
          </w:p>
        </w:tc>
      </w:tr>
      <w:tr w:rsidR="00E2472A" w:rsidRPr="00995C1D" w14:paraId="43638885" w14:textId="77777777" w:rsidTr="00B1708C">
        <w:trPr>
          <w:trHeight w:val="300"/>
        </w:trPr>
        <w:tc>
          <w:tcPr>
            <w:tcW w:w="1818" w:type="pct"/>
            <w:vMerge/>
            <w:tcBorders>
              <w:left w:val="single" w:sz="12" w:space="0" w:color="auto"/>
              <w:right w:val="single" w:sz="8" w:space="0" w:color="auto"/>
            </w:tcBorders>
            <w:noWrap/>
            <w:hideMark/>
          </w:tcPr>
          <w:p w14:paraId="093218C2" w14:textId="77777777" w:rsidR="001E3E45" w:rsidRPr="005D60A5" w:rsidRDefault="001E3E45" w:rsidP="001E3E45"/>
        </w:tc>
        <w:tc>
          <w:tcPr>
            <w:tcW w:w="819" w:type="pct"/>
            <w:tcBorders>
              <w:top w:val="nil"/>
              <w:left w:val="single" w:sz="8" w:space="0" w:color="auto"/>
              <w:bottom w:val="single" w:sz="12" w:space="0" w:color="auto"/>
              <w:right w:val="single" w:sz="4" w:space="0" w:color="auto"/>
            </w:tcBorders>
            <w:shd w:val="clear" w:color="auto" w:fill="FFFF00"/>
            <w:noWrap/>
            <w:hideMark/>
          </w:tcPr>
          <w:p w14:paraId="61EC9255" w14:textId="726B4BA6" w:rsidR="001E3E45" w:rsidRPr="005D60A5" w:rsidRDefault="001E3E45" w:rsidP="001E3E45">
            <w:pPr>
              <w:rPr>
                <w:color w:val="0000FF"/>
                <w:u w:val="single"/>
              </w:rPr>
            </w:pPr>
            <w:hyperlink r:id="rId144" w:history="1">
              <w:r w:rsidRPr="005D60A5">
                <w:rPr>
                  <w:color w:val="0000FF"/>
                  <w:u w:val="single"/>
                </w:rPr>
                <w:t>1901.311</w:t>
              </w:r>
            </w:hyperlink>
          </w:p>
        </w:tc>
        <w:tc>
          <w:tcPr>
            <w:tcW w:w="1772" w:type="pct"/>
            <w:tcBorders>
              <w:top w:val="nil"/>
              <w:left w:val="nil"/>
              <w:bottom w:val="single" w:sz="4" w:space="0" w:color="auto"/>
              <w:right w:val="single" w:sz="4" w:space="0" w:color="auto"/>
            </w:tcBorders>
            <w:noWrap/>
            <w:hideMark/>
          </w:tcPr>
          <w:p w14:paraId="4BB6A823" w14:textId="77777777" w:rsidR="001E3E45" w:rsidRPr="005D60A5" w:rsidRDefault="001E3E45" w:rsidP="001E3E45">
            <w:r w:rsidRPr="005D60A5">
              <w:t>Special deputy clerk of Muni Court</w:t>
            </w:r>
          </w:p>
        </w:tc>
        <w:tc>
          <w:tcPr>
            <w:tcW w:w="591" w:type="pct"/>
            <w:tcBorders>
              <w:top w:val="nil"/>
              <w:left w:val="nil"/>
              <w:bottom w:val="single" w:sz="4" w:space="0" w:color="auto"/>
              <w:right w:val="single" w:sz="12" w:space="0" w:color="auto"/>
            </w:tcBorders>
            <w:noWrap/>
            <w:hideMark/>
          </w:tcPr>
          <w:p w14:paraId="395D17B7" w14:textId="77777777" w:rsidR="001E3E45" w:rsidRPr="005D60A5" w:rsidRDefault="001E3E45" w:rsidP="001E3E45">
            <w:r w:rsidRPr="005D60A5">
              <w:t xml:space="preserve">$3,000 </w:t>
            </w:r>
          </w:p>
        </w:tc>
      </w:tr>
      <w:tr w:rsidR="00E2472A" w:rsidRPr="00B720F9" w14:paraId="2D850FF5" w14:textId="77777777" w:rsidTr="00B1708C">
        <w:trPr>
          <w:trHeight w:val="315"/>
        </w:trPr>
        <w:tc>
          <w:tcPr>
            <w:tcW w:w="1818" w:type="pct"/>
            <w:vMerge w:val="restart"/>
            <w:tcBorders>
              <w:top w:val="single" w:sz="12" w:space="0" w:color="auto"/>
              <w:left w:val="single" w:sz="12" w:space="0" w:color="auto"/>
              <w:right w:val="nil"/>
            </w:tcBorders>
            <w:noWrap/>
          </w:tcPr>
          <w:p w14:paraId="3899003A" w14:textId="53B4AE96" w:rsidR="00B1708C" w:rsidRPr="00387AB4" w:rsidRDefault="00B1708C" w:rsidP="001E3E45">
            <w:r w:rsidRPr="005D60A5">
              <w:t>Village</w:t>
            </w:r>
          </w:p>
        </w:tc>
        <w:tc>
          <w:tcPr>
            <w:tcW w:w="819" w:type="pct"/>
            <w:tcBorders>
              <w:top w:val="single" w:sz="12" w:space="0" w:color="auto"/>
              <w:left w:val="single" w:sz="4" w:space="0" w:color="auto"/>
              <w:right w:val="single" w:sz="4" w:space="0" w:color="auto"/>
            </w:tcBorders>
            <w:shd w:val="clear" w:color="auto" w:fill="FFFF00"/>
            <w:noWrap/>
          </w:tcPr>
          <w:p w14:paraId="60AA7567" w14:textId="0426DE19" w:rsidR="00B1708C" w:rsidRPr="005D60A5" w:rsidRDefault="00B1708C" w:rsidP="001E3E45">
            <w:pPr>
              <w:rPr>
                <w:u w:val="single"/>
              </w:rPr>
            </w:pPr>
            <w:hyperlink r:id="rId145" w:history="1">
              <w:r w:rsidRPr="005D60A5">
                <w:rPr>
                  <w:rStyle w:val="Hyperlink"/>
                </w:rPr>
                <w:t>705.27</w:t>
              </w:r>
            </w:hyperlink>
          </w:p>
        </w:tc>
        <w:tc>
          <w:tcPr>
            <w:tcW w:w="1772" w:type="pct"/>
            <w:tcBorders>
              <w:top w:val="single" w:sz="12" w:space="0" w:color="auto"/>
              <w:left w:val="nil"/>
              <w:bottom w:val="single" w:sz="4" w:space="0" w:color="auto"/>
              <w:right w:val="single" w:sz="4" w:space="0" w:color="auto"/>
            </w:tcBorders>
            <w:noWrap/>
          </w:tcPr>
          <w:p w14:paraId="0666E370" w14:textId="19C4DAC0" w:rsidR="00B1708C" w:rsidRPr="00387AB4" w:rsidRDefault="00B1708C" w:rsidP="001E3E45">
            <w:r w:rsidRPr="005D60A5">
              <w:t>Various</w:t>
            </w:r>
          </w:p>
        </w:tc>
        <w:tc>
          <w:tcPr>
            <w:tcW w:w="591" w:type="pct"/>
            <w:tcBorders>
              <w:top w:val="single" w:sz="12" w:space="0" w:color="auto"/>
              <w:left w:val="nil"/>
              <w:bottom w:val="single" w:sz="4" w:space="0" w:color="auto"/>
              <w:right w:val="single" w:sz="12" w:space="0" w:color="auto"/>
            </w:tcBorders>
            <w:noWrap/>
          </w:tcPr>
          <w:p w14:paraId="342FEC32" w14:textId="01AFF403" w:rsidR="00B1708C" w:rsidRPr="005D60A5" w:rsidRDefault="00B1708C" w:rsidP="001E3E45">
            <w:r w:rsidRPr="005D60A5">
              <w:t>*</w:t>
            </w:r>
          </w:p>
        </w:tc>
      </w:tr>
      <w:tr w:rsidR="00E2472A" w:rsidRPr="00B720F9" w14:paraId="19F430BA" w14:textId="77777777" w:rsidTr="00B1708C">
        <w:trPr>
          <w:trHeight w:val="315"/>
        </w:trPr>
        <w:tc>
          <w:tcPr>
            <w:tcW w:w="1818" w:type="pct"/>
            <w:vMerge/>
            <w:tcBorders>
              <w:left w:val="single" w:sz="12" w:space="0" w:color="auto"/>
              <w:bottom w:val="single" w:sz="12" w:space="0" w:color="auto"/>
              <w:right w:val="nil"/>
            </w:tcBorders>
            <w:noWrap/>
          </w:tcPr>
          <w:p w14:paraId="6A90AE68" w14:textId="77777777" w:rsidR="00B1708C" w:rsidRPr="00387AB4" w:rsidRDefault="00B1708C" w:rsidP="001E3E45"/>
        </w:tc>
        <w:tc>
          <w:tcPr>
            <w:tcW w:w="819" w:type="pct"/>
            <w:tcBorders>
              <w:left w:val="single" w:sz="4" w:space="0" w:color="auto"/>
              <w:bottom w:val="single" w:sz="12" w:space="0" w:color="auto"/>
              <w:right w:val="single" w:sz="4" w:space="0" w:color="auto"/>
            </w:tcBorders>
            <w:shd w:val="clear" w:color="auto" w:fill="FFFF00"/>
            <w:noWrap/>
          </w:tcPr>
          <w:p w14:paraId="4B7FB7AD" w14:textId="76FA3E7A" w:rsidR="00B1708C" w:rsidRPr="005D60A5" w:rsidRDefault="002C0854" w:rsidP="001E3E45">
            <w:pPr>
              <w:rPr>
                <w:u w:val="single"/>
              </w:rPr>
            </w:pPr>
            <w:hyperlink r:id="rId146" w:history="1">
              <w:r w:rsidRPr="005D60A5">
                <w:rPr>
                  <w:rStyle w:val="Hyperlink"/>
                </w:rPr>
                <w:t>733.69</w:t>
              </w:r>
            </w:hyperlink>
          </w:p>
        </w:tc>
        <w:tc>
          <w:tcPr>
            <w:tcW w:w="1772" w:type="pct"/>
            <w:tcBorders>
              <w:top w:val="single" w:sz="4" w:space="0" w:color="auto"/>
              <w:left w:val="nil"/>
              <w:bottom w:val="single" w:sz="12" w:space="0" w:color="auto"/>
              <w:right w:val="single" w:sz="4" w:space="0" w:color="auto"/>
            </w:tcBorders>
            <w:noWrap/>
          </w:tcPr>
          <w:p w14:paraId="7DB65743" w14:textId="14F95430" w:rsidR="00B1708C" w:rsidRPr="00387AB4" w:rsidRDefault="002C0854" w:rsidP="001E3E45">
            <w:r w:rsidRPr="005D60A5">
              <w:t>Various (</w:t>
            </w:r>
            <w:r w:rsidR="00B619A8" w:rsidRPr="005D60A5">
              <w:t>required by ordinance)</w:t>
            </w:r>
          </w:p>
        </w:tc>
        <w:tc>
          <w:tcPr>
            <w:tcW w:w="591" w:type="pct"/>
            <w:tcBorders>
              <w:top w:val="single" w:sz="4" w:space="0" w:color="auto"/>
              <w:left w:val="nil"/>
              <w:bottom w:val="single" w:sz="12" w:space="0" w:color="auto"/>
              <w:right w:val="single" w:sz="12" w:space="0" w:color="auto"/>
            </w:tcBorders>
            <w:noWrap/>
          </w:tcPr>
          <w:p w14:paraId="573EA95D" w14:textId="7284BD07" w:rsidR="00B1708C" w:rsidRPr="005D60A5" w:rsidRDefault="00B619A8" w:rsidP="001E3E45">
            <w:r w:rsidRPr="005D60A5">
              <w:t>*</w:t>
            </w:r>
          </w:p>
        </w:tc>
      </w:tr>
      <w:tr w:rsidR="001E3E45" w:rsidRPr="00995C1D" w14:paraId="469403E3" w14:textId="77777777" w:rsidTr="00DD5B1D">
        <w:trPr>
          <w:trHeight w:val="315"/>
        </w:trPr>
        <w:tc>
          <w:tcPr>
            <w:tcW w:w="1818" w:type="pct"/>
            <w:tcBorders>
              <w:top w:val="single" w:sz="12" w:space="0" w:color="auto"/>
              <w:left w:val="single" w:sz="12" w:space="0" w:color="auto"/>
              <w:bottom w:val="single" w:sz="12" w:space="0" w:color="auto"/>
              <w:right w:val="nil"/>
            </w:tcBorders>
            <w:noWrap/>
            <w:hideMark/>
          </w:tcPr>
          <w:p w14:paraId="5C792344" w14:textId="77777777" w:rsidR="001E3E45" w:rsidRPr="005D60A5" w:rsidRDefault="001E3E45" w:rsidP="001E3E45">
            <w:r w:rsidRPr="005D60A5">
              <w:t>Lake Facilities Authority</w:t>
            </w:r>
          </w:p>
        </w:tc>
        <w:tc>
          <w:tcPr>
            <w:tcW w:w="819" w:type="pct"/>
            <w:tcBorders>
              <w:top w:val="single" w:sz="12" w:space="0" w:color="auto"/>
              <w:left w:val="single" w:sz="4" w:space="0" w:color="auto"/>
              <w:bottom w:val="single" w:sz="12" w:space="0" w:color="auto"/>
              <w:right w:val="single" w:sz="4" w:space="0" w:color="auto"/>
            </w:tcBorders>
            <w:noWrap/>
            <w:hideMark/>
          </w:tcPr>
          <w:p w14:paraId="2E4AD673" w14:textId="194205E2" w:rsidR="001E3E45" w:rsidRPr="005D60A5" w:rsidRDefault="001E3E45" w:rsidP="001E3E45">
            <w:pPr>
              <w:rPr>
                <w:color w:val="0000FF"/>
                <w:u w:val="single"/>
              </w:rPr>
            </w:pPr>
            <w:hyperlink r:id="rId147" w:history="1">
              <w:r w:rsidRPr="005D60A5">
                <w:rPr>
                  <w:color w:val="0000FF"/>
                  <w:u w:val="single"/>
                </w:rPr>
                <w:t>353.03</w:t>
              </w:r>
            </w:hyperlink>
          </w:p>
        </w:tc>
        <w:tc>
          <w:tcPr>
            <w:tcW w:w="1772" w:type="pct"/>
            <w:tcBorders>
              <w:top w:val="single" w:sz="12" w:space="0" w:color="auto"/>
              <w:left w:val="nil"/>
              <w:bottom w:val="single" w:sz="12" w:space="0" w:color="auto"/>
              <w:right w:val="single" w:sz="4" w:space="0" w:color="auto"/>
            </w:tcBorders>
            <w:noWrap/>
            <w:hideMark/>
          </w:tcPr>
          <w:p w14:paraId="0811BF17" w14:textId="77777777" w:rsidR="001E3E45" w:rsidRPr="005D60A5" w:rsidRDefault="001E3E45" w:rsidP="001E3E45">
            <w:r w:rsidRPr="005D60A5">
              <w:t>Any</w:t>
            </w:r>
          </w:p>
        </w:tc>
        <w:tc>
          <w:tcPr>
            <w:tcW w:w="591" w:type="pct"/>
            <w:tcBorders>
              <w:top w:val="single" w:sz="12" w:space="0" w:color="auto"/>
              <w:left w:val="nil"/>
              <w:bottom w:val="single" w:sz="12" w:space="0" w:color="auto"/>
              <w:right w:val="single" w:sz="12" w:space="0" w:color="auto"/>
            </w:tcBorders>
            <w:noWrap/>
            <w:hideMark/>
          </w:tcPr>
          <w:p w14:paraId="2BDC8982" w14:textId="77777777" w:rsidR="001E3E45" w:rsidRPr="005D60A5" w:rsidRDefault="001E3E45" w:rsidP="001E3E45">
            <w:r w:rsidRPr="005D60A5">
              <w:t>*</w:t>
            </w:r>
          </w:p>
        </w:tc>
      </w:tr>
      <w:tr w:rsidR="00E2472A" w:rsidRPr="00995C1D" w14:paraId="49ED3670" w14:textId="77777777" w:rsidTr="434F9B2B">
        <w:trPr>
          <w:trHeight w:val="315"/>
        </w:trPr>
        <w:tc>
          <w:tcPr>
            <w:tcW w:w="1818" w:type="pct"/>
            <w:tcBorders>
              <w:top w:val="single" w:sz="12" w:space="0" w:color="auto"/>
              <w:left w:val="single" w:sz="12" w:space="0" w:color="auto"/>
              <w:bottom w:val="single" w:sz="12" w:space="0" w:color="auto"/>
              <w:right w:val="nil"/>
            </w:tcBorders>
            <w:noWrap/>
          </w:tcPr>
          <w:p w14:paraId="3765F621" w14:textId="272164E3" w:rsidR="001E3E45" w:rsidRPr="005D60A5" w:rsidRDefault="001E3E45" w:rsidP="008D2566">
            <w:r w:rsidRPr="005D60A5">
              <w:t xml:space="preserve">Any </w:t>
            </w:r>
            <w:r w:rsidR="008D2566" w:rsidRPr="005D60A5">
              <w:t>entity</w:t>
            </w:r>
          </w:p>
        </w:tc>
        <w:tc>
          <w:tcPr>
            <w:tcW w:w="819" w:type="pct"/>
            <w:tcBorders>
              <w:top w:val="single" w:sz="12" w:space="0" w:color="auto"/>
              <w:left w:val="single" w:sz="4" w:space="0" w:color="auto"/>
              <w:bottom w:val="single" w:sz="12" w:space="0" w:color="auto"/>
              <w:right w:val="single" w:sz="4" w:space="0" w:color="auto"/>
            </w:tcBorders>
            <w:shd w:val="clear" w:color="auto" w:fill="FFFF00"/>
            <w:noWrap/>
          </w:tcPr>
          <w:p w14:paraId="5DA02195" w14:textId="14E87C35" w:rsidR="001E3E45" w:rsidRPr="005D60A5" w:rsidRDefault="001E3E45" w:rsidP="001E3E45">
            <w:pPr>
              <w:rPr>
                <w:color w:val="0000FF"/>
                <w:u w:val="single"/>
              </w:rPr>
            </w:pPr>
            <w:hyperlink r:id="rId148" w:history="1">
              <w:r w:rsidRPr="005D60A5">
                <w:rPr>
                  <w:color w:val="0000FF"/>
                  <w:u w:val="single"/>
                </w:rPr>
                <w:t>3.06</w:t>
              </w:r>
            </w:hyperlink>
            <w:r w:rsidR="00074B03" w:rsidRPr="005D60A5">
              <w:rPr>
                <w:color w:val="0000FF"/>
                <w:u w:val="single"/>
              </w:rPr>
              <w:t>**</w:t>
            </w:r>
          </w:p>
        </w:tc>
        <w:tc>
          <w:tcPr>
            <w:tcW w:w="1772" w:type="pct"/>
            <w:tcBorders>
              <w:top w:val="single" w:sz="12" w:space="0" w:color="auto"/>
              <w:left w:val="nil"/>
              <w:bottom w:val="single" w:sz="12" w:space="0" w:color="auto"/>
              <w:right w:val="single" w:sz="4" w:space="0" w:color="auto"/>
            </w:tcBorders>
            <w:noWrap/>
          </w:tcPr>
          <w:p w14:paraId="633549E9" w14:textId="77777777" w:rsidR="001E3E45" w:rsidRPr="005D60A5" w:rsidRDefault="001E3E45" w:rsidP="001E3E45">
            <w:r w:rsidRPr="005D60A5">
              <w:t>Deputies, Clerks</w:t>
            </w:r>
          </w:p>
        </w:tc>
        <w:tc>
          <w:tcPr>
            <w:tcW w:w="591" w:type="pct"/>
            <w:tcBorders>
              <w:top w:val="single" w:sz="12" w:space="0" w:color="auto"/>
              <w:left w:val="nil"/>
              <w:bottom w:val="single" w:sz="12" w:space="0" w:color="auto"/>
              <w:right w:val="single" w:sz="12" w:space="0" w:color="auto"/>
            </w:tcBorders>
            <w:noWrap/>
          </w:tcPr>
          <w:p w14:paraId="0E61685B" w14:textId="77777777" w:rsidR="001E3E45" w:rsidRPr="005D60A5" w:rsidRDefault="001E3E45" w:rsidP="001E3E45">
            <w:r w:rsidRPr="005D60A5">
              <w:t>*</w:t>
            </w:r>
          </w:p>
        </w:tc>
      </w:tr>
    </w:tbl>
    <w:p w14:paraId="2C4E3630" w14:textId="77777777" w:rsidR="00932BB7" w:rsidRPr="00387DA7" w:rsidRDefault="00932BB7" w:rsidP="0099467B">
      <w:pPr>
        <w:rPr>
          <w:rFonts w:ascii="Arial" w:hAnsi="Arial" w:cs="Arial"/>
          <w:i/>
          <w:color w:val="000000"/>
        </w:rPr>
      </w:pPr>
    </w:p>
    <w:p w14:paraId="4F819E90" w14:textId="77777777" w:rsidR="0099467B" w:rsidRPr="00387DA7" w:rsidRDefault="0099467B" w:rsidP="0027440D">
      <w:pPr>
        <w:jc w:val="both"/>
        <w:rPr>
          <w:i/>
          <w:color w:val="000000"/>
          <w:sz w:val="22"/>
          <w:szCs w:val="22"/>
        </w:rPr>
      </w:pPr>
      <w:r w:rsidRPr="00387DA7">
        <w:rPr>
          <w:i/>
          <w:color w:val="000000"/>
          <w:sz w:val="22"/>
          <w:szCs w:val="22"/>
        </w:rPr>
        <w:t>* = Determined by board/court/etc., or amount otherwise not specified</w:t>
      </w:r>
    </w:p>
    <w:p w14:paraId="3AACCCF6" w14:textId="7B32AAE0" w:rsidR="00337CB3" w:rsidRPr="00387DA7" w:rsidRDefault="00074B03" w:rsidP="0027440D">
      <w:pPr>
        <w:spacing w:after="200" w:line="276" w:lineRule="auto"/>
        <w:ind w:left="360" w:hanging="360"/>
        <w:jc w:val="both"/>
        <w:rPr>
          <w:i/>
          <w:color w:val="000000"/>
          <w:sz w:val="22"/>
          <w:szCs w:val="22"/>
        </w:rPr>
      </w:pPr>
      <w:r w:rsidRPr="00387DA7">
        <w:rPr>
          <w:i/>
          <w:color w:val="000000"/>
          <w:sz w:val="22"/>
          <w:szCs w:val="22"/>
        </w:rPr>
        <w:t>** = Yellow highlight in this cell indicates any deputy or clerk appointed/employed by a “political subdivision” as defined in O</w:t>
      </w:r>
      <w:r w:rsidR="00580967" w:rsidRPr="00387DA7">
        <w:rPr>
          <w:i/>
          <w:color w:val="000000"/>
          <w:sz w:val="22"/>
          <w:szCs w:val="22"/>
        </w:rPr>
        <w:t xml:space="preserve">hio </w:t>
      </w:r>
      <w:r w:rsidRPr="00387DA7">
        <w:rPr>
          <w:i/>
          <w:color w:val="000000"/>
          <w:sz w:val="22"/>
          <w:szCs w:val="22"/>
        </w:rPr>
        <w:t>R</w:t>
      </w:r>
      <w:r w:rsidR="00580967" w:rsidRPr="00387DA7">
        <w:rPr>
          <w:i/>
          <w:color w:val="000000"/>
          <w:sz w:val="22"/>
          <w:szCs w:val="22"/>
        </w:rPr>
        <w:t xml:space="preserve">ev. </w:t>
      </w:r>
      <w:r w:rsidRPr="00387DA7">
        <w:rPr>
          <w:i/>
          <w:color w:val="000000"/>
          <w:sz w:val="22"/>
          <w:szCs w:val="22"/>
        </w:rPr>
        <w:t>C</w:t>
      </w:r>
      <w:r w:rsidR="00580967" w:rsidRPr="00387DA7">
        <w:rPr>
          <w:i/>
          <w:color w:val="000000"/>
          <w:sz w:val="22"/>
          <w:szCs w:val="22"/>
        </w:rPr>
        <w:t xml:space="preserve">ode </w:t>
      </w:r>
      <w:r w:rsidR="00580967" w:rsidRPr="00387DA7">
        <w:rPr>
          <w:bCs/>
          <w:i/>
          <w:iCs/>
          <w:sz w:val="22"/>
          <w:szCs w:val="22"/>
        </w:rPr>
        <w:t>§</w:t>
      </w:r>
      <w:r w:rsidRPr="00387DA7">
        <w:rPr>
          <w:i/>
          <w:color w:val="000000"/>
          <w:sz w:val="22"/>
          <w:szCs w:val="22"/>
        </w:rPr>
        <w:t xml:space="preserve"> 3.061 could be covered by an employee dishonesty and faithful performance of duty policy in place of the bond</w:t>
      </w:r>
      <w:r w:rsidR="0027440D" w:rsidRPr="00387DA7">
        <w:rPr>
          <w:i/>
          <w:color w:val="000000"/>
          <w:sz w:val="22"/>
          <w:szCs w:val="22"/>
        </w:rPr>
        <w:t>.</w:t>
      </w:r>
    </w:p>
    <w:p w14:paraId="2DEAFCE0" w14:textId="77777777" w:rsidR="00337CB3" w:rsidRPr="00337CB3" w:rsidRDefault="00337CB3" w:rsidP="00337CB3">
      <w:pPr>
        <w:rPr>
          <w:sz w:val="22"/>
          <w:szCs w:val="22"/>
        </w:rPr>
      </w:pPr>
    </w:p>
    <w:p w14:paraId="2F42CFF4" w14:textId="20502A68" w:rsidR="00271B7B" w:rsidRPr="00F03F04" w:rsidRDefault="00271B7B" w:rsidP="00F03F04">
      <w:pPr>
        <w:rPr>
          <w:sz w:val="22"/>
          <w:szCs w:val="22"/>
        </w:rPr>
        <w:sectPr w:rsidR="00271B7B" w:rsidRPr="00F03F04" w:rsidSect="002A3762">
          <w:headerReference w:type="default" r:id="rId149"/>
          <w:type w:val="continuous"/>
          <w:pgSz w:w="12240" w:h="15840"/>
          <w:pgMar w:top="1152" w:right="1152" w:bottom="720" w:left="1152" w:header="720" w:footer="720" w:gutter="0"/>
          <w:cols w:space="720"/>
          <w:noEndnote/>
        </w:sectPr>
      </w:pPr>
    </w:p>
    <w:p w14:paraId="2C6AECFC" w14:textId="77777777" w:rsidR="00F03F04" w:rsidRDefault="00F03F04">
      <w:pPr>
        <w:rPr>
          <w:b/>
          <w:sz w:val="28"/>
          <w:lang w:eastAsia="ja-JP"/>
        </w:rPr>
      </w:pPr>
      <w:r>
        <w:br w:type="page"/>
      </w:r>
    </w:p>
    <w:p w14:paraId="123FBA42" w14:textId="5C0E51F4" w:rsidR="00581732" w:rsidRDefault="001278A4" w:rsidP="00621F8F">
      <w:pPr>
        <w:pStyle w:val="Subtitle"/>
        <w:shd w:val="clear" w:color="auto" w:fill="A6A6A6" w:themeFill="background1" w:themeFillShade="A6"/>
      </w:pPr>
      <w:bookmarkStart w:id="54" w:name="_Toc214431146"/>
      <w:r>
        <w:t>Exhibit 3</w:t>
      </w:r>
      <w:r w:rsidR="00581732">
        <w:t xml:space="preserve"> – Compliance ACE</w:t>
      </w:r>
      <w:r w:rsidR="00230502">
        <w:t xml:space="preserve"> Form</w:t>
      </w:r>
      <w:bookmarkEnd w:id="54"/>
    </w:p>
    <w:p w14:paraId="756C8BC0" w14:textId="77777777" w:rsidR="001A62F8" w:rsidRPr="007D67A4" w:rsidRDefault="001A62F8" w:rsidP="001A62F8">
      <w:pPr>
        <w:jc w:val="both"/>
        <w:rPr>
          <w:sz w:val="28"/>
          <w:szCs w:val="28"/>
        </w:rPr>
      </w:pPr>
    </w:p>
    <w:p w14:paraId="74D2C4E5" w14:textId="603A330B" w:rsidR="00581732" w:rsidRPr="007D67A4" w:rsidRDefault="001A62F8" w:rsidP="001A62F8">
      <w:pPr>
        <w:jc w:val="center"/>
        <w:rPr>
          <w:b/>
          <w:sz w:val="28"/>
          <w:szCs w:val="28"/>
        </w:rPr>
      </w:pPr>
      <w:r w:rsidRPr="007D67A4">
        <w:rPr>
          <w:b/>
          <w:sz w:val="28"/>
          <w:szCs w:val="28"/>
        </w:rPr>
        <w:t>Assessment of the Compliance Controls’ Environment</w:t>
      </w:r>
    </w:p>
    <w:p w14:paraId="54D8701D" w14:textId="77777777" w:rsidR="00581732" w:rsidRPr="007D67A4" w:rsidRDefault="00581732" w:rsidP="00581732">
      <w:pPr>
        <w:jc w:val="center"/>
        <w:rPr>
          <w:sz w:val="28"/>
          <w:szCs w:val="28"/>
        </w:rPr>
      </w:pPr>
    </w:p>
    <w:p w14:paraId="0E51EA2C" w14:textId="5A589222" w:rsidR="00581732" w:rsidRPr="00387DA7" w:rsidRDefault="00581732" w:rsidP="002E2DAC">
      <w:pPr>
        <w:pBdr>
          <w:top w:val="single" w:sz="4" w:space="1" w:color="auto"/>
          <w:left w:val="single" w:sz="4" w:space="4" w:color="auto"/>
          <w:bottom w:val="single" w:sz="4" w:space="0" w:color="auto"/>
          <w:right w:val="single" w:sz="4" w:space="4" w:color="auto"/>
        </w:pBdr>
        <w:shd w:val="clear" w:color="auto" w:fill="C6D9F1" w:themeFill="text2" w:themeFillTint="33"/>
        <w:ind w:left="180" w:right="126"/>
        <w:jc w:val="center"/>
        <w:rPr>
          <w:sz w:val="22"/>
          <w:szCs w:val="22"/>
        </w:rPr>
      </w:pPr>
      <w:r w:rsidRPr="00387DA7">
        <w:rPr>
          <w:b/>
          <w:sz w:val="22"/>
          <w:szCs w:val="22"/>
        </w:rPr>
        <w:t xml:space="preserve">Note: </w:t>
      </w:r>
      <w:r w:rsidRPr="00387DA7">
        <w:rPr>
          <w:sz w:val="22"/>
          <w:szCs w:val="22"/>
        </w:rPr>
        <w:t xml:space="preserve">This </w:t>
      </w:r>
      <w:r w:rsidR="00230502" w:rsidRPr="00387DA7">
        <w:rPr>
          <w:sz w:val="22"/>
          <w:szCs w:val="22"/>
        </w:rPr>
        <w:t>exhibit</w:t>
      </w:r>
      <w:r w:rsidRPr="00387DA7">
        <w:rPr>
          <w:sz w:val="22"/>
          <w:szCs w:val="22"/>
        </w:rPr>
        <w:t xml:space="preserve"> includes control environment points of focus specific to the OCS.</w:t>
      </w:r>
    </w:p>
    <w:p w14:paraId="77914118" w14:textId="77777777" w:rsidR="00432648" w:rsidRPr="00387DA7" w:rsidRDefault="00432648" w:rsidP="00432648">
      <w:pPr>
        <w:rPr>
          <w:b/>
          <w:sz w:val="22"/>
          <w:szCs w:val="22"/>
        </w:rPr>
      </w:pPr>
    </w:p>
    <w:p w14:paraId="1A7B2EE1" w14:textId="77777777" w:rsidR="00581732" w:rsidRPr="00387DA7" w:rsidRDefault="00581732" w:rsidP="00581732">
      <w:pPr>
        <w:jc w:val="center"/>
        <w:rPr>
          <w:b/>
          <w:sz w:val="22"/>
          <w:szCs w:val="22"/>
        </w:rPr>
      </w:pPr>
      <w:r w:rsidRPr="00387DA7">
        <w:rPr>
          <w:b/>
          <w:sz w:val="22"/>
          <w:szCs w:val="22"/>
        </w:rPr>
        <w:t>Instructions for Using the OCS Compliance ACE Form</w:t>
      </w:r>
    </w:p>
    <w:p w14:paraId="02C23CA4" w14:textId="77777777" w:rsidR="00581732" w:rsidRPr="00387DA7" w:rsidRDefault="00581732" w:rsidP="00581732">
      <w:pPr>
        <w:jc w:val="both"/>
        <w:rPr>
          <w:sz w:val="22"/>
          <w:szCs w:val="22"/>
        </w:rPr>
      </w:pPr>
    </w:p>
    <w:p w14:paraId="709D1D51" w14:textId="77632DDE" w:rsidR="00581732" w:rsidRPr="00387DA7" w:rsidRDefault="00581732" w:rsidP="007955DE">
      <w:pPr>
        <w:numPr>
          <w:ilvl w:val="0"/>
          <w:numId w:val="26"/>
        </w:numPr>
        <w:tabs>
          <w:tab w:val="clear" w:pos="720"/>
          <w:tab w:val="num" w:pos="360"/>
        </w:tabs>
        <w:ind w:left="360"/>
        <w:jc w:val="both"/>
        <w:rPr>
          <w:sz w:val="22"/>
          <w:szCs w:val="22"/>
        </w:rPr>
      </w:pPr>
      <w:r w:rsidRPr="00387DA7">
        <w:rPr>
          <w:sz w:val="22"/>
          <w:szCs w:val="22"/>
        </w:rPr>
        <w:t>Illustrative points of focus are given for OCS Chapter</w:t>
      </w:r>
      <w:r w:rsidR="00F8769F" w:rsidRPr="00387DA7">
        <w:rPr>
          <w:sz w:val="22"/>
          <w:szCs w:val="22"/>
        </w:rPr>
        <w:t>s</w:t>
      </w:r>
      <w:r w:rsidRPr="00387DA7">
        <w:rPr>
          <w:sz w:val="22"/>
          <w:szCs w:val="22"/>
        </w:rPr>
        <w:t xml:space="preserve"> </w:t>
      </w:r>
      <w:r w:rsidR="00D852A2" w:rsidRPr="00387DA7">
        <w:rPr>
          <w:sz w:val="22"/>
          <w:szCs w:val="22"/>
        </w:rPr>
        <w:t>1</w:t>
      </w:r>
      <w:r w:rsidR="00F8769F" w:rsidRPr="00387DA7">
        <w:rPr>
          <w:sz w:val="22"/>
          <w:szCs w:val="22"/>
        </w:rPr>
        <w:t xml:space="preserve"> &amp; 4A</w:t>
      </w:r>
      <w:r w:rsidRPr="00387DA7">
        <w:rPr>
          <w:sz w:val="22"/>
          <w:szCs w:val="22"/>
        </w:rPr>
        <w:t xml:space="preserve">.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outside the government that affect its activities, observation of circumstances that are known or are understood to exist within the government, and, in some circumstances, inspection of documents. </w:t>
      </w:r>
    </w:p>
    <w:p w14:paraId="567AA00B" w14:textId="77777777" w:rsidR="00581732" w:rsidRPr="00387DA7" w:rsidRDefault="00581732" w:rsidP="00581732">
      <w:pPr>
        <w:jc w:val="both"/>
        <w:rPr>
          <w:sz w:val="22"/>
          <w:szCs w:val="22"/>
        </w:rPr>
      </w:pPr>
    </w:p>
    <w:p w14:paraId="395A9AE4" w14:textId="77777777" w:rsidR="00581732" w:rsidRPr="00387DA7" w:rsidRDefault="00581732" w:rsidP="007955DE">
      <w:pPr>
        <w:numPr>
          <w:ilvl w:val="0"/>
          <w:numId w:val="26"/>
        </w:numPr>
        <w:tabs>
          <w:tab w:val="clear" w:pos="720"/>
          <w:tab w:val="num" w:pos="360"/>
        </w:tabs>
        <w:ind w:left="360"/>
        <w:jc w:val="both"/>
        <w:rPr>
          <w:sz w:val="22"/>
          <w:szCs w:val="22"/>
        </w:rPr>
      </w:pPr>
      <w:r w:rsidRPr="00387DA7">
        <w:rPr>
          <w:sz w:val="22"/>
          <w:szCs w:val="22"/>
        </w:rPr>
        <w:t xml:space="preserve">The areas for assessment and illustrative </w:t>
      </w:r>
      <w:proofErr w:type="gramStart"/>
      <w:r w:rsidRPr="00387DA7">
        <w:rPr>
          <w:sz w:val="22"/>
          <w:szCs w:val="22"/>
        </w:rPr>
        <w:t>points of focus</w:t>
      </w:r>
      <w:proofErr w:type="gramEnd"/>
      <w:r w:rsidRPr="00387DA7">
        <w:rPr>
          <w:sz w:val="22"/>
          <w:szCs w:val="22"/>
        </w:rPr>
        <w:t xml:space="preserve"> in the ACE are not equally relevant to all engagements, and the significance of any </w:t>
      </w:r>
      <w:proofErr w:type="gramStart"/>
      <w:r w:rsidRPr="00387DA7">
        <w:rPr>
          <w:sz w:val="22"/>
          <w:szCs w:val="22"/>
        </w:rPr>
        <w:t>particular area</w:t>
      </w:r>
      <w:proofErr w:type="gramEnd"/>
      <w:r w:rsidRPr="00387DA7">
        <w:rPr>
          <w:sz w:val="22"/>
          <w:szCs w:val="22"/>
        </w:rPr>
        <w:t xml:space="preserve"> or point of focus varies with the government.  Thus, the auditor should judge the applicability and importance of each in the context of the engagement.</w:t>
      </w:r>
    </w:p>
    <w:p w14:paraId="63F4EEF3" w14:textId="77777777" w:rsidR="00581732" w:rsidRPr="00387DA7" w:rsidRDefault="00581732" w:rsidP="00581732">
      <w:pPr>
        <w:jc w:val="both"/>
        <w:rPr>
          <w:sz w:val="22"/>
          <w:szCs w:val="22"/>
        </w:rPr>
      </w:pPr>
    </w:p>
    <w:p w14:paraId="467FBD1D" w14:textId="77777777" w:rsidR="00581732" w:rsidRPr="00387DA7" w:rsidRDefault="00581732" w:rsidP="007955DE">
      <w:pPr>
        <w:numPr>
          <w:ilvl w:val="0"/>
          <w:numId w:val="26"/>
        </w:numPr>
        <w:tabs>
          <w:tab w:val="clear" w:pos="720"/>
          <w:tab w:val="num" w:pos="360"/>
        </w:tabs>
        <w:ind w:left="360"/>
        <w:jc w:val="both"/>
        <w:rPr>
          <w:sz w:val="22"/>
          <w:szCs w:val="22"/>
        </w:rPr>
      </w:pPr>
      <w:r w:rsidRPr="00387DA7">
        <w:rPr>
          <w:sz w:val="22"/>
          <w:szCs w:val="22"/>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14:paraId="2D86DD66" w14:textId="77777777" w:rsidR="00581732" w:rsidRPr="00387DA7" w:rsidRDefault="00581732" w:rsidP="00581732">
      <w:pPr>
        <w:jc w:val="both"/>
        <w:rPr>
          <w:sz w:val="22"/>
          <w:szCs w:val="22"/>
        </w:rPr>
      </w:pPr>
    </w:p>
    <w:p w14:paraId="29E8600F" w14:textId="77777777" w:rsidR="00581732" w:rsidRPr="00387DA7" w:rsidRDefault="00581732" w:rsidP="007955DE">
      <w:pPr>
        <w:numPr>
          <w:ilvl w:val="0"/>
          <w:numId w:val="26"/>
        </w:numPr>
        <w:tabs>
          <w:tab w:val="clear" w:pos="720"/>
          <w:tab w:val="num" w:pos="360"/>
          <w:tab w:val="left" w:pos="630"/>
        </w:tabs>
        <w:ind w:left="360"/>
        <w:jc w:val="both"/>
        <w:rPr>
          <w:sz w:val="22"/>
          <w:szCs w:val="22"/>
        </w:rPr>
      </w:pPr>
      <w:r w:rsidRPr="00387DA7">
        <w:rPr>
          <w:sz w:val="22"/>
          <w:szCs w:val="22"/>
        </w:rPr>
        <w:t xml:space="preserve">In assessing the control environment, the auditor should look beyond the form of control measures and management actions and should concentrate on their substance.  An environment may appear to be favorable but in </w:t>
      </w:r>
      <w:proofErr w:type="gramStart"/>
      <w:r w:rsidRPr="00387DA7">
        <w:rPr>
          <w:sz w:val="22"/>
          <w:szCs w:val="22"/>
        </w:rPr>
        <w:t>reality</w:t>
      </w:r>
      <w:proofErr w:type="gramEnd"/>
      <w:r w:rsidRPr="00387DA7">
        <w:rPr>
          <w:sz w:val="22"/>
          <w:szCs w:val="22"/>
        </w:rPr>
        <w:t xml:space="preserve">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14:paraId="52B9D64C" w14:textId="77777777" w:rsidR="00581732" w:rsidRPr="00387DA7" w:rsidRDefault="00581732" w:rsidP="00581732">
      <w:pPr>
        <w:jc w:val="both"/>
        <w:rPr>
          <w:sz w:val="22"/>
          <w:szCs w:val="22"/>
        </w:rPr>
      </w:pPr>
    </w:p>
    <w:p w14:paraId="3E5EF9F3" w14:textId="77777777" w:rsidR="00581732" w:rsidRPr="00387DA7" w:rsidRDefault="00581732" w:rsidP="00581732">
      <w:pPr>
        <w:jc w:val="center"/>
        <w:rPr>
          <w:b/>
          <w:sz w:val="22"/>
          <w:szCs w:val="22"/>
        </w:rPr>
      </w:pPr>
      <w:r w:rsidRPr="00387DA7">
        <w:rPr>
          <w:b/>
          <w:sz w:val="22"/>
          <w:szCs w:val="22"/>
        </w:rPr>
        <w:t>Audit Implications</w:t>
      </w:r>
    </w:p>
    <w:p w14:paraId="5CA7BF09" w14:textId="77777777" w:rsidR="00581732" w:rsidRPr="00387DA7" w:rsidRDefault="00581732" w:rsidP="007955DE">
      <w:pPr>
        <w:numPr>
          <w:ilvl w:val="0"/>
          <w:numId w:val="27"/>
        </w:numPr>
        <w:tabs>
          <w:tab w:val="clear" w:pos="720"/>
          <w:tab w:val="num" w:pos="360"/>
        </w:tabs>
        <w:ind w:left="360"/>
        <w:jc w:val="both"/>
        <w:rPr>
          <w:sz w:val="22"/>
          <w:szCs w:val="22"/>
        </w:rPr>
      </w:pPr>
      <w:r w:rsidRPr="00387DA7">
        <w:rPr>
          <w:sz w:val="22"/>
          <w:szCs w:val="22"/>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14:paraId="2A589B5B" w14:textId="77777777" w:rsidR="00581732" w:rsidRPr="00387DA7" w:rsidRDefault="00581732" w:rsidP="00581732">
      <w:pPr>
        <w:jc w:val="both"/>
        <w:rPr>
          <w:sz w:val="22"/>
          <w:szCs w:val="22"/>
        </w:rPr>
      </w:pPr>
    </w:p>
    <w:p w14:paraId="244CB8CB" w14:textId="77777777" w:rsidR="00581732" w:rsidRPr="00387DA7" w:rsidRDefault="00581732" w:rsidP="00581732">
      <w:pPr>
        <w:jc w:val="center"/>
        <w:rPr>
          <w:b/>
          <w:sz w:val="22"/>
          <w:szCs w:val="22"/>
        </w:rPr>
      </w:pPr>
      <w:r w:rsidRPr="00387DA7">
        <w:rPr>
          <w:b/>
          <w:sz w:val="22"/>
          <w:szCs w:val="22"/>
        </w:rPr>
        <w:t>Application to Small and Mid-sized Entities</w:t>
      </w:r>
    </w:p>
    <w:p w14:paraId="2E5A0935" w14:textId="77777777" w:rsidR="00581732" w:rsidRPr="00432648" w:rsidRDefault="00581732" w:rsidP="007955DE">
      <w:pPr>
        <w:numPr>
          <w:ilvl w:val="0"/>
          <w:numId w:val="27"/>
        </w:numPr>
        <w:tabs>
          <w:tab w:val="clear" w:pos="720"/>
          <w:tab w:val="num" w:pos="360"/>
          <w:tab w:val="left" w:pos="810"/>
        </w:tabs>
        <w:ind w:left="360"/>
        <w:jc w:val="both"/>
        <w:rPr>
          <w:sz w:val="24"/>
          <w:szCs w:val="24"/>
        </w:rPr>
      </w:pPr>
      <w:r w:rsidRPr="00387DA7">
        <w:rPr>
          <w:sz w:val="22"/>
          <w:szCs w:val="22"/>
        </w:rPr>
        <w:t xml:space="preserve">Small and mid-sized entities may implement the control </w:t>
      </w:r>
      <w:proofErr w:type="gramStart"/>
      <w:r w:rsidRPr="00387DA7">
        <w:rPr>
          <w:sz w:val="22"/>
          <w:szCs w:val="22"/>
        </w:rPr>
        <w:t>environment</w:t>
      </w:r>
      <w:proofErr w:type="gramEnd"/>
      <w:r w:rsidRPr="00387DA7">
        <w:rPr>
          <w:sz w:val="22"/>
          <w:szCs w:val="22"/>
        </w:rPr>
        <w:t xml:space="preserve"> areas differently than larger entities.  For example, smaller entities might not have a written code of conduct but instead, develop a culture that emphasizes the importance of integrity and ethical behavior through oral communication and by management example.  However, </w:t>
      </w:r>
      <w:r w:rsidR="00047BF7" w:rsidRPr="00387DA7">
        <w:rPr>
          <w:sz w:val="22"/>
          <w:szCs w:val="22"/>
        </w:rPr>
        <w:t>the lack of a written code of conduct</w:t>
      </w:r>
      <w:r w:rsidRPr="00387DA7">
        <w:rPr>
          <w:sz w:val="22"/>
          <w:szCs w:val="22"/>
        </w:rPr>
        <w:t xml:space="preserve"> may not affect the auditor’s assessment of control risk.</w:t>
      </w:r>
      <w:r w:rsidRPr="00432648">
        <w:rPr>
          <w:sz w:val="24"/>
          <w:szCs w:val="24"/>
        </w:rPr>
        <w:br w:type="page"/>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581732" w:rsidRPr="00EC008D" w14:paraId="18870364" w14:textId="77777777" w:rsidTr="10E1CF9C">
        <w:trPr>
          <w:trHeight w:val="465"/>
        </w:trPr>
        <w:tc>
          <w:tcPr>
            <w:tcW w:w="9360" w:type="dxa"/>
            <w:gridSpan w:val="2"/>
            <w:shd w:val="clear" w:color="auto" w:fill="D9D9D9" w:themeFill="background1" w:themeFillShade="D9"/>
          </w:tcPr>
          <w:p w14:paraId="4F1FF857" w14:textId="172CD35E" w:rsidR="00581732" w:rsidRPr="00EC008D" w:rsidRDefault="00581732" w:rsidP="63CA67A8">
            <w:pPr>
              <w:jc w:val="center"/>
              <w:rPr>
                <w:b/>
                <w:bCs/>
                <w:sz w:val="22"/>
                <w:szCs w:val="22"/>
              </w:rPr>
            </w:pPr>
            <w:r w:rsidRPr="10E1CF9C">
              <w:rPr>
                <w:b/>
                <w:bCs/>
                <w:sz w:val="22"/>
                <w:szCs w:val="22"/>
              </w:rPr>
              <w:t>Budgetary (OCS Chapter</w:t>
            </w:r>
            <w:r w:rsidR="00604BAE">
              <w:rPr>
                <w:b/>
                <w:bCs/>
                <w:sz w:val="22"/>
                <w:szCs w:val="22"/>
              </w:rPr>
              <w:t>s</w:t>
            </w:r>
            <w:r w:rsidRPr="10E1CF9C">
              <w:rPr>
                <w:b/>
                <w:bCs/>
                <w:sz w:val="22"/>
                <w:szCs w:val="22"/>
              </w:rPr>
              <w:t xml:space="preserve"> </w:t>
            </w:r>
            <w:r w:rsidRPr="00002B69">
              <w:rPr>
                <w:b/>
                <w:bCs/>
                <w:sz w:val="22"/>
                <w:szCs w:val="22"/>
              </w:rPr>
              <w:t xml:space="preserve">1 </w:t>
            </w:r>
            <w:r w:rsidR="00604BAE" w:rsidRPr="00002B69">
              <w:rPr>
                <w:b/>
                <w:sz w:val="22"/>
                <w:szCs w:val="22"/>
              </w:rPr>
              <w:t>&amp; 4A</w:t>
            </w:r>
            <w:r w:rsidRPr="10E1CF9C">
              <w:rPr>
                <w:b/>
                <w:bCs/>
                <w:sz w:val="22"/>
                <w:szCs w:val="22"/>
              </w:rPr>
              <w:t>)</w:t>
            </w:r>
          </w:p>
        </w:tc>
      </w:tr>
      <w:tr w:rsidR="00581732" w:rsidRPr="00EC008D" w14:paraId="39D06A52" w14:textId="77777777" w:rsidTr="10E1CF9C">
        <w:trPr>
          <w:trHeight w:val="525"/>
        </w:trPr>
        <w:tc>
          <w:tcPr>
            <w:tcW w:w="5745" w:type="dxa"/>
            <w:shd w:val="clear" w:color="auto" w:fill="D9D9D9" w:themeFill="background1" w:themeFillShade="D9"/>
          </w:tcPr>
          <w:p w14:paraId="0E99C861" w14:textId="299EBF2D" w:rsidR="00581732" w:rsidRPr="00EC008D" w:rsidRDefault="00581732" w:rsidP="00581732">
            <w:pPr>
              <w:jc w:val="center"/>
              <w:rPr>
                <w:b/>
                <w:sz w:val="22"/>
                <w:szCs w:val="22"/>
              </w:rPr>
            </w:pPr>
            <w:r w:rsidRPr="00EC008D">
              <w:rPr>
                <w:b/>
                <w:sz w:val="22"/>
                <w:szCs w:val="22"/>
              </w:rPr>
              <w:t>Area for Assessment</w:t>
            </w:r>
          </w:p>
        </w:tc>
        <w:tc>
          <w:tcPr>
            <w:tcW w:w="3615" w:type="dxa"/>
            <w:shd w:val="clear" w:color="auto" w:fill="D9D9D9" w:themeFill="background1" w:themeFillShade="D9"/>
          </w:tcPr>
          <w:p w14:paraId="3CA8FBCB" w14:textId="77777777" w:rsidR="00581732" w:rsidRPr="00EC008D" w:rsidRDefault="00581732" w:rsidP="00581732">
            <w:pPr>
              <w:jc w:val="center"/>
              <w:rPr>
                <w:b/>
                <w:sz w:val="22"/>
                <w:szCs w:val="22"/>
              </w:rPr>
            </w:pPr>
            <w:r w:rsidRPr="00EC008D">
              <w:rPr>
                <w:b/>
                <w:sz w:val="22"/>
                <w:szCs w:val="22"/>
              </w:rPr>
              <w:t>Comments</w:t>
            </w:r>
          </w:p>
        </w:tc>
      </w:tr>
      <w:tr w:rsidR="00581732" w:rsidRPr="00EC008D" w14:paraId="2D89AC3A" w14:textId="77777777" w:rsidTr="10E1CF9C">
        <w:trPr>
          <w:trHeight w:val="8000"/>
        </w:trPr>
        <w:tc>
          <w:tcPr>
            <w:tcW w:w="5745" w:type="dxa"/>
          </w:tcPr>
          <w:p w14:paraId="0B8BA1E3" w14:textId="77777777" w:rsidR="00581732" w:rsidRPr="00EC008D" w:rsidRDefault="00581732" w:rsidP="00581732">
            <w:pPr>
              <w:rPr>
                <w:sz w:val="22"/>
                <w:szCs w:val="22"/>
              </w:rPr>
            </w:pPr>
          </w:p>
          <w:p w14:paraId="06CE29A1" w14:textId="77777777" w:rsidR="00581732" w:rsidRPr="008C13D9" w:rsidRDefault="00581732" w:rsidP="00581732">
            <w:pPr>
              <w:rPr>
                <w:sz w:val="22"/>
                <w:szCs w:val="22"/>
              </w:rPr>
            </w:pPr>
            <w:r w:rsidRPr="00EC008D">
              <w:rPr>
                <w:sz w:val="22"/>
                <w:szCs w:val="22"/>
              </w:rPr>
              <w:t xml:space="preserve">The following factors may influence the auditor's assessment of risk of significant </w:t>
            </w:r>
            <w:r w:rsidR="00DF05AA" w:rsidRPr="008C13D9">
              <w:rPr>
                <w:sz w:val="22"/>
                <w:szCs w:val="22"/>
              </w:rPr>
              <w:t>misstatements of budgetary presentations</w:t>
            </w:r>
            <w:r w:rsidRPr="008C13D9">
              <w:rPr>
                <w:sz w:val="22"/>
                <w:szCs w:val="22"/>
              </w:rPr>
              <w:t>:</w:t>
            </w:r>
          </w:p>
          <w:p w14:paraId="2E1FC6C1" w14:textId="77777777" w:rsidR="00581732" w:rsidRPr="00EC008D" w:rsidRDefault="00581732" w:rsidP="00581732">
            <w:pPr>
              <w:rPr>
                <w:sz w:val="22"/>
                <w:szCs w:val="22"/>
              </w:rPr>
            </w:pPr>
          </w:p>
          <w:p w14:paraId="1418959C" w14:textId="77777777" w:rsidR="008C13D9" w:rsidRPr="00EC008D" w:rsidRDefault="009E75D3" w:rsidP="00581732">
            <w:pPr>
              <w:rPr>
                <w:sz w:val="22"/>
                <w:szCs w:val="22"/>
              </w:rPr>
            </w:pPr>
            <w:r>
              <w:rPr>
                <w:sz w:val="22"/>
                <w:szCs w:val="22"/>
              </w:rPr>
              <w:t xml:space="preserve">Ohio Rev. Code </w:t>
            </w:r>
            <w:r w:rsidR="009C343F">
              <w:rPr>
                <w:sz w:val="22"/>
                <w:szCs w:val="22"/>
              </w:rPr>
              <w:t>Chapter</w:t>
            </w:r>
            <w:r w:rsidR="00581732">
              <w:rPr>
                <w:sz w:val="22"/>
                <w:szCs w:val="22"/>
              </w:rPr>
              <w:t xml:space="preserve"> 5705 codifies an </w:t>
            </w:r>
            <w:r w:rsidR="00581732" w:rsidRPr="002F6486">
              <w:rPr>
                <w:sz w:val="22"/>
                <w:szCs w:val="22"/>
              </w:rPr>
              <w:t xml:space="preserve">annual budget process designed to prevent fund cash deficits. </w:t>
            </w:r>
            <w:r w:rsidR="00DF05AA" w:rsidRPr="002F6486">
              <w:rPr>
                <w:sz w:val="22"/>
                <w:szCs w:val="22"/>
              </w:rPr>
              <w:t xml:space="preserve"> </w:t>
            </w:r>
            <w:r w:rsidR="00DF05AA" w:rsidRPr="008C13D9">
              <w:rPr>
                <w:sz w:val="22"/>
                <w:szCs w:val="22"/>
              </w:rPr>
              <w:t xml:space="preserve">It prescribes levels of </w:t>
            </w:r>
            <w:r w:rsidR="00664F2F" w:rsidRPr="008C13D9">
              <w:rPr>
                <w:sz w:val="22"/>
                <w:szCs w:val="22"/>
              </w:rPr>
              <w:t xml:space="preserve">budgetary </w:t>
            </w:r>
            <w:r w:rsidR="00DF05AA" w:rsidRPr="008C13D9">
              <w:rPr>
                <w:sz w:val="22"/>
                <w:szCs w:val="22"/>
              </w:rPr>
              <w:t>control, and a basis for recognizing budgetary receipts and budgetary expenditure, which can affect the fair presentation of budget</w:t>
            </w:r>
            <w:r w:rsidR="00664F2F" w:rsidRPr="008C13D9">
              <w:rPr>
                <w:sz w:val="22"/>
                <w:szCs w:val="22"/>
              </w:rPr>
              <w:t>ary statements and disclosures</w:t>
            </w:r>
            <w:r w:rsidR="00DF05AA" w:rsidRPr="008C13D9">
              <w:rPr>
                <w:sz w:val="22"/>
                <w:szCs w:val="22"/>
              </w:rPr>
              <w:t>.</w:t>
            </w:r>
            <w:r w:rsidR="00DF05AA" w:rsidRPr="002F6486">
              <w:rPr>
                <w:sz w:val="22"/>
                <w:szCs w:val="22"/>
              </w:rPr>
              <w:t xml:space="preserve">  </w:t>
            </w:r>
          </w:p>
          <w:p w14:paraId="0E303DB1" w14:textId="77777777" w:rsidR="00581732" w:rsidRPr="00EC008D" w:rsidRDefault="00581732" w:rsidP="00581732">
            <w:pPr>
              <w:rPr>
                <w:i/>
                <w:sz w:val="22"/>
                <w:szCs w:val="22"/>
              </w:rPr>
            </w:pPr>
            <w:proofErr w:type="gramStart"/>
            <w:r w:rsidRPr="00EC008D">
              <w:rPr>
                <w:i/>
                <w:sz w:val="22"/>
                <w:szCs w:val="22"/>
              </w:rPr>
              <w:t>Consider</w:t>
            </w:r>
            <w:proofErr w:type="gramEnd"/>
            <w:r w:rsidRPr="00EC008D">
              <w:rPr>
                <w:i/>
                <w:sz w:val="22"/>
                <w:szCs w:val="22"/>
              </w:rPr>
              <w:t xml:space="preserve"> for example, the following points of focus:</w:t>
            </w:r>
          </w:p>
          <w:p w14:paraId="6BBB75BB" w14:textId="77777777" w:rsidR="00581732" w:rsidRPr="00EC008D" w:rsidRDefault="00581732" w:rsidP="007955DE">
            <w:pPr>
              <w:numPr>
                <w:ilvl w:val="0"/>
                <w:numId w:val="31"/>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11A07D40" w14:textId="77777777" w:rsidR="00581732" w:rsidRPr="00EC008D" w:rsidRDefault="00581732" w:rsidP="007955DE">
            <w:pPr>
              <w:numPr>
                <w:ilvl w:val="0"/>
                <w:numId w:val="31"/>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14:paraId="54F1AC88" w14:textId="77777777" w:rsidR="008C13D9" w:rsidRPr="008C13D9" w:rsidRDefault="00581732" w:rsidP="007955DE">
            <w:pPr>
              <w:numPr>
                <w:ilvl w:val="1"/>
                <w:numId w:val="31"/>
              </w:numPr>
              <w:tabs>
                <w:tab w:val="clear" w:pos="1440"/>
                <w:tab w:val="num" w:pos="711"/>
              </w:tabs>
              <w:ind w:left="711"/>
              <w:rPr>
                <w:i/>
                <w:sz w:val="22"/>
                <w:szCs w:val="22"/>
              </w:rPr>
            </w:pPr>
            <w:r w:rsidRPr="008C13D9">
              <w:rPr>
                <w:i/>
                <w:sz w:val="22"/>
                <w:szCs w:val="22"/>
              </w:rPr>
              <w:t xml:space="preserve">The level of detail (e.g. legal level of control) and </w:t>
            </w:r>
            <w:r w:rsidR="00361317" w:rsidRPr="008C13D9">
              <w:rPr>
                <w:i/>
                <w:sz w:val="22"/>
                <w:szCs w:val="22"/>
              </w:rPr>
              <w:t>suitably knowledgeable and experienced personnel (such as operating line management).</w:t>
            </w:r>
          </w:p>
          <w:p w14:paraId="5674C4A8" w14:textId="77777777" w:rsidR="00581732" w:rsidRPr="00EC008D" w:rsidRDefault="008C13D9" w:rsidP="008C13D9">
            <w:pPr>
              <w:rPr>
                <w:i/>
                <w:sz w:val="22"/>
                <w:szCs w:val="22"/>
              </w:rPr>
            </w:pPr>
            <w:r w:rsidRPr="00EC008D">
              <w:rPr>
                <w:i/>
                <w:sz w:val="22"/>
                <w:szCs w:val="22"/>
              </w:rPr>
              <w:t xml:space="preserve"> </w:t>
            </w:r>
            <w:r>
              <w:rPr>
                <w:i/>
                <w:sz w:val="22"/>
                <w:szCs w:val="22"/>
              </w:rPr>
              <w:t xml:space="preserve">-   </w:t>
            </w:r>
            <w:r w:rsidR="00581732" w:rsidRPr="00EC008D">
              <w:rPr>
                <w:i/>
                <w:sz w:val="22"/>
                <w:szCs w:val="22"/>
              </w:rPr>
              <w:t>The effectiveness of monitoring performance with respect to:</w:t>
            </w:r>
          </w:p>
          <w:p w14:paraId="58A94668" w14:textId="77777777" w:rsidR="00DF05AA" w:rsidRPr="008C13D9" w:rsidRDefault="00DF05AA" w:rsidP="007955DE">
            <w:pPr>
              <w:numPr>
                <w:ilvl w:val="5"/>
                <w:numId w:val="31"/>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14:paraId="70FEFAC4" w14:textId="77777777" w:rsidR="00581732" w:rsidRPr="008C13D9" w:rsidRDefault="00581732" w:rsidP="007955DE">
            <w:pPr>
              <w:numPr>
                <w:ilvl w:val="5"/>
                <w:numId w:val="31"/>
              </w:numPr>
              <w:tabs>
                <w:tab w:val="clear" w:pos="4500"/>
                <w:tab w:val="num" w:pos="621"/>
              </w:tabs>
              <w:ind w:hanging="4149"/>
              <w:rPr>
                <w:i/>
                <w:sz w:val="22"/>
                <w:szCs w:val="22"/>
              </w:rPr>
            </w:pPr>
            <w:r w:rsidRPr="008C13D9">
              <w:rPr>
                <w:i/>
                <w:sz w:val="22"/>
                <w:szCs w:val="22"/>
              </w:rPr>
              <w:t>indication and timeliness of corrective actions,</w:t>
            </w:r>
          </w:p>
          <w:p w14:paraId="00E71C21" w14:textId="77777777" w:rsidR="00581732" w:rsidRPr="008C13D9" w:rsidRDefault="00581732" w:rsidP="007955DE">
            <w:pPr>
              <w:numPr>
                <w:ilvl w:val="6"/>
                <w:numId w:val="31"/>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14:paraId="3D2ED942" w14:textId="77777777" w:rsidR="00581732" w:rsidRPr="008C13D9" w:rsidRDefault="00581732" w:rsidP="00581732">
            <w:pPr>
              <w:rPr>
                <w:sz w:val="22"/>
                <w:szCs w:val="22"/>
              </w:rPr>
            </w:pPr>
          </w:p>
          <w:p w14:paraId="49518674" w14:textId="77777777" w:rsidR="00581732" w:rsidRPr="00EC008D" w:rsidRDefault="00581732" w:rsidP="00AE62FA">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sidR="00AE62FA">
              <w:rPr>
                <w:sz w:val="22"/>
                <w:szCs w:val="22"/>
              </w:rPr>
              <w:t>very useful audit</w:t>
            </w:r>
            <w:r w:rsidR="00AE62FA" w:rsidRPr="00EC008D">
              <w:rPr>
                <w:sz w:val="22"/>
                <w:szCs w:val="22"/>
              </w:rPr>
              <w:t xml:space="preserve"> </w:t>
            </w:r>
            <w:r w:rsidRPr="00EC008D">
              <w:rPr>
                <w:sz w:val="22"/>
                <w:szCs w:val="22"/>
              </w:rPr>
              <w:t>support for financial position and activity statement assertions.</w:t>
            </w:r>
          </w:p>
        </w:tc>
        <w:tc>
          <w:tcPr>
            <w:tcW w:w="3615" w:type="dxa"/>
          </w:tcPr>
          <w:p w14:paraId="579FEE66" w14:textId="77777777" w:rsidR="00581732" w:rsidRPr="00EC008D" w:rsidRDefault="00581732" w:rsidP="00581732">
            <w:pPr>
              <w:rPr>
                <w:sz w:val="22"/>
                <w:szCs w:val="22"/>
              </w:rPr>
            </w:pPr>
          </w:p>
        </w:tc>
      </w:tr>
      <w:tr w:rsidR="00581732" w:rsidRPr="00EC008D" w14:paraId="605FAE75" w14:textId="77777777" w:rsidTr="10E1CF9C">
        <w:trPr>
          <w:trHeight w:val="1250"/>
        </w:trPr>
        <w:tc>
          <w:tcPr>
            <w:tcW w:w="9360" w:type="dxa"/>
            <w:gridSpan w:val="2"/>
          </w:tcPr>
          <w:p w14:paraId="15A0F980" w14:textId="77777777" w:rsidR="00581732" w:rsidRPr="00EC008D" w:rsidRDefault="00581732" w:rsidP="00581732">
            <w:pPr>
              <w:rPr>
                <w:sz w:val="22"/>
                <w:szCs w:val="22"/>
              </w:rPr>
            </w:pPr>
            <w:r w:rsidRPr="00EC008D">
              <w:rPr>
                <w:b/>
                <w:sz w:val="22"/>
                <w:szCs w:val="22"/>
              </w:rPr>
              <w:t>Audit implications and/or management comments</w:t>
            </w:r>
            <w:r w:rsidRPr="00EC008D">
              <w:rPr>
                <w:sz w:val="22"/>
                <w:szCs w:val="22"/>
              </w:rPr>
              <w:t>:</w:t>
            </w:r>
          </w:p>
          <w:p w14:paraId="5B906177" w14:textId="77777777" w:rsidR="00581732" w:rsidRPr="00EC008D" w:rsidRDefault="00581732" w:rsidP="00581732">
            <w:pPr>
              <w:rPr>
                <w:sz w:val="22"/>
                <w:szCs w:val="22"/>
              </w:rPr>
            </w:pPr>
          </w:p>
          <w:p w14:paraId="4CF7F463" w14:textId="77777777" w:rsidR="00581732" w:rsidRPr="00EC008D" w:rsidRDefault="00581732" w:rsidP="00581732">
            <w:pPr>
              <w:rPr>
                <w:sz w:val="22"/>
                <w:szCs w:val="22"/>
              </w:rPr>
            </w:pPr>
          </w:p>
          <w:p w14:paraId="5F6751DB" w14:textId="77777777" w:rsidR="00581732" w:rsidRPr="00EC008D" w:rsidRDefault="00581732" w:rsidP="00581732">
            <w:pPr>
              <w:rPr>
                <w:sz w:val="22"/>
                <w:szCs w:val="22"/>
              </w:rPr>
            </w:pPr>
          </w:p>
          <w:p w14:paraId="19BC1ADF" w14:textId="77777777" w:rsidR="00581732" w:rsidRPr="00EC008D" w:rsidRDefault="00581732" w:rsidP="00581732">
            <w:pPr>
              <w:rPr>
                <w:color w:val="FF0000"/>
                <w:sz w:val="22"/>
                <w:szCs w:val="22"/>
              </w:rPr>
            </w:pPr>
          </w:p>
        </w:tc>
      </w:tr>
    </w:tbl>
    <w:p w14:paraId="51B4A95A" w14:textId="77777777" w:rsidR="00581732" w:rsidRDefault="00581732" w:rsidP="00581732">
      <w:r>
        <w:br w:type="page"/>
      </w:r>
    </w:p>
    <w:p w14:paraId="1AD1BC49" w14:textId="77777777" w:rsidR="00581732" w:rsidRPr="002F6486" w:rsidRDefault="00581732" w:rsidP="00581732">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581732" w:rsidRPr="00EC008D" w14:paraId="22EC1359" w14:textId="77777777" w:rsidTr="003B59DF">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14:paraId="7B310725" w14:textId="2E3B64FC" w:rsidR="00581732" w:rsidRPr="00EC008D" w:rsidRDefault="00581732" w:rsidP="00EC4589">
            <w:pPr>
              <w:jc w:val="center"/>
              <w:rPr>
                <w:b/>
                <w:sz w:val="22"/>
                <w:szCs w:val="22"/>
              </w:rPr>
            </w:pPr>
            <w:r w:rsidRPr="00EC008D">
              <w:rPr>
                <w:b/>
                <w:sz w:val="22"/>
                <w:szCs w:val="22"/>
              </w:rPr>
              <w:t xml:space="preserve">Debt (OCS </w:t>
            </w:r>
            <w:r w:rsidR="00F64063" w:rsidRPr="10E1CF9C">
              <w:rPr>
                <w:b/>
                <w:bCs/>
                <w:sz w:val="22"/>
                <w:szCs w:val="22"/>
              </w:rPr>
              <w:t>Chapter</w:t>
            </w:r>
            <w:r w:rsidR="00F64063">
              <w:rPr>
                <w:b/>
                <w:bCs/>
                <w:sz w:val="22"/>
                <w:szCs w:val="22"/>
              </w:rPr>
              <w:t>s</w:t>
            </w:r>
            <w:r w:rsidRPr="002F6486">
              <w:rPr>
                <w:b/>
                <w:sz w:val="22"/>
                <w:szCs w:val="22"/>
              </w:rPr>
              <w:t xml:space="preserve"> </w:t>
            </w:r>
            <w:r w:rsidRPr="008C13D9">
              <w:rPr>
                <w:b/>
                <w:sz w:val="22"/>
                <w:szCs w:val="22"/>
              </w:rPr>
              <w:t>1</w:t>
            </w:r>
            <w:r>
              <w:rPr>
                <w:b/>
                <w:sz w:val="22"/>
                <w:szCs w:val="22"/>
              </w:rPr>
              <w:t xml:space="preserve"> </w:t>
            </w:r>
            <w:r w:rsidR="00F64063" w:rsidRPr="00002B69">
              <w:rPr>
                <w:b/>
                <w:sz w:val="22"/>
                <w:szCs w:val="22"/>
              </w:rPr>
              <w:t>&amp; 4A</w:t>
            </w:r>
            <w:r w:rsidRPr="00002B69">
              <w:rPr>
                <w:b/>
                <w:sz w:val="22"/>
                <w:szCs w:val="22"/>
              </w:rPr>
              <w:t>)</w:t>
            </w:r>
          </w:p>
        </w:tc>
      </w:tr>
      <w:tr w:rsidR="00581732" w:rsidRPr="00EC008D" w14:paraId="39A235CB" w14:textId="77777777" w:rsidTr="003B59DF">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14:paraId="55AF0F61" w14:textId="77777777" w:rsidR="00581732" w:rsidRPr="00EC008D" w:rsidRDefault="00581732" w:rsidP="00581732">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14:paraId="37EDD21B" w14:textId="77777777" w:rsidR="00581732" w:rsidRPr="00EC008D" w:rsidRDefault="00581732" w:rsidP="00581732">
            <w:pPr>
              <w:jc w:val="center"/>
              <w:rPr>
                <w:b/>
                <w:sz w:val="22"/>
                <w:szCs w:val="22"/>
              </w:rPr>
            </w:pPr>
            <w:r w:rsidRPr="00EC008D">
              <w:rPr>
                <w:b/>
                <w:sz w:val="22"/>
                <w:szCs w:val="22"/>
              </w:rPr>
              <w:t>Comments</w:t>
            </w:r>
          </w:p>
        </w:tc>
      </w:tr>
      <w:tr w:rsidR="00581732" w:rsidRPr="00EC008D" w14:paraId="6A702D86" w14:textId="77777777" w:rsidTr="00581732">
        <w:trPr>
          <w:gridAfter w:val="1"/>
          <w:wAfter w:w="38" w:type="dxa"/>
        </w:trPr>
        <w:tc>
          <w:tcPr>
            <w:tcW w:w="5940" w:type="dxa"/>
            <w:tcBorders>
              <w:top w:val="single" w:sz="4" w:space="0" w:color="auto"/>
              <w:left w:val="double" w:sz="4" w:space="0" w:color="auto"/>
              <w:bottom w:val="single" w:sz="4" w:space="0" w:color="auto"/>
            </w:tcBorders>
          </w:tcPr>
          <w:p w14:paraId="1EF67A60" w14:textId="77777777" w:rsidR="00581732" w:rsidRPr="00EC008D" w:rsidRDefault="00581732" w:rsidP="00581732">
            <w:pPr>
              <w:tabs>
                <w:tab w:val="left" w:pos="0"/>
              </w:tabs>
              <w:rPr>
                <w:b/>
                <w:sz w:val="22"/>
                <w:szCs w:val="22"/>
              </w:rPr>
            </w:pPr>
            <w:r w:rsidRPr="00EC008D">
              <w:rPr>
                <w:b/>
                <w:sz w:val="22"/>
                <w:szCs w:val="22"/>
              </w:rPr>
              <w:t>Points of Focus (Debt)</w:t>
            </w:r>
          </w:p>
          <w:p w14:paraId="70C16F3E" w14:textId="77777777" w:rsidR="00581732" w:rsidRPr="00EC008D" w:rsidRDefault="00581732" w:rsidP="00581732">
            <w:pPr>
              <w:jc w:val="both"/>
              <w:rPr>
                <w:sz w:val="22"/>
                <w:szCs w:val="22"/>
              </w:rPr>
            </w:pPr>
          </w:p>
          <w:p w14:paraId="47D58A78" w14:textId="77777777" w:rsidR="00581732" w:rsidRPr="00EC008D" w:rsidRDefault="00581732" w:rsidP="007955DE">
            <w:pPr>
              <w:numPr>
                <w:ilvl w:val="0"/>
                <w:numId w:val="28"/>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662DFBA0" w14:textId="0872D026" w:rsidR="00581732" w:rsidRPr="00EC008D" w:rsidRDefault="00581732" w:rsidP="007955DE">
            <w:pPr>
              <w:numPr>
                <w:ilvl w:val="0"/>
                <w:numId w:val="28"/>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w:t>
            </w:r>
            <w:r w:rsidR="00E41D40">
              <w:rPr>
                <w:i/>
                <w:sz w:val="22"/>
                <w:szCs w:val="22"/>
              </w:rPr>
              <w:t>17 C</w:t>
            </w:r>
            <w:r w:rsidR="0069552D">
              <w:rPr>
                <w:i/>
                <w:sz w:val="22"/>
                <w:szCs w:val="22"/>
              </w:rPr>
              <w:t>.</w:t>
            </w:r>
            <w:r w:rsidR="00E41D40">
              <w:rPr>
                <w:i/>
                <w:sz w:val="22"/>
                <w:szCs w:val="22"/>
              </w:rPr>
              <w:t>F</w:t>
            </w:r>
            <w:r w:rsidR="0069552D">
              <w:rPr>
                <w:i/>
                <w:sz w:val="22"/>
                <w:szCs w:val="22"/>
              </w:rPr>
              <w:t>.</w:t>
            </w:r>
            <w:r w:rsidR="00E41D40">
              <w:rPr>
                <w:i/>
                <w:sz w:val="22"/>
                <w:szCs w:val="22"/>
              </w:rPr>
              <w:t>R</w:t>
            </w:r>
            <w:r w:rsidR="0069552D">
              <w:rPr>
                <w:i/>
                <w:sz w:val="22"/>
                <w:szCs w:val="22"/>
              </w:rPr>
              <w:t>.</w:t>
            </w:r>
            <w:r w:rsidR="00E41D40">
              <w:rPr>
                <w:i/>
                <w:sz w:val="22"/>
                <w:szCs w:val="22"/>
              </w:rPr>
              <w:t xml:space="preserve"> </w:t>
            </w:r>
            <w:r w:rsidR="00E96794" w:rsidRPr="001C04A2">
              <w:rPr>
                <w:rStyle w:val="footnoteref"/>
                <w:sz w:val="22"/>
                <w:szCs w:val="22"/>
              </w:rPr>
              <w:t>§</w:t>
            </w:r>
            <w:r w:rsidR="00E96794">
              <w:rPr>
                <w:rStyle w:val="footnoteref"/>
                <w:sz w:val="22"/>
                <w:szCs w:val="22"/>
              </w:rPr>
              <w:t xml:space="preserve"> </w:t>
            </w:r>
            <w:r w:rsidRPr="005B781A">
              <w:rPr>
                <w:i/>
                <w:sz w:val="22"/>
                <w:szCs w:val="22"/>
              </w:rPr>
              <w:t>240.15c2-12</w:t>
            </w:r>
          </w:p>
          <w:p w14:paraId="0D1B27C2" w14:textId="77777777" w:rsidR="00581732" w:rsidRPr="00EC008D" w:rsidRDefault="00581732" w:rsidP="007955DE">
            <w:pPr>
              <w:numPr>
                <w:ilvl w:val="0"/>
                <w:numId w:val="28"/>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14:paraId="65D0EFE7" w14:textId="77777777" w:rsidR="00581732" w:rsidRPr="00EC008D" w:rsidRDefault="00581732" w:rsidP="007955DE">
            <w:pPr>
              <w:numPr>
                <w:ilvl w:val="0"/>
                <w:numId w:val="28"/>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14:paraId="1B905420" w14:textId="77777777" w:rsidR="00581732" w:rsidRPr="00EC008D" w:rsidRDefault="00581732" w:rsidP="00581732">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14:paraId="0AF815FC" w14:textId="77777777" w:rsidR="00581732" w:rsidRPr="00EC008D" w:rsidRDefault="00581732" w:rsidP="00581732">
            <w:pPr>
              <w:jc w:val="both"/>
              <w:rPr>
                <w:sz w:val="22"/>
                <w:szCs w:val="22"/>
              </w:rPr>
            </w:pPr>
          </w:p>
        </w:tc>
      </w:tr>
      <w:tr w:rsidR="00581732" w:rsidRPr="00EC008D" w14:paraId="4C1EDCD4" w14:textId="77777777" w:rsidTr="00581732">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14:paraId="6C8F6ABC" w14:textId="77777777" w:rsidR="00581732" w:rsidRPr="00EC008D" w:rsidRDefault="00581732" w:rsidP="00581732">
            <w:pPr>
              <w:jc w:val="both"/>
              <w:rPr>
                <w:sz w:val="22"/>
                <w:szCs w:val="22"/>
              </w:rPr>
            </w:pPr>
            <w:r w:rsidRPr="00EC008D">
              <w:rPr>
                <w:b/>
                <w:sz w:val="22"/>
                <w:szCs w:val="22"/>
              </w:rPr>
              <w:t>Audit implications and/or management comments</w:t>
            </w:r>
            <w:r w:rsidRPr="00EC008D">
              <w:rPr>
                <w:sz w:val="22"/>
                <w:szCs w:val="22"/>
              </w:rPr>
              <w:t>:</w:t>
            </w:r>
          </w:p>
          <w:p w14:paraId="54FE8E34" w14:textId="77777777" w:rsidR="00581732" w:rsidRPr="00EC008D" w:rsidRDefault="00581732" w:rsidP="00581732">
            <w:pPr>
              <w:jc w:val="both"/>
              <w:rPr>
                <w:sz w:val="22"/>
                <w:szCs w:val="22"/>
              </w:rPr>
            </w:pPr>
          </w:p>
          <w:p w14:paraId="44A24DE9" w14:textId="77777777" w:rsidR="00581732" w:rsidRPr="00EC008D" w:rsidRDefault="00581732" w:rsidP="00581732">
            <w:pPr>
              <w:jc w:val="both"/>
              <w:rPr>
                <w:sz w:val="22"/>
                <w:szCs w:val="22"/>
              </w:rPr>
            </w:pPr>
          </w:p>
          <w:p w14:paraId="2193C880" w14:textId="77777777" w:rsidR="00581732" w:rsidRPr="00EC008D" w:rsidRDefault="00581732" w:rsidP="00581732">
            <w:pPr>
              <w:jc w:val="both"/>
              <w:rPr>
                <w:sz w:val="22"/>
                <w:szCs w:val="22"/>
              </w:rPr>
            </w:pPr>
          </w:p>
          <w:p w14:paraId="3D7F9CB5" w14:textId="77777777" w:rsidR="00581732" w:rsidRPr="00EC008D" w:rsidRDefault="00581732" w:rsidP="00581732">
            <w:pPr>
              <w:tabs>
                <w:tab w:val="left" w:pos="420"/>
              </w:tabs>
              <w:jc w:val="both"/>
              <w:rPr>
                <w:sz w:val="22"/>
                <w:szCs w:val="22"/>
              </w:rPr>
            </w:pPr>
          </w:p>
          <w:p w14:paraId="63ABAD29" w14:textId="77777777" w:rsidR="00581732" w:rsidRPr="00EC008D" w:rsidRDefault="00581732" w:rsidP="00581732">
            <w:pPr>
              <w:jc w:val="both"/>
              <w:rPr>
                <w:sz w:val="22"/>
                <w:szCs w:val="22"/>
              </w:rPr>
            </w:pPr>
          </w:p>
        </w:tc>
      </w:tr>
    </w:tbl>
    <w:p w14:paraId="570A902C" w14:textId="77777777" w:rsidR="00581732" w:rsidRPr="00EC008D" w:rsidRDefault="00581732" w:rsidP="00581732">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581732" w:rsidRPr="00EC008D" w14:paraId="6B8BA00F" w14:textId="77777777" w:rsidTr="003B59DF">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14:paraId="4B49DC0C" w14:textId="698F7EAF" w:rsidR="00581732" w:rsidRPr="00EC008D" w:rsidRDefault="00581732" w:rsidP="00EC4589">
            <w:pPr>
              <w:jc w:val="center"/>
              <w:rPr>
                <w:b/>
                <w:sz w:val="22"/>
                <w:szCs w:val="22"/>
              </w:rPr>
            </w:pPr>
            <w:r w:rsidRPr="00EC008D">
              <w:rPr>
                <w:b/>
                <w:sz w:val="22"/>
                <w:szCs w:val="22"/>
              </w:rPr>
              <w:t xml:space="preserve">Accounting and Reporting (OCS </w:t>
            </w:r>
            <w:r w:rsidR="008D332B" w:rsidRPr="10E1CF9C">
              <w:rPr>
                <w:b/>
                <w:bCs/>
                <w:sz w:val="22"/>
                <w:szCs w:val="22"/>
              </w:rPr>
              <w:t>Chapter</w:t>
            </w:r>
            <w:r w:rsidR="008D332B">
              <w:rPr>
                <w:b/>
                <w:bCs/>
                <w:sz w:val="22"/>
                <w:szCs w:val="22"/>
              </w:rPr>
              <w:t>s</w:t>
            </w:r>
            <w:r w:rsidRPr="002F6486">
              <w:rPr>
                <w:b/>
                <w:sz w:val="22"/>
                <w:szCs w:val="22"/>
              </w:rPr>
              <w:t xml:space="preserve"> </w:t>
            </w:r>
            <w:r w:rsidRPr="00002B69">
              <w:rPr>
                <w:b/>
                <w:sz w:val="22"/>
                <w:szCs w:val="22"/>
              </w:rPr>
              <w:t xml:space="preserve">1 </w:t>
            </w:r>
            <w:r w:rsidR="008D332B" w:rsidRPr="00002B69">
              <w:rPr>
                <w:b/>
                <w:sz w:val="22"/>
                <w:szCs w:val="22"/>
              </w:rPr>
              <w:t>&amp; 4A</w:t>
            </w:r>
            <w:r w:rsidRPr="00002B69">
              <w:rPr>
                <w:b/>
                <w:sz w:val="22"/>
                <w:szCs w:val="22"/>
              </w:rPr>
              <w:t>)</w:t>
            </w:r>
          </w:p>
        </w:tc>
      </w:tr>
      <w:tr w:rsidR="00581732" w:rsidRPr="00EC008D" w14:paraId="4050C3FB" w14:textId="77777777" w:rsidTr="003B59DF">
        <w:trPr>
          <w:gridAfter w:val="1"/>
          <w:wAfter w:w="10" w:type="dxa"/>
        </w:trPr>
        <w:tc>
          <w:tcPr>
            <w:tcW w:w="5940" w:type="dxa"/>
            <w:tcBorders>
              <w:top w:val="single" w:sz="4" w:space="0" w:color="auto"/>
              <w:left w:val="double" w:sz="4" w:space="0" w:color="auto"/>
            </w:tcBorders>
            <w:shd w:val="clear" w:color="auto" w:fill="D9D9D9" w:themeFill="background1" w:themeFillShade="D9"/>
          </w:tcPr>
          <w:p w14:paraId="66884846" w14:textId="77777777" w:rsidR="00581732" w:rsidRPr="00EC008D" w:rsidRDefault="00581732" w:rsidP="00581732">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14:paraId="154983C4" w14:textId="77777777" w:rsidR="00581732" w:rsidRPr="00EC008D" w:rsidRDefault="00581732" w:rsidP="00581732">
            <w:pPr>
              <w:jc w:val="center"/>
              <w:rPr>
                <w:b/>
                <w:sz w:val="22"/>
                <w:szCs w:val="22"/>
              </w:rPr>
            </w:pPr>
            <w:r w:rsidRPr="00EC008D">
              <w:rPr>
                <w:b/>
                <w:sz w:val="22"/>
                <w:szCs w:val="22"/>
              </w:rPr>
              <w:t>Comments</w:t>
            </w:r>
          </w:p>
        </w:tc>
      </w:tr>
      <w:tr w:rsidR="00581732" w:rsidRPr="00EC008D" w14:paraId="0E6A7075" w14:textId="77777777" w:rsidTr="00581732">
        <w:trPr>
          <w:gridAfter w:val="1"/>
          <w:wAfter w:w="10" w:type="dxa"/>
        </w:trPr>
        <w:tc>
          <w:tcPr>
            <w:tcW w:w="5940" w:type="dxa"/>
            <w:tcBorders>
              <w:top w:val="single" w:sz="4" w:space="0" w:color="auto"/>
              <w:left w:val="double" w:sz="4" w:space="0" w:color="auto"/>
              <w:bottom w:val="single" w:sz="4" w:space="0" w:color="auto"/>
            </w:tcBorders>
          </w:tcPr>
          <w:p w14:paraId="757B3C7D" w14:textId="77777777" w:rsidR="00581732" w:rsidRPr="00EC008D" w:rsidRDefault="00581732" w:rsidP="00581732">
            <w:pPr>
              <w:jc w:val="both"/>
              <w:rPr>
                <w:sz w:val="22"/>
                <w:szCs w:val="22"/>
              </w:rPr>
            </w:pPr>
          </w:p>
          <w:p w14:paraId="13CC6C1E" w14:textId="77777777" w:rsidR="00581732" w:rsidRPr="00EC008D" w:rsidRDefault="00581732" w:rsidP="00581732">
            <w:pPr>
              <w:jc w:val="both"/>
              <w:rPr>
                <w:b/>
                <w:sz w:val="22"/>
                <w:szCs w:val="22"/>
              </w:rPr>
            </w:pPr>
            <w:r w:rsidRPr="00EC008D">
              <w:rPr>
                <w:b/>
                <w:sz w:val="22"/>
                <w:szCs w:val="22"/>
              </w:rPr>
              <w:t>Points of Focus</w:t>
            </w:r>
          </w:p>
          <w:p w14:paraId="245C732C" w14:textId="77777777" w:rsidR="00581732" w:rsidRPr="00EC008D" w:rsidRDefault="00581732" w:rsidP="007955DE">
            <w:pPr>
              <w:numPr>
                <w:ilvl w:val="0"/>
                <w:numId w:val="29"/>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09BB2246" w14:textId="33493448" w:rsidR="00581732" w:rsidRPr="00890450" w:rsidRDefault="00581732" w:rsidP="007955DE">
            <w:pPr>
              <w:numPr>
                <w:ilvl w:val="0"/>
                <w:numId w:val="29"/>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w:t>
            </w:r>
            <w:r w:rsidRPr="00C337BD">
              <w:rPr>
                <w:i/>
                <w:strike/>
                <w:sz w:val="22"/>
                <w:szCs w:val="22"/>
              </w:rPr>
              <w:t xml:space="preserve">in </w:t>
            </w:r>
            <w:r w:rsidR="002F6486" w:rsidRPr="00C337BD">
              <w:rPr>
                <w:i/>
                <w:strike/>
                <w:sz w:val="22"/>
                <w:szCs w:val="22"/>
              </w:rPr>
              <w:t>Chapter 2</w:t>
            </w:r>
            <w:r w:rsidRPr="002F6486">
              <w:rPr>
                <w:i/>
                <w:sz w:val="22"/>
                <w:szCs w:val="22"/>
              </w:rPr>
              <w:t xml:space="preserve">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14:paraId="6B1E8F40" w14:textId="77777777" w:rsidR="00581732" w:rsidRPr="00EC008D" w:rsidRDefault="00581732" w:rsidP="00581732">
            <w:pPr>
              <w:jc w:val="both"/>
              <w:rPr>
                <w:sz w:val="22"/>
                <w:szCs w:val="22"/>
              </w:rPr>
            </w:pPr>
          </w:p>
        </w:tc>
      </w:tr>
      <w:tr w:rsidR="00581732" w:rsidRPr="00EC008D" w14:paraId="2DDC57FA" w14:textId="77777777" w:rsidTr="00581732">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14:paraId="2468E2B1" w14:textId="77777777" w:rsidR="00581732" w:rsidRPr="007144E7" w:rsidRDefault="00581732" w:rsidP="00581732">
            <w:pPr>
              <w:jc w:val="both"/>
              <w:rPr>
                <w:b/>
                <w:bCs/>
                <w:sz w:val="22"/>
                <w:szCs w:val="22"/>
              </w:rPr>
            </w:pPr>
            <w:r w:rsidRPr="007144E7">
              <w:rPr>
                <w:b/>
                <w:bCs/>
                <w:sz w:val="22"/>
                <w:szCs w:val="22"/>
              </w:rPr>
              <w:t>Audit implications and/or management comments:</w:t>
            </w:r>
          </w:p>
          <w:p w14:paraId="66CD5DE4" w14:textId="77777777" w:rsidR="00581732" w:rsidRPr="00EC008D" w:rsidRDefault="00581732" w:rsidP="00581732">
            <w:pPr>
              <w:jc w:val="both"/>
              <w:rPr>
                <w:sz w:val="22"/>
                <w:szCs w:val="22"/>
              </w:rPr>
            </w:pPr>
          </w:p>
          <w:p w14:paraId="6F97D981" w14:textId="77777777" w:rsidR="00581732" w:rsidRPr="00EC008D" w:rsidRDefault="00581732" w:rsidP="00581732">
            <w:pPr>
              <w:jc w:val="both"/>
              <w:rPr>
                <w:sz w:val="22"/>
                <w:szCs w:val="22"/>
              </w:rPr>
            </w:pPr>
          </w:p>
          <w:p w14:paraId="2F80165C" w14:textId="77777777" w:rsidR="00581732" w:rsidRPr="00EC008D" w:rsidRDefault="00581732" w:rsidP="00581732">
            <w:pPr>
              <w:jc w:val="both"/>
              <w:rPr>
                <w:sz w:val="22"/>
                <w:szCs w:val="22"/>
              </w:rPr>
            </w:pPr>
          </w:p>
          <w:p w14:paraId="5FE6A1DC" w14:textId="77777777" w:rsidR="00581732" w:rsidRPr="00EC008D" w:rsidRDefault="00581732" w:rsidP="00581732">
            <w:pPr>
              <w:jc w:val="both"/>
              <w:rPr>
                <w:sz w:val="22"/>
                <w:szCs w:val="22"/>
              </w:rPr>
            </w:pPr>
          </w:p>
        </w:tc>
      </w:tr>
    </w:tbl>
    <w:p w14:paraId="7927F09A" w14:textId="77777777" w:rsidR="00581732" w:rsidRPr="00EC008D" w:rsidRDefault="00581732" w:rsidP="00581732">
      <w:pPr>
        <w:jc w:val="both"/>
        <w:rPr>
          <w:sz w:val="22"/>
          <w:szCs w:val="22"/>
        </w:rPr>
      </w:pPr>
    </w:p>
    <w:p w14:paraId="0C463B89" w14:textId="77777777" w:rsidR="0075387D" w:rsidRDefault="0075387D">
      <w:pPr>
        <w:rPr>
          <w:sz w:val="22"/>
          <w:szCs w:val="22"/>
        </w:rPr>
      </w:pPr>
      <w:r>
        <w:rPr>
          <w:sz w:val="22"/>
          <w:szCs w:val="22"/>
        </w:rPr>
        <w:br w:type="page"/>
      </w:r>
    </w:p>
    <w:p w14:paraId="7D66A658" w14:textId="77777777" w:rsidR="00581732" w:rsidRPr="00EC008D" w:rsidRDefault="00581732" w:rsidP="00581732">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581732" w:rsidRPr="00EC008D" w14:paraId="70D4392C" w14:textId="77777777" w:rsidTr="003B59DF">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14:paraId="66088B48" w14:textId="3151E940" w:rsidR="00581732" w:rsidRPr="00EC008D" w:rsidRDefault="00581732" w:rsidP="00EC4589">
            <w:pPr>
              <w:jc w:val="center"/>
              <w:rPr>
                <w:b/>
                <w:sz w:val="22"/>
                <w:szCs w:val="22"/>
              </w:rPr>
            </w:pPr>
            <w:r w:rsidRPr="00EC008D">
              <w:rPr>
                <w:b/>
                <w:sz w:val="22"/>
                <w:szCs w:val="22"/>
              </w:rPr>
              <w:t xml:space="preserve">Other Potentially Direct and Material Laws and Regulations (OCS </w:t>
            </w:r>
            <w:r w:rsidR="00203C74" w:rsidRPr="10E1CF9C">
              <w:rPr>
                <w:b/>
                <w:bCs/>
                <w:sz w:val="22"/>
                <w:szCs w:val="22"/>
              </w:rPr>
              <w:t>Chapter</w:t>
            </w:r>
            <w:r w:rsidR="00203C74">
              <w:rPr>
                <w:b/>
                <w:bCs/>
                <w:sz w:val="22"/>
                <w:szCs w:val="22"/>
              </w:rPr>
              <w:t>s</w:t>
            </w:r>
            <w:r w:rsidRPr="002F6486">
              <w:rPr>
                <w:b/>
                <w:sz w:val="22"/>
                <w:szCs w:val="22"/>
              </w:rPr>
              <w:t xml:space="preserve"> </w:t>
            </w:r>
            <w:r w:rsidRPr="00002B69">
              <w:rPr>
                <w:b/>
                <w:sz w:val="22"/>
                <w:szCs w:val="22"/>
              </w:rPr>
              <w:t xml:space="preserve">1 </w:t>
            </w:r>
            <w:r w:rsidR="00203C74" w:rsidRPr="00002B69">
              <w:rPr>
                <w:b/>
                <w:sz w:val="22"/>
                <w:szCs w:val="22"/>
              </w:rPr>
              <w:t>&amp; 4A</w:t>
            </w:r>
            <w:r w:rsidRPr="00002B69">
              <w:rPr>
                <w:b/>
                <w:sz w:val="22"/>
                <w:szCs w:val="22"/>
              </w:rPr>
              <w:t>)</w:t>
            </w:r>
          </w:p>
        </w:tc>
      </w:tr>
      <w:tr w:rsidR="00581732" w:rsidRPr="00EC008D" w14:paraId="62189E57" w14:textId="77777777" w:rsidTr="003B59DF">
        <w:tc>
          <w:tcPr>
            <w:tcW w:w="5940" w:type="dxa"/>
            <w:tcBorders>
              <w:top w:val="single" w:sz="4" w:space="0" w:color="auto"/>
              <w:left w:val="double" w:sz="4" w:space="0" w:color="auto"/>
            </w:tcBorders>
            <w:shd w:val="clear" w:color="auto" w:fill="D9D9D9" w:themeFill="background1" w:themeFillShade="D9"/>
          </w:tcPr>
          <w:p w14:paraId="18A23C08" w14:textId="77777777" w:rsidR="00581732" w:rsidRPr="00EC008D" w:rsidRDefault="00581732" w:rsidP="00581732">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14:paraId="22E5B9E0" w14:textId="77777777" w:rsidR="00581732" w:rsidRPr="00EC008D" w:rsidRDefault="00581732" w:rsidP="00581732">
            <w:pPr>
              <w:jc w:val="center"/>
              <w:rPr>
                <w:b/>
                <w:sz w:val="22"/>
                <w:szCs w:val="22"/>
              </w:rPr>
            </w:pPr>
            <w:r w:rsidRPr="00EC008D">
              <w:rPr>
                <w:b/>
                <w:sz w:val="22"/>
                <w:szCs w:val="22"/>
              </w:rPr>
              <w:t>Comments</w:t>
            </w:r>
          </w:p>
        </w:tc>
      </w:tr>
      <w:tr w:rsidR="00581732" w:rsidRPr="00EC008D" w14:paraId="1675853F" w14:textId="77777777" w:rsidTr="00581732">
        <w:tc>
          <w:tcPr>
            <w:tcW w:w="5940" w:type="dxa"/>
            <w:tcBorders>
              <w:top w:val="single" w:sz="4" w:space="0" w:color="auto"/>
              <w:left w:val="double" w:sz="4" w:space="0" w:color="auto"/>
              <w:bottom w:val="single" w:sz="4" w:space="0" w:color="auto"/>
            </w:tcBorders>
          </w:tcPr>
          <w:p w14:paraId="657F52E2" w14:textId="77777777" w:rsidR="00581732" w:rsidRPr="00EC008D" w:rsidRDefault="00581732" w:rsidP="00581732">
            <w:pPr>
              <w:jc w:val="both"/>
              <w:rPr>
                <w:sz w:val="22"/>
                <w:szCs w:val="22"/>
              </w:rPr>
            </w:pPr>
          </w:p>
          <w:p w14:paraId="609B9BCA" w14:textId="77777777" w:rsidR="00581732" w:rsidRPr="00EC008D" w:rsidRDefault="00581732" w:rsidP="00581732">
            <w:pPr>
              <w:jc w:val="both"/>
              <w:rPr>
                <w:b/>
                <w:sz w:val="22"/>
                <w:szCs w:val="22"/>
              </w:rPr>
            </w:pPr>
            <w:r w:rsidRPr="00EC008D">
              <w:rPr>
                <w:b/>
                <w:sz w:val="22"/>
                <w:szCs w:val="22"/>
              </w:rPr>
              <w:t>Points of Focus</w:t>
            </w:r>
          </w:p>
          <w:p w14:paraId="4CB47F9B" w14:textId="77777777" w:rsidR="00581732" w:rsidRPr="00EC008D" w:rsidRDefault="00581732" w:rsidP="00581732">
            <w:pPr>
              <w:jc w:val="both"/>
              <w:rPr>
                <w:sz w:val="22"/>
                <w:szCs w:val="22"/>
              </w:rPr>
            </w:pPr>
          </w:p>
          <w:p w14:paraId="43903460" w14:textId="77777777" w:rsidR="00581732" w:rsidRPr="00EC008D" w:rsidRDefault="00581732" w:rsidP="007955DE">
            <w:pPr>
              <w:numPr>
                <w:ilvl w:val="0"/>
                <w:numId w:val="30"/>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14:paraId="0E362344" w14:textId="77777777" w:rsidR="00581732" w:rsidRPr="00EC008D" w:rsidRDefault="00581732" w:rsidP="007955DE">
            <w:pPr>
              <w:numPr>
                <w:ilvl w:val="0"/>
                <w:numId w:val="30"/>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sidR="00EA5798">
              <w:rPr>
                <w:i/>
                <w:sz w:val="22"/>
                <w:szCs w:val="22"/>
              </w:rPr>
              <w:t xml:space="preserve"> costs, especially</w:t>
            </w:r>
            <w:r w:rsidRPr="00EC008D">
              <w:rPr>
                <w:i/>
                <w:sz w:val="22"/>
                <w:szCs w:val="22"/>
              </w:rPr>
              <w:t xml:space="preserve"> </w:t>
            </w:r>
            <w:r w:rsidRPr="00472C86">
              <w:rPr>
                <w:i/>
                <w:sz w:val="22"/>
                <w:szCs w:val="22"/>
              </w:rPr>
              <w:t xml:space="preserve">closure or </w:t>
            </w:r>
            <w:r w:rsidR="009D7632" w:rsidRPr="00472C86">
              <w:rPr>
                <w:i/>
                <w:sz w:val="22"/>
                <w:szCs w:val="22"/>
              </w:rPr>
              <w:t>post closure</w:t>
            </w:r>
            <w:r w:rsidRPr="00EC008D">
              <w:rPr>
                <w:i/>
                <w:sz w:val="22"/>
                <w:szCs w:val="22"/>
              </w:rPr>
              <w:t xml:space="preserve"> costs.</w:t>
            </w:r>
          </w:p>
          <w:p w14:paraId="4DF399C1" w14:textId="77777777" w:rsidR="00581732" w:rsidRDefault="00581732" w:rsidP="007955DE">
            <w:pPr>
              <w:numPr>
                <w:ilvl w:val="0"/>
                <w:numId w:val="30"/>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14:paraId="155E67D8" w14:textId="145871B4" w:rsidR="00581732" w:rsidRPr="00EC008D" w:rsidRDefault="00581732" w:rsidP="007955DE">
            <w:pPr>
              <w:numPr>
                <w:ilvl w:val="0"/>
                <w:numId w:val="30"/>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w:t>
            </w:r>
            <w:r w:rsidR="004A6760">
              <w:rPr>
                <w:i/>
                <w:sz w:val="22"/>
                <w:szCs w:val="22"/>
              </w:rPr>
              <w:t xml:space="preserve"> </w:t>
            </w:r>
            <w:r w:rsidR="004A6760" w:rsidRPr="004A6760">
              <w:rPr>
                <w:i/>
                <w:sz w:val="22"/>
                <w:szCs w:val="22"/>
                <w:u w:val="wave"/>
              </w:rPr>
              <w:t>FTE</w:t>
            </w:r>
            <w:r>
              <w:rPr>
                <w:i/>
                <w:sz w:val="22"/>
                <w:szCs w:val="22"/>
              </w:rPr>
              <w:t xml:space="preserve"> </w:t>
            </w:r>
            <w:r w:rsidRPr="004A6760">
              <w:rPr>
                <w:i/>
                <w:strike/>
                <w:sz w:val="22"/>
                <w:szCs w:val="22"/>
              </w:rPr>
              <w:t>ADM</w:t>
            </w:r>
            <w:r>
              <w:rPr>
                <w:i/>
                <w:sz w:val="22"/>
                <w:szCs w:val="22"/>
              </w:rPr>
              <w:t xml:space="preserve"> student counts.</w:t>
            </w:r>
          </w:p>
          <w:p w14:paraId="61C27E11" w14:textId="77777777" w:rsidR="00581732" w:rsidRPr="00EC008D" w:rsidRDefault="00581732" w:rsidP="00581732">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14:paraId="7D6B3FA5" w14:textId="77777777" w:rsidR="00581732" w:rsidRPr="00EC008D" w:rsidRDefault="00581732" w:rsidP="00581732">
            <w:pPr>
              <w:jc w:val="both"/>
              <w:rPr>
                <w:sz w:val="22"/>
                <w:szCs w:val="22"/>
              </w:rPr>
            </w:pPr>
          </w:p>
        </w:tc>
      </w:tr>
      <w:tr w:rsidR="00581732" w:rsidRPr="00EC008D" w14:paraId="045E3D1C" w14:textId="77777777" w:rsidTr="00581732">
        <w:tc>
          <w:tcPr>
            <w:tcW w:w="9540" w:type="dxa"/>
            <w:gridSpan w:val="2"/>
            <w:tcBorders>
              <w:top w:val="single" w:sz="4" w:space="0" w:color="auto"/>
              <w:left w:val="double" w:sz="4" w:space="0" w:color="auto"/>
              <w:bottom w:val="double" w:sz="4" w:space="0" w:color="auto"/>
              <w:right w:val="double" w:sz="4" w:space="0" w:color="auto"/>
            </w:tcBorders>
          </w:tcPr>
          <w:p w14:paraId="35856F5F" w14:textId="77777777" w:rsidR="00581732" w:rsidRPr="00EC008D" w:rsidRDefault="00581732" w:rsidP="00581732">
            <w:pPr>
              <w:jc w:val="both"/>
              <w:rPr>
                <w:sz w:val="22"/>
                <w:szCs w:val="22"/>
              </w:rPr>
            </w:pPr>
            <w:r w:rsidRPr="00EC008D">
              <w:rPr>
                <w:b/>
                <w:sz w:val="22"/>
                <w:szCs w:val="22"/>
              </w:rPr>
              <w:t>Audit implications and/or management comments</w:t>
            </w:r>
            <w:r w:rsidRPr="00EC008D">
              <w:rPr>
                <w:sz w:val="22"/>
                <w:szCs w:val="22"/>
              </w:rPr>
              <w:t>:</w:t>
            </w:r>
          </w:p>
          <w:p w14:paraId="5B0E4CCD" w14:textId="77777777" w:rsidR="00581732" w:rsidRPr="00EC008D" w:rsidRDefault="00581732" w:rsidP="00581732">
            <w:pPr>
              <w:jc w:val="both"/>
              <w:rPr>
                <w:sz w:val="22"/>
                <w:szCs w:val="22"/>
              </w:rPr>
            </w:pPr>
          </w:p>
          <w:p w14:paraId="4EA544A4" w14:textId="77777777" w:rsidR="00581732" w:rsidRPr="00EC008D" w:rsidRDefault="00581732" w:rsidP="00581732">
            <w:pPr>
              <w:jc w:val="both"/>
              <w:rPr>
                <w:sz w:val="22"/>
                <w:szCs w:val="22"/>
              </w:rPr>
            </w:pPr>
          </w:p>
          <w:p w14:paraId="35471E32" w14:textId="77777777" w:rsidR="00581732" w:rsidRPr="00EC008D" w:rsidRDefault="00581732" w:rsidP="00581732">
            <w:pPr>
              <w:jc w:val="both"/>
              <w:rPr>
                <w:sz w:val="22"/>
                <w:szCs w:val="22"/>
              </w:rPr>
            </w:pPr>
          </w:p>
        </w:tc>
      </w:tr>
    </w:tbl>
    <w:p w14:paraId="2E5AFF97" w14:textId="77777777" w:rsidR="0075387D" w:rsidRDefault="0075387D" w:rsidP="00581732">
      <w:pPr>
        <w:jc w:val="both"/>
        <w:rPr>
          <w:sz w:val="22"/>
          <w:szCs w:val="22"/>
        </w:rPr>
      </w:pPr>
    </w:p>
    <w:p w14:paraId="740C01F8" w14:textId="77777777" w:rsidR="00124E88" w:rsidRDefault="00124E88">
      <w:r>
        <w:br w:type="page"/>
      </w:r>
    </w:p>
    <w:p w14:paraId="0BB47731" w14:textId="77777777" w:rsidR="00271B7B" w:rsidRDefault="00271B7B" w:rsidP="0075387D">
      <w:pPr>
        <w:sectPr w:rsidR="00271B7B" w:rsidSect="002A3762">
          <w:headerReference w:type="default" r:id="rId150"/>
          <w:type w:val="continuous"/>
          <w:pgSz w:w="12240" w:h="15840"/>
          <w:pgMar w:top="1152" w:right="1152" w:bottom="720" w:left="1152" w:header="720" w:footer="720" w:gutter="0"/>
          <w:cols w:space="720"/>
          <w:noEndnote/>
        </w:sectPr>
      </w:pPr>
    </w:p>
    <w:p w14:paraId="1F06F50E" w14:textId="71E4BA24" w:rsidR="00581732" w:rsidRPr="00EC008D" w:rsidRDefault="001278A4" w:rsidP="00621F8F">
      <w:pPr>
        <w:pStyle w:val="Subtitle"/>
        <w:shd w:val="clear" w:color="auto" w:fill="A6A6A6" w:themeFill="background1" w:themeFillShade="A6"/>
      </w:pPr>
      <w:bookmarkStart w:id="55" w:name="_Toc214431147"/>
      <w:r>
        <w:t>Exhibit 4</w:t>
      </w:r>
      <w:r w:rsidR="00581732">
        <w:t xml:space="preserve"> – </w:t>
      </w:r>
      <w:r w:rsidR="001D4946">
        <w:t>Changes in</w:t>
      </w:r>
      <w:r w:rsidR="00581732">
        <w:t xml:space="preserve"> Compensation</w:t>
      </w:r>
      <w:r w:rsidR="00BB7E6D">
        <w:t xml:space="preserve"> </w:t>
      </w:r>
      <w:r w:rsidR="00BB7E6D" w:rsidRPr="00C909C3">
        <w:rPr>
          <w:i/>
          <w:iCs/>
        </w:rPr>
        <w:t>(Applies to Section 1-23</w:t>
      </w:r>
      <w:r w:rsidR="00367E6C" w:rsidRPr="00C909C3">
        <w:rPr>
          <w:i/>
          <w:iCs/>
        </w:rPr>
        <w:t xml:space="preserve"> &amp; 3-3</w:t>
      </w:r>
      <w:r w:rsidR="00BB7E6D" w:rsidRPr="00C909C3">
        <w:rPr>
          <w:i/>
          <w:iCs/>
        </w:rPr>
        <w:t>)</w:t>
      </w:r>
      <w:bookmarkEnd w:id="55"/>
    </w:p>
    <w:p w14:paraId="68F3E47D" w14:textId="62C2FA54" w:rsidR="00581732" w:rsidRDefault="00581732" w:rsidP="00581732">
      <w:pPr>
        <w:jc w:val="both"/>
        <w:rPr>
          <w:sz w:val="22"/>
          <w:szCs w:val="22"/>
        </w:rPr>
      </w:pPr>
    </w:p>
    <w:p w14:paraId="77FD911B" w14:textId="2F289445" w:rsidR="00775F1E" w:rsidRPr="00387DA7" w:rsidRDefault="00775F1E" w:rsidP="00637CF7">
      <w:pPr>
        <w:pStyle w:val="BodyText"/>
        <w:spacing w:before="2"/>
        <w:ind w:right="306"/>
        <w:jc w:val="both"/>
        <w:rPr>
          <w:sz w:val="22"/>
          <w:szCs w:val="22"/>
        </w:rPr>
      </w:pPr>
      <w:r w:rsidRPr="00387DA7">
        <w:rPr>
          <w:sz w:val="22"/>
          <w:szCs w:val="22"/>
        </w:rPr>
        <w:t xml:space="preserve">Ohio Const. Art. II, Section 20 provides a prohibition on in-term compensation changes for public officers, both increases and decreases.  Reviewing changes in an officials’ compensation can be very complicated because a complete review of whether an elected official received the proper compensation may require analysis of several Ohio statutes (including the Ohio ethics laws), the Ohio Constitution, a charter (if applicable), case law, and Ohio Attorney General Opinions.  Compensation is comprised of both salary </w:t>
      </w:r>
      <w:proofErr w:type="gramStart"/>
      <w:r w:rsidRPr="00387DA7">
        <w:rPr>
          <w:sz w:val="22"/>
          <w:szCs w:val="22"/>
        </w:rPr>
        <w:t>or</w:t>
      </w:r>
      <w:proofErr w:type="gramEnd"/>
      <w:r w:rsidRPr="00387DA7">
        <w:rPr>
          <w:sz w:val="22"/>
          <w:szCs w:val="22"/>
        </w:rPr>
        <w:t xml:space="preserve"> wage and benefits.  </w:t>
      </w:r>
    </w:p>
    <w:p w14:paraId="55B4ADD8" w14:textId="77777777" w:rsidR="00775F1E" w:rsidRPr="00387DA7" w:rsidRDefault="00775F1E" w:rsidP="00637CF7">
      <w:pPr>
        <w:pStyle w:val="BodyText"/>
        <w:ind w:right="306"/>
        <w:jc w:val="both"/>
        <w:rPr>
          <w:b/>
          <w:i/>
          <w:sz w:val="22"/>
          <w:szCs w:val="22"/>
        </w:rPr>
      </w:pPr>
    </w:p>
    <w:p w14:paraId="0F7E2D2F" w14:textId="77777777" w:rsidR="00775F1E" w:rsidRPr="00387DA7" w:rsidRDefault="00775F1E" w:rsidP="00637CF7">
      <w:pPr>
        <w:pStyle w:val="BodyText"/>
        <w:spacing w:before="11"/>
        <w:ind w:right="306"/>
        <w:jc w:val="both"/>
        <w:rPr>
          <w:sz w:val="22"/>
          <w:szCs w:val="22"/>
          <w:u w:val="single"/>
        </w:rPr>
      </w:pPr>
      <w:r w:rsidRPr="00387DA7">
        <w:rPr>
          <w:sz w:val="22"/>
          <w:szCs w:val="22"/>
        </w:rPr>
        <w:t>This Exhibit provides some general guidance on how to work through changes in salary or wages of township trustees and township fiscal officers.  A change in any other benefit that is part of compensation may also be subject to the prohibitions of Ohio Const. Art. II, Section 20.  Auditors should obtain legal advice to assist in a determination of whether the constitution was violated by a change in compensation.</w:t>
      </w:r>
    </w:p>
    <w:p w14:paraId="76982542" w14:textId="77777777" w:rsidR="00775F1E" w:rsidRPr="00387DA7" w:rsidRDefault="00775F1E" w:rsidP="00637CF7">
      <w:pPr>
        <w:pStyle w:val="BodyText"/>
        <w:spacing w:before="11"/>
        <w:ind w:right="306"/>
        <w:jc w:val="both"/>
        <w:rPr>
          <w:sz w:val="22"/>
          <w:szCs w:val="22"/>
          <w:u w:val="single"/>
        </w:rPr>
      </w:pPr>
    </w:p>
    <w:p w14:paraId="45DA563A" w14:textId="77777777" w:rsidR="00775F1E" w:rsidRPr="00387DA7" w:rsidRDefault="00775F1E" w:rsidP="00637CF7">
      <w:pPr>
        <w:pStyle w:val="BodyText"/>
        <w:spacing w:before="11"/>
        <w:ind w:right="306"/>
        <w:jc w:val="both"/>
        <w:rPr>
          <w:sz w:val="22"/>
          <w:szCs w:val="22"/>
          <w:u w:val="single"/>
        </w:rPr>
      </w:pPr>
      <w:r w:rsidRPr="00387DA7">
        <w:rPr>
          <w:sz w:val="22"/>
          <w:szCs w:val="22"/>
          <w:u w:val="single"/>
        </w:rPr>
        <w:t>Township Trustees and Fiscal Officers</w:t>
      </w:r>
    </w:p>
    <w:p w14:paraId="642AD5A5" w14:textId="77777777" w:rsidR="00775F1E" w:rsidRPr="00387DA7" w:rsidRDefault="00775F1E" w:rsidP="00637CF7">
      <w:pPr>
        <w:pStyle w:val="BodyText"/>
        <w:spacing w:before="11"/>
        <w:ind w:right="306"/>
        <w:jc w:val="both"/>
        <w:rPr>
          <w:sz w:val="22"/>
          <w:szCs w:val="22"/>
        </w:rPr>
      </w:pPr>
      <w:r w:rsidRPr="00387DA7">
        <w:rPr>
          <w:sz w:val="22"/>
          <w:szCs w:val="22"/>
        </w:rPr>
        <w:t xml:space="preserve">Generally, a change in a township officer’s salary or wage is prohibited if the change results from (1) direct legislative action that (2) alters the formula setting the officer’s compensation that existed when the term of office began. Therefore, where a statute setting forth the formula for the compensation of an officer is effective before the commencement of such officer's term, any salary increase which results from a change in one of the factors used by the existing statute to calculate the compensation would not be prohibited by Ohio Const. Art. II, Section 20 when paid to the officer while in term. </w:t>
      </w:r>
    </w:p>
    <w:p w14:paraId="5A530E54" w14:textId="77777777" w:rsidR="00775F1E" w:rsidRPr="00387DA7" w:rsidRDefault="00775F1E" w:rsidP="00637CF7">
      <w:pPr>
        <w:pStyle w:val="BodyText"/>
        <w:spacing w:before="11"/>
        <w:ind w:right="306"/>
        <w:jc w:val="both"/>
        <w:rPr>
          <w:sz w:val="22"/>
          <w:szCs w:val="22"/>
        </w:rPr>
      </w:pPr>
    </w:p>
    <w:p w14:paraId="3F59A23A" w14:textId="3705FBDF" w:rsidR="00775F1E" w:rsidRPr="00387DA7" w:rsidRDefault="00775F1E" w:rsidP="00637CF7">
      <w:pPr>
        <w:pStyle w:val="BodyText"/>
        <w:spacing w:before="11"/>
        <w:ind w:right="306"/>
        <w:jc w:val="both"/>
        <w:rPr>
          <w:sz w:val="22"/>
          <w:szCs w:val="22"/>
        </w:rPr>
      </w:pPr>
      <w:r w:rsidRPr="00387DA7">
        <w:rPr>
          <w:sz w:val="22"/>
          <w:szCs w:val="22"/>
        </w:rPr>
        <w:t>When reviewing the legality of a change in a township fiscal officer’s salary under O</w:t>
      </w:r>
      <w:r w:rsidR="00580967" w:rsidRPr="00387DA7">
        <w:rPr>
          <w:sz w:val="22"/>
          <w:szCs w:val="22"/>
        </w:rPr>
        <w:t xml:space="preserve">hio </w:t>
      </w:r>
      <w:r w:rsidRPr="00387DA7">
        <w:rPr>
          <w:sz w:val="22"/>
          <w:szCs w:val="22"/>
        </w:rPr>
        <w:t>R</w:t>
      </w:r>
      <w:r w:rsidR="00580967" w:rsidRPr="00387DA7">
        <w:rPr>
          <w:sz w:val="22"/>
          <w:szCs w:val="22"/>
        </w:rPr>
        <w:t xml:space="preserve">ev. </w:t>
      </w:r>
      <w:r w:rsidRPr="00387DA7">
        <w:rPr>
          <w:sz w:val="22"/>
          <w:szCs w:val="22"/>
        </w:rPr>
        <w:t>C</w:t>
      </w:r>
      <w:r w:rsidR="00580967" w:rsidRPr="00387DA7">
        <w:rPr>
          <w:sz w:val="22"/>
          <w:szCs w:val="22"/>
        </w:rPr>
        <w:t xml:space="preserve">ode </w:t>
      </w:r>
      <w:r w:rsidR="00580967" w:rsidRPr="00387DA7">
        <w:rPr>
          <w:bCs/>
          <w:sz w:val="22"/>
          <w:szCs w:val="22"/>
        </w:rPr>
        <w:t>§</w:t>
      </w:r>
      <w:r w:rsidRPr="00387DA7">
        <w:rPr>
          <w:sz w:val="22"/>
          <w:szCs w:val="22"/>
        </w:rPr>
        <w:t xml:space="preserve"> 507.09, three steps should be followed: </w:t>
      </w:r>
    </w:p>
    <w:p w14:paraId="6CB1729E" w14:textId="77777777" w:rsidR="00775F1E" w:rsidRPr="00387DA7" w:rsidRDefault="00775F1E" w:rsidP="00701DA6">
      <w:pPr>
        <w:pStyle w:val="BodyText"/>
        <w:widowControl w:val="0"/>
        <w:numPr>
          <w:ilvl w:val="0"/>
          <w:numId w:val="49"/>
        </w:numPr>
        <w:autoSpaceDE w:val="0"/>
        <w:autoSpaceDN w:val="0"/>
        <w:spacing w:before="11"/>
        <w:ind w:right="306"/>
        <w:jc w:val="both"/>
        <w:rPr>
          <w:sz w:val="22"/>
          <w:szCs w:val="22"/>
        </w:rPr>
      </w:pPr>
      <w:r w:rsidRPr="00387DA7">
        <w:rPr>
          <w:sz w:val="22"/>
          <w:szCs w:val="22"/>
        </w:rPr>
        <w:t xml:space="preserve">identify the term of </w:t>
      </w:r>
      <w:proofErr w:type="gramStart"/>
      <w:r w:rsidRPr="00387DA7">
        <w:rPr>
          <w:sz w:val="22"/>
          <w:szCs w:val="22"/>
        </w:rPr>
        <w:t>office;</w:t>
      </w:r>
      <w:proofErr w:type="gramEnd"/>
      <w:r w:rsidRPr="00387DA7">
        <w:rPr>
          <w:sz w:val="22"/>
          <w:szCs w:val="22"/>
        </w:rPr>
        <w:t xml:space="preserve"> </w:t>
      </w:r>
    </w:p>
    <w:p w14:paraId="6E8718A6" w14:textId="77777777" w:rsidR="00775F1E" w:rsidRPr="00387DA7" w:rsidRDefault="00775F1E" w:rsidP="00701DA6">
      <w:pPr>
        <w:pStyle w:val="BodyText"/>
        <w:widowControl w:val="0"/>
        <w:numPr>
          <w:ilvl w:val="0"/>
          <w:numId w:val="49"/>
        </w:numPr>
        <w:autoSpaceDE w:val="0"/>
        <w:autoSpaceDN w:val="0"/>
        <w:spacing w:before="11"/>
        <w:ind w:right="306"/>
        <w:jc w:val="both"/>
        <w:rPr>
          <w:sz w:val="22"/>
          <w:szCs w:val="22"/>
        </w:rPr>
      </w:pPr>
      <w:r w:rsidRPr="00387DA7">
        <w:rPr>
          <w:sz w:val="22"/>
          <w:szCs w:val="22"/>
        </w:rPr>
        <w:t>identify the legislation setting the salary as it existed at the start of the officer’s term of office; and</w:t>
      </w:r>
    </w:p>
    <w:p w14:paraId="4FC97EE2" w14:textId="366AC88C" w:rsidR="00775F1E" w:rsidRPr="00387DA7" w:rsidRDefault="00775F1E" w:rsidP="00701DA6">
      <w:pPr>
        <w:pStyle w:val="BodyText"/>
        <w:widowControl w:val="0"/>
        <w:numPr>
          <w:ilvl w:val="0"/>
          <w:numId w:val="49"/>
        </w:numPr>
        <w:autoSpaceDE w:val="0"/>
        <w:autoSpaceDN w:val="0"/>
        <w:spacing w:before="11"/>
        <w:ind w:right="306"/>
        <w:jc w:val="both"/>
        <w:rPr>
          <w:sz w:val="22"/>
          <w:szCs w:val="22"/>
        </w:rPr>
      </w:pPr>
      <w:r w:rsidRPr="00387DA7">
        <w:rPr>
          <w:sz w:val="22"/>
          <w:szCs w:val="22"/>
        </w:rPr>
        <w:t>determine whether the change is expected by the terms of O</w:t>
      </w:r>
      <w:r w:rsidR="00580967" w:rsidRPr="00387DA7">
        <w:rPr>
          <w:sz w:val="22"/>
          <w:szCs w:val="22"/>
        </w:rPr>
        <w:t xml:space="preserve">hio </w:t>
      </w:r>
      <w:r w:rsidRPr="00387DA7">
        <w:rPr>
          <w:sz w:val="22"/>
          <w:szCs w:val="22"/>
        </w:rPr>
        <w:t>R</w:t>
      </w:r>
      <w:r w:rsidR="00580967" w:rsidRPr="00387DA7">
        <w:rPr>
          <w:sz w:val="22"/>
          <w:szCs w:val="22"/>
        </w:rPr>
        <w:t xml:space="preserve">ev. </w:t>
      </w:r>
      <w:r w:rsidRPr="00387DA7">
        <w:rPr>
          <w:sz w:val="22"/>
          <w:szCs w:val="22"/>
        </w:rPr>
        <w:t>C</w:t>
      </w:r>
      <w:r w:rsidR="00580967" w:rsidRPr="00387DA7">
        <w:rPr>
          <w:sz w:val="22"/>
          <w:szCs w:val="22"/>
        </w:rPr>
        <w:t xml:space="preserve">ode </w:t>
      </w:r>
      <w:r w:rsidR="00580967" w:rsidRPr="00387DA7">
        <w:rPr>
          <w:bCs/>
          <w:sz w:val="22"/>
          <w:szCs w:val="22"/>
        </w:rPr>
        <w:t>§</w:t>
      </w:r>
      <w:r w:rsidRPr="00387DA7">
        <w:rPr>
          <w:sz w:val="22"/>
          <w:szCs w:val="22"/>
        </w:rPr>
        <w:t xml:space="preserve"> 507.09 that was in effect at the start of the fiscal officer’s term of office.  </w:t>
      </w:r>
    </w:p>
    <w:p w14:paraId="00157135" w14:textId="77777777" w:rsidR="00775F1E" w:rsidRPr="00387DA7" w:rsidRDefault="00775F1E" w:rsidP="00637CF7">
      <w:pPr>
        <w:pStyle w:val="BodyText"/>
        <w:spacing w:before="11"/>
        <w:ind w:right="306"/>
        <w:jc w:val="both"/>
        <w:rPr>
          <w:sz w:val="22"/>
          <w:szCs w:val="22"/>
        </w:rPr>
      </w:pPr>
    </w:p>
    <w:p w14:paraId="51A4AE35" w14:textId="77777777" w:rsidR="00775F1E" w:rsidRPr="00387DA7" w:rsidRDefault="00775F1E" w:rsidP="00637CF7">
      <w:pPr>
        <w:pStyle w:val="BodyText"/>
        <w:spacing w:before="11"/>
        <w:ind w:right="306"/>
        <w:jc w:val="both"/>
        <w:rPr>
          <w:sz w:val="22"/>
          <w:szCs w:val="22"/>
        </w:rPr>
      </w:pPr>
      <w:r w:rsidRPr="00387DA7">
        <w:rPr>
          <w:sz w:val="22"/>
          <w:szCs w:val="22"/>
        </w:rPr>
        <w:t xml:space="preserve">If the change is expected by the version of the legislation that was in effect at the start of the term, then the formula has not changed </w:t>
      </w:r>
      <w:proofErr w:type="gramStart"/>
      <w:r w:rsidRPr="00387DA7">
        <w:rPr>
          <w:sz w:val="22"/>
          <w:szCs w:val="22"/>
        </w:rPr>
        <w:t>as a result of</w:t>
      </w:r>
      <w:proofErr w:type="gramEnd"/>
      <w:r w:rsidRPr="00387DA7">
        <w:rPr>
          <w:sz w:val="22"/>
          <w:szCs w:val="22"/>
        </w:rPr>
        <w:t xml:space="preserve"> direct legislative action and a prohibited change in compensation has not occurred.  The following examples outline this rule.</w:t>
      </w:r>
    </w:p>
    <w:p w14:paraId="35BC0AB0" w14:textId="77777777" w:rsidR="00775F1E" w:rsidRPr="00387DA7" w:rsidRDefault="00775F1E" w:rsidP="00637CF7">
      <w:pPr>
        <w:pStyle w:val="BodyText"/>
        <w:spacing w:before="11"/>
        <w:ind w:right="306"/>
        <w:jc w:val="both"/>
        <w:rPr>
          <w:sz w:val="22"/>
          <w:szCs w:val="22"/>
        </w:rPr>
      </w:pPr>
    </w:p>
    <w:p w14:paraId="09F2C47A" w14:textId="5828CDF3" w:rsidR="00775F1E" w:rsidRPr="00387DA7" w:rsidRDefault="00775F1E" w:rsidP="00637CF7">
      <w:pPr>
        <w:pStyle w:val="BodyText"/>
        <w:spacing w:before="11"/>
        <w:ind w:left="720" w:right="306"/>
        <w:jc w:val="both"/>
        <w:rPr>
          <w:sz w:val="22"/>
          <w:szCs w:val="22"/>
        </w:rPr>
      </w:pPr>
      <w:r w:rsidRPr="00387DA7">
        <w:rPr>
          <w:sz w:val="22"/>
          <w:szCs w:val="22"/>
        </w:rPr>
        <w:t>At the start of the township fiscal officer’s term of office, assume the O</w:t>
      </w:r>
      <w:r w:rsidR="00580967" w:rsidRPr="00387DA7">
        <w:rPr>
          <w:sz w:val="22"/>
          <w:szCs w:val="22"/>
        </w:rPr>
        <w:t xml:space="preserve">hio </w:t>
      </w:r>
      <w:r w:rsidRPr="00387DA7">
        <w:rPr>
          <w:sz w:val="22"/>
          <w:szCs w:val="22"/>
        </w:rPr>
        <w:t>R</w:t>
      </w:r>
      <w:r w:rsidR="00580967" w:rsidRPr="00387DA7">
        <w:rPr>
          <w:sz w:val="22"/>
          <w:szCs w:val="22"/>
        </w:rPr>
        <w:t xml:space="preserve">evised </w:t>
      </w:r>
      <w:r w:rsidRPr="00387DA7">
        <w:rPr>
          <w:sz w:val="22"/>
          <w:szCs w:val="22"/>
        </w:rPr>
        <w:t>C</w:t>
      </w:r>
      <w:r w:rsidR="00580967" w:rsidRPr="00387DA7">
        <w:rPr>
          <w:sz w:val="22"/>
          <w:szCs w:val="22"/>
        </w:rPr>
        <w:t>ode</w:t>
      </w:r>
      <w:r w:rsidRPr="00387DA7">
        <w:rPr>
          <w:sz w:val="22"/>
          <w:szCs w:val="22"/>
        </w:rPr>
        <w:t xml:space="preserve"> stated for calendar year 2020, if budget is A, salary is $5,000; if budget is C, salary is $7,000.  This Revised Code language sets the formula for the compensation. The township trustees could adopt a resolution that states “fiscal officer is entitled to the maximum salary permitted by the Revised Code for each year of the officer’s term of office.”  Alternatively, the township trustees could adopt a resolution that states that the fiscal officer shall be paid $5,000 for calendar year 2020 based on the application of the formula in the version of the O</w:t>
      </w:r>
      <w:r w:rsidR="00580967" w:rsidRPr="00387DA7">
        <w:rPr>
          <w:sz w:val="22"/>
          <w:szCs w:val="22"/>
        </w:rPr>
        <w:t xml:space="preserve">hio </w:t>
      </w:r>
      <w:r w:rsidRPr="00387DA7">
        <w:rPr>
          <w:sz w:val="22"/>
          <w:szCs w:val="22"/>
        </w:rPr>
        <w:t>R</w:t>
      </w:r>
      <w:r w:rsidR="00580967" w:rsidRPr="00387DA7">
        <w:rPr>
          <w:sz w:val="22"/>
          <w:szCs w:val="22"/>
        </w:rPr>
        <w:t xml:space="preserve">evised </w:t>
      </w:r>
      <w:r w:rsidRPr="00387DA7">
        <w:rPr>
          <w:sz w:val="22"/>
          <w:szCs w:val="22"/>
        </w:rPr>
        <w:t>C</w:t>
      </w:r>
      <w:r w:rsidR="00580967" w:rsidRPr="00387DA7">
        <w:rPr>
          <w:sz w:val="22"/>
          <w:szCs w:val="22"/>
        </w:rPr>
        <w:t>ode</w:t>
      </w:r>
      <w:r w:rsidRPr="00387DA7">
        <w:rPr>
          <w:sz w:val="22"/>
          <w:szCs w:val="22"/>
        </w:rPr>
        <w:t xml:space="preserve">.  </w:t>
      </w:r>
    </w:p>
    <w:p w14:paraId="41683B2F" w14:textId="77777777" w:rsidR="00775F1E" w:rsidRPr="00387DA7" w:rsidRDefault="00775F1E" w:rsidP="00637CF7">
      <w:pPr>
        <w:pStyle w:val="BodyText"/>
        <w:spacing w:before="11"/>
        <w:ind w:left="720" w:right="306"/>
        <w:jc w:val="both"/>
        <w:rPr>
          <w:sz w:val="22"/>
          <w:szCs w:val="22"/>
        </w:rPr>
      </w:pPr>
    </w:p>
    <w:p w14:paraId="56B3631F" w14:textId="5D73A4A9" w:rsidR="00775F1E" w:rsidRPr="00387DA7" w:rsidRDefault="00775F1E" w:rsidP="00637CF7">
      <w:pPr>
        <w:pStyle w:val="BodyText"/>
        <w:spacing w:before="11"/>
        <w:ind w:left="720" w:right="306"/>
        <w:jc w:val="both"/>
        <w:rPr>
          <w:sz w:val="22"/>
          <w:szCs w:val="22"/>
        </w:rPr>
      </w:pPr>
      <w:r w:rsidRPr="00387DA7">
        <w:rPr>
          <w:sz w:val="22"/>
          <w:szCs w:val="22"/>
        </w:rPr>
        <w:t xml:space="preserve">If in the next year of the fiscal officer’s term of office, the resources of the township increase so that the fiscal officer’s salary is set by the next salary tier, the township could adopt another resolution that sets the compensation at $7,000.  A prohibited in-term change in compensation has not occurred because the resolution simply </w:t>
      </w:r>
      <w:proofErr w:type="gramStart"/>
      <w:r w:rsidRPr="00387DA7">
        <w:rPr>
          <w:sz w:val="22"/>
          <w:szCs w:val="22"/>
        </w:rPr>
        <w:t>applied</w:t>
      </w:r>
      <w:proofErr w:type="gramEnd"/>
      <w:r w:rsidRPr="00387DA7">
        <w:rPr>
          <w:sz w:val="22"/>
          <w:szCs w:val="22"/>
        </w:rPr>
        <w:t xml:space="preserve"> the formula that was in existence at the start of the officer’s term of office.  O</w:t>
      </w:r>
      <w:r w:rsidR="00580967" w:rsidRPr="00387DA7">
        <w:rPr>
          <w:sz w:val="22"/>
          <w:szCs w:val="22"/>
        </w:rPr>
        <w:t xml:space="preserve">hio </w:t>
      </w:r>
      <w:r w:rsidRPr="00387DA7">
        <w:rPr>
          <w:sz w:val="22"/>
          <w:szCs w:val="22"/>
        </w:rPr>
        <w:t>R</w:t>
      </w:r>
      <w:r w:rsidR="00580967" w:rsidRPr="00387DA7">
        <w:rPr>
          <w:sz w:val="22"/>
          <w:szCs w:val="22"/>
        </w:rPr>
        <w:t xml:space="preserve">ev. </w:t>
      </w:r>
      <w:r w:rsidRPr="00387DA7">
        <w:rPr>
          <w:sz w:val="22"/>
          <w:szCs w:val="22"/>
        </w:rPr>
        <w:t>C</w:t>
      </w:r>
      <w:r w:rsidR="00580967" w:rsidRPr="00387DA7">
        <w:rPr>
          <w:sz w:val="22"/>
          <w:szCs w:val="22"/>
        </w:rPr>
        <w:t xml:space="preserve">ode </w:t>
      </w:r>
      <w:r w:rsidR="00580967" w:rsidRPr="00387DA7">
        <w:rPr>
          <w:bCs/>
          <w:sz w:val="22"/>
          <w:szCs w:val="22"/>
        </w:rPr>
        <w:t>§</w:t>
      </w:r>
      <w:r w:rsidRPr="00387DA7">
        <w:rPr>
          <w:sz w:val="22"/>
          <w:szCs w:val="22"/>
        </w:rPr>
        <w:t xml:space="preserve"> 507.09 does not delegate any authority to the township trustees to set the compensation at a rate that is different than the formula specified in the O</w:t>
      </w:r>
      <w:r w:rsidR="00580967" w:rsidRPr="00387DA7">
        <w:rPr>
          <w:sz w:val="22"/>
          <w:szCs w:val="22"/>
        </w:rPr>
        <w:t xml:space="preserve">hio </w:t>
      </w:r>
      <w:r w:rsidRPr="00387DA7">
        <w:rPr>
          <w:sz w:val="22"/>
          <w:szCs w:val="22"/>
        </w:rPr>
        <w:t>R</w:t>
      </w:r>
      <w:r w:rsidR="00580967" w:rsidRPr="00387DA7">
        <w:rPr>
          <w:sz w:val="22"/>
          <w:szCs w:val="22"/>
        </w:rPr>
        <w:t xml:space="preserve">evised </w:t>
      </w:r>
      <w:r w:rsidRPr="00387DA7">
        <w:rPr>
          <w:sz w:val="22"/>
          <w:szCs w:val="22"/>
        </w:rPr>
        <w:t>C</w:t>
      </w:r>
      <w:r w:rsidR="00580967" w:rsidRPr="00387DA7">
        <w:rPr>
          <w:sz w:val="22"/>
          <w:szCs w:val="22"/>
        </w:rPr>
        <w:t>ode</w:t>
      </w:r>
      <w:r w:rsidRPr="00387DA7">
        <w:rPr>
          <w:sz w:val="22"/>
          <w:szCs w:val="22"/>
        </w:rPr>
        <w:t>.  The formula is set by the O</w:t>
      </w:r>
      <w:r w:rsidR="00466A1D" w:rsidRPr="00387DA7">
        <w:rPr>
          <w:sz w:val="22"/>
          <w:szCs w:val="22"/>
        </w:rPr>
        <w:t xml:space="preserve">hio </w:t>
      </w:r>
      <w:r w:rsidRPr="00387DA7">
        <w:rPr>
          <w:sz w:val="22"/>
          <w:szCs w:val="22"/>
        </w:rPr>
        <w:t>R</w:t>
      </w:r>
      <w:r w:rsidR="00466A1D" w:rsidRPr="00387DA7">
        <w:rPr>
          <w:sz w:val="22"/>
          <w:szCs w:val="22"/>
        </w:rPr>
        <w:t xml:space="preserve">evised </w:t>
      </w:r>
      <w:r w:rsidRPr="00387DA7">
        <w:rPr>
          <w:sz w:val="22"/>
          <w:szCs w:val="22"/>
        </w:rPr>
        <w:t>C</w:t>
      </w:r>
      <w:r w:rsidR="00466A1D" w:rsidRPr="00387DA7">
        <w:rPr>
          <w:sz w:val="22"/>
          <w:szCs w:val="22"/>
        </w:rPr>
        <w:t>ode</w:t>
      </w:r>
      <w:r w:rsidRPr="00387DA7">
        <w:rPr>
          <w:sz w:val="22"/>
          <w:szCs w:val="22"/>
        </w:rPr>
        <w:t xml:space="preserve"> and the legislative action taken by the township trustees does not alter the </w:t>
      </w:r>
      <w:proofErr w:type="gramStart"/>
      <w:r w:rsidRPr="00387DA7">
        <w:rPr>
          <w:sz w:val="22"/>
          <w:szCs w:val="22"/>
        </w:rPr>
        <w:t>formula,</w:t>
      </w:r>
      <w:proofErr w:type="gramEnd"/>
      <w:r w:rsidRPr="00387DA7">
        <w:rPr>
          <w:sz w:val="22"/>
          <w:szCs w:val="22"/>
        </w:rPr>
        <w:t xml:space="preserve"> it is merely applying the formula based on changing external factors (the township’s budget).</w:t>
      </w:r>
    </w:p>
    <w:p w14:paraId="3AEE8F6D" w14:textId="77777777" w:rsidR="00775F1E" w:rsidRPr="00387DA7" w:rsidRDefault="00775F1E" w:rsidP="00637CF7">
      <w:pPr>
        <w:pStyle w:val="BodyText"/>
        <w:spacing w:before="11"/>
        <w:ind w:left="720" w:right="306"/>
        <w:jc w:val="both"/>
        <w:rPr>
          <w:sz w:val="22"/>
          <w:szCs w:val="22"/>
        </w:rPr>
      </w:pPr>
    </w:p>
    <w:p w14:paraId="6D012967" w14:textId="4E12011A" w:rsidR="00775F1E" w:rsidRPr="00387DA7" w:rsidRDefault="00775F1E" w:rsidP="00637CF7">
      <w:pPr>
        <w:pStyle w:val="BodyText"/>
        <w:spacing w:before="11"/>
        <w:ind w:left="720" w:right="306"/>
        <w:jc w:val="both"/>
        <w:rPr>
          <w:sz w:val="22"/>
          <w:szCs w:val="22"/>
        </w:rPr>
      </w:pPr>
      <w:r w:rsidRPr="00387DA7">
        <w:rPr>
          <w:sz w:val="22"/>
          <w:szCs w:val="22"/>
        </w:rPr>
        <w:t>However, if the General Assembly amended the O</w:t>
      </w:r>
      <w:r w:rsidR="00580967" w:rsidRPr="00387DA7">
        <w:rPr>
          <w:sz w:val="22"/>
          <w:szCs w:val="22"/>
        </w:rPr>
        <w:t xml:space="preserve">hio </w:t>
      </w:r>
      <w:r w:rsidRPr="00387DA7">
        <w:rPr>
          <w:sz w:val="22"/>
          <w:szCs w:val="22"/>
        </w:rPr>
        <w:t>R</w:t>
      </w:r>
      <w:r w:rsidR="00580967" w:rsidRPr="00387DA7">
        <w:rPr>
          <w:sz w:val="22"/>
          <w:szCs w:val="22"/>
        </w:rPr>
        <w:t xml:space="preserve">evised </w:t>
      </w:r>
      <w:r w:rsidRPr="00387DA7">
        <w:rPr>
          <w:sz w:val="22"/>
          <w:szCs w:val="22"/>
        </w:rPr>
        <w:t>C</w:t>
      </w:r>
      <w:r w:rsidR="00580967" w:rsidRPr="00387DA7">
        <w:rPr>
          <w:sz w:val="22"/>
          <w:szCs w:val="22"/>
        </w:rPr>
        <w:t>ode</w:t>
      </w:r>
      <w:r w:rsidRPr="00387DA7">
        <w:rPr>
          <w:sz w:val="22"/>
          <w:szCs w:val="22"/>
        </w:rPr>
        <w:t xml:space="preserve"> and said if resources are A, salary is $10,000, the fiscal officer’s salary could not be changed in accordance with the new version of the O</w:t>
      </w:r>
      <w:r w:rsidR="00580967" w:rsidRPr="00387DA7">
        <w:rPr>
          <w:sz w:val="22"/>
          <w:szCs w:val="22"/>
        </w:rPr>
        <w:t xml:space="preserve">hio </w:t>
      </w:r>
      <w:r w:rsidRPr="00387DA7">
        <w:rPr>
          <w:sz w:val="22"/>
          <w:szCs w:val="22"/>
        </w:rPr>
        <w:t>R</w:t>
      </w:r>
      <w:r w:rsidR="00580967" w:rsidRPr="00387DA7">
        <w:rPr>
          <w:sz w:val="22"/>
          <w:szCs w:val="22"/>
        </w:rPr>
        <w:t xml:space="preserve">evised </w:t>
      </w:r>
      <w:r w:rsidRPr="00387DA7">
        <w:rPr>
          <w:sz w:val="22"/>
          <w:szCs w:val="22"/>
        </w:rPr>
        <w:t>C</w:t>
      </w:r>
      <w:r w:rsidR="00580967" w:rsidRPr="00387DA7">
        <w:rPr>
          <w:sz w:val="22"/>
          <w:szCs w:val="22"/>
        </w:rPr>
        <w:t>ode</w:t>
      </w:r>
      <w:r w:rsidRPr="00387DA7">
        <w:rPr>
          <w:sz w:val="22"/>
          <w:szCs w:val="22"/>
        </w:rPr>
        <w:t xml:space="preserve">, until the next term of office begins, even if the resolution stated that the fiscal officer’s compensation shall be the maximum salary permitted by the Revised Code.  The township resolution can set the compensation at a different dollar amount, </w:t>
      </w:r>
      <w:proofErr w:type="gramStart"/>
      <w:r w:rsidRPr="00387DA7">
        <w:rPr>
          <w:sz w:val="22"/>
          <w:szCs w:val="22"/>
        </w:rPr>
        <w:t>as long as</w:t>
      </w:r>
      <w:proofErr w:type="gramEnd"/>
      <w:r w:rsidRPr="00387DA7">
        <w:rPr>
          <w:sz w:val="22"/>
          <w:szCs w:val="22"/>
        </w:rPr>
        <w:t xml:space="preserve"> that dollar amount is the result of applying the formula that was established by the original version of the Revised Code that was in effect at the start of the term of office.  If the township were to adopt a resolution that changes </w:t>
      </w:r>
      <w:proofErr w:type="gramStart"/>
      <w:r w:rsidRPr="00387DA7">
        <w:rPr>
          <w:sz w:val="22"/>
          <w:szCs w:val="22"/>
        </w:rPr>
        <w:t>the compensation</w:t>
      </w:r>
      <w:proofErr w:type="gramEnd"/>
      <w:r w:rsidRPr="00387DA7">
        <w:rPr>
          <w:sz w:val="22"/>
          <w:szCs w:val="22"/>
        </w:rPr>
        <w:t xml:space="preserve"> based on the formula in the new version of the statute, there has been direct legislative action that alters the formula and therefore is a prohibited in-term change in compensation.  The formula is changed by direct legislative action at the state and, then consequently, at the local level. </w:t>
      </w:r>
    </w:p>
    <w:p w14:paraId="609E4855" w14:textId="77777777" w:rsidR="00775F1E" w:rsidRPr="00387DA7" w:rsidRDefault="00775F1E" w:rsidP="00637CF7">
      <w:pPr>
        <w:pStyle w:val="BodyText"/>
        <w:spacing w:before="11"/>
        <w:ind w:right="306"/>
        <w:jc w:val="both"/>
        <w:rPr>
          <w:sz w:val="22"/>
          <w:szCs w:val="22"/>
        </w:rPr>
      </w:pPr>
    </w:p>
    <w:p w14:paraId="3349BEB8" w14:textId="709B8601" w:rsidR="00775F1E" w:rsidRPr="00387DA7" w:rsidRDefault="00775F1E" w:rsidP="00637CF7">
      <w:pPr>
        <w:pStyle w:val="BodyText"/>
        <w:spacing w:before="11"/>
        <w:ind w:right="306"/>
        <w:jc w:val="both"/>
        <w:rPr>
          <w:sz w:val="22"/>
          <w:szCs w:val="22"/>
        </w:rPr>
      </w:pPr>
      <w:r w:rsidRPr="00387DA7">
        <w:rPr>
          <w:sz w:val="22"/>
          <w:szCs w:val="22"/>
        </w:rPr>
        <w:t>Turning to a township trustee’s salary, it is important to note the difference between O</w:t>
      </w:r>
      <w:r w:rsidR="00574694" w:rsidRPr="00387DA7">
        <w:rPr>
          <w:sz w:val="22"/>
          <w:szCs w:val="22"/>
        </w:rPr>
        <w:t xml:space="preserve">hio </w:t>
      </w:r>
      <w:r w:rsidRPr="00387DA7">
        <w:rPr>
          <w:sz w:val="22"/>
          <w:szCs w:val="22"/>
        </w:rPr>
        <w:t>R</w:t>
      </w:r>
      <w:r w:rsidR="00574694" w:rsidRPr="00387DA7">
        <w:rPr>
          <w:sz w:val="22"/>
          <w:szCs w:val="22"/>
        </w:rPr>
        <w:t xml:space="preserve">ev. </w:t>
      </w:r>
      <w:r w:rsidRPr="00387DA7">
        <w:rPr>
          <w:sz w:val="22"/>
          <w:szCs w:val="22"/>
        </w:rPr>
        <w:t>C</w:t>
      </w:r>
      <w:r w:rsidR="00574694" w:rsidRPr="00387DA7">
        <w:rPr>
          <w:sz w:val="22"/>
          <w:szCs w:val="22"/>
        </w:rPr>
        <w:t xml:space="preserve">ode </w:t>
      </w:r>
      <w:r w:rsidR="00574694" w:rsidRPr="00387DA7">
        <w:rPr>
          <w:bCs/>
          <w:sz w:val="22"/>
          <w:szCs w:val="22"/>
        </w:rPr>
        <w:t>§§</w:t>
      </w:r>
      <w:r w:rsidRPr="00387DA7">
        <w:rPr>
          <w:sz w:val="22"/>
          <w:szCs w:val="22"/>
        </w:rPr>
        <w:t xml:space="preserve"> 507.09 and O</w:t>
      </w:r>
      <w:r w:rsidR="00580967" w:rsidRPr="00387DA7">
        <w:rPr>
          <w:sz w:val="22"/>
          <w:szCs w:val="22"/>
        </w:rPr>
        <w:t xml:space="preserve">hio </w:t>
      </w:r>
      <w:r w:rsidRPr="00387DA7">
        <w:rPr>
          <w:sz w:val="22"/>
          <w:szCs w:val="22"/>
        </w:rPr>
        <w:t>R</w:t>
      </w:r>
      <w:r w:rsidR="00580967" w:rsidRPr="00387DA7">
        <w:rPr>
          <w:sz w:val="22"/>
          <w:szCs w:val="22"/>
        </w:rPr>
        <w:t xml:space="preserve">ev. </w:t>
      </w:r>
      <w:r w:rsidRPr="00387DA7">
        <w:rPr>
          <w:sz w:val="22"/>
          <w:szCs w:val="22"/>
        </w:rPr>
        <w:t>C</w:t>
      </w:r>
      <w:r w:rsidR="00580967" w:rsidRPr="00387DA7">
        <w:rPr>
          <w:sz w:val="22"/>
          <w:szCs w:val="22"/>
        </w:rPr>
        <w:t xml:space="preserve">ode </w:t>
      </w:r>
      <w:r w:rsidR="00580967" w:rsidRPr="00387DA7">
        <w:rPr>
          <w:bCs/>
          <w:sz w:val="22"/>
          <w:szCs w:val="22"/>
        </w:rPr>
        <w:t>§</w:t>
      </w:r>
      <w:r w:rsidRPr="00387DA7">
        <w:rPr>
          <w:sz w:val="22"/>
          <w:szCs w:val="22"/>
        </w:rPr>
        <w:t xml:space="preserve"> 505.24.  O</w:t>
      </w:r>
      <w:r w:rsidR="00580967" w:rsidRPr="00387DA7">
        <w:rPr>
          <w:sz w:val="22"/>
          <w:szCs w:val="22"/>
        </w:rPr>
        <w:t xml:space="preserve">hio </w:t>
      </w:r>
      <w:r w:rsidRPr="00387DA7">
        <w:rPr>
          <w:sz w:val="22"/>
          <w:szCs w:val="22"/>
        </w:rPr>
        <w:t>R</w:t>
      </w:r>
      <w:r w:rsidR="00580967" w:rsidRPr="00387DA7">
        <w:rPr>
          <w:sz w:val="22"/>
          <w:szCs w:val="22"/>
        </w:rPr>
        <w:t xml:space="preserve">ev. </w:t>
      </w:r>
      <w:r w:rsidRPr="00387DA7">
        <w:rPr>
          <w:sz w:val="22"/>
          <w:szCs w:val="22"/>
        </w:rPr>
        <w:t>C</w:t>
      </w:r>
      <w:r w:rsidR="00580967" w:rsidRPr="00387DA7">
        <w:rPr>
          <w:sz w:val="22"/>
          <w:szCs w:val="22"/>
        </w:rPr>
        <w:t xml:space="preserve">ode </w:t>
      </w:r>
      <w:r w:rsidR="00574694" w:rsidRPr="00387DA7">
        <w:rPr>
          <w:bCs/>
          <w:sz w:val="22"/>
          <w:szCs w:val="22"/>
        </w:rPr>
        <w:t>§</w:t>
      </w:r>
      <w:r w:rsidRPr="00387DA7">
        <w:rPr>
          <w:sz w:val="22"/>
          <w:szCs w:val="22"/>
        </w:rPr>
        <w:t xml:space="preserve"> 505.24 sets a range within which a township trustee shall be paid (a minimum of one per diem payment for one day up to a maximum per diem payment for a maximum number of days based on the township’s budget).  O</w:t>
      </w:r>
      <w:r w:rsidR="00574694" w:rsidRPr="00387DA7">
        <w:rPr>
          <w:sz w:val="22"/>
          <w:szCs w:val="22"/>
        </w:rPr>
        <w:t xml:space="preserve">hio </w:t>
      </w:r>
      <w:r w:rsidRPr="00387DA7">
        <w:rPr>
          <w:sz w:val="22"/>
          <w:szCs w:val="22"/>
        </w:rPr>
        <w:t>R</w:t>
      </w:r>
      <w:r w:rsidR="00574694" w:rsidRPr="00387DA7">
        <w:rPr>
          <w:sz w:val="22"/>
          <w:szCs w:val="22"/>
        </w:rPr>
        <w:t xml:space="preserve">ev. </w:t>
      </w:r>
      <w:r w:rsidRPr="00387DA7">
        <w:rPr>
          <w:sz w:val="22"/>
          <w:szCs w:val="22"/>
        </w:rPr>
        <w:t>C</w:t>
      </w:r>
      <w:r w:rsidR="00574694" w:rsidRPr="00387DA7">
        <w:rPr>
          <w:sz w:val="22"/>
          <w:szCs w:val="22"/>
        </w:rPr>
        <w:t xml:space="preserve">ode </w:t>
      </w:r>
      <w:r w:rsidR="00574694" w:rsidRPr="00387DA7">
        <w:rPr>
          <w:bCs/>
          <w:sz w:val="22"/>
          <w:szCs w:val="22"/>
        </w:rPr>
        <w:t>§</w:t>
      </w:r>
      <w:r w:rsidRPr="00387DA7">
        <w:rPr>
          <w:sz w:val="22"/>
          <w:szCs w:val="22"/>
        </w:rPr>
        <w:t xml:space="preserve"> 505.24 also permits the township trustees to adopt a resolution permitting trustee salaries to be paid on an annual basis, not exceeding the maximum amount that could be paid on a per diem basis.   Accordingly, both the </w:t>
      </w:r>
      <w:r w:rsidR="00574694" w:rsidRPr="00387DA7">
        <w:rPr>
          <w:sz w:val="22"/>
          <w:szCs w:val="22"/>
        </w:rPr>
        <w:t xml:space="preserve">Ohio </w:t>
      </w:r>
      <w:r w:rsidRPr="00387DA7">
        <w:rPr>
          <w:sz w:val="22"/>
          <w:szCs w:val="22"/>
        </w:rPr>
        <w:t xml:space="preserve">Revised Code and the township resolution must be considered when evaluating whether a direct legislative action has altered the formula setting the trustees’ compensation.  </w:t>
      </w:r>
    </w:p>
    <w:p w14:paraId="2F266A84" w14:textId="77777777" w:rsidR="00775F1E" w:rsidRPr="00387DA7" w:rsidRDefault="00775F1E" w:rsidP="00637CF7">
      <w:pPr>
        <w:pStyle w:val="BodyText"/>
        <w:spacing w:before="11"/>
        <w:ind w:right="306"/>
        <w:jc w:val="both"/>
        <w:rPr>
          <w:sz w:val="22"/>
          <w:szCs w:val="22"/>
        </w:rPr>
      </w:pPr>
    </w:p>
    <w:p w14:paraId="6FD12357" w14:textId="51445711" w:rsidR="00775F1E" w:rsidRPr="00387DA7" w:rsidRDefault="00775F1E" w:rsidP="00637CF7">
      <w:pPr>
        <w:pStyle w:val="BodyText"/>
        <w:ind w:right="306"/>
        <w:jc w:val="both"/>
        <w:rPr>
          <w:sz w:val="22"/>
          <w:szCs w:val="22"/>
        </w:rPr>
      </w:pPr>
      <w:r w:rsidRPr="00387DA7">
        <w:rPr>
          <w:sz w:val="22"/>
          <w:szCs w:val="22"/>
        </w:rPr>
        <w:t>When reviewing the legality of a change in a township trustee’s salary under O</w:t>
      </w:r>
      <w:r w:rsidR="00466A1D" w:rsidRPr="00387DA7">
        <w:rPr>
          <w:sz w:val="22"/>
          <w:szCs w:val="22"/>
        </w:rPr>
        <w:t xml:space="preserve">hio </w:t>
      </w:r>
      <w:r w:rsidRPr="00387DA7">
        <w:rPr>
          <w:sz w:val="22"/>
          <w:szCs w:val="22"/>
        </w:rPr>
        <w:t>R</w:t>
      </w:r>
      <w:r w:rsidR="00466A1D" w:rsidRPr="00387DA7">
        <w:rPr>
          <w:sz w:val="22"/>
          <w:szCs w:val="22"/>
        </w:rPr>
        <w:t xml:space="preserve">ev. </w:t>
      </w:r>
      <w:r w:rsidRPr="00387DA7">
        <w:rPr>
          <w:sz w:val="22"/>
          <w:szCs w:val="22"/>
        </w:rPr>
        <w:t>C</w:t>
      </w:r>
      <w:r w:rsidR="00466A1D" w:rsidRPr="00387DA7">
        <w:rPr>
          <w:sz w:val="22"/>
          <w:szCs w:val="22"/>
        </w:rPr>
        <w:t xml:space="preserve">ode </w:t>
      </w:r>
      <w:r w:rsidR="00466A1D" w:rsidRPr="00387DA7">
        <w:rPr>
          <w:bCs/>
          <w:sz w:val="22"/>
          <w:szCs w:val="22"/>
        </w:rPr>
        <w:t>§</w:t>
      </w:r>
      <w:r w:rsidRPr="00387DA7">
        <w:rPr>
          <w:sz w:val="22"/>
          <w:szCs w:val="22"/>
        </w:rPr>
        <w:t xml:space="preserve"> 505.24, the following steps should be followed:</w:t>
      </w:r>
    </w:p>
    <w:p w14:paraId="4545B532" w14:textId="77777777" w:rsidR="00775F1E" w:rsidRPr="00387DA7" w:rsidRDefault="00775F1E" w:rsidP="00637CF7">
      <w:pPr>
        <w:pStyle w:val="BodyText"/>
        <w:ind w:right="306"/>
        <w:jc w:val="both"/>
        <w:rPr>
          <w:sz w:val="22"/>
          <w:szCs w:val="22"/>
        </w:rPr>
      </w:pPr>
    </w:p>
    <w:p w14:paraId="1E450AEB" w14:textId="77777777" w:rsidR="00775F1E" w:rsidRPr="00387DA7" w:rsidRDefault="00775F1E" w:rsidP="00701DA6">
      <w:pPr>
        <w:pStyle w:val="BodyText"/>
        <w:widowControl w:val="0"/>
        <w:numPr>
          <w:ilvl w:val="0"/>
          <w:numId w:val="50"/>
        </w:numPr>
        <w:autoSpaceDE w:val="0"/>
        <w:autoSpaceDN w:val="0"/>
        <w:ind w:right="306"/>
        <w:jc w:val="both"/>
        <w:rPr>
          <w:sz w:val="22"/>
          <w:szCs w:val="22"/>
        </w:rPr>
      </w:pPr>
      <w:r w:rsidRPr="00387DA7">
        <w:rPr>
          <w:sz w:val="22"/>
          <w:szCs w:val="22"/>
        </w:rPr>
        <w:t xml:space="preserve">identify the term of </w:t>
      </w:r>
      <w:proofErr w:type="gramStart"/>
      <w:r w:rsidRPr="00387DA7">
        <w:rPr>
          <w:sz w:val="22"/>
          <w:szCs w:val="22"/>
        </w:rPr>
        <w:t>office;</w:t>
      </w:r>
      <w:proofErr w:type="gramEnd"/>
    </w:p>
    <w:p w14:paraId="59C0A559" w14:textId="77777777" w:rsidR="00775F1E" w:rsidRPr="00387DA7" w:rsidRDefault="00775F1E" w:rsidP="00701DA6">
      <w:pPr>
        <w:pStyle w:val="BodyText"/>
        <w:widowControl w:val="0"/>
        <w:numPr>
          <w:ilvl w:val="0"/>
          <w:numId w:val="50"/>
        </w:numPr>
        <w:autoSpaceDE w:val="0"/>
        <w:autoSpaceDN w:val="0"/>
        <w:ind w:right="306"/>
        <w:jc w:val="both"/>
        <w:rPr>
          <w:sz w:val="22"/>
          <w:szCs w:val="22"/>
        </w:rPr>
      </w:pPr>
      <w:r w:rsidRPr="00387DA7">
        <w:rPr>
          <w:sz w:val="22"/>
          <w:szCs w:val="22"/>
        </w:rPr>
        <w:t xml:space="preserve">identify the version of the statute and the version of the township resolution that were in effect when the trustee’s term of office </w:t>
      </w:r>
      <w:proofErr w:type="gramStart"/>
      <w:r w:rsidRPr="00387DA7">
        <w:rPr>
          <w:sz w:val="22"/>
          <w:szCs w:val="22"/>
        </w:rPr>
        <w:t>began;</w:t>
      </w:r>
      <w:proofErr w:type="gramEnd"/>
    </w:p>
    <w:p w14:paraId="4E942837" w14:textId="273BBAD0" w:rsidR="00775F1E" w:rsidRPr="00387DA7" w:rsidRDefault="00775F1E" w:rsidP="00701DA6">
      <w:pPr>
        <w:pStyle w:val="BodyText"/>
        <w:widowControl w:val="0"/>
        <w:numPr>
          <w:ilvl w:val="0"/>
          <w:numId w:val="50"/>
        </w:numPr>
        <w:autoSpaceDE w:val="0"/>
        <w:autoSpaceDN w:val="0"/>
        <w:ind w:right="306"/>
        <w:jc w:val="both"/>
        <w:rPr>
          <w:sz w:val="22"/>
          <w:szCs w:val="22"/>
        </w:rPr>
      </w:pPr>
      <w:r w:rsidRPr="00387DA7">
        <w:rPr>
          <w:sz w:val="22"/>
          <w:szCs w:val="22"/>
        </w:rPr>
        <w:t>determine whether the increase or decrease is contemplated/anticipated by the version of O</w:t>
      </w:r>
      <w:r w:rsidR="00466A1D" w:rsidRPr="00387DA7">
        <w:rPr>
          <w:sz w:val="22"/>
          <w:szCs w:val="22"/>
        </w:rPr>
        <w:t xml:space="preserve">hio </w:t>
      </w:r>
      <w:r w:rsidRPr="00387DA7">
        <w:rPr>
          <w:sz w:val="22"/>
          <w:szCs w:val="22"/>
        </w:rPr>
        <w:t>R</w:t>
      </w:r>
      <w:r w:rsidR="00466A1D" w:rsidRPr="00387DA7">
        <w:rPr>
          <w:sz w:val="22"/>
          <w:szCs w:val="22"/>
        </w:rPr>
        <w:t xml:space="preserve">ev. </w:t>
      </w:r>
      <w:r w:rsidRPr="00387DA7">
        <w:rPr>
          <w:sz w:val="22"/>
          <w:szCs w:val="22"/>
        </w:rPr>
        <w:t>C</w:t>
      </w:r>
      <w:r w:rsidR="00466A1D" w:rsidRPr="00387DA7">
        <w:rPr>
          <w:sz w:val="22"/>
          <w:szCs w:val="22"/>
        </w:rPr>
        <w:t xml:space="preserve">ode </w:t>
      </w:r>
      <w:r w:rsidR="00466A1D" w:rsidRPr="00387DA7">
        <w:rPr>
          <w:bCs/>
          <w:sz w:val="22"/>
          <w:szCs w:val="22"/>
        </w:rPr>
        <w:t>§</w:t>
      </w:r>
      <w:r w:rsidRPr="00387DA7">
        <w:rPr>
          <w:sz w:val="22"/>
          <w:szCs w:val="22"/>
        </w:rPr>
        <w:t xml:space="preserve"> 505.24 and the version of the township resolution that was in effect at the time the trustee’s term of office began.</w:t>
      </w:r>
    </w:p>
    <w:p w14:paraId="24D79A80" w14:textId="77777777" w:rsidR="00775F1E" w:rsidRPr="00387DA7" w:rsidRDefault="00775F1E" w:rsidP="00637CF7">
      <w:pPr>
        <w:pStyle w:val="BodyText"/>
        <w:ind w:left="132" w:right="306"/>
        <w:jc w:val="both"/>
        <w:rPr>
          <w:sz w:val="22"/>
          <w:szCs w:val="22"/>
        </w:rPr>
      </w:pPr>
    </w:p>
    <w:p w14:paraId="7E4EF624" w14:textId="77777777" w:rsidR="00775F1E" w:rsidRPr="00387DA7" w:rsidRDefault="00775F1E" w:rsidP="00637CF7">
      <w:pPr>
        <w:pStyle w:val="BodyText"/>
        <w:ind w:left="132" w:right="306"/>
        <w:jc w:val="both"/>
        <w:rPr>
          <w:sz w:val="22"/>
          <w:szCs w:val="22"/>
        </w:rPr>
      </w:pPr>
      <w:r w:rsidRPr="00387DA7">
        <w:rPr>
          <w:sz w:val="22"/>
          <w:szCs w:val="22"/>
        </w:rPr>
        <w:t>If the change in compensation was not anticipated by the version of the state or local legislation that existed at the time the term of office began, the change in compensation is not lawful.  The following examples demonstrate application of this rule.</w:t>
      </w:r>
    </w:p>
    <w:p w14:paraId="2B2B2C75" w14:textId="77777777" w:rsidR="00775F1E" w:rsidRPr="00387DA7" w:rsidRDefault="00775F1E" w:rsidP="00637CF7">
      <w:pPr>
        <w:pStyle w:val="BodyText"/>
        <w:ind w:right="306"/>
        <w:jc w:val="both"/>
        <w:rPr>
          <w:sz w:val="22"/>
          <w:szCs w:val="22"/>
        </w:rPr>
      </w:pPr>
    </w:p>
    <w:p w14:paraId="32554BB0" w14:textId="381BA44A" w:rsidR="00775F1E" w:rsidRPr="00387DA7" w:rsidRDefault="00775F1E" w:rsidP="00637CF7">
      <w:pPr>
        <w:pStyle w:val="BodyText"/>
        <w:ind w:left="720" w:right="306"/>
        <w:jc w:val="both"/>
        <w:rPr>
          <w:sz w:val="22"/>
          <w:szCs w:val="22"/>
        </w:rPr>
      </w:pPr>
      <w:r w:rsidRPr="00387DA7">
        <w:rPr>
          <w:sz w:val="22"/>
          <w:szCs w:val="22"/>
        </w:rPr>
        <w:t>At the start of the township trustee’s term of office, assume the O</w:t>
      </w:r>
      <w:r w:rsidR="00466A1D" w:rsidRPr="00387DA7">
        <w:rPr>
          <w:sz w:val="22"/>
          <w:szCs w:val="22"/>
        </w:rPr>
        <w:t xml:space="preserve">hio </w:t>
      </w:r>
      <w:r w:rsidRPr="00387DA7">
        <w:rPr>
          <w:sz w:val="22"/>
          <w:szCs w:val="22"/>
        </w:rPr>
        <w:t>R</w:t>
      </w:r>
      <w:r w:rsidR="00466A1D" w:rsidRPr="00387DA7">
        <w:rPr>
          <w:sz w:val="22"/>
          <w:szCs w:val="22"/>
        </w:rPr>
        <w:t xml:space="preserve">evised </w:t>
      </w:r>
      <w:r w:rsidRPr="00387DA7">
        <w:rPr>
          <w:sz w:val="22"/>
          <w:szCs w:val="22"/>
        </w:rPr>
        <w:t>C</w:t>
      </w:r>
      <w:r w:rsidR="00466A1D" w:rsidRPr="00387DA7">
        <w:rPr>
          <w:sz w:val="22"/>
          <w:szCs w:val="22"/>
        </w:rPr>
        <w:t>ode</w:t>
      </w:r>
      <w:r w:rsidRPr="00387DA7">
        <w:rPr>
          <w:sz w:val="22"/>
          <w:szCs w:val="22"/>
        </w:rPr>
        <w:t xml:space="preserve"> stated for calendar year 2020, if budget is A, the maximum salary permissible a township trustee may receive </w:t>
      </w:r>
      <w:proofErr w:type="gramStart"/>
      <w:r w:rsidRPr="00387DA7">
        <w:rPr>
          <w:sz w:val="22"/>
          <w:szCs w:val="22"/>
        </w:rPr>
        <w:t>in a given year</w:t>
      </w:r>
      <w:proofErr w:type="gramEnd"/>
      <w:r w:rsidRPr="00387DA7">
        <w:rPr>
          <w:sz w:val="22"/>
          <w:szCs w:val="22"/>
        </w:rPr>
        <w:t xml:space="preserve"> is $15,000; if budget is C, the maximum salary permissible a township trustee may receive </w:t>
      </w:r>
      <w:proofErr w:type="gramStart"/>
      <w:r w:rsidRPr="00387DA7">
        <w:rPr>
          <w:sz w:val="22"/>
          <w:szCs w:val="22"/>
        </w:rPr>
        <w:t>in a given year</w:t>
      </w:r>
      <w:proofErr w:type="gramEnd"/>
      <w:r w:rsidRPr="00387DA7">
        <w:rPr>
          <w:sz w:val="22"/>
          <w:szCs w:val="22"/>
        </w:rPr>
        <w:t xml:space="preserve"> is $17,000. Note: These maximum amounts are derived from an O</w:t>
      </w:r>
      <w:r w:rsidR="00466A1D" w:rsidRPr="00387DA7">
        <w:rPr>
          <w:sz w:val="22"/>
          <w:szCs w:val="22"/>
        </w:rPr>
        <w:t xml:space="preserve">hio </w:t>
      </w:r>
      <w:r w:rsidRPr="00387DA7">
        <w:rPr>
          <w:sz w:val="22"/>
          <w:szCs w:val="22"/>
        </w:rPr>
        <w:t>R</w:t>
      </w:r>
      <w:r w:rsidR="00466A1D" w:rsidRPr="00387DA7">
        <w:rPr>
          <w:sz w:val="22"/>
          <w:szCs w:val="22"/>
        </w:rPr>
        <w:t xml:space="preserve">evised </w:t>
      </w:r>
      <w:r w:rsidRPr="00387DA7">
        <w:rPr>
          <w:sz w:val="22"/>
          <w:szCs w:val="22"/>
        </w:rPr>
        <w:t>C</w:t>
      </w:r>
      <w:r w:rsidR="00466A1D" w:rsidRPr="00387DA7">
        <w:rPr>
          <w:sz w:val="22"/>
          <w:szCs w:val="22"/>
        </w:rPr>
        <w:t>ode</w:t>
      </w:r>
      <w:r w:rsidRPr="00387DA7">
        <w:rPr>
          <w:sz w:val="22"/>
          <w:szCs w:val="22"/>
        </w:rPr>
        <w:t xml:space="preserve"> formula, where a per diem payment (i.e. $80/day for townships within budget bracket X) is multiplied by a total number of allowable days a trustee may receive per diem compensation (currently fixed at 200 total days). </w:t>
      </w:r>
    </w:p>
    <w:p w14:paraId="0D4567D9" w14:textId="77777777" w:rsidR="00775F1E" w:rsidRPr="00387DA7" w:rsidRDefault="00775F1E" w:rsidP="00637CF7">
      <w:pPr>
        <w:pStyle w:val="BodyText"/>
        <w:ind w:left="720" w:right="306"/>
        <w:jc w:val="both"/>
        <w:rPr>
          <w:sz w:val="22"/>
          <w:szCs w:val="22"/>
        </w:rPr>
      </w:pPr>
    </w:p>
    <w:p w14:paraId="3AAD9931" w14:textId="14DED2DD" w:rsidR="00775F1E" w:rsidRPr="00387DA7" w:rsidRDefault="00775F1E" w:rsidP="00637CF7">
      <w:pPr>
        <w:pStyle w:val="BodyText"/>
        <w:ind w:left="720" w:right="306"/>
        <w:jc w:val="both"/>
        <w:rPr>
          <w:sz w:val="22"/>
          <w:szCs w:val="22"/>
        </w:rPr>
      </w:pPr>
      <w:r w:rsidRPr="00387DA7">
        <w:rPr>
          <w:sz w:val="22"/>
          <w:szCs w:val="22"/>
        </w:rPr>
        <w:t>In addition, assume that the township with budget A, at the start of the township trustee’s term of office, has chosen to adopt the yearly salary method of compensation and has fixed, via resolution, the salaries of its trustees at “the maximum amount permitted under Ohio Rev. Code § 505.24” without setting a specific dollar figure. In this example, the Revised Code and the township resolution set a clear formula for the maximum amount of compensation a township trustee can receive in any given year. If the township’s amended certificate increases the township’s budget to budget C, the trustee could lawfully receive the $2</w:t>
      </w:r>
      <w:r w:rsidR="00F65F0F" w:rsidRPr="00387DA7">
        <w:rPr>
          <w:sz w:val="22"/>
          <w:szCs w:val="22"/>
        </w:rPr>
        <w:t>,</w:t>
      </w:r>
      <w:r w:rsidRPr="00387DA7">
        <w:rPr>
          <w:sz w:val="22"/>
          <w:szCs w:val="22"/>
        </w:rPr>
        <w:t>000 yearly salary increase during his term of office. This is a lawful in-term pay increase, because the O</w:t>
      </w:r>
      <w:r w:rsidR="00466A1D" w:rsidRPr="00387DA7">
        <w:rPr>
          <w:sz w:val="22"/>
          <w:szCs w:val="22"/>
        </w:rPr>
        <w:t xml:space="preserve">hio </w:t>
      </w:r>
      <w:r w:rsidRPr="00387DA7">
        <w:rPr>
          <w:sz w:val="22"/>
          <w:szCs w:val="22"/>
        </w:rPr>
        <w:t>R</w:t>
      </w:r>
      <w:r w:rsidR="00466A1D" w:rsidRPr="00387DA7">
        <w:rPr>
          <w:sz w:val="22"/>
          <w:szCs w:val="22"/>
        </w:rPr>
        <w:t xml:space="preserve">evised </w:t>
      </w:r>
      <w:r w:rsidRPr="00387DA7">
        <w:rPr>
          <w:sz w:val="22"/>
          <w:szCs w:val="22"/>
        </w:rPr>
        <w:t>C</w:t>
      </w:r>
      <w:r w:rsidR="00466A1D" w:rsidRPr="00387DA7">
        <w:rPr>
          <w:sz w:val="22"/>
          <w:szCs w:val="22"/>
        </w:rPr>
        <w:t>ode</w:t>
      </w:r>
      <w:r w:rsidRPr="00387DA7">
        <w:rPr>
          <w:sz w:val="22"/>
          <w:szCs w:val="22"/>
        </w:rPr>
        <w:t xml:space="preserve"> fixed the maximum salary amounts for township trustees, via formula, prior to the trustee’s term of office and the township also enacted a resolution, prior to the trustee’s term of office, that entitled the trustee to “the maximum amount permitted under Ohio Rev. Code § 505.24.  What resulted in the increase in salary was a change that was contemplated by the legislation that set the trustees’ salary.  The increase was not the result of direct legislative action that altered the formula. </w:t>
      </w:r>
    </w:p>
    <w:p w14:paraId="30DAD0D5" w14:textId="77777777" w:rsidR="00775F1E" w:rsidRPr="00387DA7" w:rsidRDefault="00775F1E" w:rsidP="00637CF7">
      <w:pPr>
        <w:pStyle w:val="BodyText"/>
        <w:ind w:left="720" w:right="306"/>
        <w:jc w:val="both"/>
        <w:rPr>
          <w:sz w:val="22"/>
          <w:szCs w:val="22"/>
        </w:rPr>
      </w:pPr>
    </w:p>
    <w:p w14:paraId="558A41A9" w14:textId="24CBD551" w:rsidR="00775F1E" w:rsidRPr="00387DA7" w:rsidRDefault="00775F1E" w:rsidP="00637CF7">
      <w:pPr>
        <w:pStyle w:val="BodyText"/>
        <w:ind w:left="720" w:right="306"/>
        <w:jc w:val="both"/>
        <w:rPr>
          <w:sz w:val="22"/>
          <w:szCs w:val="22"/>
        </w:rPr>
      </w:pPr>
      <w:r w:rsidRPr="00387DA7">
        <w:rPr>
          <w:sz w:val="22"/>
          <w:szCs w:val="22"/>
        </w:rPr>
        <w:t>However, if the township budget was increased to budget C in-term for the trustee in our example above, and the legislature had at the same time amended the O</w:t>
      </w:r>
      <w:r w:rsidR="00466A1D" w:rsidRPr="00387DA7">
        <w:rPr>
          <w:sz w:val="22"/>
          <w:szCs w:val="22"/>
        </w:rPr>
        <w:t xml:space="preserve">hio </w:t>
      </w:r>
      <w:r w:rsidRPr="00387DA7">
        <w:rPr>
          <w:sz w:val="22"/>
          <w:szCs w:val="22"/>
        </w:rPr>
        <w:t>R</w:t>
      </w:r>
      <w:r w:rsidR="00466A1D" w:rsidRPr="00387DA7">
        <w:rPr>
          <w:sz w:val="22"/>
          <w:szCs w:val="22"/>
        </w:rPr>
        <w:t xml:space="preserve">evised </w:t>
      </w:r>
      <w:r w:rsidRPr="00387DA7">
        <w:rPr>
          <w:sz w:val="22"/>
          <w:szCs w:val="22"/>
        </w:rPr>
        <w:t>C</w:t>
      </w:r>
      <w:r w:rsidR="00466A1D" w:rsidRPr="00387DA7">
        <w:rPr>
          <w:sz w:val="22"/>
          <w:szCs w:val="22"/>
        </w:rPr>
        <w:t>ode</w:t>
      </w:r>
      <w:r w:rsidRPr="00387DA7">
        <w:rPr>
          <w:sz w:val="22"/>
          <w:szCs w:val="22"/>
        </w:rPr>
        <w:t xml:space="preserve"> in a manner that increased the per diem payment for township trustees with budget C, so that the maximum salary a trustee would be entitled to, via formula, would increase from $17,000 to $18,000 annually, the trustee in our example would only be entitled to the $17,000 maximum salary amount permitted at the start of his/her term of office (regardless of the language of the township resolution). </w:t>
      </w:r>
    </w:p>
    <w:p w14:paraId="3405D8C5" w14:textId="77777777" w:rsidR="00775F1E" w:rsidRPr="00387DA7" w:rsidRDefault="00775F1E" w:rsidP="00637CF7">
      <w:pPr>
        <w:pStyle w:val="BodyText"/>
        <w:ind w:right="306"/>
        <w:jc w:val="both"/>
        <w:rPr>
          <w:sz w:val="22"/>
          <w:szCs w:val="22"/>
        </w:rPr>
      </w:pPr>
    </w:p>
    <w:p w14:paraId="14CEE0C6" w14:textId="77777777" w:rsidR="00775F1E" w:rsidRPr="00387DA7" w:rsidRDefault="00775F1E" w:rsidP="00637CF7">
      <w:pPr>
        <w:pStyle w:val="BodyText"/>
        <w:ind w:right="306"/>
        <w:jc w:val="both"/>
        <w:rPr>
          <w:sz w:val="22"/>
          <w:szCs w:val="22"/>
        </w:rPr>
      </w:pPr>
      <w:r w:rsidRPr="00387DA7">
        <w:rPr>
          <w:sz w:val="22"/>
          <w:szCs w:val="22"/>
        </w:rPr>
        <w:t xml:space="preserve">The question of whether an in-term pay change is lawful or prohibited is extremely fact specific and often turns upon small nuances of fact/law.  Therefore, auditors should </w:t>
      </w:r>
      <w:proofErr w:type="gramStart"/>
      <w:r w:rsidRPr="00387DA7">
        <w:rPr>
          <w:sz w:val="22"/>
          <w:szCs w:val="22"/>
        </w:rPr>
        <w:t>refer</w:t>
      </w:r>
      <w:proofErr w:type="gramEnd"/>
      <w:r w:rsidRPr="00387DA7">
        <w:rPr>
          <w:sz w:val="22"/>
          <w:szCs w:val="22"/>
        </w:rPr>
        <w:t xml:space="preserve"> all questions regarding in-term pay changes to Legal for analysis. </w:t>
      </w:r>
    </w:p>
    <w:p w14:paraId="5F91D61B" w14:textId="77777777" w:rsidR="00775F1E" w:rsidRPr="00387DA7" w:rsidRDefault="00775F1E" w:rsidP="00637CF7">
      <w:pPr>
        <w:pStyle w:val="BodyText"/>
        <w:ind w:left="132" w:right="306"/>
        <w:jc w:val="both"/>
        <w:rPr>
          <w:sz w:val="22"/>
          <w:szCs w:val="22"/>
        </w:rPr>
      </w:pPr>
    </w:p>
    <w:p w14:paraId="78CFC344" w14:textId="77777777" w:rsidR="00775F1E" w:rsidRPr="00387DA7" w:rsidRDefault="00775F1E" w:rsidP="00637CF7">
      <w:pPr>
        <w:pStyle w:val="BodyText"/>
        <w:ind w:right="306"/>
        <w:jc w:val="both"/>
        <w:rPr>
          <w:sz w:val="22"/>
          <w:szCs w:val="22"/>
          <w:u w:val="single"/>
        </w:rPr>
      </w:pPr>
      <w:r w:rsidRPr="00387DA7">
        <w:rPr>
          <w:sz w:val="22"/>
          <w:szCs w:val="22"/>
          <w:u w:val="single"/>
        </w:rPr>
        <w:t>Effective Date of the United States Census for the Purposes of Computing County Officials’ Pay</w:t>
      </w:r>
    </w:p>
    <w:p w14:paraId="5582F266" w14:textId="0811A8BF" w:rsidR="00775F1E" w:rsidRPr="00387DA7" w:rsidRDefault="00775F1E" w:rsidP="00637CF7">
      <w:pPr>
        <w:ind w:right="306"/>
        <w:jc w:val="both"/>
        <w:rPr>
          <w:rStyle w:val="normaltextrun"/>
          <w:rFonts w:eastAsiaTheme="minorHAnsi"/>
          <w:sz w:val="22"/>
          <w:szCs w:val="22"/>
        </w:rPr>
      </w:pPr>
      <w:r w:rsidRPr="00387DA7">
        <w:rPr>
          <w:rStyle w:val="normaltextrun"/>
          <w:color w:val="000000"/>
          <w:sz w:val="22"/>
          <w:szCs w:val="22"/>
          <w:shd w:val="clear" w:color="auto" w:fill="FFFFFF"/>
        </w:rPr>
        <w:t>2021 Op.</w:t>
      </w:r>
      <w:r w:rsidR="00FC7623" w:rsidRPr="00387DA7">
        <w:rPr>
          <w:rStyle w:val="normaltextrun"/>
          <w:color w:val="000000"/>
          <w:sz w:val="22"/>
          <w:szCs w:val="22"/>
          <w:shd w:val="clear" w:color="auto" w:fill="FFFFFF"/>
        </w:rPr>
        <w:t xml:space="preserve"> </w:t>
      </w:r>
      <w:r w:rsidRPr="00387DA7">
        <w:rPr>
          <w:rStyle w:val="spellingerror"/>
          <w:color w:val="000000"/>
          <w:sz w:val="22"/>
          <w:szCs w:val="22"/>
          <w:shd w:val="clear" w:color="auto" w:fill="FFFFFF"/>
        </w:rPr>
        <w:t>Att’y</w:t>
      </w:r>
      <w:r w:rsidR="00FC7623" w:rsidRPr="00387DA7">
        <w:rPr>
          <w:rStyle w:val="normaltextrun"/>
          <w:color w:val="000000"/>
          <w:sz w:val="22"/>
          <w:szCs w:val="22"/>
          <w:shd w:val="clear" w:color="auto" w:fill="FFFFFF"/>
        </w:rPr>
        <w:t xml:space="preserve"> </w:t>
      </w:r>
      <w:r w:rsidRPr="00387DA7">
        <w:rPr>
          <w:rStyle w:val="normaltextrun"/>
          <w:color w:val="000000"/>
          <w:sz w:val="22"/>
          <w:szCs w:val="22"/>
          <w:shd w:val="clear" w:color="auto" w:fill="FFFFFF"/>
        </w:rPr>
        <w:t>Gen. No 2021-021 indicates that, for the purposes of calculating officials’ salaries under Ohio Rev. Code</w:t>
      </w:r>
      <w:r w:rsidR="00FC7623" w:rsidRPr="00387DA7">
        <w:rPr>
          <w:rStyle w:val="normaltextrun"/>
          <w:color w:val="000000"/>
          <w:sz w:val="22"/>
          <w:szCs w:val="22"/>
          <w:shd w:val="clear" w:color="auto" w:fill="FFFFFF"/>
        </w:rPr>
        <w:t xml:space="preserve"> </w:t>
      </w:r>
      <w:r w:rsidRPr="00387DA7">
        <w:rPr>
          <w:rStyle w:val="normaltextrun"/>
          <w:color w:val="000000"/>
          <w:sz w:val="22"/>
          <w:szCs w:val="22"/>
          <w:shd w:val="clear" w:color="auto" w:fill="FFFFFF"/>
        </w:rPr>
        <w:t>Chapter</w:t>
      </w:r>
      <w:r w:rsidR="00FC7623" w:rsidRPr="00387DA7">
        <w:rPr>
          <w:rStyle w:val="normaltextrun"/>
          <w:color w:val="000000"/>
          <w:sz w:val="22"/>
          <w:szCs w:val="22"/>
          <w:shd w:val="clear" w:color="auto" w:fill="FFFFFF"/>
        </w:rPr>
        <w:t xml:space="preserve"> </w:t>
      </w:r>
      <w:r w:rsidRPr="00387DA7">
        <w:rPr>
          <w:rStyle w:val="normaltextrun"/>
          <w:color w:val="000000"/>
          <w:sz w:val="22"/>
          <w:szCs w:val="22"/>
          <w:shd w:val="clear" w:color="auto" w:fill="FFFFFF"/>
        </w:rPr>
        <w:t>325, the results of the federal decennial census are effective as of the date on which the State receives the completed tabulations of population from the United States Secretary of Commerce.  For the most recent federal decennial census, that date was August 12,</w:t>
      </w:r>
      <w:r w:rsidR="00487128">
        <w:rPr>
          <w:rStyle w:val="normaltextrun"/>
          <w:color w:val="000000"/>
          <w:sz w:val="22"/>
          <w:szCs w:val="22"/>
          <w:shd w:val="clear" w:color="auto" w:fill="FFFFFF"/>
        </w:rPr>
        <w:t xml:space="preserve"> </w:t>
      </w:r>
      <w:r w:rsidR="00001164" w:rsidRPr="00387DA7">
        <w:rPr>
          <w:sz w:val="22"/>
          <w:szCs w:val="22"/>
        </w:rPr>
        <w:t>2021</w:t>
      </w:r>
      <w:r w:rsidRPr="00387DA7">
        <w:rPr>
          <w:rStyle w:val="normaltextrun"/>
          <w:color w:val="000000"/>
          <w:sz w:val="22"/>
          <w:szCs w:val="22"/>
          <w:shd w:val="clear" w:color="auto" w:fill="FFFFFF"/>
        </w:rPr>
        <w:t>.</w:t>
      </w:r>
    </w:p>
    <w:p w14:paraId="1B9A2612" w14:textId="77777777" w:rsidR="00775F1E" w:rsidRPr="00387DA7" w:rsidRDefault="00775F1E" w:rsidP="00637CF7">
      <w:pPr>
        <w:pStyle w:val="BodyText"/>
        <w:ind w:right="306"/>
        <w:jc w:val="both"/>
        <w:rPr>
          <w:sz w:val="22"/>
          <w:szCs w:val="22"/>
          <w:u w:val="single"/>
        </w:rPr>
      </w:pPr>
    </w:p>
    <w:p w14:paraId="03B3536A" w14:textId="77777777" w:rsidR="00775F1E" w:rsidRPr="00387DA7" w:rsidRDefault="00775F1E" w:rsidP="00637CF7">
      <w:pPr>
        <w:pStyle w:val="BodyText"/>
        <w:ind w:right="306"/>
        <w:jc w:val="both"/>
        <w:rPr>
          <w:sz w:val="22"/>
          <w:szCs w:val="22"/>
          <w:u w:val="single"/>
        </w:rPr>
      </w:pPr>
      <w:r w:rsidRPr="00387DA7">
        <w:rPr>
          <w:sz w:val="22"/>
          <w:szCs w:val="22"/>
          <w:u w:val="single"/>
        </w:rPr>
        <w:t>Waiver of Salary</w:t>
      </w:r>
    </w:p>
    <w:p w14:paraId="1193B8F1" w14:textId="77777777" w:rsidR="00775F1E" w:rsidRPr="00387DA7" w:rsidRDefault="00775F1E" w:rsidP="00637CF7">
      <w:pPr>
        <w:pStyle w:val="BodyText"/>
        <w:ind w:right="306"/>
        <w:jc w:val="both"/>
        <w:rPr>
          <w:sz w:val="22"/>
          <w:szCs w:val="22"/>
        </w:rPr>
      </w:pPr>
      <w:r w:rsidRPr="00387DA7">
        <w:rPr>
          <w:sz w:val="22"/>
          <w:szCs w:val="22"/>
        </w:rPr>
        <w:t>Pursuant to the doctrine of waiver, officers may elect to voluntarily waive a portion of their salary.</w:t>
      </w:r>
      <w:r w:rsidRPr="00387DA7">
        <w:rPr>
          <w:spacing w:val="-7"/>
          <w:sz w:val="22"/>
          <w:szCs w:val="22"/>
        </w:rPr>
        <w:t xml:space="preserve"> </w:t>
      </w:r>
      <w:r w:rsidRPr="00387DA7">
        <w:rPr>
          <w:sz w:val="22"/>
          <w:szCs w:val="22"/>
        </w:rPr>
        <w:t>2003</w:t>
      </w:r>
      <w:r w:rsidRPr="00387DA7">
        <w:rPr>
          <w:spacing w:val="-6"/>
          <w:sz w:val="22"/>
          <w:szCs w:val="22"/>
        </w:rPr>
        <w:t xml:space="preserve"> </w:t>
      </w:r>
      <w:r w:rsidRPr="00387DA7">
        <w:rPr>
          <w:sz w:val="22"/>
          <w:szCs w:val="22"/>
        </w:rPr>
        <w:t>Op.</w:t>
      </w:r>
      <w:r w:rsidRPr="00387DA7">
        <w:rPr>
          <w:spacing w:val="-6"/>
          <w:sz w:val="22"/>
          <w:szCs w:val="22"/>
        </w:rPr>
        <w:t xml:space="preserve"> </w:t>
      </w:r>
      <w:r w:rsidRPr="00387DA7">
        <w:rPr>
          <w:sz w:val="22"/>
          <w:szCs w:val="22"/>
        </w:rPr>
        <w:t>Att’y.</w:t>
      </w:r>
      <w:r w:rsidRPr="00387DA7">
        <w:rPr>
          <w:spacing w:val="-6"/>
          <w:sz w:val="22"/>
          <w:szCs w:val="22"/>
        </w:rPr>
        <w:t xml:space="preserve"> </w:t>
      </w:r>
      <w:r w:rsidRPr="00387DA7">
        <w:rPr>
          <w:sz w:val="22"/>
          <w:szCs w:val="22"/>
        </w:rPr>
        <w:t>Gen.</w:t>
      </w:r>
      <w:r w:rsidRPr="00387DA7">
        <w:rPr>
          <w:spacing w:val="-7"/>
          <w:sz w:val="22"/>
          <w:szCs w:val="22"/>
        </w:rPr>
        <w:t xml:space="preserve"> </w:t>
      </w:r>
      <w:r w:rsidRPr="00387DA7">
        <w:rPr>
          <w:sz w:val="22"/>
          <w:szCs w:val="22"/>
        </w:rPr>
        <w:t>No.</w:t>
      </w:r>
      <w:r w:rsidRPr="00387DA7">
        <w:rPr>
          <w:spacing w:val="-6"/>
          <w:sz w:val="22"/>
          <w:szCs w:val="22"/>
        </w:rPr>
        <w:t xml:space="preserve"> </w:t>
      </w:r>
      <w:r w:rsidRPr="00387DA7">
        <w:rPr>
          <w:sz w:val="22"/>
          <w:szCs w:val="22"/>
        </w:rPr>
        <w:t>2003</w:t>
      </w:r>
      <w:r w:rsidRPr="00387DA7">
        <w:rPr>
          <w:rFonts w:ascii="Cambria Math" w:hAnsi="Cambria Math"/>
          <w:sz w:val="22"/>
          <w:szCs w:val="22"/>
        </w:rPr>
        <w:t>‐</w:t>
      </w:r>
      <w:r w:rsidRPr="00387DA7">
        <w:rPr>
          <w:sz w:val="22"/>
          <w:szCs w:val="22"/>
        </w:rPr>
        <w:t>027.</w:t>
      </w:r>
      <w:r w:rsidRPr="00387DA7">
        <w:rPr>
          <w:spacing w:val="-6"/>
          <w:sz w:val="22"/>
          <w:szCs w:val="22"/>
        </w:rPr>
        <w:t xml:space="preserve"> </w:t>
      </w:r>
      <w:r w:rsidRPr="00387DA7">
        <w:rPr>
          <w:sz w:val="22"/>
          <w:szCs w:val="22"/>
        </w:rPr>
        <w:t>“A</w:t>
      </w:r>
      <w:r w:rsidRPr="00387DA7">
        <w:rPr>
          <w:spacing w:val="-7"/>
          <w:sz w:val="22"/>
          <w:szCs w:val="22"/>
        </w:rPr>
        <w:t xml:space="preserve"> </w:t>
      </w:r>
      <w:r w:rsidRPr="00387DA7">
        <w:rPr>
          <w:sz w:val="22"/>
          <w:szCs w:val="22"/>
        </w:rPr>
        <w:t>public</w:t>
      </w:r>
      <w:r w:rsidRPr="00387DA7">
        <w:rPr>
          <w:spacing w:val="-8"/>
          <w:sz w:val="22"/>
          <w:szCs w:val="22"/>
        </w:rPr>
        <w:t xml:space="preserve"> </w:t>
      </w:r>
      <w:r w:rsidRPr="00387DA7">
        <w:rPr>
          <w:sz w:val="22"/>
          <w:szCs w:val="22"/>
        </w:rPr>
        <w:t>officer</w:t>
      </w:r>
      <w:r w:rsidRPr="00387DA7">
        <w:rPr>
          <w:spacing w:val="-7"/>
          <w:sz w:val="22"/>
          <w:szCs w:val="22"/>
        </w:rPr>
        <w:t xml:space="preserve"> </w:t>
      </w:r>
      <w:r w:rsidRPr="00387DA7">
        <w:rPr>
          <w:sz w:val="22"/>
          <w:szCs w:val="22"/>
        </w:rPr>
        <w:t>that</w:t>
      </w:r>
      <w:r w:rsidRPr="00387DA7">
        <w:rPr>
          <w:spacing w:val="-6"/>
          <w:sz w:val="22"/>
          <w:szCs w:val="22"/>
        </w:rPr>
        <w:t xml:space="preserve"> </w:t>
      </w:r>
      <w:r w:rsidRPr="00387DA7">
        <w:rPr>
          <w:sz w:val="22"/>
          <w:szCs w:val="22"/>
        </w:rPr>
        <w:t>has</w:t>
      </w:r>
      <w:r w:rsidRPr="00387DA7">
        <w:rPr>
          <w:spacing w:val="-6"/>
          <w:sz w:val="22"/>
          <w:szCs w:val="22"/>
        </w:rPr>
        <w:t xml:space="preserve"> </w:t>
      </w:r>
      <w:r w:rsidRPr="00387DA7">
        <w:rPr>
          <w:sz w:val="22"/>
          <w:szCs w:val="22"/>
        </w:rPr>
        <w:t>voluntarily</w:t>
      </w:r>
      <w:r w:rsidRPr="00387DA7">
        <w:rPr>
          <w:spacing w:val="-11"/>
          <w:sz w:val="22"/>
          <w:szCs w:val="22"/>
        </w:rPr>
        <w:t xml:space="preserve"> </w:t>
      </w:r>
      <w:r w:rsidRPr="00387DA7">
        <w:rPr>
          <w:sz w:val="22"/>
          <w:szCs w:val="22"/>
        </w:rPr>
        <w:t>waived</w:t>
      </w:r>
      <w:r w:rsidRPr="00387DA7">
        <w:rPr>
          <w:spacing w:val="-7"/>
          <w:sz w:val="22"/>
          <w:szCs w:val="22"/>
        </w:rPr>
        <w:t xml:space="preserve"> </w:t>
      </w:r>
      <w:r w:rsidRPr="00387DA7">
        <w:rPr>
          <w:sz w:val="22"/>
          <w:szCs w:val="22"/>
        </w:rPr>
        <w:t>all</w:t>
      </w:r>
      <w:r w:rsidRPr="00387DA7">
        <w:rPr>
          <w:spacing w:val="-6"/>
          <w:sz w:val="22"/>
          <w:szCs w:val="22"/>
        </w:rPr>
        <w:t xml:space="preserve"> </w:t>
      </w:r>
      <w:r w:rsidRPr="00387DA7">
        <w:rPr>
          <w:sz w:val="22"/>
          <w:szCs w:val="22"/>
        </w:rPr>
        <w:t>or</w:t>
      </w:r>
      <w:r w:rsidRPr="00387DA7">
        <w:rPr>
          <w:spacing w:val="-7"/>
          <w:sz w:val="22"/>
          <w:szCs w:val="22"/>
        </w:rPr>
        <w:t xml:space="preserve"> </w:t>
      </w:r>
      <w:r w:rsidRPr="00387DA7">
        <w:rPr>
          <w:sz w:val="22"/>
          <w:szCs w:val="22"/>
        </w:rPr>
        <w:t>a</w:t>
      </w:r>
      <w:r w:rsidRPr="00387DA7">
        <w:rPr>
          <w:spacing w:val="-7"/>
          <w:sz w:val="22"/>
          <w:szCs w:val="22"/>
        </w:rPr>
        <w:t xml:space="preserve"> </w:t>
      </w:r>
      <w:r w:rsidRPr="00387DA7">
        <w:rPr>
          <w:sz w:val="22"/>
          <w:szCs w:val="22"/>
        </w:rPr>
        <w:t>portion of</w:t>
      </w:r>
      <w:r w:rsidRPr="00387DA7">
        <w:rPr>
          <w:spacing w:val="-6"/>
          <w:sz w:val="22"/>
          <w:szCs w:val="22"/>
        </w:rPr>
        <w:t xml:space="preserve"> </w:t>
      </w:r>
      <w:r w:rsidRPr="00387DA7">
        <w:rPr>
          <w:sz w:val="22"/>
          <w:szCs w:val="22"/>
        </w:rPr>
        <w:t>his</w:t>
      </w:r>
      <w:r w:rsidRPr="00387DA7">
        <w:rPr>
          <w:spacing w:val="-5"/>
          <w:sz w:val="22"/>
          <w:szCs w:val="22"/>
        </w:rPr>
        <w:t xml:space="preserve"> </w:t>
      </w:r>
      <w:r w:rsidRPr="00387DA7">
        <w:rPr>
          <w:sz w:val="22"/>
          <w:szCs w:val="22"/>
        </w:rPr>
        <w:t>statutorily</w:t>
      </w:r>
      <w:r w:rsidRPr="00387DA7">
        <w:rPr>
          <w:rFonts w:ascii="Cambria Math" w:hAnsi="Cambria Math"/>
          <w:sz w:val="22"/>
          <w:szCs w:val="22"/>
        </w:rPr>
        <w:t>‐</w:t>
      </w:r>
      <w:r w:rsidRPr="00387DA7">
        <w:rPr>
          <w:sz w:val="22"/>
          <w:szCs w:val="22"/>
        </w:rPr>
        <w:t>prescribed</w:t>
      </w:r>
      <w:r w:rsidRPr="00387DA7">
        <w:rPr>
          <w:spacing w:val="-5"/>
          <w:sz w:val="22"/>
          <w:szCs w:val="22"/>
        </w:rPr>
        <w:t xml:space="preserve"> </w:t>
      </w:r>
      <w:r w:rsidRPr="00387DA7">
        <w:rPr>
          <w:sz w:val="22"/>
          <w:szCs w:val="22"/>
        </w:rPr>
        <w:t>compensation</w:t>
      </w:r>
      <w:r w:rsidRPr="00387DA7">
        <w:rPr>
          <w:spacing w:val="-5"/>
          <w:sz w:val="22"/>
          <w:szCs w:val="22"/>
        </w:rPr>
        <w:t xml:space="preserve"> </w:t>
      </w:r>
      <w:r w:rsidRPr="00387DA7">
        <w:rPr>
          <w:sz w:val="22"/>
          <w:szCs w:val="22"/>
        </w:rPr>
        <w:t>[however]</w:t>
      </w:r>
      <w:r w:rsidRPr="00387DA7">
        <w:rPr>
          <w:spacing w:val="-2"/>
          <w:sz w:val="22"/>
          <w:szCs w:val="22"/>
        </w:rPr>
        <w:t xml:space="preserve"> </w:t>
      </w:r>
      <w:r w:rsidRPr="00387DA7">
        <w:rPr>
          <w:sz w:val="22"/>
          <w:szCs w:val="22"/>
        </w:rPr>
        <w:t>may</w:t>
      </w:r>
      <w:r w:rsidRPr="00387DA7">
        <w:rPr>
          <w:spacing w:val="-10"/>
          <w:sz w:val="22"/>
          <w:szCs w:val="22"/>
        </w:rPr>
        <w:t xml:space="preserve"> </w:t>
      </w:r>
      <w:r w:rsidRPr="00387DA7">
        <w:rPr>
          <w:sz w:val="22"/>
          <w:szCs w:val="22"/>
        </w:rPr>
        <w:t>not</w:t>
      </w:r>
      <w:r w:rsidRPr="00387DA7">
        <w:rPr>
          <w:spacing w:val="-4"/>
          <w:sz w:val="22"/>
          <w:szCs w:val="22"/>
        </w:rPr>
        <w:t xml:space="preserve"> </w:t>
      </w:r>
      <w:r w:rsidRPr="00387DA7">
        <w:rPr>
          <w:sz w:val="22"/>
          <w:szCs w:val="22"/>
        </w:rPr>
        <w:t>thereafter</w:t>
      </w:r>
      <w:r w:rsidRPr="00387DA7">
        <w:rPr>
          <w:spacing w:val="-6"/>
          <w:sz w:val="22"/>
          <w:szCs w:val="22"/>
        </w:rPr>
        <w:t xml:space="preserve"> </w:t>
      </w:r>
      <w:r w:rsidRPr="00387DA7">
        <w:rPr>
          <w:sz w:val="22"/>
          <w:szCs w:val="22"/>
        </w:rPr>
        <w:t>request</w:t>
      </w:r>
      <w:r w:rsidRPr="00387DA7">
        <w:rPr>
          <w:spacing w:val="-3"/>
          <w:sz w:val="22"/>
          <w:szCs w:val="22"/>
        </w:rPr>
        <w:t xml:space="preserve"> </w:t>
      </w:r>
      <w:r w:rsidRPr="00387DA7">
        <w:rPr>
          <w:sz w:val="22"/>
          <w:szCs w:val="22"/>
        </w:rPr>
        <w:t>and</w:t>
      </w:r>
      <w:r w:rsidRPr="00387DA7">
        <w:rPr>
          <w:spacing w:val="-5"/>
          <w:sz w:val="22"/>
          <w:szCs w:val="22"/>
        </w:rPr>
        <w:t xml:space="preserve"> </w:t>
      </w:r>
      <w:r w:rsidRPr="00387DA7">
        <w:rPr>
          <w:sz w:val="22"/>
          <w:szCs w:val="22"/>
        </w:rPr>
        <w:t>receive</w:t>
      </w:r>
      <w:r w:rsidRPr="00387DA7">
        <w:rPr>
          <w:spacing w:val="-6"/>
          <w:sz w:val="22"/>
          <w:szCs w:val="22"/>
        </w:rPr>
        <w:t xml:space="preserve"> </w:t>
      </w:r>
      <w:r w:rsidRPr="00387DA7">
        <w:rPr>
          <w:sz w:val="22"/>
          <w:szCs w:val="22"/>
        </w:rPr>
        <w:t>payment</w:t>
      </w:r>
      <w:r w:rsidRPr="00387DA7">
        <w:rPr>
          <w:spacing w:val="-2"/>
          <w:sz w:val="22"/>
          <w:szCs w:val="22"/>
        </w:rPr>
        <w:t xml:space="preserve"> </w:t>
      </w:r>
      <w:r w:rsidRPr="00387DA7">
        <w:rPr>
          <w:sz w:val="22"/>
          <w:szCs w:val="22"/>
        </w:rPr>
        <w:t xml:space="preserve">of the compensation he waived.” </w:t>
      </w:r>
      <w:r w:rsidRPr="00387DA7">
        <w:rPr>
          <w:i/>
          <w:sz w:val="22"/>
          <w:szCs w:val="22"/>
        </w:rPr>
        <w:t>Id.</w:t>
      </w:r>
      <w:r w:rsidRPr="00387DA7">
        <w:rPr>
          <w:sz w:val="22"/>
          <w:szCs w:val="22"/>
        </w:rPr>
        <w:t xml:space="preserve"> at Note</w:t>
      </w:r>
      <w:r w:rsidRPr="00387DA7">
        <w:rPr>
          <w:spacing w:val="-3"/>
          <w:sz w:val="22"/>
          <w:szCs w:val="22"/>
        </w:rPr>
        <w:t xml:space="preserve"> </w:t>
      </w:r>
      <w:r w:rsidRPr="00387DA7">
        <w:rPr>
          <w:sz w:val="22"/>
          <w:szCs w:val="22"/>
        </w:rPr>
        <w:t>8.</w:t>
      </w:r>
    </w:p>
    <w:p w14:paraId="6B2AA833" w14:textId="77777777" w:rsidR="00775F1E" w:rsidRPr="00387DA7" w:rsidRDefault="00775F1E" w:rsidP="00637CF7">
      <w:pPr>
        <w:pStyle w:val="BodyText"/>
        <w:spacing w:before="10"/>
        <w:ind w:right="306"/>
        <w:jc w:val="both"/>
        <w:rPr>
          <w:sz w:val="22"/>
          <w:szCs w:val="22"/>
        </w:rPr>
      </w:pPr>
    </w:p>
    <w:p w14:paraId="5E83A4A3" w14:textId="77777777" w:rsidR="00775F1E" w:rsidRPr="00387DA7" w:rsidRDefault="00775F1E" w:rsidP="00637CF7">
      <w:pPr>
        <w:pStyle w:val="BodyText"/>
        <w:spacing w:before="1"/>
        <w:ind w:right="306"/>
        <w:jc w:val="both"/>
        <w:rPr>
          <w:sz w:val="22"/>
          <w:szCs w:val="22"/>
        </w:rPr>
      </w:pPr>
      <w:r w:rsidRPr="00387DA7">
        <w:rPr>
          <w:sz w:val="22"/>
          <w:szCs w:val="22"/>
        </w:rPr>
        <w:t>The elected officials would be able to reduce their salaries voluntarily (this would include voluntary furlough days). However, they would then be precluded, during their term, from receiving the portion of their salaries that they waived. For instance, a council member could voluntarily waive her salary today. In December, she determines that she would like to rescind the waiver. She can take that action, and be entitled to her full salary going forward. She does not, however, have any rights to the amount that she waived.</w:t>
      </w:r>
    </w:p>
    <w:p w14:paraId="379EC606" w14:textId="77777777" w:rsidR="0080090B" w:rsidRPr="00387DA7" w:rsidRDefault="0080090B" w:rsidP="007356AB">
      <w:pPr>
        <w:pStyle w:val="BodyText"/>
        <w:spacing w:before="1"/>
        <w:ind w:right="210"/>
        <w:jc w:val="both"/>
        <w:rPr>
          <w:sz w:val="22"/>
          <w:szCs w:val="22"/>
        </w:rPr>
      </w:pPr>
    </w:p>
    <w:p w14:paraId="42906E61" w14:textId="19B4C61C" w:rsidR="00775F1E" w:rsidRPr="00387DA7" w:rsidRDefault="00775F1E" w:rsidP="007356AB">
      <w:pPr>
        <w:pStyle w:val="BodyText"/>
        <w:ind w:right="210"/>
        <w:jc w:val="both"/>
        <w:rPr>
          <w:sz w:val="22"/>
          <w:szCs w:val="22"/>
        </w:rPr>
      </w:pPr>
      <w:r w:rsidRPr="00387DA7">
        <w:rPr>
          <w:sz w:val="22"/>
          <w:szCs w:val="22"/>
          <w:u w:val="single"/>
        </w:rPr>
        <w:t>County Official Tables</w:t>
      </w:r>
    </w:p>
    <w:p w14:paraId="39E74765" w14:textId="25B97ABD" w:rsidR="00775F1E" w:rsidRPr="000E1478" w:rsidRDefault="00775F1E" w:rsidP="00637CF7">
      <w:pPr>
        <w:spacing w:before="5"/>
        <w:ind w:right="306"/>
        <w:jc w:val="both"/>
        <w:rPr>
          <w:b/>
          <w:iCs/>
          <w:sz w:val="22"/>
          <w:szCs w:val="22"/>
        </w:rPr>
      </w:pPr>
      <w:r w:rsidRPr="00387DA7">
        <w:rPr>
          <w:b/>
          <w:i/>
          <w:sz w:val="22"/>
          <w:szCs w:val="22"/>
        </w:rPr>
        <w:t xml:space="preserve">See the </w:t>
      </w:r>
      <w:r w:rsidRPr="0045297A">
        <w:rPr>
          <w:b/>
          <w:i/>
          <w:strike/>
          <w:sz w:val="22"/>
          <w:szCs w:val="22"/>
        </w:rPr>
        <w:t>new</w:t>
      </w:r>
      <w:r w:rsidRPr="00387DA7">
        <w:rPr>
          <w:b/>
          <w:i/>
          <w:sz w:val="22"/>
          <w:szCs w:val="22"/>
        </w:rPr>
        <w:t xml:space="preserve"> county officials’ compensation charts for compensation rates</w:t>
      </w:r>
      <w:r w:rsidR="007452FF">
        <w:rPr>
          <w:b/>
          <w:i/>
          <w:sz w:val="22"/>
          <w:szCs w:val="22"/>
        </w:rPr>
        <w:t xml:space="preserve"> </w:t>
      </w:r>
      <w:r w:rsidRPr="00387DA7">
        <w:rPr>
          <w:b/>
          <w:i/>
          <w:sz w:val="22"/>
          <w:szCs w:val="22"/>
        </w:rPr>
        <w:t>through</w:t>
      </w:r>
      <w:r w:rsidR="0010137D" w:rsidRPr="00387DA7">
        <w:rPr>
          <w:b/>
          <w:i/>
          <w:sz w:val="22"/>
          <w:szCs w:val="22"/>
        </w:rPr>
        <w:t xml:space="preserve"> </w:t>
      </w:r>
      <w:r w:rsidR="00E20CDC" w:rsidRPr="0045297A">
        <w:rPr>
          <w:b/>
          <w:i/>
          <w:strike/>
          <w:sz w:val="22"/>
          <w:szCs w:val="22"/>
        </w:rPr>
        <w:t>2028</w:t>
      </w:r>
      <w:r w:rsidR="0045297A">
        <w:rPr>
          <w:b/>
          <w:i/>
          <w:strike/>
          <w:sz w:val="22"/>
          <w:szCs w:val="22"/>
        </w:rPr>
        <w:t xml:space="preserve"> </w:t>
      </w:r>
      <w:r w:rsidR="0045297A">
        <w:rPr>
          <w:b/>
          <w:i/>
          <w:sz w:val="22"/>
          <w:szCs w:val="22"/>
        </w:rPr>
        <w:t>2025</w:t>
      </w:r>
      <w:r w:rsidR="00E20CDC" w:rsidRPr="00387DA7">
        <w:rPr>
          <w:b/>
          <w:i/>
          <w:sz w:val="22"/>
          <w:szCs w:val="22"/>
        </w:rPr>
        <w:t xml:space="preserve"> at</w:t>
      </w:r>
      <w:r w:rsidRPr="00387DA7">
        <w:rPr>
          <w:b/>
          <w:i/>
          <w:sz w:val="22"/>
          <w:szCs w:val="22"/>
        </w:rPr>
        <w:t xml:space="preserve">: </w:t>
      </w:r>
      <w:hyperlink r:id="rId151" w:history="1">
        <w:r w:rsidR="00105793" w:rsidRPr="00387DA7">
          <w:rPr>
            <w:rStyle w:val="Hyperlink"/>
            <w:b/>
            <w:sz w:val="22"/>
            <w:szCs w:val="22"/>
          </w:rPr>
          <w:t>https://ohioauditor.gov/publications/bulletins/2019/2019-001-rev.pdf</w:t>
        </w:r>
      </w:hyperlink>
      <w:r w:rsidR="00105793" w:rsidRPr="00387DA7">
        <w:rPr>
          <w:b/>
          <w:sz w:val="22"/>
          <w:szCs w:val="22"/>
        </w:rPr>
        <w:t xml:space="preserve"> </w:t>
      </w:r>
      <w:r w:rsidRPr="00387DA7">
        <w:rPr>
          <w:b/>
          <w:i/>
          <w:sz w:val="22"/>
          <w:szCs w:val="22"/>
        </w:rPr>
        <w:t>.</w:t>
      </w:r>
      <w:r w:rsidR="0045297A" w:rsidRPr="001A5677">
        <w:rPr>
          <w:b/>
          <w:iCs/>
          <w:sz w:val="22"/>
          <w:szCs w:val="22"/>
          <w:u w:val="wave"/>
        </w:rPr>
        <w:t xml:space="preserve"> HB 96, 136</w:t>
      </w:r>
      <w:r w:rsidR="0045297A" w:rsidRPr="001A5677">
        <w:rPr>
          <w:b/>
          <w:iCs/>
          <w:sz w:val="22"/>
          <w:szCs w:val="22"/>
          <w:u w:val="wave"/>
          <w:vertAlign w:val="superscript"/>
        </w:rPr>
        <w:t>th</w:t>
      </w:r>
      <w:r w:rsidR="0045297A" w:rsidRPr="001A5677">
        <w:rPr>
          <w:b/>
          <w:iCs/>
          <w:sz w:val="22"/>
          <w:szCs w:val="22"/>
          <w:u w:val="wave"/>
        </w:rPr>
        <w:t xml:space="preserve"> General Assembly, </w:t>
      </w:r>
      <w:r w:rsidR="007452FF" w:rsidRPr="001A5677">
        <w:rPr>
          <w:b/>
          <w:iCs/>
          <w:sz w:val="22"/>
          <w:szCs w:val="22"/>
          <w:u w:val="wave"/>
        </w:rPr>
        <w:t>raised the previous annual increase of</w:t>
      </w:r>
      <w:r w:rsidR="0045297A" w:rsidRPr="001A5677">
        <w:rPr>
          <w:b/>
          <w:iCs/>
          <w:sz w:val="22"/>
          <w:szCs w:val="22"/>
          <w:u w:val="wave"/>
        </w:rPr>
        <w:t xml:space="preserve"> one and three- quarters per cent to five percent starting in calendar year 2026.</w:t>
      </w:r>
      <w:r w:rsidR="0045297A" w:rsidRPr="001A5677">
        <w:rPr>
          <w:b/>
          <w:i/>
          <w:sz w:val="22"/>
          <w:szCs w:val="22"/>
          <w:u w:val="wave"/>
        </w:rPr>
        <w:t xml:space="preserve"> </w:t>
      </w:r>
      <w:r w:rsidR="007A659B" w:rsidRPr="007A659B">
        <w:rPr>
          <w:b/>
          <w:iCs/>
          <w:sz w:val="22"/>
          <w:szCs w:val="22"/>
          <w:u w:val="wave"/>
        </w:rPr>
        <w:t xml:space="preserve">The </w:t>
      </w:r>
      <w:r w:rsidR="0045297A" w:rsidRPr="007A659B">
        <w:rPr>
          <w:b/>
          <w:iCs/>
          <w:sz w:val="22"/>
          <w:szCs w:val="22"/>
          <w:u w:val="wave"/>
        </w:rPr>
        <w:t>County</w:t>
      </w:r>
      <w:r w:rsidR="0045297A" w:rsidRPr="001A5677">
        <w:rPr>
          <w:b/>
          <w:iCs/>
          <w:sz w:val="22"/>
          <w:szCs w:val="22"/>
          <w:u w:val="wave"/>
        </w:rPr>
        <w:t xml:space="preserve"> Commissioners Association of Ohio (CCAO)</w:t>
      </w:r>
      <w:r w:rsidR="007452FF" w:rsidRPr="001A5677">
        <w:rPr>
          <w:b/>
          <w:iCs/>
          <w:sz w:val="22"/>
          <w:szCs w:val="22"/>
          <w:u w:val="wave"/>
        </w:rPr>
        <w:t xml:space="preserve"> is preparing updated pay tables with this new annual increase and will make them available upon completion</w:t>
      </w:r>
      <w:r w:rsidR="00F94FBE" w:rsidRPr="001A5677">
        <w:rPr>
          <w:b/>
          <w:iCs/>
          <w:sz w:val="22"/>
          <w:szCs w:val="22"/>
          <w:u w:val="wave"/>
        </w:rPr>
        <w:t>.</w:t>
      </w:r>
      <w:r w:rsidR="007D698C" w:rsidRPr="001A5677">
        <w:rPr>
          <w:b/>
          <w:iCs/>
          <w:sz w:val="22"/>
          <w:szCs w:val="22"/>
          <w:u w:val="wave"/>
          <w:vertAlign w:val="superscript"/>
        </w:rPr>
        <w:fldChar w:fldCharType="begin"/>
      </w:r>
      <w:r w:rsidR="007D698C" w:rsidRPr="001A5677">
        <w:rPr>
          <w:b/>
          <w:iCs/>
          <w:sz w:val="22"/>
          <w:szCs w:val="22"/>
          <w:u w:val="wave"/>
          <w:vertAlign w:val="superscript"/>
        </w:rPr>
        <w:instrText xml:space="preserve"> NOTEREF _Ref208470249 \h </w:instrText>
      </w:r>
      <w:r w:rsidR="00F36283" w:rsidRPr="001A5677">
        <w:rPr>
          <w:b/>
          <w:iCs/>
          <w:sz w:val="22"/>
          <w:szCs w:val="22"/>
          <w:u w:val="wave"/>
          <w:vertAlign w:val="superscript"/>
        </w:rPr>
        <w:instrText xml:space="preserve"> \* MERGEFORMAT </w:instrText>
      </w:r>
      <w:r w:rsidR="007D698C" w:rsidRPr="001A5677">
        <w:rPr>
          <w:b/>
          <w:iCs/>
          <w:sz w:val="22"/>
          <w:szCs w:val="22"/>
          <w:u w:val="wave"/>
          <w:vertAlign w:val="superscript"/>
        </w:rPr>
      </w:r>
      <w:r w:rsidR="007D698C" w:rsidRPr="001A5677">
        <w:rPr>
          <w:b/>
          <w:iCs/>
          <w:sz w:val="22"/>
          <w:szCs w:val="22"/>
          <w:u w:val="wave"/>
          <w:vertAlign w:val="superscript"/>
        </w:rPr>
        <w:fldChar w:fldCharType="separate"/>
      </w:r>
      <w:r w:rsidR="00555BBA">
        <w:rPr>
          <w:b/>
          <w:iCs/>
          <w:sz w:val="22"/>
          <w:szCs w:val="22"/>
          <w:u w:val="wave"/>
          <w:vertAlign w:val="superscript"/>
        </w:rPr>
        <w:t>41</w:t>
      </w:r>
      <w:r w:rsidR="007D698C" w:rsidRPr="001A5677">
        <w:rPr>
          <w:b/>
          <w:iCs/>
          <w:sz w:val="22"/>
          <w:szCs w:val="22"/>
          <w:u w:val="wave"/>
          <w:vertAlign w:val="superscript"/>
        </w:rPr>
        <w:fldChar w:fldCharType="end"/>
      </w:r>
    </w:p>
    <w:p w14:paraId="78AAC475" w14:textId="77777777" w:rsidR="00775F1E" w:rsidRPr="00387DA7" w:rsidRDefault="00775F1E" w:rsidP="00637CF7">
      <w:pPr>
        <w:pStyle w:val="BodyText"/>
        <w:ind w:right="306"/>
        <w:jc w:val="both"/>
        <w:rPr>
          <w:b/>
          <w:i/>
          <w:sz w:val="22"/>
          <w:szCs w:val="22"/>
        </w:rPr>
      </w:pPr>
    </w:p>
    <w:p w14:paraId="1F802133" w14:textId="77777777" w:rsidR="00CD4119" w:rsidRDefault="00CD4119">
      <w:pPr>
        <w:rPr>
          <w:sz w:val="22"/>
          <w:szCs w:val="22"/>
          <w:u w:val="single"/>
        </w:rPr>
      </w:pPr>
      <w:bookmarkStart w:id="56" w:name="_bookmark66"/>
      <w:bookmarkEnd w:id="56"/>
      <w:r>
        <w:rPr>
          <w:sz w:val="22"/>
          <w:szCs w:val="22"/>
          <w:u w:val="single"/>
        </w:rPr>
        <w:br w:type="page"/>
      </w:r>
    </w:p>
    <w:p w14:paraId="4C1FEEEB" w14:textId="1552AB3E" w:rsidR="0085091F" w:rsidRPr="00387DA7" w:rsidRDefault="00775F1E" w:rsidP="00637CF7">
      <w:pPr>
        <w:pStyle w:val="BodyText"/>
        <w:spacing w:before="5"/>
        <w:ind w:right="306"/>
        <w:jc w:val="both"/>
        <w:rPr>
          <w:sz w:val="22"/>
          <w:szCs w:val="22"/>
          <w:u w:val="single"/>
        </w:rPr>
      </w:pPr>
      <w:r w:rsidRPr="00387DA7">
        <w:rPr>
          <w:sz w:val="22"/>
          <w:szCs w:val="22"/>
          <w:u w:val="single"/>
        </w:rPr>
        <w:t>Township Official Tables</w:t>
      </w:r>
    </w:p>
    <w:p w14:paraId="1097F570" w14:textId="33457EC7" w:rsidR="00775F1E" w:rsidRPr="00B22442" w:rsidRDefault="00775F1E" w:rsidP="00637CF7">
      <w:pPr>
        <w:pStyle w:val="BodyText"/>
        <w:spacing w:before="90"/>
        <w:ind w:right="306"/>
        <w:jc w:val="both"/>
        <w:rPr>
          <w:sz w:val="22"/>
          <w:szCs w:val="22"/>
          <w:u w:val="double"/>
        </w:rPr>
      </w:pPr>
      <w:r w:rsidRPr="00387DA7">
        <w:rPr>
          <w:sz w:val="22"/>
          <w:szCs w:val="22"/>
        </w:rPr>
        <w:t xml:space="preserve">Ohio Rev. Code §§ 505.24 and 507.09 set forth amounts of township officials’ compensation. Beginning in 2019 through </w:t>
      </w:r>
      <w:r w:rsidRPr="00B22442">
        <w:rPr>
          <w:strike/>
          <w:sz w:val="22"/>
          <w:szCs w:val="22"/>
        </w:rPr>
        <w:t>2028</w:t>
      </w:r>
      <w:r w:rsidR="00B22442">
        <w:rPr>
          <w:strike/>
          <w:sz w:val="22"/>
          <w:szCs w:val="22"/>
        </w:rPr>
        <w:t xml:space="preserve"> </w:t>
      </w:r>
      <w:r w:rsidR="00B22442" w:rsidRPr="00B22442">
        <w:rPr>
          <w:sz w:val="22"/>
          <w:szCs w:val="22"/>
        </w:rPr>
        <w:t>2025</w:t>
      </w:r>
      <w:r w:rsidRPr="00387DA7">
        <w:rPr>
          <w:sz w:val="22"/>
          <w:szCs w:val="22"/>
        </w:rPr>
        <w:t>, fiscal officers will receive an annual increase of one and three- quarters per cent.</w:t>
      </w:r>
      <w:r w:rsidR="00B22442">
        <w:rPr>
          <w:sz w:val="22"/>
          <w:szCs w:val="22"/>
        </w:rPr>
        <w:t xml:space="preserve"> </w:t>
      </w:r>
      <w:r w:rsidR="00B22442">
        <w:rPr>
          <w:sz w:val="22"/>
          <w:szCs w:val="22"/>
          <w:u w:val="double"/>
        </w:rPr>
        <w:t>In calendar year 2026 through calendar year 2029, fiscal officers will receive an annual increase of five per cent.</w:t>
      </w:r>
      <w:bookmarkStart w:id="57" w:name="_Ref208470249"/>
      <w:r w:rsidR="00EE3DC4">
        <w:rPr>
          <w:rStyle w:val="FootnoteReference"/>
          <w:sz w:val="22"/>
          <w:szCs w:val="22"/>
          <w:u w:val="double"/>
        </w:rPr>
        <w:footnoteReference w:id="42"/>
      </w:r>
      <w:bookmarkEnd w:id="57"/>
    </w:p>
    <w:p w14:paraId="30AF7E83" w14:textId="77777777" w:rsidR="00775F1E" w:rsidRPr="00387DA7" w:rsidRDefault="00775F1E" w:rsidP="00637CF7">
      <w:pPr>
        <w:pStyle w:val="BodyText"/>
        <w:spacing w:before="5"/>
        <w:ind w:right="306"/>
        <w:jc w:val="both"/>
        <w:rPr>
          <w:b/>
          <w:i/>
          <w:sz w:val="22"/>
          <w:szCs w:val="22"/>
        </w:rPr>
      </w:pPr>
    </w:p>
    <w:p w14:paraId="5795439A" w14:textId="5BE87F4B" w:rsidR="00775F1E" w:rsidRPr="00387DA7" w:rsidRDefault="00775F1E" w:rsidP="77E26F72">
      <w:pPr>
        <w:spacing w:line="235" w:lineRule="auto"/>
        <w:ind w:right="306"/>
        <w:jc w:val="both"/>
        <w:rPr>
          <w:sz w:val="22"/>
          <w:szCs w:val="22"/>
        </w:rPr>
      </w:pPr>
      <w:r w:rsidRPr="00387DA7">
        <w:rPr>
          <w:b/>
          <w:bCs/>
          <w:sz w:val="22"/>
          <w:szCs w:val="22"/>
        </w:rPr>
        <w:t xml:space="preserve">Note: For </w:t>
      </w:r>
      <w:r w:rsidRPr="001A5677">
        <w:rPr>
          <w:b/>
          <w:bCs/>
          <w:strike/>
          <w:sz w:val="22"/>
          <w:szCs w:val="22"/>
        </w:rPr>
        <w:t>the compensation charts</w:t>
      </w:r>
      <w:r w:rsidRPr="001E38EB">
        <w:rPr>
          <w:b/>
          <w:strike/>
          <w:sz w:val="22"/>
          <w:szCs w:val="22"/>
        </w:rPr>
        <w:t xml:space="preserve"> (A-15 and A-32) </w:t>
      </w:r>
      <w:r w:rsidRPr="001A5677">
        <w:rPr>
          <w:b/>
          <w:bCs/>
          <w:strike/>
          <w:sz w:val="22"/>
          <w:szCs w:val="22"/>
        </w:rPr>
        <w:t>and</w:t>
      </w:r>
      <w:r w:rsidRPr="00387DA7">
        <w:rPr>
          <w:b/>
          <w:bCs/>
          <w:sz w:val="22"/>
          <w:szCs w:val="22"/>
        </w:rPr>
        <w:t xml:space="preserve"> more information regarding township trustee and fiscal officer compensation, see the </w:t>
      </w:r>
      <w:hyperlink r:id="rId152">
        <w:r w:rsidRPr="00387DA7">
          <w:rPr>
            <w:b/>
            <w:bCs/>
            <w:color w:val="0000FF"/>
            <w:sz w:val="22"/>
            <w:szCs w:val="22"/>
            <w:u w:val="single"/>
          </w:rPr>
          <w:t>Ohio Township Handbook</w:t>
        </w:r>
      </w:hyperlink>
      <w:r w:rsidR="001E38EB">
        <w:t xml:space="preserve"> </w:t>
      </w:r>
      <w:r w:rsidR="001E38EB" w:rsidRPr="00580D2C">
        <w:rPr>
          <w:b/>
          <w:bCs/>
          <w:sz w:val="22"/>
          <w:szCs w:val="22"/>
          <w:u w:val="wave"/>
        </w:rPr>
        <w:t>(A-15 and A-32)</w:t>
      </w:r>
      <w:r w:rsidRPr="00387DA7">
        <w:rPr>
          <w:b/>
          <w:bCs/>
          <w:sz w:val="22"/>
          <w:szCs w:val="22"/>
        </w:rPr>
        <w:t>.</w:t>
      </w:r>
      <w:r w:rsidR="006E5E8A" w:rsidRPr="00387DA7">
        <w:rPr>
          <w:b/>
          <w:bCs/>
          <w:sz w:val="22"/>
          <w:szCs w:val="22"/>
        </w:rPr>
        <w:t xml:space="preserve">  In addition, compensation charts published by the Ohio Township Association, updated by year, may also be found at</w:t>
      </w:r>
      <w:r w:rsidR="006E5E8A" w:rsidRPr="00387DA7">
        <w:rPr>
          <w:b/>
          <w:bCs/>
          <w:sz w:val="22"/>
          <w:szCs w:val="22"/>
          <w:u w:val="single"/>
        </w:rPr>
        <w:t xml:space="preserve"> </w:t>
      </w:r>
      <w:hyperlink r:id="rId153" w:history="1">
        <w:r w:rsidR="005D792A" w:rsidRPr="00387DA7">
          <w:rPr>
            <w:rStyle w:val="Hyperlink"/>
            <w:b/>
            <w:sz w:val="22"/>
            <w:szCs w:val="22"/>
          </w:rPr>
          <w:t>https://resources.ohiotownships.org/compensation-charts</w:t>
        </w:r>
      </w:hyperlink>
      <w:r w:rsidR="005D792A" w:rsidRPr="00387DA7">
        <w:rPr>
          <w:b/>
          <w:sz w:val="22"/>
          <w:szCs w:val="22"/>
        </w:rPr>
        <w:t>.</w:t>
      </w:r>
      <w:r w:rsidR="00875E5E" w:rsidRPr="0071492E">
        <w:rPr>
          <w:rStyle w:val="FootnoteReference"/>
          <w:b/>
          <w:sz w:val="22"/>
          <w:szCs w:val="22"/>
          <w:u w:val="wave"/>
        </w:rPr>
        <w:footnoteReference w:id="43"/>
      </w:r>
    </w:p>
    <w:p w14:paraId="4776E380" w14:textId="77999A8A" w:rsidR="00E6189A" w:rsidRPr="00387DA7" w:rsidRDefault="00E53600" w:rsidP="00637CF7">
      <w:pPr>
        <w:autoSpaceDE w:val="0"/>
        <w:autoSpaceDN w:val="0"/>
        <w:adjustRightInd w:val="0"/>
        <w:ind w:right="306"/>
        <w:jc w:val="both"/>
        <w:rPr>
          <w:sz w:val="22"/>
          <w:szCs w:val="22"/>
        </w:rPr>
      </w:pPr>
      <w:r w:rsidRPr="00387DA7">
        <w:rPr>
          <w:rStyle w:val="Hyperlink"/>
          <w:rFonts w:cs="Arial"/>
          <w:color w:val="000000"/>
          <w:sz w:val="22"/>
          <w:szCs w:val="22"/>
          <w:u w:val="none"/>
        </w:rPr>
        <w:t xml:space="preserve"> </w:t>
      </w:r>
    </w:p>
    <w:p w14:paraId="37027DB1" w14:textId="330D3166" w:rsidR="00581732" w:rsidRPr="00432648" w:rsidRDefault="00581732" w:rsidP="00581732">
      <w:pPr>
        <w:tabs>
          <w:tab w:val="right" w:leader="dot" w:pos="9360"/>
        </w:tabs>
        <w:jc w:val="both"/>
        <w:rPr>
          <w:sz w:val="24"/>
          <w:szCs w:val="24"/>
        </w:rPr>
      </w:pPr>
    </w:p>
    <w:p w14:paraId="19A9A997" w14:textId="77777777" w:rsidR="003F7AE2" w:rsidRDefault="003F7AE2">
      <w:pPr>
        <w:rPr>
          <w:sz w:val="24"/>
          <w:lang w:eastAsia="ja-JP"/>
        </w:rPr>
      </w:pPr>
    </w:p>
    <w:p w14:paraId="1CDBCBEA" w14:textId="77777777" w:rsidR="00372245" w:rsidRDefault="00372245">
      <w:pPr>
        <w:rPr>
          <w:sz w:val="24"/>
          <w:lang w:eastAsia="ja-JP"/>
        </w:rPr>
        <w:sectPr w:rsidR="00372245" w:rsidSect="002A3762">
          <w:headerReference w:type="default" r:id="rId154"/>
          <w:type w:val="continuous"/>
          <w:pgSz w:w="12240" w:h="15840"/>
          <w:pgMar w:top="1152" w:right="1152" w:bottom="720" w:left="1152" w:header="720" w:footer="720" w:gutter="0"/>
          <w:cols w:space="720"/>
          <w:noEndnote/>
        </w:sectPr>
      </w:pPr>
    </w:p>
    <w:p w14:paraId="5D1A1FC1" w14:textId="48B4DF92" w:rsidR="001A62F8" w:rsidRPr="006E23DC" w:rsidRDefault="001A62F8" w:rsidP="00250DFA">
      <w:pPr>
        <w:pStyle w:val="Subtitle"/>
        <w:shd w:val="clear" w:color="auto" w:fill="A6A6A6" w:themeFill="background1" w:themeFillShade="A6"/>
        <w:ind w:right="450"/>
      </w:pPr>
      <w:bookmarkStart w:id="58" w:name="_Toc214431148"/>
      <w:r w:rsidRPr="006E23DC">
        <w:t>Exhibit 5 – Legal Matri</w:t>
      </w:r>
      <w:r w:rsidRPr="00263AE8">
        <w:t>x</w:t>
      </w:r>
      <w:bookmarkEnd w:id="58"/>
    </w:p>
    <w:p w14:paraId="6BA42A01" w14:textId="77777777" w:rsidR="001A62F8" w:rsidRPr="00372245" w:rsidRDefault="001A62F8" w:rsidP="001A62F8">
      <w:pPr>
        <w:pStyle w:val="Default"/>
      </w:pPr>
    </w:p>
    <w:p w14:paraId="13EC47AD" w14:textId="08F2660D" w:rsidR="001A62F8" w:rsidRPr="00387DA7" w:rsidRDefault="001A62F8" w:rsidP="00250DFA">
      <w:pPr>
        <w:pStyle w:val="CM11"/>
        <w:spacing w:line="276" w:lineRule="atLeast"/>
        <w:ind w:right="450"/>
        <w:jc w:val="both"/>
        <w:rPr>
          <w:rFonts w:ascii="Times New Roman" w:hAnsi="Times New Roman"/>
          <w:sz w:val="22"/>
          <w:szCs w:val="22"/>
        </w:rPr>
      </w:pPr>
      <w:r w:rsidRPr="00387DA7">
        <w:rPr>
          <w:rFonts w:ascii="Times New Roman" w:hAnsi="Times New Roman"/>
          <w:sz w:val="22"/>
          <w:szCs w:val="22"/>
        </w:rPr>
        <w:t xml:space="preserve">The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6A866D1F" w14:textId="77777777" w:rsidR="001A62F8" w:rsidRPr="00387DA7" w:rsidRDefault="001A62F8" w:rsidP="00250DFA">
      <w:pPr>
        <w:pStyle w:val="Default"/>
        <w:ind w:right="450"/>
        <w:rPr>
          <w:rFonts w:ascii="Times New Roman" w:hAnsi="Times New Roman" w:cs="Times New Roman"/>
          <w:sz w:val="22"/>
          <w:szCs w:val="22"/>
        </w:rPr>
      </w:pPr>
    </w:p>
    <w:p w14:paraId="2C3863AE" w14:textId="4F225291" w:rsidR="00416B20" w:rsidRPr="00387DA7" w:rsidRDefault="00416B20" w:rsidP="006A5C6C">
      <w:pPr>
        <w:ind w:right="450"/>
        <w:jc w:val="both"/>
        <w:rPr>
          <w:sz w:val="22"/>
          <w:szCs w:val="22"/>
        </w:rPr>
      </w:pPr>
      <w:r w:rsidRPr="00387DA7">
        <w:rPr>
          <w:sz w:val="22"/>
          <w:szCs w:val="22"/>
        </w:rPr>
        <w:t>The legal matri</w:t>
      </w:r>
      <w:r w:rsidR="004A5AA0" w:rsidRPr="00387DA7">
        <w:rPr>
          <w:sz w:val="22"/>
          <w:szCs w:val="22"/>
        </w:rPr>
        <w:t>x is</w:t>
      </w:r>
      <w:r w:rsidRPr="00387DA7">
        <w:rPr>
          <w:sz w:val="22"/>
          <w:szCs w:val="22"/>
        </w:rPr>
        <w:t xml:space="preserve"> depicted in a separate Excel file</w:t>
      </w:r>
      <w:r w:rsidR="001B1960" w:rsidRPr="00387DA7">
        <w:rPr>
          <w:sz w:val="22"/>
          <w:szCs w:val="22"/>
        </w:rPr>
        <w:t xml:space="preserve"> at </w:t>
      </w:r>
      <w:hyperlink r:id="rId155" w:history="1">
        <w:r w:rsidR="001B1960" w:rsidRPr="00387DA7">
          <w:rPr>
            <w:rStyle w:val="Hyperlink"/>
            <w:sz w:val="22"/>
            <w:szCs w:val="22"/>
          </w:rPr>
          <w:t>https://ohioauditor.gov/references/compliancemanuals.html</w:t>
        </w:r>
      </w:hyperlink>
      <w:r w:rsidR="001B1960" w:rsidRPr="00387DA7">
        <w:rPr>
          <w:sz w:val="22"/>
          <w:szCs w:val="22"/>
        </w:rPr>
        <w:t xml:space="preserve">. </w:t>
      </w:r>
      <w:r w:rsidRPr="00387DA7">
        <w:rPr>
          <w:sz w:val="22"/>
          <w:szCs w:val="22"/>
        </w:rPr>
        <w:t xml:space="preserve"> Entities are </w:t>
      </w:r>
      <w:r w:rsidR="00341996" w:rsidRPr="00387DA7">
        <w:rPr>
          <w:sz w:val="22"/>
          <w:szCs w:val="22"/>
        </w:rPr>
        <w:t>included alphabetically</w:t>
      </w:r>
      <w:r w:rsidRPr="00387DA7">
        <w:rPr>
          <w:sz w:val="22"/>
          <w:szCs w:val="22"/>
        </w:rPr>
        <w:t xml:space="preserve"> </w:t>
      </w:r>
      <w:r w:rsidR="00341996" w:rsidRPr="00387DA7">
        <w:rPr>
          <w:sz w:val="22"/>
          <w:szCs w:val="22"/>
        </w:rPr>
        <w:t>in</w:t>
      </w:r>
      <w:r w:rsidRPr="00387DA7">
        <w:rPr>
          <w:sz w:val="22"/>
          <w:szCs w:val="22"/>
        </w:rPr>
        <w:t xml:space="preserve"> the </w:t>
      </w:r>
      <w:r w:rsidR="001D4F37" w:rsidRPr="00387DA7">
        <w:rPr>
          <w:sz w:val="22"/>
          <w:szCs w:val="22"/>
        </w:rPr>
        <w:t>tab titled “OCS – Exhibit 5”</w:t>
      </w:r>
      <w:r w:rsidRPr="00387DA7">
        <w:rPr>
          <w:sz w:val="22"/>
          <w:szCs w:val="22"/>
        </w:rPr>
        <w:t>.</w:t>
      </w:r>
    </w:p>
    <w:p w14:paraId="20B7C592" w14:textId="77777777" w:rsidR="0081194D" w:rsidRDefault="0081194D" w:rsidP="0081194D">
      <w:pPr>
        <w:pStyle w:val="Default"/>
      </w:pPr>
    </w:p>
    <w:p w14:paraId="452337B9" w14:textId="77777777" w:rsidR="00D56852" w:rsidRPr="00432648" w:rsidRDefault="00D56852" w:rsidP="006E23DC">
      <w:pPr>
        <w:pStyle w:val="Default"/>
        <w:rPr>
          <w:rFonts w:ascii="Times New Roman" w:hAnsi="Times New Roman" w:cs="Times New Roman"/>
        </w:rPr>
      </w:pPr>
    </w:p>
    <w:p w14:paraId="449AFAA0" w14:textId="45E89C66" w:rsidR="00D56852" w:rsidRDefault="00D56852" w:rsidP="00D56852">
      <w:pPr>
        <w:pStyle w:val="Default"/>
        <w:rPr>
          <w:rFonts w:ascii="Times New Roman" w:hAnsi="Times New Roman" w:cs="Times New Roman"/>
        </w:rPr>
      </w:pPr>
    </w:p>
    <w:p w14:paraId="090E0E4E" w14:textId="77777777" w:rsidR="00C7571F" w:rsidRDefault="00C7571F" w:rsidP="00C7571F">
      <w:pPr>
        <w:sectPr w:rsidR="00C7571F" w:rsidSect="002A3762">
          <w:headerReference w:type="default" r:id="rId156"/>
          <w:footerReference w:type="even" r:id="rId157"/>
          <w:footerReference w:type="default" r:id="rId158"/>
          <w:headerReference w:type="first" r:id="rId159"/>
          <w:pgSz w:w="12240" w:h="15840"/>
          <w:pgMar w:top="1440" w:right="720" w:bottom="720" w:left="1440" w:header="720" w:footer="720" w:gutter="0"/>
          <w:cols w:space="720"/>
          <w:noEndnote/>
          <w:docGrid w:linePitch="360"/>
        </w:sectPr>
      </w:pPr>
    </w:p>
    <w:p w14:paraId="7B47711E" w14:textId="77777777" w:rsidR="00C7571F" w:rsidRPr="001C04A2" w:rsidRDefault="00C7571F" w:rsidP="00C7571F">
      <w:pPr>
        <w:pStyle w:val="Subtitle"/>
        <w:shd w:val="clear" w:color="auto" w:fill="A6A6A6" w:themeFill="background1" w:themeFillShade="A6"/>
      </w:pPr>
      <w:bookmarkStart w:id="59" w:name="_Toc214431149"/>
      <w:r w:rsidRPr="001C04A2">
        <w:t>Exhibit 6 – Entities Not Included</w:t>
      </w:r>
      <w:bookmarkEnd w:id="59"/>
    </w:p>
    <w:p w14:paraId="7ECB813C" w14:textId="77777777" w:rsidR="00C7571F" w:rsidRPr="001C04A2" w:rsidRDefault="00C7571F" w:rsidP="00C7571F"/>
    <w:p w14:paraId="6029C605" w14:textId="1D4B4312" w:rsidR="00C7571F" w:rsidRPr="00387DA7" w:rsidRDefault="00C7571F" w:rsidP="00C10478">
      <w:pPr>
        <w:jc w:val="both"/>
        <w:rPr>
          <w:sz w:val="22"/>
          <w:szCs w:val="22"/>
        </w:rPr>
      </w:pPr>
      <w:r w:rsidRPr="00387DA7">
        <w:rPr>
          <w:sz w:val="22"/>
          <w:szCs w:val="22"/>
        </w:rPr>
        <w:t>This exhibit contains the entity types which have NOT been considered for the applicability of OCS steps.  Below is a table of the Ohio Rev. Code sections which establish these entity types</w:t>
      </w:r>
      <w:r w:rsidR="00B0182A" w:rsidRPr="00387DA7">
        <w:rPr>
          <w:sz w:val="22"/>
          <w:szCs w:val="22"/>
        </w:rPr>
        <w:t>.  This table is</w:t>
      </w:r>
      <w:r w:rsidRPr="00387DA7">
        <w:rPr>
          <w:sz w:val="22"/>
          <w:szCs w:val="22"/>
        </w:rPr>
        <w:t xml:space="preserve"> not intended to </w:t>
      </w:r>
      <w:r w:rsidR="00B0182A" w:rsidRPr="00387DA7">
        <w:rPr>
          <w:sz w:val="22"/>
          <w:szCs w:val="22"/>
        </w:rPr>
        <w:t xml:space="preserve">define </w:t>
      </w:r>
      <w:r w:rsidRPr="00387DA7">
        <w:rPr>
          <w:sz w:val="22"/>
          <w:szCs w:val="22"/>
        </w:rPr>
        <w:t xml:space="preserve">the requirements for these entities.  Instead, it is intended to be used as a reference on where to begin </w:t>
      </w:r>
      <w:r w:rsidR="00372245" w:rsidRPr="00387DA7">
        <w:rPr>
          <w:sz w:val="22"/>
          <w:szCs w:val="22"/>
        </w:rPr>
        <w:t>the determination of the applicable compliance sections</w:t>
      </w:r>
      <w:r w:rsidRPr="00387DA7">
        <w:rPr>
          <w:sz w:val="22"/>
          <w:szCs w:val="22"/>
        </w:rPr>
        <w:t xml:space="preserve">.  </w:t>
      </w:r>
    </w:p>
    <w:p w14:paraId="6B58D464" w14:textId="586EF36B" w:rsidR="00CA25D2" w:rsidRPr="00387DA7" w:rsidRDefault="00CA25D2" w:rsidP="00C10478">
      <w:pPr>
        <w:jc w:val="both"/>
        <w:rPr>
          <w:sz w:val="22"/>
          <w:szCs w:val="22"/>
        </w:rPr>
      </w:pPr>
    </w:p>
    <w:p w14:paraId="2BA10B83" w14:textId="3DEE62A8" w:rsidR="001D4F37" w:rsidRPr="00387DA7" w:rsidRDefault="001D4F37" w:rsidP="007D766A">
      <w:pPr>
        <w:jc w:val="both"/>
        <w:rPr>
          <w:sz w:val="22"/>
          <w:szCs w:val="22"/>
        </w:rPr>
      </w:pPr>
      <w:r w:rsidRPr="00387DA7">
        <w:rPr>
          <w:sz w:val="22"/>
          <w:szCs w:val="22"/>
        </w:rPr>
        <w:t>This is depicted in a separate Excel file</w:t>
      </w:r>
      <w:r w:rsidR="00463B88" w:rsidRPr="00387DA7">
        <w:rPr>
          <w:sz w:val="22"/>
          <w:szCs w:val="22"/>
        </w:rPr>
        <w:t xml:space="preserve"> at</w:t>
      </w:r>
      <w:r w:rsidR="00341996" w:rsidRPr="00387DA7">
        <w:rPr>
          <w:sz w:val="22"/>
          <w:szCs w:val="22"/>
        </w:rPr>
        <w:t xml:space="preserve"> </w:t>
      </w:r>
      <w:hyperlink r:id="rId160" w:history="1">
        <w:r w:rsidR="00463B88" w:rsidRPr="00387DA7">
          <w:rPr>
            <w:rStyle w:val="Hyperlink"/>
            <w:sz w:val="22"/>
            <w:szCs w:val="22"/>
          </w:rPr>
          <w:t>https://ohioauditor.gov/references/compliancemanuals.html</w:t>
        </w:r>
      </w:hyperlink>
      <w:r w:rsidR="00463B88" w:rsidRPr="00387DA7">
        <w:rPr>
          <w:sz w:val="22"/>
          <w:szCs w:val="22"/>
        </w:rPr>
        <w:t>.</w:t>
      </w:r>
      <w:r w:rsidRPr="00387DA7">
        <w:rPr>
          <w:sz w:val="22"/>
          <w:szCs w:val="22"/>
        </w:rPr>
        <w:t xml:space="preserve">  </w:t>
      </w:r>
      <w:r w:rsidR="00341996" w:rsidRPr="00387DA7">
        <w:rPr>
          <w:sz w:val="22"/>
          <w:szCs w:val="22"/>
        </w:rPr>
        <w:t>See</w:t>
      </w:r>
      <w:r w:rsidRPr="00387DA7">
        <w:rPr>
          <w:sz w:val="22"/>
          <w:szCs w:val="22"/>
        </w:rPr>
        <w:t xml:space="preserve"> tab titled “OCS – Exhibit 6”.</w:t>
      </w:r>
    </w:p>
    <w:p w14:paraId="337D2FA1" w14:textId="707BEF9E" w:rsidR="001D4F37" w:rsidRPr="002C2C17" w:rsidRDefault="001D4F37" w:rsidP="00C10478">
      <w:pPr>
        <w:jc w:val="both"/>
        <w:rPr>
          <w:sz w:val="22"/>
          <w:szCs w:val="22"/>
        </w:rPr>
      </w:pPr>
    </w:p>
    <w:p w14:paraId="5DA47B34" w14:textId="77777777" w:rsidR="001D4F37" w:rsidRPr="002C2C17" w:rsidRDefault="001D4F37" w:rsidP="00C10478">
      <w:pPr>
        <w:jc w:val="both"/>
        <w:rPr>
          <w:sz w:val="22"/>
          <w:szCs w:val="22"/>
        </w:rPr>
      </w:pPr>
    </w:p>
    <w:p w14:paraId="2B0C99DA" w14:textId="77777777" w:rsidR="003963BA" w:rsidRPr="00C7571F" w:rsidRDefault="003963BA" w:rsidP="003F7AE2">
      <w:pPr>
        <w:rPr>
          <w:sz w:val="22"/>
          <w:szCs w:val="22"/>
        </w:rPr>
        <w:sectPr w:rsidR="003963BA" w:rsidRPr="00C7571F" w:rsidSect="002A3762">
          <w:headerReference w:type="default" r:id="rId161"/>
          <w:pgSz w:w="12240" w:h="15840" w:code="1"/>
          <w:pgMar w:top="1440" w:right="1440" w:bottom="720" w:left="1440" w:header="720" w:footer="720" w:gutter="0"/>
          <w:cols w:space="720"/>
          <w:noEndnote/>
          <w:docGrid w:linePitch="360"/>
        </w:sectPr>
      </w:pPr>
    </w:p>
    <w:p w14:paraId="1D77050F" w14:textId="77777777" w:rsidR="008F6A36" w:rsidRPr="00152D39" w:rsidRDefault="008F6A36" w:rsidP="00621F8F">
      <w:pPr>
        <w:pStyle w:val="Subtitle"/>
        <w:shd w:val="clear" w:color="auto" w:fill="A6A6A6" w:themeFill="background1" w:themeFillShade="A6"/>
        <w:rPr>
          <w:sz w:val="24"/>
        </w:rPr>
      </w:pPr>
      <w:bookmarkStart w:id="60" w:name="_Toc214431150"/>
      <w:r w:rsidRPr="00152D39">
        <w:t>Questions and Comments</w:t>
      </w:r>
      <w:bookmarkEnd w:id="60"/>
    </w:p>
    <w:p w14:paraId="7A09C126" w14:textId="77777777" w:rsidR="008F6A36" w:rsidRPr="00152D39" w:rsidRDefault="008F6A36" w:rsidP="009D277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rPr>
          <w:sz w:val="24"/>
          <w:lang w:eastAsia="ja-JP"/>
        </w:rPr>
      </w:pPr>
    </w:p>
    <w:p w14:paraId="6343D18D" w14:textId="4A4C57AC" w:rsidR="008F6A36" w:rsidRPr="00387DA7" w:rsidRDefault="008F6A36" w:rsidP="002B63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both"/>
        <w:rPr>
          <w:sz w:val="22"/>
          <w:szCs w:val="18"/>
          <w:lang w:eastAsia="ja-JP"/>
        </w:rPr>
      </w:pPr>
      <w:r w:rsidRPr="00387DA7">
        <w:rPr>
          <w:sz w:val="22"/>
          <w:szCs w:val="18"/>
          <w:lang w:eastAsia="ja-JP"/>
        </w:rPr>
        <w:t xml:space="preserve">The Auditor of State welcomes comments </w:t>
      </w:r>
      <w:r w:rsidR="001F6B26" w:rsidRPr="00387DA7">
        <w:rPr>
          <w:sz w:val="22"/>
          <w:szCs w:val="18"/>
          <w:lang w:eastAsia="ja-JP"/>
        </w:rPr>
        <w:t xml:space="preserve">and suggestions </w:t>
      </w:r>
      <w:r w:rsidRPr="00387DA7">
        <w:rPr>
          <w:sz w:val="22"/>
          <w:szCs w:val="18"/>
          <w:lang w:eastAsia="ja-JP"/>
        </w:rPr>
        <w:t xml:space="preserve">on the </w:t>
      </w:r>
      <w:r w:rsidR="00E71E84" w:rsidRPr="00387DA7">
        <w:rPr>
          <w:i/>
          <w:sz w:val="22"/>
          <w:szCs w:val="18"/>
          <w:lang w:eastAsia="ja-JP"/>
        </w:rPr>
        <w:t>OCS</w:t>
      </w:r>
      <w:r w:rsidRPr="00387DA7">
        <w:rPr>
          <w:sz w:val="22"/>
          <w:szCs w:val="18"/>
          <w:lang w:eastAsia="ja-JP"/>
        </w:rPr>
        <w:t>.</w:t>
      </w:r>
      <w:r w:rsidR="003661BD" w:rsidRPr="00387DA7">
        <w:rPr>
          <w:sz w:val="22"/>
          <w:szCs w:val="18"/>
          <w:lang w:eastAsia="ja-JP"/>
        </w:rPr>
        <w:t xml:space="preserve"> </w:t>
      </w:r>
      <w:r w:rsidRPr="00387DA7">
        <w:rPr>
          <w:sz w:val="22"/>
          <w:szCs w:val="18"/>
          <w:lang w:eastAsia="ja-JP"/>
        </w:rPr>
        <w:t xml:space="preserve"> </w:t>
      </w:r>
      <w:r w:rsidR="00D438F0" w:rsidRPr="00387DA7">
        <w:rPr>
          <w:sz w:val="22"/>
          <w:szCs w:val="18"/>
          <w:lang w:eastAsia="ja-JP"/>
        </w:rPr>
        <w:t xml:space="preserve">You may </w:t>
      </w:r>
      <w:r w:rsidR="0030190F" w:rsidRPr="00387DA7">
        <w:rPr>
          <w:sz w:val="22"/>
          <w:szCs w:val="18"/>
          <w:lang w:eastAsia="ja-JP"/>
        </w:rPr>
        <w:t>submit them through</w:t>
      </w:r>
      <w:r w:rsidRPr="00387DA7">
        <w:rPr>
          <w:sz w:val="22"/>
          <w:szCs w:val="18"/>
          <w:lang w:eastAsia="ja-JP"/>
        </w:rPr>
        <w:t>:</w:t>
      </w:r>
    </w:p>
    <w:p w14:paraId="3BCB0D14" w14:textId="77777777" w:rsidR="0030190F" w:rsidRPr="00152D39" w:rsidRDefault="0030190F" w:rsidP="0046711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rPr>
          <w:sz w:val="24"/>
          <w:lang w:eastAsia="ja-JP"/>
        </w:rPr>
      </w:pPr>
    </w:p>
    <w:p w14:paraId="77C17F98" w14:textId="77777777" w:rsidR="00C563AE" w:rsidRPr="00152D39" w:rsidRDefault="00C563AE" w:rsidP="009D2778">
      <w:pPr>
        <w:pBdr>
          <w:top w:val="single" w:sz="4" w:space="1" w:color="auto"/>
          <w:left w:val="single" w:sz="4" w:space="4" w:color="auto"/>
          <w:bottom w:val="single" w:sz="4" w:space="1" w:color="auto"/>
          <w:right w:val="single" w:sz="4" w:space="4" w:color="auto"/>
        </w:pBdr>
        <w:shd w:val="clear" w:color="auto" w:fill="E0E0E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center"/>
        <w:rPr>
          <w:b/>
          <w:sz w:val="22"/>
          <w:szCs w:val="22"/>
          <w:lang w:eastAsia="ja-JP"/>
        </w:rPr>
      </w:pPr>
    </w:p>
    <w:p w14:paraId="5548E76C" w14:textId="2C0201C8" w:rsidR="00C563AE" w:rsidRPr="00387DA7" w:rsidRDefault="006C4154" w:rsidP="009D2778">
      <w:pPr>
        <w:pBdr>
          <w:top w:val="single" w:sz="4" w:space="1" w:color="auto"/>
          <w:left w:val="single" w:sz="4" w:space="4" w:color="auto"/>
          <w:bottom w:val="single" w:sz="4" w:space="1" w:color="auto"/>
          <w:right w:val="single" w:sz="4" w:space="4" w:color="auto"/>
        </w:pBdr>
        <w:shd w:val="clear" w:color="auto" w:fill="E0E0E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center"/>
        <w:rPr>
          <w:b/>
          <w:sz w:val="22"/>
          <w:szCs w:val="22"/>
          <w:lang w:eastAsia="ja-JP"/>
        </w:rPr>
      </w:pPr>
      <w:hyperlink r:id="rId162" w:history="1">
        <w:r w:rsidRPr="00387DA7">
          <w:rPr>
            <w:rStyle w:val="Hyperlink"/>
            <w:b/>
            <w:sz w:val="22"/>
            <w:szCs w:val="22"/>
          </w:rPr>
          <w:t>https://ohioauditor.gov/contact/inquiry.aspx</w:t>
        </w:r>
      </w:hyperlink>
    </w:p>
    <w:p w14:paraId="68E30827" w14:textId="77777777" w:rsidR="00C563AE" w:rsidRPr="00C563AE" w:rsidRDefault="00C563AE" w:rsidP="009D2778">
      <w:pPr>
        <w:pBdr>
          <w:top w:val="single" w:sz="4" w:space="1" w:color="auto"/>
          <w:left w:val="single" w:sz="4" w:space="4" w:color="auto"/>
          <w:bottom w:val="single" w:sz="4" w:space="1" w:color="auto"/>
          <w:right w:val="single" w:sz="4" w:space="4" w:color="auto"/>
        </w:pBdr>
        <w:shd w:val="clear" w:color="auto" w:fill="E0E0E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jc w:val="center"/>
        <w:rPr>
          <w:b/>
          <w:i/>
          <w:sz w:val="22"/>
          <w:szCs w:val="22"/>
          <w:lang w:eastAsia="ja-JP"/>
        </w:rPr>
      </w:pPr>
    </w:p>
    <w:p w14:paraId="68BCABEA" w14:textId="77777777" w:rsidR="008F6A36" w:rsidRDefault="008F6A36" w:rsidP="009D2778">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s>
        <w:spacing w:line="259" w:lineRule="atLeast"/>
        <w:rPr>
          <w:sz w:val="24"/>
          <w:lang w:eastAsia="ja-JP"/>
        </w:rPr>
      </w:pPr>
    </w:p>
    <w:p w14:paraId="1C631279" w14:textId="3712A863" w:rsidR="6648D56B" w:rsidRDefault="6648D56B" w:rsidP="6648D56B">
      <w:pPr>
        <w:spacing w:line="259" w:lineRule="auto"/>
        <w:rPr>
          <w:rFonts w:ascii="Courier" w:hAnsi="Courier"/>
          <w:lang w:eastAsia="ja-JP"/>
        </w:rPr>
      </w:pPr>
    </w:p>
    <w:sectPr w:rsidR="6648D56B" w:rsidSect="002A3762">
      <w:headerReference w:type="default" r:id="rId163"/>
      <w:pgSz w:w="12240" w:h="15840"/>
      <w:pgMar w:top="1440" w:right="1440" w:bottom="72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F70B" w14:textId="77777777" w:rsidR="00A2732F" w:rsidRDefault="00A2732F">
      <w:r>
        <w:separator/>
      </w:r>
    </w:p>
    <w:p w14:paraId="7CEC45B3" w14:textId="77777777" w:rsidR="00A2732F" w:rsidRDefault="00A2732F"/>
    <w:p w14:paraId="0F3AD10D" w14:textId="77777777" w:rsidR="00A2732F" w:rsidRDefault="00A2732F"/>
  </w:endnote>
  <w:endnote w:type="continuationSeparator" w:id="0">
    <w:p w14:paraId="6E2F4A0E" w14:textId="77777777" w:rsidR="00A2732F" w:rsidRDefault="00A2732F">
      <w:r>
        <w:continuationSeparator/>
      </w:r>
    </w:p>
    <w:p w14:paraId="2738FEBD" w14:textId="77777777" w:rsidR="00A2732F" w:rsidRDefault="00A2732F"/>
    <w:p w14:paraId="509151AE" w14:textId="77777777" w:rsidR="00A2732F" w:rsidRDefault="00A2732F"/>
  </w:endnote>
  <w:endnote w:type="continuationNotice" w:id="1">
    <w:p w14:paraId="3A96C744" w14:textId="77777777" w:rsidR="00A2732F" w:rsidRDefault="00A2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KJJH I+ Century">
    <w:altName w:val="Cambria"/>
    <w:panose1 w:val="00000000000000000000"/>
    <w:charset w:val="00"/>
    <w:family w:val="roman"/>
    <w:notTrueType/>
    <w:pitch w:val="default"/>
    <w:sig w:usb0="00000003" w:usb1="00000000" w:usb2="00000000" w:usb3="00000000" w:csb0="00000001" w:csb1="00000000"/>
  </w:font>
  <w:font w:name="DKJJI I+ Century">
    <w:altName w:val="Century"/>
    <w:panose1 w:val="00000000000000000000"/>
    <w:charset w:val="00"/>
    <w:family w:val="roman"/>
    <w:notTrueType/>
    <w:pitch w:val="default"/>
    <w:sig w:usb0="00000003" w:usb1="00000000" w:usb2="00000000" w:usb3="00000000" w:csb0="00000001"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DCIO L+ Melior">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ew Century Schoolbook">
    <w:altName w:val="Cambria"/>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1F2F" w14:textId="77777777" w:rsidR="00E6466A" w:rsidRDefault="00E6466A" w:rsidP="00D56852">
    <w:pPr>
      <w:pStyle w:val="Footer"/>
      <w:jc w:val="center"/>
      <w:rPr>
        <w:rStyle w:val="PageNumber"/>
      </w:rPr>
    </w:pPr>
  </w:p>
  <w:p w14:paraId="7B94727B" w14:textId="121782F1" w:rsidR="000D7C7B" w:rsidRDefault="000D7C7B" w:rsidP="00D56852">
    <w:pPr>
      <w:pStyle w:val="Footer"/>
      <w:jc w:val="center"/>
    </w:pPr>
    <w:r w:rsidRPr="007B0494">
      <w:rPr>
        <w:rStyle w:val="PageNumber"/>
      </w:rPr>
      <w:fldChar w:fldCharType="begin"/>
    </w:r>
    <w:r w:rsidRPr="007B0494">
      <w:rPr>
        <w:rStyle w:val="PageNumber"/>
      </w:rPr>
      <w:instrText xml:space="preserve"> PAGE   \* MERGEFORMAT </w:instrText>
    </w:r>
    <w:r w:rsidRPr="007B0494">
      <w:rPr>
        <w:rStyle w:val="PageNumber"/>
      </w:rPr>
      <w:fldChar w:fldCharType="separate"/>
    </w:r>
    <w:r w:rsidR="00FF47DB">
      <w:rPr>
        <w:rStyle w:val="PageNumber"/>
        <w:noProof/>
      </w:rPr>
      <w:t>93</w:t>
    </w:r>
    <w:r w:rsidRPr="007B0494">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98B8" w14:textId="7CF3B372" w:rsidR="000D7C7B" w:rsidRDefault="000D7C7B" w:rsidP="00030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92</w:t>
    </w:r>
    <w:r>
      <w:rPr>
        <w:rStyle w:val="PageNumber"/>
      </w:rPr>
      <w:fldChar w:fldCharType="end"/>
    </w:r>
  </w:p>
  <w:p w14:paraId="0F06B8C4" w14:textId="77777777" w:rsidR="000D7C7B" w:rsidRDefault="000D7C7B">
    <w:pPr>
      <w:pStyle w:val="Footer"/>
    </w:pPr>
  </w:p>
  <w:p w14:paraId="0FEAFCAA" w14:textId="77777777" w:rsidR="000D7C7B" w:rsidRDefault="000D7C7B"/>
  <w:p w14:paraId="44EBC7D8" w14:textId="77777777" w:rsidR="000D7C7B" w:rsidRDefault="000D7C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1A9" w14:textId="67519719" w:rsidR="000D7C7B" w:rsidRDefault="000D7C7B" w:rsidP="008D531B">
    <w:pPr>
      <w:pStyle w:val="Footer"/>
      <w:framePr w:w="1447" w:h="410" w:hRule="exact" w:wrap="around" w:vAnchor="text" w:hAnchor="page" w:x="5482" w:y="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FF47DB">
      <w:rPr>
        <w:rStyle w:val="PageNumber"/>
        <w:noProof/>
      </w:rPr>
      <w:t>96</w:t>
    </w:r>
    <w:r>
      <w:rPr>
        <w:rStyle w:val="PageNumber"/>
      </w:rPr>
      <w:fldChar w:fldCharType="end"/>
    </w:r>
  </w:p>
  <w:p w14:paraId="5713D14F" w14:textId="77777777" w:rsidR="000D7C7B" w:rsidRDefault="000D7C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073A7" w14:textId="77777777" w:rsidR="00A2732F" w:rsidRPr="005E3E8E" w:rsidRDefault="00A2732F">
      <w:r>
        <w:separator/>
      </w:r>
    </w:p>
  </w:footnote>
  <w:footnote w:type="continuationSeparator" w:id="0">
    <w:p w14:paraId="591DFDFE" w14:textId="77777777" w:rsidR="00A2732F" w:rsidRDefault="00A2732F">
      <w:r>
        <w:continuationSeparator/>
      </w:r>
    </w:p>
    <w:p w14:paraId="6EA5DB34" w14:textId="77777777" w:rsidR="00A2732F" w:rsidRDefault="00A2732F"/>
    <w:p w14:paraId="6BD7433D" w14:textId="77777777" w:rsidR="00A2732F" w:rsidRDefault="00A2732F"/>
  </w:footnote>
  <w:footnote w:type="continuationNotice" w:id="1">
    <w:p w14:paraId="4D7798E2" w14:textId="77777777" w:rsidR="00A2732F" w:rsidRDefault="00A2732F"/>
  </w:footnote>
  <w:footnote w:id="2">
    <w:p w14:paraId="34A31446" w14:textId="77777777" w:rsidR="000D7C7B" w:rsidRPr="00862D50" w:rsidRDefault="000D7C7B" w:rsidP="00361150">
      <w:pPr>
        <w:pStyle w:val="FootnoteText"/>
        <w:jc w:val="both"/>
      </w:pPr>
      <w:r w:rsidRPr="00862D50">
        <w:rPr>
          <w:rStyle w:val="FootnoteReference"/>
        </w:rPr>
        <w:footnoteRef/>
      </w:r>
      <w:r w:rsidRPr="00862D50">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6F4D8995" w14:textId="77777777" w:rsidR="000D7C7B" w:rsidRPr="00862D50" w:rsidRDefault="000D7C7B" w:rsidP="00361150">
      <w:pPr>
        <w:pStyle w:val="FootnoteText"/>
        <w:jc w:val="both"/>
      </w:pPr>
    </w:p>
    <w:p w14:paraId="4BD83F9D" w14:textId="0FE33149" w:rsidR="000D7C7B" w:rsidRPr="00862D50" w:rsidRDefault="000D7C7B" w:rsidP="00361150">
      <w:pPr>
        <w:pStyle w:val="FootnoteText"/>
        <w:jc w:val="both"/>
      </w:pPr>
      <w:r w:rsidRPr="00862D50">
        <w:t xml:space="preserve">Cash / AOS basis governments’ </w:t>
      </w:r>
      <w:r w:rsidRPr="00862D50">
        <w:rPr>
          <w:i/>
        </w:rPr>
        <w:t>information systems</w:t>
      </w:r>
      <w:r w:rsidRPr="00862D50">
        <w:t xml:space="preserve"> include documents used to prepare / support notes to the statements.</w:t>
      </w:r>
    </w:p>
  </w:footnote>
  <w:footnote w:id="3">
    <w:p w14:paraId="54ED9022" w14:textId="1AFE2B98" w:rsidR="00053C3B" w:rsidRPr="00053C3B" w:rsidRDefault="00053C3B">
      <w:pPr>
        <w:pStyle w:val="FootnoteText"/>
        <w:rPr>
          <w:u w:val="wave"/>
        </w:rPr>
      </w:pPr>
      <w:r>
        <w:rPr>
          <w:rStyle w:val="FootnoteReference"/>
        </w:rPr>
        <w:footnoteRef/>
      </w:r>
      <w:r>
        <w:t xml:space="preserve"> </w:t>
      </w:r>
      <w:r>
        <w:rPr>
          <w:u w:val="wave"/>
        </w:rPr>
        <w:t xml:space="preserve">All references to the SLG are </w:t>
      </w:r>
      <w:r w:rsidR="004222C6">
        <w:rPr>
          <w:u w:val="wave"/>
        </w:rPr>
        <w:t xml:space="preserve">from the </w:t>
      </w:r>
      <w:r w:rsidR="009176FE">
        <w:rPr>
          <w:u w:val="wave"/>
        </w:rPr>
        <w:t xml:space="preserve">March 2024 version, which is the most recent available as of the issuance of </w:t>
      </w:r>
      <w:r w:rsidR="00C67098">
        <w:rPr>
          <w:u w:val="wave"/>
        </w:rPr>
        <w:t xml:space="preserve">the </w:t>
      </w:r>
      <w:r w:rsidR="00274025">
        <w:rPr>
          <w:u w:val="wave"/>
        </w:rPr>
        <w:t xml:space="preserve">2026 </w:t>
      </w:r>
      <w:r w:rsidR="009176FE">
        <w:rPr>
          <w:u w:val="wave"/>
        </w:rPr>
        <w:t>OCS.</w:t>
      </w:r>
    </w:p>
  </w:footnote>
  <w:footnote w:id="4">
    <w:p w14:paraId="4F89FBD6" w14:textId="47323AC1" w:rsidR="000D7C7B" w:rsidRDefault="000D7C7B" w:rsidP="00361150">
      <w:pPr>
        <w:pStyle w:val="FootnoteText"/>
        <w:jc w:val="both"/>
      </w:pPr>
      <w:r w:rsidRPr="00862D50">
        <w:rPr>
          <w:rStyle w:val="FootnoteReference"/>
        </w:rPr>
        <w:footnoteRef/>
      </w:r>
      <w:r w:rsidRPr="00862D50">
        <w:t xml:space="preserve">  The internal controls </w:t>
      </w:r>
      <w:r w:rsidRPr="004C075E">
        <w:t>AAG SLG</w:t>
      </w:r>
      <w:r w:rsidRPr="00862D50">
        <w:t xml:space="preserve"> </w:t>
      </w:r>
      <w:r w:rsidR="00E471D8" w:rsidRPr="00C909C3">
        <w:t>4.13</w:t>
      </w:r>
      <w:r w:rsidR="00E471D8">
        <w:t xml:space="preserve"> </w:t>
      </w:r>
      <w:r w:rsidRPr="008C06CA">
        <w:t>mentions</w:t>
      </w:r>
      <w:r w:rsidRPr="00862D50">
        <w:t xml:space="preserve"> are legal </w:t>
      </w:r>
      <w:r w:rsidRPr="00862D50">
        <w:rPr>
          <w:i/>
        </w:rPr>
        <w:t>compliance</w:t>
      </w:r>
      <w:r w:rsidRPr="00862D50">
        <w:t xml:space="preserve"> controls.  Some </w:t>
      </w:r>
      <w:r w:rsidRPr="00862D50">
        <w:rPr>
          <w:b/>
          <w:i/>
        </w:rPr>
        <w:t>(but not all)</w:t>
      </w:r>
      <w:r w:rsidRPr="00862D50">
        <w:t xml:space="preserve"> compliance controls also help control the direct determination of financial statement amounts.  </w:t>
      </w:r>
      <w:r w:rsidRPr="00862D50">
        <w:t xml:space="preserve">Therefore the discussion of an auditor’s responsibility to document and assess controls directly and materially affecting financial statement amounts does include only controls related to determining financial statement amounts.  See discussion of </w:t>
      </w:r>
      <w:r w:rsidRPr="00862D50">
        <w:rPr>
          <w:b/>
          <w:i/>
        </w:rPr>
        <w:t>Compliance Risk and Controls</w:t>
      </w:r>
      <w:r w:rsidRPr="00862D50">
        <w:t xml:space="preserve"> later in this </w:t>
      </w:r>
      <w:r w:rsidRPr="00862D50">
        <w:rPr>
          <w:b/>
        </w:rPr>
        <w:t>Implementation Guide</w:t>
      </w:r>
      <w:r w:rsidRPr="00862D50">
        <w:t>.</w:t>
      </w:r>
    </w:p>
    <w:p w14:paraId="7B8F1DBA" w14:textId="77777777" w:rsidR="000D7C7B" w:rsidRPr="00862D50" w:rsidRDefault="000D7C7B" w:rsidP="00361150">
      <w:pPr>
        <w:pStyle w:val="FootnoteText"/>
        <w:jc w:val="both"/>
      </w:pPr>
    </w:p>
  </w:footnote>
  <w:footnote w:id="5">
    <w:p w14:paraId="7AC35D71" w14:textId="3BE9B57B" w:rsidR="000D7C7B" w:rsidRPr="00862D50" w:rsidRDefault="000D7C7B" w:rsidP="009C3934">
      <w:pPr>
        <w:pStyle w:val="FootnoteText"/>
        <w:jc w:val="both"/>
      </w:pPr>
      <w:r w:rsidRPr="00862D50">
        <w:rPr>
          <w:rStyle w:val="FootnoteReference"/>
        </w:rPr>
        <w:footnoteRef/>
      </w:r>
      <w:r w:rsidRPr="00862D50">
        <w:t xml:space="preserve">  Auditors can also use the Federal Award Compliance Control Records (FACCR’s) included on </w:t>
      </w:r>
      <w:r>
        <w:t xml:space="preserve">the AOS website as a reference: </w:t>
      </w:r>
      <w:hyperlink r:id="rId1" w:history="1">
        <w:r w:rsidRPr="00573F30">
          <w:rPr>
            <w:rStyle w:val="Hyperlink"/>
          </w:rPr>
          <w:t>http://www.ohioauditor.gov/references/practiceaids/faccrs.html</w:t>
        </w:r>
      </w:hyperlink>
      <w:r>
        <w:t xml:space="preserve">. </w:t>
      </w:r>
    </w:p>
  </w:footnote>
  <w:footnote w:id="6">
    <w:p w14:paraId="12FE324A" w14:textId="4ADBA32A" w:rsidR="000D7C7B" w:rsidRPr="00862D50" w:rsidRDefault="000D7C7B" w:rsidP="009C3934">
      <w:pPr>
        <w:pStyle w:val="FootnoteText"/>
        <w:jc w:val="both"/>
      </w:pPr>
      <w:r w:rsidRPr="00862D50">
        <w:rPr>
          <w:rStyle w:val="FootnoteReference"/>
        </w:rPr>
        <w:footnoteRef/>
      </w:r>
      <w:r w:rsidRPr="00862D50">
        <w:t xml:space="preserve"> Based on the auditee’s transactions and operations, an auditor may judge some </w:t>
      </w:r>
      <w:r>
        <w:t>C</w:t>
      </w:r>
      <w:r w:rsidRPr="00862D50">
        <w:t>hapter 3</w:t>
      </w:r>
      <w:r>
        <w:t xml:space="preserve">, </w:t>
      </w:r>
      <w:r w:rsidRPr="00002B69">
        <w:t>4D,</w:t>
      </w:r>
      <w:r w:rsidRPr="00862D50">
        <w:t xml:space="preserve"> </w:t>
      </w:r>
      <w:r w:rsidRPr="00273493">
        <w:t>or Optional Procedures Manual</w:t>
      </w:r>
      <w:r>
        <w:t xml:space="preserve"> </w:t>
      </w:r>
      <w:r w:rsidRPr="00862D50">
        <w:t>requirements to directly or indirectly (and materially) affect the determination of financial statement amounts.  In these instances, auditors should follow guidance for direct or indirect requirements.</w:t>
      </w:r>
    </w:p>
  </w:footnote>
  <w:footnote w:id="7">
    <w:p w14:paraId="64620AC5" w14:textId="4F8A191C" w:rsidR="000D7C7B" w:rsidRDefault="000D7C7B" w:rsidP="008C7998">
      <w:pPr>
        <w:pStyle w:val="FootnoteText"/>
        <w:jc w:val="both"/>
      </w:pPr>
      <w:r>
        <w:rPr>
          <w:rStyle w:val="FootnoteReference"/>
        </w:rPr>
        <w:footnoteRef/>
      </w:r>
      <w:r>
        <w:t xml:space="preserve"> </w:t>
      </w:r>
      <w:r w:rsidRPr="002C2C17">
        <w:t>Auditors can satisfy the “in writing” requirement by reporting the noncompliance in the management letter</w:t>
      </w:r>
      <w:r>
        <w:t>.</w:t>
      </w:r>
    </w:p>
  </w:footnote>
  <w:footnote w:id="8">
    <w:p w14:paraId="7C115106" w14:textId="77777777" w:rsidR="000D7C7B" w:rsidRPr="00862D50" w:rsidRDefault="000D7C7B" w:rsidP="007B10F2">
      <w:pPr>
        <w:pStyle w:val="FootnoteText"/>
        <w:jc w:val="both"/>
      </w:pPr>
      <w:r w:rsidRPr="00862D50">
        <w:rPr>
          <w:rStyle w:val="FootnoteReference"/>
        </w:rPr>
        <w:footnoteRef/>
      </w:r>
      <w:r w:rsidRPr="00862D50">
        <w:t xml:space="preserve"> Assume the fund is not the general or major special revenue fund for a GAAP government:  </w:t>
      </w:r>
    </w:p>
    <w:p w14:paraId="3F5E4AD7" w14:textId="77777777" w:rsidR="000D7C7B" w:rsidRPr="00862D50" w:rsidRDefault="000D7C7B" w:rsidP="007955DE">
      <w:pPr>
        <w:pStyle w:val="FootnoteText"/>
        <w:numPr>
          <w:ilvl w:val="0"/>
          <w:numId w:val="33"/>
        </w:numPr>
        <w:jc w:val="both"/>
      </w:pPr>
      <w:r w:rsidRPr="00862D50">
        <w:t xml:space="preserve">Therefore there is no budget presentation for it.  </w:t>
      </w:r>
    </w:p>
    <w:p w14:paraId="1F69F718" w14:textId="77777777" w:rsidR="000D7C7B" w:rsidRPr="00862D50" w:rsidRDefault="000D7C7B" w:rsidP="007955DE">
      <w:pPr>
        <w:pStyle w:val="FootnoteText"/>
        <w:numPr>
          <w:ilvl w:val="0"/>
          <w:numId w:val="33"/>
        </w:numPr>
        <w:jc w:val="both"/>
      </w:pPr>
      <w:r w:rsidRPr="00862D50">
        <w:t xml:space="preserve">Accordingly, the auditor would not have designed budget tests for this fund.  </w:t>
      </w:r>
    </w:p>
    <w:p w14:paraId="2B9C0F6F" w14:textId="5B61D23C" w:rsidR="000D7C7B" w:rsidRPr="00862D50" w:rsidRDefault="000D7C7B" w:rsidP="00B948C0">
      <w:pPr>
        <w:pStyle w:val="FootnoteText"/>
        <w:numPr>
          <w:ilvl w:val="0"/>
          <w:numId w:val="33"/>
        </w:numPr>
        <w:jc w:val="both"/>
      </w:pPr>
      <w:r w:rsidRPr="00862D50">
        <w:t>However, if the auditor becomes aware of the over expenditure via other procedures, it is subject to reporting as noncompliance in the GAGAS report.</w:t>
      </w:r>
    </w:p>
  </w:footnote>
  <w:footnote w:id="9">
    <w:p w14:paraId="0C3A1F4B" w14:textId="77777777" w:rsidR="000D7C7B" w:rsidRPr="00862D50" w:rsidRDefault="000D7C7B" w:rsidP="003404B9">
      <w:pPr>
        <w:pStyle w:val="FootnoteText"/>
        <w:jc w:val="both"/>
      </w:pPr>
      <w:r w:rsidRPr="00862D50">
        <w:rPr>
          <w:position w:val="6"/>
          <w:vertAlign w:val="superscript"/>
          <w:lang w:eastAsia="ja-JP"/>
        </w:rPr>
        <w:footnoteRef/>
      </w:r>
      <w:r w:rsidRPr="00862D50">
        <w:rPr>
          <w:vertAlign w:val="superscript"/>
        </w:rPr>
        <w:t xml:space="preserve"> </w:t>
      </w:r>
      <w:r w:rsidRPr="00862D50">
        <w:rPr>
          <w:i/>
        </w:rPr>
        <w:t>Questioned costs</w:t>
      </w:r>
      <w:r w:rsidRPr="00862D50">
        <w:t xml:space="preserve"> normally apply only when opining on compliance under</w:t>
      </w:r>
      <w:r w:rsidRPr="00791FE1">
        <w:t xml:space="preserve"> AU-C 935</w:t>
      </w:r>
      <w:r w:rsidRPr="00862D50">
        <w:t xml:space="preserve">, such as </w:t>
      </w:r>
      <w:r w:rsidRPr="00A4412F">
        <w:t>Single</w:t>
      </w:r>
      <w:r>
        <w:t xml:space="preserve"> A</w:t>
      </w:r>
      <w:r w:rsidRPr="00862D50">
        <w:t>udits of Federal programs.  This discussion does not pertain directly to questioned costs.</w:t>
      </w:r>
    </w:p>
    <w:p w14:paraId="2CCF37D8" w14:textId="77777777" w:rsidR="000D7C7B" w:rsidRPr="00862D50" w:rsidRDefault="000D7C7B">
      <w:pPr>
        <w:pStyle w:val="FootnoteText"/>
      </w:pPr>
    </w:p>
  </w:footnote>
  <w:footnote w:id="10">
    <w:p w14:paraId="5D99805F" w14:textId="577984AC" w:rsidR="000D7C7B" w:rsidRPr="00862D50" w:rsidRDefault="000D7C7B" w:rsidP="003404B9">
      <w:pPr>
        <w:pStyle w:val="FootnoteText"/>
        <w:jc w:val="both"/>
      </w:pPr>
      <w:r w:rsidRPr="00862D50">
        <w:rPr>
          <w:position w:val="6"/>
          <w:vertAlign w:val="superscript"/>
          <w:lang w:eastAsia="ja-JP"/>
        </w:rPr>
        <w:footnoteRef/>
      </w:r>
      <w:r w:rsidRPr="00862D50">
        <w:rPr>
          <w:vertAlign w:val="superscript"/>
        </w:rPr>
        <w:t xml:space="preserve"> </w:t>
      </w:r>
      <w:r>
        <w:t>Ohio Rev. Code § 1</w:t>
      </w:r>
      <w:r w:rsidRPr="00862D50">
        <w:t xml:space="preserve">17.20(C) states that the Auditor of State may prepare and disseminate to public offices and other interested </w:t>
      </w:r>
      <w:r w:rsidRPr="00862D50">
        <w:t>parties advisory bulletins, directives and instructions relating to accounting and financial reporting systems, budgeting procedures, fiscal controls and constructions by the Auditor of constitutional and statutory provisions, court decisions and opinions of the Attorney General.  These bulletins, directives and instructions are of an advisory nature.</w:t>
      </w:r>
      <w:r>
        <w:t xml:space="preserve"> </w:t>
      </w:r>
    </w:p>
  </w:footnote>
  <w:footnote w:id="11">
    <w:p w14:paraId="04059A80" w14:textId="4B067B23" w:rsidR="000D7C7B" w:rsidRPr="00862D50" w:rsidRDefault="00396962" w:rsidP="00361150">
      <w:pPr>
        <w:pStyle w:val="FootnoteText"/>
        <w:jc w:val="both"/>
      </w:pPr>
      <w:r w:rsidRPr="00862D50">
        <w:rPr>
          <w:rStyle w:val="FootnoteReference"/>
        </w:rPr>
        <w:footnoteRef/>
      </w:r>
      <w:r w:rsidRPr="00862D50">
        <w:t xml:space="preserve"> </w:t>
      </w:r>
      <w:r w:rsidRPr="006A2C1B">
        <w:t>A</w:t>
      </w:r>
      <w:r w:rsidRPr="00862D50">
        <w:t xml:space="preserve">s described in AU-C 450.A2, </w:t>
      </w:r>
      <w:r w:rsidRPr="00387AB4">
        <w:t>“clearly trivial” is not another expression for “not material.” Misstatements that are clearly trivial will be of a wholly different (smaller) order of magnitude, or of a wholly different nature, than those that would be determined to be material and will be misstatements that are clearly inconsequential, whether taken individually or in the aggregate and whether judged by any criteria of size, nature, or circumstances. When there is any uncertainty about whether one or more items are clearly trivial, the misstatement is considered not to be clearly trivial.</w:t>
      </w:r>
      <w:r w:rsidRPr="00862D50">
        <w:t xml:space="preserve"> </w:t>
      </w:r>
    </w:p>
  </w:footnote>
  <w:footnote w:id="12">
    <w:p w14:paraId="5537DFF9" w14:textId="04CA4A86" w:rsidR="000D7C7B" w:rsidRPr="00862D50" w:rsidRDefault="000D7C7B" w:rsidP="003404B9">
      <w:pPr>
        <w:pStyle w:val="FootnoteText"/>
        <w:jc w:val="both"/>
      </w:pPr>
      <w:r w:rsidRPr="00862D50">
        <w:rPr>
          <w:rStyle w:val="FootnoteReference"/>
        </w:rPr>
        <w:footnoteRef/>
      </w:r>
      <w:r w:rsidRPr="00862D50">
        <w:t xml:space="preserve"> This is to comply with </w:t>
      </w:r>
      <w:r>
        <w:t>Ohio Rev. Code § 1</w:t>
      </w:r>
      <w:r w:rsidRPr="00862D50">
        <w:t>17.12 which states, “IPAs have no authority to make formal findings of illegality, malfeasance, or gross neglect under this division or section 117.23 of the Revised Code.”</w:t>
      </w:r>
    </w:p>
  </w:footnote>
  <w:footnote w:id="13">
    <w:p w14:paraId="2B7B3D08" w14:textId="3FEBF6FD" w:rsidR="000D7C7B" w:rsidRPr="008C7998" w:rsidRDefault="000D7C7B" w:rsidP="00F631E1">
      <w:pPr>
        <w:pStyle w:val="FootnoteText"/>
        <w:jc w:val="both"/>
        <w:rPr>
          <w:rFonts w:cs="ADCIO L+ Melior"/>
          <w:color w:val="000000"/>
        </w:rPr>
      </w:pPr>
      <w:r w:rsidRPr="008C7998">
        <w:rPr>
          <w:rStyle w:val="FootnoteReference"/>
        </w:rPr>
        <w:footnoteRef/>
      </w:r>
      <w:r w:rsidRPr="008C7998">
        <w:t xml:space="preserve"> Note the prohibition on spending Federal money for alcohol described in the Federal government’s </w:t>
      </w:r>
      <w:r w:rsidRPr="008C7998">
        <w:rPr>
          <w:rFonts w:cs="ADCIO L+ Melior"/>
          <w:color w:val="000000"/>
        </w:rPr>
        <w:t xml:space="preserve">Uniform Guidance (2 C.F.R. </w:t>
      </w:r>
      <w:r w:rsidRPr="008C7998">
        <w:rPr>
          <w:rStyle w:val="footnoteref"/>
        </w:rPr>
        <w:t xml:space="preserve">§ </w:t>
      </w:r>
      <w:r w:rsidRPr="008C7998">
        <w:rPr>
          <w:rFonts w:cs="ADCIO L+ Melior"/>
          <w:color w:val="000000"/>
        </w:rPr>
        <w:t xml:space="preserve">200.423) are more stringent than the state and local laws summarized in AOS Bulletins 2014-002 and 2014-003. </w:t>
      </w:r>
    </w:p>
    <w:p w14:paraId="31E11321" w14:textId="77777777" w:rsidR="000D7C7B" w:rsidRPr="00684741" w:rsidRDefault="000D7C7B" w:rsidP="00F631E1">
      <w:pPr>
        <w:pStyle w:val="FootnoteText"/>
        <w:jc w:val="both"/>
      </w:pPr>
    </w:p>
  </w:footnote>
  <w:footnote w:id="14">
    <w:p w14:paraId="6540F7EF" w14:textId="2537B933" w:rsidR="005226EE" w:rsidRPr="00BB4D2E" w:rsidRDefault="005226EE" w:rsidP="00C652DC">
      <w:pPr>
        <w:pStyle w:val="FootnoteText"/>
        <w:jc w:val="both"/>
        <w:rPr>
          <w:u w:val="wave"/>
        </w:rPr>
      </w:pPr>
      <w:r w:rsidRPr="00BB4D2E">
        <w:rPr>
          <w:rStyle w:val="FootnoteReference"/>
          <w:u w:val="wave"/>
        </w:rPr>
        <w:footnoteRef/>
      </w:r>
      <w:r w:rsidRPr="00BB4D2E">
        <w:rPr>
          <w:u w:val="wave"/>
        </w:rPr>
        <w:t xml:space="preserve"> </w:t>
      </w:r>
      <w:r w:rsidR="00F4675F" w:rsidRPr="00BB4D2E">
        <w:rPr>
          <w:u w:val="wave"/>
        </w:rPr>
        <w:t xml:space="preserve"> </w:t>
      </w:r>
      <w:r w:rsidR="00C46640" w:rsidRPr="00BB4D2E">
        <w:rPr>
          <w:u w:val="wave"/>
        </w:rPr>
        <w:t>Auditors should</w:t>
      </w:r>
      <w:r w:rsidR="00F4675F" w:rsidRPr="00BB4D2E">
        <w:rPr>
          <w:u w:val="wave"/>
        </w:rPr>
        <w:t xml:space="preserve"> contact </w:t>
      </w:r>
      <w:r w:rsidR="00C46640" w:rsidRPr="00BB4D2E">
        <w:rPr>
          <w:u w:val="wave"/>
        </w:rPr>
        <w:t>their</w:t>
      </w:r>
      <w:r w:rsidR="00F4675F" w:rsidRPr="00BB4D2E">
        <w:rPr>
          <w:u w:val="wave"/>
        </w:rPr>
        <w:t xml:space="preserve"> assigned legal counsel if a pattern of paying late fees, penalties, and/or interest charges exists to determine if gross negligence occurred. </w:t>
      </w:r>
    </w:p>
  </w:footnote>
  <w:footnote w:id="15">
    <w:p w14:paraId="34D5DC14" w14:textId="4C4DAA29" w:rsidR="000D7C7B" w:rsidRDefault="000D7C7B" w:rsidP="00C94015">
      <w:pPr>
        <w:pStyle w:val="FootnoteText"/>
        <w:jc w:val="both"/>
      </w:pPr>
      <w:r w:rsidRPr="00862D50">
        <w:rPr>
          <w:rStyle w:val="FootnoteReference"/>
        </w:rPr>
        <w:footnoteRef/>
      </w:r>
      <w:r w:rsidRPr="00862D50">
        <w:t xml:space="preserve"> See the discussion of </w:t>
      </w:r>
      <w:r w:rsidRPr="00862D50">
        <w:rPr>
          <w:i/>
        </w:rPr>
        <w:t>strict liability</w:t>
      </w:r>
      <w:r w:rsidRPr="00862D50">
        <w:t xml:space="preserve"> later in this Implementation Guide.</w:t>
      </w:r>
    </w:p>
    <w:p w14:paraId="5A85C3E2" w14:textId="77777777" w:rsidR="000D7C7B" w:rsidRPr="00862D50" w:rsidRDefault="000D7C7B" w:rsidP="00C94015">
      <w:pPr>
        <w:pStyle w:val="FootnoteText"/>
        <w:jc w:val="both"/>
      </w:pPr>
    </w:p>
  </w:footnote>
  <w:footnote w:id="16">
    <w:p w14:paraId="01A78D92" w14:textId="2A9ED8A1" w:rsidR="00701DA6" w:rsidRPr="00701DA6" w:rsidRDefault="006A4BF3" w:rsidP="00413CE2">
      <w:pPr>
        <w:pStyle w:val="FootnoteText"/>
        <w:jc w:val="both"/>
        <w:rPr>
          <w:u w:val="wave"/>
        </w:rPr>
      </w:pPr>
      <w:r w:rsidRPr="006A4BF3">
        <w:rPr>
          <w:rStyle w:val="FootnoteReference"/>
          <w:u w:val="wave"/>
        </w:rPr>
        <w:footnoteRef/>
      </w:r>
      <w:r w:rsidRPr="006A4BF3">
        <w:rPr>
          <w:u w:val="wave"/>
        </w:rPr>
        <w:t xml:space="preserve"> AOS Bulletin 2025-013 also outlines examples of potential FFRs for </w:t>
      </w:r>
      <w:r>
        <w:rPr>
          <w:u w:val="wave"/>
        </w:rPr>
        <w:t xml:space="preserve">public </w:t>
      </w:r>
      <w:r w:rsidRPr="006A4BF3">
        <w:rPr>
          <w:u w:val="wave"/>
        </w:rPr>
        <w:t xml:space="preserve">monies </w:t>
      </w:r>
      <w:r>
        <w:rPr>
          <w:u w:val="wave"/>
        </w:rPr>
        <w:t xml:space="preserve">due but not collected in relation to the reimbursement of sales tax by tax-exempt public offices.  </w:t>
      </w:r>
      <w:r w:rsidR="00701DA6" w:rsidRPr="00701DA6">
        <w:rPr>
          <w:u w:val="wave"/>
        </w:rPr>
        <w:t xml:space="preserve">This bulletin </w:t>
      </w:r>
      <w:r w:rsidR="00B0783C">
        <w:rPr>
          <w:u w:val="wave"/>
        </w:rPr>
        <w:t>provides guidance</w:t>
      </w:r>
      <w:r w:rsidR="000C227D">
        <w:rPr>
          <w:u w:val="wave"/>
        </w:rPr>
        <w:t xml:space="preserve"> about</w:t>
      </w:r>
      <w:r w:rsidR="00701DA6" w:rsidRPr="00701DA6">
        <w:rPr>
          <w:u w:val="wave"/>
        </w:rPr>
        <w:t xml:space="preserve"> </w:t>
      </w:r>
      <w:r w:rsidR="00D129BA">
        <w:rPr>
          <w:u w:val="wave"/>
        </w:rPr>
        <w:t>how</w:t>
      </w:r>
      <w:r w:rsidR="00701DA6" w:rsidRPr="00701DA6">
        <w:rPr>
          <w:u w:val="wave"/>
        </w:rPr>
        <w:t xml:space="preserve"> </w:t>
      </w:r>
      <w:r w:rsidR="00701DA6">
        <w:rPr>
          <w:u w:val="wave"/>
        </w:rPr>
        <w:t>AOS</w:t>
      </w:r>
      <w:r w:rsidR="00701DA6" w:rsidRPr="00701DA6">
        <w:rPr>
          <w:u w:val="wave"/>
        </w:rPr>
        <w:t xml:space="preserve"> will address sales tax moving forward, including: </w:t>
      </w:r>
    </w:p>
    <w:p w14:paraId="4C910424" w14:textId="77777777" w:rsidR="00701DA6" w:rsidRPr="00701DA6" w:rsidRDefault="00701DA6" w:rsidP="00413CE2">
      <w:pPr>
        <w:pStyle w:val="FootnoteText"/>
        <w:numPr>
          <w:ilvl w:val="1"/>
          <w:numId w:val="52"/>
        </w:numPr>
        <w:ind w:left="360"/>
        <w:jc w:val="both"/>
        <w:rPr>
          <w:u w:val="wave"/>
        </w:rPr>
      </w:pPr>
      <w:r w:rsidRPr="00701DA6">
        <w:rPr>
          <w:u w:val="wave"/>
        </w:rPr>
        <w:t xml:space="preserve">When an employee uses his/her own credit card or checking account to make a purchase on behalf of a tax-exempt public office, sales tax should be collected at the point of sale. The public office may properly reimburse the employee for that sales tax, and no FFR should result. </w:t>
      </w:r>
    </w:p>
    <w:p w14:paraId="4E6431D5" w14:textId="3C4934A4" w:rsidR="006A4BF3" w:rsidRPr="00512664" w:rsidRDefault="00701DA6" w:rsidP="007C727B">
      <w:pPr>
        <w:pStyle w:val="FootnoteText"/>
        <w:numPr>
          <w:ilvl w:val="1"/>
          <w:numId w:val="52"/>
        </w:numPr>
        <w:ind w:left="360"/>
        <w:jc w:val="both"/>
      </w:pPr>
      <w:r w:rsidRPr="00502DF5">
        <w:rPr>
          <w:u w:val="wave"/>
        </w:rPr>
        <w:t>When a purchase is made using a tax-exempt public office’s credit card or account, sales tax should not be paid.  If sales tax is erroneously paid by the tax-exempt public office when the public office’s credit card or account was directly charged, the fiscal officer should endeavor to recover the sales tax. An FFR for public money due but not collected may be issued when a fiscal officer fails to take steps to recover sales tax that was erroneously paid by the tax-exempt public office on purchases made using the public office’s credit card or account.</w:t>
      </w:r>
    </w:p>
  </w:footnote>
  <w:footnote w:id="17">
    <w:p w14:paraId="16D9E1B3" w14:textId="77777777" w:rsidR="00C703AD" w:rsidRPr="00C703AD" w:rsidRDefault="00C703AD" w:rsidP="00C703AD">
      <w:pPr>
        <w:pStyle w:val="FootnoteText"/>
        <w:jc w:val="both"/>
        <w:rPr>
          <w:u w:val="wave"/>
        </w:rPr>
      </w:pPr>
      <w:r w:rsidRPr="00C703AD">
        <w:rPr>
          <w:rStyle w:val="FootnoteReference"/>
          <w:u w:val="wave"/>
        </w:rPr>
        <w:footnoteRef/>
      </w:r>
      <w:r w:rsidRPr="00C703AD">
        <w:rPr>
          <w:u w:val="wave"/>
        </w:rPr>
        <w:t xml:space="preserve"> All documentation gathered by SIU in a preliminary investigation is available to AOS regions on the W: drive in the special audits folder.</w:t>
      </w:r>
    </w:p>
  </w:footnote>
  <w:footnote w:id="18">
    <w:p w14:paraId="2F4D2FB4" w14:textId="38FE4B80" w:rsidR="00E43217" w:rsidRPr="00387AB4" w:rsidRDefault="00E43217" w:rsidP="0040178E">
      <w:pPr>
        <w:pStyle w:val="FootnoteText"/>
        <w:jc w:val="both"/>
        <w:rPr>
          <w:sz w:val="22"/>
          <w:szCs w:val="22"/>
        </w:rPr>
      </w:pPr>
      <w:r w:rsidRPr="00387AB4">
        <w:rPr>
          <w:rStyle w:val="FootnoteReference"/>
        </w:rPr>
        <w:footnoteRef/>
      </w:r>
      <w:r w:rsidRPr="00387AB4">
        <w:t xml:space="preserve"> </w:t>
      </w:r>
      <w:r w:rsidR="00A776D8" w:rsidRPr="00387AB4">
        <w:t xml:space="preserve">Insurance policies </w:t>
      </w:r>
      <w:r w:rsidR="00D11CF8" w:rsidRPr="00387AB4">
        <w:t xml:space="preserve">that are purchased in place of a bond (under Ohio Rev. Code </w:t>
      </w:r>
      <w:bookmarkStart w:id="29" w:name="_Hlk213074978"/>
      <w:r w:rsidR="00D11CF8" w:rsidRPr="00387AB4">
        <w:rPr>
          <w:lang w:eastAsia="ja-JP"/>
        </w:rPr>
        <w:t>§</w:t>
      </w:r>
      <w:r w:rsidR="00105421">
        <w:rPr>
          <w:lang w:eastAsia="ja-JP"/>
        </w:rPr>
        <w:t xml:space="preserve"> </w:t>
      </w:r>
      <w:r w:rsidR="00D11CF8" w:rsidRPr="00387AB4">
        <w:rPr>
          <w:lang w:eastAsia="ja-JP"/>
        </w:rPr>
        <w:t>3.061</w:t>
      </w:r>
      <w:bookmarkEnd w:id="29"/>
      <w:r w:rsidR="006D3396" w:rsidRPr="00387AB4">
        <w:rPr>
          <w:lang w:eastAsia="ja-JP"/>
        </w:rPr>
        <w:t>)</w:t>
      </w:r>
      <w:r w:rsidR="00A732F7" w:rsidRPr="00387AB4">
        <w:rPr>
          <w:lang w:eastAsia="ja-JP"/>
        </w:rPr>
        <w:t>, are treated the same as a bond</w:t>
      </w:r>
      <w:r w:rsidR="006D3396" w:rsidRPr="00387AB4">
        <w:rPr>
          <w:lang w:eastAsia="ja-JP"/>
        </w:rPr>
        <w:t xml:space="preserve"> for FFR </w:t>
      </w:r>
      <w:r w:rsidR="006D3396" w:rsidRPr="00A101D2">
        <w:rPr>
          <w:lang w:eastAsia="ja-JP"/>
        </w:rPr>
        <w:t>purposes.</w:t>
      </w:r>
      <w:r w:rsidR="00A101D2" w:rsidRPr="00A101D2">
        <w:rPr>
          <w:lang w:eastAsia="ja-JP"/>
        </w:rPr>
        <w:t xml:space="preserve">  </w:t>
      </w:r>
      <w:r w:rsidR="00A101D2" w:rsidRPr="00A101D2">
        <w:rPr>
          <w:u w:val="wave"/>
          <w:lang w:eastAsia="ja-JP"/>
        </w:rPr>
        <w:t>However,</w:t>
      </w:r>
      <w:r w:rsidR="00A101D2" w:rsidRPr="00A101D2">
        <w:rPr>
          <w:sz w:val="22"/>
          <w:szCs w:val="22"/>
          <w:u w:val="wave"/>
          <w:lang w:eastAsia="ja-JP"/>
        </w:rPr>
        <w:t xml:space="preserve"> </w:t>
      </w:r>
      <w:r w:rsidR="00A101D2" w:rsidRPr="00A101D2">
        <w:rPr>
          <w:u w:val="wave"/>
          <w:lang w:eastAsia="ja-JP"/>
        </w:rPr>
        <w:t xml:space="preserve">auditors should not </w:t>
      </w:r>
      <w:r w:rsidR="008F539E">
        <w:rPr>
          <w:u w:val="wave"/>
          <w:lang w:eastAsia="ja-JP"/>
        </w:rPr>
        <w:t>name</w:t>
      </w:r>
      <w:r w:rsidR="00A101D2" w:rsidRPr="00A101D2">
        <w:rPr>
          <w:u w:val="wave"/>
          <w:lang w:eastAsia="ja-JP"/>
        </w:rPr>
        <w:t xml:space="preserve"> general liability insurance that the local government carries as liable on an FFR. Rather, only a public official’s bond or </w:t>
      </w:r>
      <w:r w:rsidR="00E73014">
        <w:rPr>
          <w:u w:val="wave"/>
          <w:lang w:eastAsia="ja-JP"/>
        </w:rPr>
        <w:t xml:space="preserve">employee dishonesty and </w:t>
      </w:r>
      <w:r w:rsidR="00A101D2" w:rsidRPr="00A101D2">
        <w:rPr>
          <w:u w:val="wave"/>
          <w:lang w:eastAsia="ja-JP"/>
        </w:rPr>
        <w:t>faithful performance</w:t>
      </w:r>
      <w:r w:rsidR="00CA6F09">
        <w:rPr>
          <w:u w:val="wave"/>
          <w:lang w:eastAsia="ja-JP"/>
        </w:rPr>
        <w:t xml:space="preserve"> of duty policy issued</w:t>
      </w:r>
      <w:r w:rsidR="00A101D2" w:rsidRPr="00A101D2">
        <w:rPr>
          <w:u w:val="wave"/>
          <w:lang w:eastAsia="ja-JP"/>
        </w:rPr>
        <w:t xml:space="preserve"> in lieu of a bond</w:t>
      </w:r>
      <w:r w:rsidR="00CA6F09">
        <w:rPr>
          <w:u w:val="wave"/>
          <w:lang w:eastAsia="ja-JP"/>
        </w:rPr>
        <w:t xml:space="preserve"> pursuant to Ohio Rev. Code </w:t>
      </w:r>
      <w:r w:rsidR="00CA6F09" w:rsidRPr="00CA6F09">
        <w:rPr>
          <w:u w:val="wave"/>
          <w:lang w:eastAsia="ja-JP"/>
        </w:rPr>
        <w:t>§ 3.061</w:t>
      </w:r>
      <w:r w:rsidR="00A101D2" w:rsidRPr="00A101D2">
        <w:rPr>
          <w:u w:val="wave"/>
          <w:lang w:eastAsia="ja-JP"/>
        </w:rPr>
        <w:t xml:space="preserve"> should be named as jointly and severally liable on FFRs, if applicable.</w:t>
      </w:r>
      <w:r w:rsidR="00C709D9">
        <w:rPr>
          <w:u w:val="wave"/>
          <w:lang w:eastAsia="ja-JP"/>
        </w:rPr>
        <w:t xml:space="preserve">  In addition, i</w:t>
      </w:r>
      <w:r w:rsidR="00C709D9" w:rsidRPr="00C709D9">
        <w:rPr>
          <w:u w:val="wave"/>
          <w:lang w:eastAsia="ja-JP"/>
        </w:rPr>
        <w:t xml:space="preserve">nstead of naming the </w:t>
      </w:r>
      <w:r w:rsidR="00C709D9" w:rsidRPr="00C709D9">
        <w:rPr>
          <w:i/>
          <w:iCs/>
          <w:u w:val="wave"/>
          <w:lang w:eastAsia="ja-JP"/>
        </w:rPr>
        <w:t>company</w:t>
      </w:r>
      <w:r w:rsidR="00C709D9" w:rsidRPr="00C709D9">
        <w:rPr>
          <w:u w:val="wave"/>
          <w:lang w:eastAsia="ja-JP"/>
        </w:rPr>
        <w:t xml:space="preserve"> that issues the bond or the insurance policy as liable, </w:t>
      </w:r>
      <w:r w:rsidR="00C709D9">
        <w:rPr>
          <w:u w:val="wave"/>
          <w:lang w:eastAsia="ja-JP"/>
        </w:rPr>
        <w:t>the FFR language should</w:t>
      </w:r>
      <w:r w:rsidR="00C709D9" w:rsidRPr="00C709D9">
        <w:rPr>
          <w:u w:val="wave"/>
          <w:lang w:eastAsia="ja-JP"/>
        </w:rPr>
        <w:t xml:space="preserve"> reflect that the FFR is issued against the </w:t>
      </w:r>
      <w:r w:rsidR="00C709D9" w:rsidRPr="00C709D9">
        <w:rPr>
          <w:i/>
          <w:iCs/>
          <w:u w:val="wave"/>
          <w:lang w:eastAsia="ja-JP"/>
        </w:rPr>
        <w:t>bond</w:t>
      </w:r>
      <w:r w:rsidR="00C709D9" w:rsidRPr="00C709D9">
        <w:rPr>
          <w:u w:val="wave"/>
          <w:lang w:eastAsia="ja-JP"/>
        </w:rPr>
        <w:t xml:space="preserve"> or </w:t>
      </w:r>
      <w:r w:rsidR="00C709D9" w:rsidRPr="00C709D9">
        <w:rPr>
          <w:i/>
          <w:iCs/>
          <w:u w:val="wave"/>
          <w:lang w:eastAsia="ja-JP"/>
        </w:rPr>
        <w:t>policy</w:t>
      </w:r>
      <w:r w:rsidR="00C709D9" w:rsidRPr="00C709D9">
        <w:rPr>
          <w:u w:val="wave"/>
          <w:lang w:eastAsia="ja-JP"/>
        </w:rPr>
        <w:t xml:space="preserve"> itself.  That is, the NPFFR should state that “the bond </w:t>
      </w:r>
      <w:r w:rsidR="00A60366">
        <w:rPr>
          <w:u w:val="wave"/>
          <w:lang w:eastAsia="ja-JP"/>
        </w:rPr>
        <w:t>[</w:t>
      </w:r>
      <w:r w:rsidR="00C709D9" w:rsidRPr="00C709D9">
        <w:rPr>
          <w:u w:val="wave"/>
          <w:lang w:eastAsia="ja-JP"/>
        </w:rPr>
        <w:t>or insurance policy</w:t>
      </w:r>
      <w:r w:rsidR="00A60366">
        <w:rPr>
          <w:u w:val="wave"/>
          <w:lang w:eastAsia="ja-JP"/>
        </w:rPr>
        <w:t>]</w:t>
      </w:r>
      <w:r w:rsidR="00C709D9" w:rsidRPr="00C709D9">
        <w:rPr>
          <w:u w:val="wave"/>
          <w:lang w:eastAsia="ja-JP"/>
        </w:rPr>
        <w:t xml:space="preserve"> covering X official provided by Y company is jointly and severally liable.”</w:t>
      </w:r>
    </w:p>
  </w:footnote>
  <w:footnote w:id="19">
    <w:p w14:paraId="7EEC5C27" w14:textId="77777777" w:rsidR="000D7C7B" w:rsidRDefault="000D7C7B" w:rsidP="003404B9">
      <w:pPr>
        <w:jc w:val="both"/>
        <w:rPr>
          <w:lang w:eastAsia="ja-JP"/>
        </w:rPr>
      </w:pPr>
      <w:r w:rsidRPr="00862D50">
        <w:rPr>
          <w:position w:val="6"/>
          <w:vertAlign w:val="superscript"/>
          <w:lang w:eastAsia="ja-JP"/>
        </w:rPr>
        <w:footnoteRef/>
      </w:r>
      <w:r w:rsidRPr="00862D50">
        <w:rPr>
          <w:lang w:eastAsia="ja-JP"/>
        </w:rPr>
        <w:t xml:space="preserve"> IPAs follow different procedures.  See the </w:t>
      </w:r>
      <w:r w:rsidRPr="00862D50">
        <w:rPr>
          <w:i/>
          <w:lang w:eastAsia="ja-JP"/>
        </w:rPr>
        <w:t xml:space="preserve">Finding for Recovery Procedures for Independent Public Accountants (IPA) </w:t>
      </w:r>
      <w:r w:rsidRPr="00862D50">
        <w:rPr>
          <w:lang w:eastAsia="ja-JP"/>
        </w:rPr>
        <w:t>discussion later in the Implementation Guide.</w:t>
      </w:r>
    </w:p>
    <w:p w14:paraId="4C983C0E" w14:textId="77777777" w:rsidR="000D7C7B" w:rsidRPr="00862D50" w:rsidRDefault="000D7C7B" w:rsidP="003404B9">
      <w:pPr>
        <w:jc w:val="both"/>
        <w:rPr>
          <w:lang w:eastAsia="ja-JP"/>
        </w:rPr>
      </w:pPr>
    </w:p>
  </w:footnote>
  <w:footnote w:id="20">
    <w:p w14:paraId="6D054C20" w14:textId="77777777" w:rsidR="0077131E" w:rsidRPr="00387AB4" w:rsidRDefault="0077131E" w:rsidP="009C0F62">
      <w:pPr>
        <w:pStyle w:val="FootnoteText"/>
        <w:jc w:val="both"/>
      </w:pPr>
      <w:r w:rsidRPr="00387AB4">
        <w:rPr>
          <w:rStyle w:val="FootnoteReference"/>
        </w:rPr>
        <w:footnoteRef/>
      </w:r>
      <w:r w:rsidRPr="00387AB4">
        <w:t xml:space="preserve"> For any repayments related to a criminal case, the client should be reminded to notify the clerk of courts as well, so it can be properly updated in the court record.</w:t>
      </w:r>
    </w:p>
  </w:footnote>
  <w:footnote w:id="21">
    <w:p w14:paraId="2D22585A" w14:textId="76C1CFEE" w:rsidR="00BD5FDE" w:rsidRDefault="00BD5FDE" w:rsidP="008B793A">
      <w:pPr>
        <w:pStyle w:val="FootnoteText"/>
        <w:jc w:val="both"/>
      </w:pPr>
      <w:r w:rsidRPr="00387AB4">
        <w:rPr>
          <w:rStyle w:val="FootnoteReference"/>
        </w:rPr>
        <w:footnoteRef/>
      </w:r>
      <w:r w:rsidRPr="00387AB4">
        <w:t xml:space="preserve"> If the auditor becomes aware of a repayment of a Finding for Recovery connected to a restitution order, the auditor should ask the client to inform both the Clerk of Courts and Attorney General Collections</w:t>
      </w:r>
      <w:r w:rsidR="004A279C" w:rsidRPr="00387AB4">
        <w:t xml:space="preserve"> section</w:t>
      </w:r>
      <w:r w:rsidRPr="00387AB4">
        <w:t>.</w:t>
      </w:r>
    </w:p>
  </w:footnote>
  <w:footnote w:id="22">
    <w:p w14:paraId="15EAC7D8" w14:textId="518DDBAD" w:rsidR="000D7C7B" w:rsidRPr="00862D50" w:rsidRDefault="000D7C7B" w:rsidP="00DB4DA9">
      <w:pPr>
        <w:pStyle w:val="FootnoteText"/>
        <w:jc w:val="both"/>
      </w:pPr>
      <w:r w:rsidRPr="00862D50">
        <w:rPr>
          <w:rStyle w:val="FootnoteReference"/>
        </w:rPr>
        <w:footnoteRef/>
      </w:r>
      <w:r w:rsidRPr="00862D50">
        <w:t xml:space="preserve"> For example, if five employees were all overpaid (for the same cycle-payroll for example) and they were each overpaid by $100, then we would issue a </w:t>
      </w:r>
      <w:r>
        <w:t>Finding for Recovery</w:t>
      </w:r>
      <w:r w:rsidRPr="00862D50">
        <w:t xml:space="preserve"> because the payroll cyc</w:t>
      </w:r>
      <w:r>
        <w:t>le had an aggregate of $500 in Findings for R</w:t>
      </w:r>
      <w:r w:rsidRPr="00862D50">
        <w:t>ecovery (5 X $100).</w:t>
      </w:r>
    </w:p>
  </w:footnote>
  <w:footnote w:id="23">
    <w:p w14:paraId="455A2075" w14:textId="2450C5DC" w:rsidR="00786CBE" w:rsidRPr="00AB1F8F" w:rsidRDefault="00786CBE" w:rsidP="006C4BE6">
      <w:pPr>
        <w:pStyle w:val="FootnoteText"/>
        <w:jc w:val="both"/>
      </w:pPr>
      <w:r w:rsidRPr="00786CBE">
        <w:rPr>
          <w:rStyle w:val="FootnoteReference"/>
          <w:u w:val="wave"/>
        </w:rPr>
        <w:footnoteRef/>
      </w:r>
      <w:r w:rsidRPr="00786CBE">
        <w:rPr>
          <w:u w:val="wave"/>
        </w:rPr>
        <w:t xml:space="preserve"> Auditors should refer to the guidance on previous pages regarding repayment plans.  Specifically, </w:t>
      </w:r>
      <w:r w:rsidRPr="00786CBE">
        <w:rPr>
          <w:u w:val="wave"/>
          <w:lang w:eastAsia="ja-JP"/>
        </w:rPr>
        <w:t>the agreement must be reviewed in the following period’s audit to verify repayment or if the contractual terms of the repayment agreement are being met if the term of the agreement exceeds the audit period.</w:t>
      </w:r>
    </w:p>
  </w:footnote>
  <w:footnote w:id="24">
    <w:p w14:paraId="27E0FE45" w14:textId="77777777" w:rsidR="000D7C7B" w:rsidRPr="007C498A" w:rsidRDefault="000D7C7B" w:rsidP="00AC721B">
      <w:pPr>
        <w:pStyle w:val="FootnoteText"/>
        <w:jc w:val="both"/>
      </w:pPr>
      <w:r w:rsidRPr="00862D50">
        <w:rPr>
          <w:rStyle w:val="FootnoteReference"/>
        </w:rPr>
        <w:footnoteRef/>
      </w:r>
      <w:r w:rsidRPr="00862D50">
        <w:t xml:space="preserve">  </w:t>
      </w:r>
      <w:r w:rsidRPr="007C498A">
        <w:t xml:space="preserve">Except when </w:t>
      </w:r>
      <w:r w:rsidRPr="007C498A">
        <w:t>all of the requirements in AOS Bulletins 2014-002 and 2014-003 are met regarding the re-sale of alcohol.</w:t>
      </w:r>
    </w:p>
    <w:p w14:paraId="7D876FEF" w14:textId="77777777" w:rsidR="000D7C7B" w:rsidRPr="00862D50" w:rsidRDefault="000D7C7B" w:rsidP="00AC721B">
      <w:pPr>
        <w:pStyle w:val="FootnoteText"/>
        <w:jc w:val="both"/>
      </w:pPr>
    </w:p>
  </w:footnote>
  <w:footnote w:id="25">
    <w:p w14:paraId="177DB947" w14:textId="5F16CECB" w:rsidR="000D7C7B" w:rsidRPr="00862D50" w:rsidRDefault="000D7C7B" w:rsidP="001055BB">
      <w:pPr>
        <w:pStyle w:val="FootnoteText"/>
        <w:jc w:val="both"/>
      </w:pPr>
      <w:r w:rsidRPr="00862D50">
        <w:rPr>
          <w:rStyle w:val="FootnoteReference"/>
        </w:rPr>
        <w:footnoteRef/>
      </w:r>
      <w:r w:rsidRPr="00862D50">
        <w:rPr>
          <w:rStyle w:val="FootnoteReference"/>
        </w:rPr>
        <w:t xml:space="preserve"> </w:t>
      </w:r>
      <w:r w:rsidRPr="00862D50">
        <w:t xml:space="preserve">This is to comply with </w:t>
      </w:r>
      <w:r>
        <w:t>Ohio Rev. Code § 1</w:t>
      </w:r>
      <w:r w:rsidRPr="00862D50">
        <w:t>17.12 which states, “IPAs have no authority to make formal findings of illegality, malfeasance, or gross neglect under this division or section 117.23 of the Revised Code.”</w:t>
      </w:r>
    </w:p>
  </w:footnote>
  <w:footnote w:id="26">
    <w:p w14:paraId="339BE6AE" w14:textId="26B05769" w:rsidR="000D7C7B" w:rsidRPr="00862D50" w:rsidRDefault="000D7C7B" w:rsidP="00910A9A">
      <w:pPr>
        <w:pStyle w:val="FootnoteText"/>
        <w:jc w:val="both"/>
      </w:pPr>
      <w:r w:rsidRPr="00862D50">
        <w:rPr>
          <w:rStyle w:val="FootnoteReference"/>
        </w:rPr>
        <w:footnoteRef/>
      </w:r>
      <w:r w:rsidRPr="00862D50">
        <w:t xml:space="preserve"> NOTE:</w:t>
      </w:r>
      <w:r>
        <w:t xml:space="preserve"> </w:t>
      </w:r>
      <w:r w:rsidRPr="00862D50">
        <w:t xml:space="preserve"> </w:t>
      </w:r>
      <w:r>
        <w:t>Ohio Rev. Code §</w:t>
      </w:r>
      <w:r w:rsidRPr="00862D50">
        <w:t xml:space="preserve"> 4701.19 provides that an IPA’s audit documentation</w:t>
      </w:r>
      <w:r w:rsidRPr="00862D50">
        <w:rPr>
          <w:b/>
          <w:bCs/>
          <w:i/>
          <w:iCs/>
        </w:rPr>
        <w:t xml:space="preserve"> </w:t>
      </w:r>
      <w:r w:rsidRPr="00862D50">
        <w:t>remains the property of the IPA, even in the possession of the Auditor of State’s office, and states that these materials are not public records available for public di</w:t>
      </w:r>
      <w:r>
        <w:t xml:space="preserve">sclosure. </w:t>
      </w:r>
      <w:r w:rsidRPr="00862D50">
        <w:t xml:space="preserve"> However, we will request a limited waiver of this statutory provision after the AOS Legal </w:t>
      </w:r>
      <w:r>
        <w:t>Division</w:t>
      </w:r>
      <w:r w:rsidRPr="00862D50">
        <w:t xml:space="preserve"> has approved the</w:t>
      </w:r>
      <w:r>
        <w:t xml:space="preserve"> proposed Finding for Recovery. </w:t>
      </w:r>
      <w:r w:rsidRPr="00862D50">
        <w:t xml:space="preserve"> This limited waiver will request the IPA to make audit documentation supporting the proposed </w:t>
      </w:r>
      <w:r>
        <w:t>Finding for Recovery</w:t>
      </w:r>
      <w:r w:rsidRPr="00862D50">
        <w:t xml:space="preserve"> available for inspection by the person named in</w:t>
      </w:r>
      <w:r>
        <w:t xml:space="preserve"> the finding and legal counsel. </w:t>
      </w:r>
      <w:r w:rsidRPr="00862D50">
        <w:t xml:space="preserve"> This waiver will include only documentation directly related to the </w:t>
      </w:r>
      <w:r>
        <w:t>Finding for Recovery</w:t>
      </w:r>
      <w:r w:rsidRPr="00862D50">
        <w:t>. Documents subject to the waiver will also become subject to public records disclosure.</w:t>
      </w:r>
    </w:p>
  </w:footnote>
  <w:footnote w:id="27">
    <w:p w14:paraId="5311E8BB" w14:textId="63A68D7D" w:rsidR="000D7C7B" w:rsidRPr="00002B69" w:rsidRDefault="000D7C7B" w:rsidP="0088697D">
      <w:pPr>
        <w:pStyle w:val="FootnoteText"/>
        <w:jc w:val="both"/>
      </w:pPr>
      <w:r w:rsidRPr="00C10478">
        <w:rPr>
          <w:rStyle w:val="FootnoteReference"/>
        </w:rPr>
        <w:footnoteRef/>
      </w:r>
      <w:r w:rsidRPr="00C10478">
        <w:t xml:space="preserve"> </w:t>
      </w:r>
      <w:r w:rsidRPr="00002B69">
        <w:t xml:space="preserve">Ohio Rev. Code </w:t>
      </w:r>
      <w:r w:rsidRPr="00002B69">
        <w:rPr>
          <w:lang w:eastAsia="ja-JP"/>
        </w:rPr>
        <w:t xml:space="preserve">§ </w:t>
      </w:r>
      <w:r w:rsidRPr="00002B69">
        <w:t xml:space="preserve">3313.25 provides limitations on school treasurer liability. This statute protects from liability for the loss of public funds when the treasurer acts with reasonable care and without negligence or wrongfulness.  </w:t>
      </w:r>
    </w:p>
    <w:p w14:paraId="711A3615" w14:textId="77777777" w:rsidR="000D7C7B" w:rsidRPr="00002B69" w:rsidRDefault="000D7C7B" w:rsidP="0088697D">
      <w:pPr>
        <w:pStyle w:val="FootnoteText"/>
        <w:jc w:val="both"/>
      </w:pPr>
    </w:p>
    <w:p w14:paraId="1599AFE7" w14:textId="77777777" w:rsidR="000D7C7B" w:rsidRPr="00002B69" w:rsidRDefault="000D7C7B" w:rsidP="0088697D">
      <w:pPr>
        <w:pStyle w:val="FootnoteText"/>
        <w:jc w:val="both"/>
      </w:pPr>
      <w:r w:rsidRPr="00002B69">
        <w:t xml:space="preserve">Ohio Rev. Code § 3313.31 provides limitations on school treasurer liability for any loss of public funds that results from a treasurer's reliance on the accuracy of nonfinancial information or data of the school district, except in instances where the loss results from the treasurer's negligence or other wrongful act. </w:t>
      </w:r>
    </w:p>
    <w:p w14:paraId="43FDF687" w14:textId="77777777" w:rsidR="000D7C7B" w:rsidRPr="00002B69" w:rsidRDefault="000D7C7B" w:rsidP="0088697D">
      <w:pPr>
        <w:pStyle w:val="FootnoteText"/>
        <w:jc w:val="both"/>
      </w:pPr>
    </w:p>
    <w:p w14:paraId="48B68AB7" w14:textId="19033DA0" w:rsidR="000D7C7B" w:rsidRPr="00002B69" w:rsidRDefault="000D7C7B" w:rsidP="0088697D">
      <w:pPr>
        <w:pStyle w:val="FootnoteText"/>
        <w:jc w:val="both"/>
      </w:pPr>
      <w:r w:rsidRPr="00002B69">
        <w:t>Ohio Rev. Code § 3319.36 additionally protects school district or educational service center treasurers and superintendents from liability for any loss of public funds related to the payment of a teacher that is made by the treasurer in compliance with Ohio Rev. Code § 3319.36, unless the loss results from the treasurer or superintendent's negligence or other wrongful act.</w:t>
      </w:r>
    </w:p>
    <w:p w14:paraId="25437920" w14:textId="77777777" w:rsidR="000D7C7B" w:rsidRPr="00002B69" w:rsidRDefault="000D7C7B" w:rsidP="0088697D">
      <w:pPr>
        <w:pStyle w:val="FootnoteText"/>
        <w:jc w:val="both"/>
      </w:pPr>
    </w:p>
    <w:p w14:paraId="1DF46AA5" w14:textId="3C891A36" w:rsidR="000D7C7B" w:rsidRPr="00002B69" w:rsidRDefault="000D7C7B" w:rsidP="0088697D">
      <w:pPr>
        <w:pStyle w:val="FootnoteText"/>
        <w:jc w:val="both"/>
      </w:pPr>
      <w:r w:rsidRPr="00002B69">
        <w:t xml:space="preserve">Additionally, Ohio Rev. Code §§ 301.221, 319.41, 321.50, 507.14, 733.82, 3354.101, 3357.101, 3358.061, 3375.361 and 6119.61 provide similar limits from the liability for loss of public funds to county auditors, county treasurers, township fiscal officers or deputy fiscal officers, treasurers of municipal corporations or city auditors or other officers of municipal corporations having the duties of a municipal treasurer or of a city auditor, treasurers or other fiscal officers of community college districts, treasurers or other fiscal officers of technical college districts, treasurers or other fiscal officers of state community college districts, fiscal officers or deputy fiscal officers of any board of library trustees of a free public library, treasurers, auditors, or other officers having the duties of a county treasurer or a county auditor for a county that has adopted a charter under Ohio Const. Art. X, and fiscal officers, treasurers, compliance officers or other officers or designees of regional water and sewer districts performing such duties and functions, when these public officials perform their official duties with reasonable care and without negligence or wrongfulness. Applicable fiscal officers will receive the benefit of the liability limitations in audit periods that include conduct that occurs after September 13, 2022.  See </w:t>
      </w:r>
      <w:hyperlink r:id="rId2" w:history="1">
        <w:r w:rsidRPr="001D23BE">
          <w:rPr>
            <w:rStyle w:val="Hyperlink"/>
          </w:rPr>
          <w:t>Auditor of State Bulletin 2022-010</w:t>
        </w:r>
      </w:hyperlink>
      <w:r w:rsidRPr="00002B69">
        <w:t xml:space="preserve">.  </w:t>
      </w:r>
    </w:p>
    <w:p w14:paraId="44AC0AEA" w14:textId="77777777" w:rsidR="000D7C7B" w:rsidRPr="00002B69" w:rsidRDefault="000D7C7B" w:rsidP="0088697D">
      <w:pPr>
        <w:pStyle w:val="FootnoteText"/>
        <w:jc w:val="both"/>
      </w:pPr>
    </w:p>
    <w:p w14:paraId="794B3F17" w14:textId="3A7C299C" w:rsidR="000D7C7B" w:rsidRDefault="000D7C7B" w:rsidP="00B71016">
      <w:pPr>
        <w:pStyle w:val="FootnoteText"/>
        <w:jc w:val="both"/>
      </w:pPr>
      <w:r w:rsidRPr="00002B69">
        <w:t xml:space="preserve">While these statutory changes limit some liabilities for public officials, any determination as to when liabilities may be limited respective to a potential FFR should be determined through consultation with AOS legal. </w:t>
      </w:r>
    </w:p>
  </w:footnote>
  <w:footnote w:id="28">
    <w:p w14:paraId="45C71730" w14:textId="4391EF6B" w:rsidR="006072AE" w:rsidRPr="00387AB4" w:rsidRDefault="003F18BE" w:rsidP="006072AE">
      <w:pPr>
        <w:jc w:val="both"/>
      </w:pPr>
      <w:r w:rsidRPr="00387AB4">
        <w:rPr>
          <w:rStyle w:val="FootnoteReference"/>
        </w:rPr>
        <w:footnoteRef/>
      </w:r>
      <w:r w:rsidRPr="00387AB4">
        <w:t xml:space="preserve"> </w:t>
      </w:r>
      <w:r w:rsidR="006072AE" w:rsidRPr="00387AB4">
        <w:t>If there have been fines and penalties assessed by an agency (STRS, IRS, etc.) due to late remittance filings</w:t>
      </w:r>
      <w:r w:rsidR="00522936" w:rsidRPr="00387AB4">
        <w:t>,</w:t>
      </w:r>
      <w:r w:rsidR="006072AE" w:rsidRPr="00387AB4">
        <w:t xml:space="preserve"> there would be no need to indicate </w:t>
      </w:r>
      <w:r w:rsidR="001B41E1" w:rsidRPr="00387AB4">
        <w:t xml:space="preserve">a referral </w:t>
      </w:r>
      <w:r w:rsidR="006072AE" w:rsidRPr="00387AB4">
        <w:t xml:space="preserve">in </w:t>
      </w:r>
      <w:r w:rsidR="00522936" w:rsidRPr="00387AB4">
        <w:t>the</w:t>
      </w:r>
      <w:r w:rsidR="006072AE" w:rsidRPr="00387AB4">
        <w:t xml:space="preserve"> </w:t>
      </w:r>
      <w:r w:rsidR="00CD30A0" w:rsidRPr="00387AB4">
        <w:t xml:space="preserve">audit report or </w:t>
      </w:r>
      <w:r w:rsidR="006072AE" w:rsidRPr="00387AB4">
        <w:t xml:space="preserve">management letter </w:t>
      </w:r>
      <w:r w:rsidR="00956DF5" w:rsidRPr="00387AB4">
        <w:t xml:space="preserve">because </w:t>
      </w:r>
      <w:r w:rsidR="006072AE" w:rsidRPr="00387AB4">
        <w:t xml:space="preserve">they would </w:t>
      </w:r>
      <w:r w:rsidR="003703A5" w:rsidRPr="00387AB4">
        <w:t>a</w:t>
      </w:r>
      <w:r w:rsidR="006072AE" w:rsidRPr="00387AB4">
        <w:t xml:space="preserve">lready </w:t>
      </w:r>
      <w:r w:rsidR="003703A5" w:rsidRPr="00387AB4">
        <w:t>be</w:t>
      </w:r>
      <w:r w:rsidR="006072AE" w:rsidRPr="00387AB4">
        <w:t xml:space="preserve"> aware of the </w:t>
      </w:r>
      <w:r w:rsidR="003703A5" w:rsidRPr="00387AB4">
        <w:t>situation.</w:t>
      </w:r>
    </w:p>
    <w:p w14:paraId="4594D497" w14:textId="01D168D4" w:rsidR="003F18BE" w:rsidRDefault="003F18BE">
      <w:pPr>
        <w:pStyle w:val="FootnoteText"/>
      </w:pPr>
    </w:p>
  </w:footnote>
  <w:footnote w:id="29">
    <w:p w14:paraId="210FD761" w14:textId="1A2E2BD1" w:rsidR="000D7C7B" w:rsidRPr="00B8561E" w:rsidRDefault="000D7C7B" w:rsidP="00622773">
      <w:pPr>
        <w:pStyle w:val="FootnoteText"/>
        <w:jc w:val="both"/>
      </w:pPr>
      <w:r w:rsidRPr="00B8561E">
        <w:rPr>
          <w:rStyle w:val="FootnoteReference"/>
        </w:rPr>
        <w:footnoteRef/>
      </w:r>
      <w:r w:rsidRPr="00B8561E">
        <w:t xml:space="preserve"> When available, include the Employee</w:t>
      </w:r>
      <w:r w:rsidRPr="005E3E8E">
        <w:t xml:space="preserve"> </w:t>
      </w:r>
      <w:r>
        <w:t>Identification Number (</w:t>
      </w:r>
      <w:r w:rsidRPr="00B8561E">
        <w:t>EIN) when submitting referrals to the AOS referral box.  In lieu of this information, provide the client contact and address.</w:t>
      </w:r>
    </w:p>
    <w:p w14:paraId="77C6558A" w14:textId="77777777" w:rsidR="000D7C7B" w:rsidRPr="00B8561E" w:rsidRDefault="000D7C7B" w:rsidP="00622773">
      <w:pPr>
        <w:pStyle w:val="FootnoteText"/>
        <w:jc w:val="both"/>
      </w:pPr>
    </w:p>
  </w:footnote>
  <w:footnote w:id="30">
    <w:p w14:paraId="0ECC7CE8" w14:textId="2FD3E016" w:rsidR="000D7C7B" w:rsidRDefault="000D7C7B" w:rsidP="00622773">
      <w:pPr>
        <w:autoSpaceDE w:val="0"/>
        <w:autoSpaceDN w:val="0"/>
        <w:spacing w:before="40" w:after="40"/>
        <w:jc w:val="both"/>
      </w:pPr>
      <w:r>
        <w:rPr>
          <w:rStyle w:val="FootnoteReference"/>
        </w:rPr>
        <w:footnoteRef/>
      </w:r>
      <w:r>
        <w:t xml:space="preserve"> </w:t>
      </w:r>
      <w:r w:rsidRPr="002C2C17">
        <w:t xml:space="preserve">When drafting comments be as specific as we can as to the amounts that are due to the various agencies as this information is provided to the outside agencies and provides users of the report a perspective on the issues noted in the audit.  Also, if the auditor is certain the outside agency already knows of the issue we have noted i.e., they have already assessed the entity penalties and interest then it is not necessary to refer to them.  An internal control regarding the issue found will suffice. </w:t>
      </w:r>
    </w:p>
    <w:p w14:paraId="55E087CD" w14:textId="77777777" w:rsidR="000D7C7B" w:rsidRDefault="000D7C7B" w:rsidP="00622773">
      <w:pPr>
        <w:pStyle w:val="FootnoteText"/>
        <w:jc w:val="both"/>
      </w:pPr>
    </w:p>
  </w:footnote>
  <w:footnote w:id="31">
    <w:p w14:paraId="1388CA50" w14:textId="48265C16" w:rsidR="000D7C7B" w:rsidRPr="00B8561E" w:rsidRDefault="000D7C7B" w:rsidP="00AD4A60">
      <w:pPr>
        <w:pStyle w:val="FootnoteText"/>
        <w:jc w:val="both"/>
      </w:pPr>
      <w:r w:rsidRPr="00B8561E">
        <w:rPr>
          <w:rStyle w:val="FootnoteReference"/>
        </w:rPr>
        <w:footnoteRef/>
      </w:r>
      <w:r w:rsidRPr="00B8561E">
        <w:t xml:space="preserve"> </w:t>
      </w:r>
      <w:r w:rsidR="00B322A8">
        <w:t>DEW</w:t>
      </w:r>
      <w:r w:rsidRPr="00B84392">
        <w:t xml:space="preserve">’s Office of Community Schools </w:t>
      </w:r>
      <w:r w:rsidRPr="00B8561E">
        <w:t xml:space="preserve">is automatically sent a copy of all community school reports when they are released (whether they contain referrals or not).  </w:t>
      </w:r>
      <w:r w:rsidRPr="00002B69">
        <w:t xml:space="preserve">In addition, other divisions within </w:t>
      </w:r>
      <w:r w:rsidR="00B322A8">
        <w:t>DEW</w:t>
      </w:r>
      <w:r w:rsidRPr="00002B69">
        <w:t xml:space="preserve"> are also automatically sent a copy of </w:t>
      </w:r>
      <w:r w:rsidRPr="00002B69">
        <w:rPr>
          <w:b/>
          <w:i/>
        </w:rPr>
        <w:t>all</w:t>
      </w:r>
      <w:r w:rsidRPr="00002B69">
        <w:t xml:space="preserve"> school reports (traditional, JVS, community, etc.) when they are released.  Therefore, no further referrals to </w:t>
      </w:r>
      <w:r w:rsidR="00B322A8">
        <w:t>DEW</w:t>
      </w:r>
      <w:r w:rsidRPr="00002B69">
        <w:t xml:space="preserve"> for schools are necessary, aside from the </w:t>
      </w:r>
      <w:r w:rsidRPr="00002B69">
        <w:t>unauditable notification discussed below.</w:t>
      </w:r>
    </w:p>
  </w:footnote>
  <w:footnote w:id="32">
    <w:p w14:paraId="0C54D26F" w14:textId="11F89017" w:rsidR="000D7C7B" w:rsidRPr="00862D50" w:rsidRDefault="000D7C7B" w:rsidP="00B7488F">
      <w:pPr>
        <w:jc w:val="both"/>
      </w:pPr>
      <w:r w:rsidRPr="00862D50">
        <w:rPr>
          <w:rStyle w:val="FootnoteReference"/>
        </w:rPr>
        <w:footnoteRef/>
      </w:r>
      <w:r w:rsidRPr="00862D50">
        <w:t xml:space="preserve"> AOS interprets payroll to include Salaries, Employer’s Retirement Contributions, Worker’s Compensation, and Unemployment Compensation.</w:t>
      </w:r>
    </w:p>
  </w:footnote>
  <w:footnote w:id="33">
    <w:p w14:paraId="4F951298" w14:textId="55C9F881" w:rsidR="000A7A7F" w:rsidRDefault="00770E67">
      <w:pPr>
        <w:pStyle w:val="FootnoteText"/>
        <w:rPr>
          <w:strike/>
        </w:rPr>
      </w:pPr>
      <w:r w:rsidRPr="00387AB4">
        <w:rPr>
          <w:rStyle w:val="FootnoteReference"/>
        </w:rPr>
        <w:footnoteRef/>
      </w:r>
      <w:r w:rsidRPr="00387AB4">
        <w:t xml:space="preserve"> These changes were not effective for Ohio Rev. Code § 731.14 (Villages) and Ohio Rev. Code § 1545.07 (Park Districts) until April 30, 2024.  Prior to April 30, </w:t>
      </w:r>
      <w:r w:rsidRPr="00387AB4">
        <w:t>2024 the threshold was $50,000 for entities falling under these sections.</w:t>
      </w:r>
      <w:r>
        <w:t xml:space="preserve">  </w:t>
      </w:r>
      <w:r w:rsidRPr="00682A81">
        <w:rPr>
          <w:strike/>
        </w:rPr>
        <w:t xml:space="preserve">(Note:  The effective dates for the threshold change for Villages falling under Ohio Rev. Code </w:t>
      </w:r>
      <w:r w:rsidR="00EB572B" w:rsidRPr="00682A81">
        <w:rPr>
          <w:strike/>
        </w:rPr>
        <w:t xml:space="preserve">§ </w:t>
      </w:r>
      <w:r w:rsidRPr="00682A81">
        <w:rPr>
          <w:strike/>
        </w:rPr>
        <w:t xml:space="preserve">731.141 was October 3, 2023.) </w:t>
      </w:r>
    </w:p>
    <w:p w14:paraId="2C07F854" w14:textId="77777777" w:rsidR="00C07B5D" w:rsidRDefault="00C07B5D">
      <w:pPr>
        <w:pStyle w:val="FootnoteText"/>
      </w:pPr>
    </w:p>
  </w:footnote>
  <w:footnote w:id="34">
    <w:p w14:paraId="4C192800" w14:textId="16D9C34B" w:rsidR="00682A81" w:rsidRPr="00387AB4" w:rsidRDefault="00682A81" w:rsidP="00682A81">
      <w:pPr>
        <w:pStyle w:val="FootnoteText"/>
        <w:jc w:val="both"/>
      </w:pPr>
      <w:r w:rsidRPr="00387AB4">
        <w:rPr>
          <w:rStyle w:val="FootnoteReference"/>
        </w:rPr>
        <w:footnoteRef/>
      </w:r>
      <w:r w:rsidRPr="00387AB4">
        <w:t xml:space="preserve"> As of the date of publication of this Ohio Compliance Supplement, the official amount determined and published by the director of commerce was not yet available.  This amount represents the unofficial three percent increase from the prior year.</w:t>
      </w:r>
      <w:r w:rsidR="00AD1454">
        <w:t xml:space="preserve">  </w:t>
      </w:r>
      <w:r w:rsidR="00AD1454" w:rsidRPr="00AD1454">
        <w:rPr>
          <w:u w:val="wave"/>
        </w:rPr>
        <w:t xml:space="preserve">The prior year official prior year threshold can be found at </w:t>
      </w:r>
      <w:hyperlink r:id="rId3" w:history="1">
        <w:r w:rsidR="00AD1454" w:rsidRPr="00AD1454">
          <w:rPr>
            <w:rStyle w:val="Hyperlink"/>
            <w:u w:val="wave"/>
          </w:rPr>
          <w:t>https://com.ohio.gov/divisions-and-programs/industrial-compliance/competitive-bidding-threshold/competitive-bidding-threshold</w:t>
        </w:r>
      </w:hyperlink>
      <w:r w:rsidR="00AD1454" w:rsidRPr="00AD1454">
        <w:rPr>
          <w:u w:val="wave"/>
        </w:rPr>
        <w:t>.</w:t>
      </w:r>
    </w:p>
  </w:footnote>
  <w:footnote w:id="35">
    <w:p w14:paraId="13626DFA" w14:textId="650945E0" w:rsidR="000D7C7B" w:rsidRPr="00862D50" w:rsidRDefault="000D7C7B" w:rsidP="002B6315">
      <w:pPr>
        <w:pStyle w:val="FootnoteText"/>
        <w:jc w:val="both"/>
      </w:pPr>
      <w:r w:rsidRPr="00862D50">
        <w:rPr>
          <w:rStyle w:val="FootnoteReference"/>
        </w:rPr>
        <w:footnoteRef/>
      </w:r>
      <w:r>
        <w:t xml:space="preserve"> Ohio Rev. Code § 1</w:t>
      </w:r>
      <w:r w:rsidRPr="00862D50">
        <w:t>545.21</w:t>
      </w:r>
      <w:r w:rsidR="009C6584">
        <w:t>(C)</w:t>
      </w:r>
      <w:r w:rsidRPr="00862D50">
        <w:t xml:space="preserve"> mentions a bond issuance per Ohio Rev. Code </w:t>
      </w:r>
      <w:r>
        <w:t>§ 1</w:t>
      </w:r>
      <w:r w:rsidRPr="00862D50">
        <w:t xml:space="preserve">33.24.  However, </w:t>
      </w:r>
      <w:r>
        <w:t>§ 1</w:t>
      </w:r>
      <w:r w:rsidRPr="00862D50">
        <w:t>33.24 only refers to notes.  We will not object to the legal form of the debt if the government follows the advice of their legal or bond counsel.</w:t>
      </w:r>
    </w:p>
  </w:footnote>
  <w:footnote w:id="36">
    <w:p w14:paraId="3CD41E1B" w14:textId="5E987755" w:rsidR="000D7C7B" w:rsidRPr="00862D50" w:rsidRDefault="000D7C7B" w:rsidP="00FE2ACE">
      <w:pPr>
        <w:pStyle w:val="FootnoteText"/>
        <w:jc w:val="both"/>
      </w:pPr>
      <w:r w:rsidRPr="00862D50">
        <w:rPr>
          <w:rStyle w:val="FootnoteReference"/>
        </w:rPr>
        <w:footnoteRef/>
      </w:r>
      <w:r w:rsidRPr="00862D50">
        <w:t xml:space="preserve"> While charter governments can exempt themselves from Ohio Rev. Code Chapter 135, they cannot exempt themselves from Ohio Constitutional requirements.  </w:t>
      </w:r>
      <w:r w:rsidRPr="00862D50">
        <w:t>Therefore charter governments cannot purchase equity securities, because Ohio Const</w:t>
      </w:r>
      <w:r>
        <w:t>.</w:t>
      </w:r>
      <w:r w:rsidRPr="00862D50">
        <w:t xml:space="preserve"> Art</w:t>
      </w:r>
      <w:r>
        <w:t>.</w:t>
      </w:r>
      <w:r w:rsidRPr="00862D50">
        <w:t xml:space="preserve"> VIII, Sections 4 and 6 prohibit public bodies from becoming a “stockholder in any joint stock company, corporation or association.”</w:t>
      </w:r>
    </w:p>
    <w:p w14:paraId="3093D1A5" w14:textId="77777777" w:rsidR="000D7C7B" w:rsidRPr="00862D50" w:rsidRDefault="000D7C7B" w:rsidP="00FE2ACE">
      <w:pPr>
        <w:pStyle w:val="FootnoteText"/>
        <w:jc w:val="both"/>
      </w:pPr>
    </w:p>
  </w:footnote>
  <w:footnote w:id="37">
    <w:p w14:paraId="3C141777" w14:textId="22EFC4B8" w:rsidR="000D7C7B" w:rsidRPr="00862D50" w:rsidRDefault="000D7C7B" w:rsidP="00FE2ACE">
      <w:pPr>
        <w:pStyle w:val="FootnoteText"/>
        <w:jc w:val="both"/>
      </w:pPr>
      <w:r w:rsidRPr="00862D50">
        <w:rPr>
          <w:rStyle w:val="FootnoteReference"/>
        </w:rPr>
        <w:footnoteRef/>
      </w:r>
      <w:r w:rsidRPr="00862D50">
        <w:t xml:space="preserve"> In some cases, </w:t>
      </w:r>
      <w:r w:rsidRPr="00862D50">
        <w:rPr>
          <w:i/>
        </w:rPr>
        <w:t>cash held by a fiscal agent</w:t>
      </w:r>
      <w:r w:rsidRPr="00862D50">
        <w:t xml:space="preserve"> may not be public moneys subject to Ohio Rev. Code Chapter 135.  Ohio Rev. Code </w:t>
      </w:r>
      <w:r>
        <w:t>§ 135.01(K</w:t>
      </w:r>
      <w:r w:rsidRPr="00862D50">
        <w:t xml:space="preserve">) defines public moneys of a political subdivision as “all such moneys coming lawfully into the possession </w:t>
      </w:r>
      <w:r w:rsidRPr="00B82F36">
        <w:t>or custody</w:t>
      </w:r>
      <w:r w:rsidRPr="00862D50">
        <w:t xml:space="preserve"> of the treasurer </w:t>
      </w:r>
      <w:r w:rsidRPr="00B82F36">
        <w:t>of the state or the treasurer</w:t>
      </w:r>
      <w:r w:rsidRPr="00862D50">
        <w:t xml:space="preserve"> of any subdivision.”  Moneys held by a trustee are not considered public moneys until they are disbursed to the political subdivision.  Therefore, these moneys are excluded from Ohio Rev. Code Chapter 135 requirements until they are spent.  Such moneys would also be disclosed as uncollateralized deposits for reporting purposes under GASB </w:t>
      </w:r>
      <w:r>
        <w:t xml:space="preserve">Statement No. </w:t>
      </w:r>
      <w:r w:rsidRPr="00862D50">
        <w:t xml:space="preserve">40. </w:t>
      </w:r>
    </w:p>
  </w:footnote>
  <w:footnote w:id="38">
    <w:p w14:paraId="69D4F610" w14:textId="77777777" w:rsidR="000D7C7B" w:rsidRPr="00862D50" w:rsidRDefault="000D7C7B" w:rsidP="002B6315">
      <w:pPr>
        <w:pStyle w:val="FootnoteText"/>
        <w:jc w:val="both"/>
      </w:pPr>
      <w:r w:rsidRPr="00862D50">
        <w:rPr>
          <w:rStyle w:val="FootnoteReference"/>
        </w:rPr>
        <w:footnoteRef/>
      </w:r>
      <w:r w:rsidRPr="00862D50">
        <w:t xml:space="preserve"> The following general guidance can be used to determine whether securities are held in trust or by</w:t>
      </w:r>
      <w:r>
        <w:t xml:space="preserve"> </w:t>
      </w:r>
      <w:r w:rsidRPr="00862D50">
        <w:t>counterparty, but in the government’s name (vs. not in the government’s name).  If the government receives a statement in their name, identifying the specific investments, auditors can assume the member’s internal records identify the government as owner.</w:t>
      </w:r>
    </w:p>
    <w:p w14:paraId="29F0A8BE" w14:textId="77777777" w:rsidR="000D7C7B" w:rsidRPr="00862D50" w:rsidRDefault="000D7C7B" w:rsidP="002B6315">
      <w:pPr>
        <w:pStyle w:val="FootnoteText"/>
        <w:jc w:val="both"/>
      </w:pPr>
    </w:p>
  </w:footnote>
  <w:footnote w:id="39">
    <w:p w14:paraId="10864E34" w14:textId="77777777" w:rsidR="000D7C7B" w:rsidRDefault="000D7C7B" w:rsidP="00AC721B">
      <w:pPr>
        <w:pStyle w:val="FootnoteText"/>
        <w:jc w:val="both"/>
      </w:pPr>
      <w:r>
        <w:rPr>
          <w:rStyle w:val="FootnoteReference"/>
        </w:rPr>
        <w:footnoteRef/>
      </w:r>
      <w:r>
        <w:t xml:space="preserve"> </w:t>
      </w:r>
      <w:r w:rsidRPr="001C04A2">
        <w:t>This section is only applicable if the financial institution was issued an extension by the Treasurer of State.</w:t>
      </w:r>
    </w:p>
    <w:p w14:paraId="0B72D7D1" w14:textId="77777777" w:rsidR="000D7C7B" w:rsidRDefault="000D7C7B">
      <w:pPr>
        <w:pStyle w:val="FootnoteText"/>
      </w:pPr>
    </w:p>
  </w:footnote>
  <w:footnote w:id="40">
    <w:p w14:paraId="4FCE25DF" w14:textId="77777777" w:rsidR="000D7C7B" w:rsidRPr="00862D50" w:rsidRDefault="000D7C7B" w:rsidP="002B6315">
      <w:pPr>
        <w:pStyle w:val="FootnoteText"/>
        <w:jc w:val="both"/>
      </w:pPr>
      <w:r w:rsidRPr="00862D50">
        <w:rPr>
          <w:rStyle w:val="FootnoteReference"/>
        </w:rPr>
        <w:footnoteRef/>
      </w:r>
      <w:r w:rsidRPr="00862D50">
        <w:t xml:space="preserve"> </w:t>
      </w:r>
      <w:r w:rsidRPr="00862D50">
        <w:rPr>
          <w:i/>
        </w:rPr>
        <w:t>Foreign currency risk</w:t>
      </w:r>
      <w:r w:rsidRPr="00862D50">
        <w:t xml:space="preserve"> should not apply because the statute requires “all interest and principal shall be denominated and payable in United States funds.” </w:t>
      </w:r>
    </w:p>
  </w:footnote>
  <w:footnote w:id="41">
    <w:p w14:paraId="68DFD586" w14:textId="08555590" w:rsidR="000D7C7B" w:rsidRDefault="000D7C7B" w:rsidP="0027440D">
      <w:pPr>
        <w:pStyle w:val="FootnoteText"/>
        <w:jc w:val="both"/>
      </w:pPr>
      <w:r w:rsidRPr="002C2C17">
        <w:rPr>
          <w:rStyle w:val="FootnoteReference"/>
        </w:rPr>
        <w:footnoteRef/>
      </w:r>
      <w:r w:rsidRPr="002C2C17">
        <w:t xml:space="preserve"> Charter governments may have additional surety bond requirements, consult with AOS Legal to determine whether employee dishonesty and faithful performance of duty policies are a permissible alternative. </w:t>
      </w:r>
    </w:p>
  </w:footnote>
  <w:footnote w:id="42">
    <w:p w14:paraId="5233FDF9" w14:textId="1FBA55E8" w:rsidR="005409FA" w:rsidRPr="004F0E0B" w:rsidRDefault="00EE3DC4" w:rsidP="00FF2C92">
      <w:pPr>
        <w:jc w:val="both"/>
        <w:rPr>
          <w:u w:val="wave"/>
        </w:rPr>
      </w:pPr>
      <w:r w:rsidRPr="005409FA">
        <w:rPr>
          <w:rStyle w:val="FootnoteReference"/>
          <w:u w:val="double"/>
        </w:rPr>
        <w:footnoteRef/>
      </w:r>
      <w:r w:rsidRPr="005409FA">
        <w:rPr>
          <w:u w:val="double"/>
        </w:rPr>
        <w:t xml:space="preserve"> </w:t>
      </w:r>
      <w:r w:rsidR="005409FA" w:rsidRPr="005409FA">
        <w:rPr>
          <w:u w:val="double"/>
        </w:rPr>
        <w:t>Section 701.70 of House Bill 96, 136</w:t>
      </w:r>
      <w:r w:rsidR="005409FA" w:rsidRPr="005409FA">
        <w:rPr>
          <w:u w:val="double"/>
          <w:vertAlign w:val="superscript"/>
        </w:rPr>
        <w:t>th</w:t>
      </w:r>
      <w:r w:rsidR="005409FA" w:rsidRPr="005409FA">
        <w:rPr>
          <w:u w:val="double"/>
        </w:rPr>
        <w:t xml:space="preserve"> General Assembly states “All public officers whose compensation cannot be changed during the officer's term under Ohio Constitution, Article II, Section 20, shall continue receiving for the remainder of the officer's term the amount the official is entitled to under Ohio. Rev. Code §§ 325.18, 505.24, or 507.09 before the effective date of the amendments to those sections made by this act until the officer begins a new term and may constitutionally receive the changed compensation amount.”</w:t>
      </w:r>
      <w:r w:rsidR="009443ED" w:rsidRPr="001A5677">
        <w:rPr>
          <w:u w:val="wave"/>
        </w:rPr>
        <w:t xml:space="preserve"> </w:t>
      </w:r>
      <w:r w:rsidR="001A5677" w:rsidRPr="00F15B7B">
        <w:rPr>
          <w:bCs/>
          <w:iCs/>
          <w:u w:val="wave"/>
        </w:rPr>
        <w:t xml:space="preserve">In addition, </w:t>
      </w:r>
      <w:hyperlink r:id="rId4" w:history="1">
        <w:r w:rsidR="001A5677" w:rsidRPr="00F15B7B">
          <w:rPr>
            <w:rStyle w:val="Hyperlink"/>
            <w:bCs/>
            <w:iCs/>
            <w:u w:val="wave"/>
          </w:rPr>
          <w:t>2025 Op. Att’y Gen. No. 2025-019</w:t>
        </w:r>
      </w:hyperlink>
      <w:r w:rsidR="001A5677" w:rsidRPr="00F15B7B">
        <w:rPr>
          <w:bCs/>
          <w:iCs/>
          <w:u w:val="wave"/>
        </w:rPr>
        <w:t xml:space="preserve"> finds that the increase in salary for county </w:t>
      </w:r>
      <w:r w:rsidR="00F15B7B" w:rsidRPr="00F15B7B">
        <w:rPr>
          <w:bCs/>
          <w:iCs/>
          <w:u w:val="wave"/>
        </w:rPr>
        <w:t>treasurer’s</w:t>
      </w:r>
      <w:r w:rsidR="001A5677" w:rsidRPr="00F15B7B">
        <w:rPr>
          <w:bCs/>
          <w:iCs/>
          <w:u w:val="wave"/>
        </w:rPr>
        <w:t xml:space="preserve"> provided by HB 96 takes effect prior to the start of the county treasurer’s current term of office. By operation of Article II, Section 20 of the Ohio Constitution, the county treasurer’s salary may only increase at the annual rate of one and three-quarters percent until another term commences.</w:t>
      </w:r>
      <w:r w:rsidR="009443ED" w:rsidRPr="001A5677">
        <w:rPr>
          <w:u w:val="wave"/>
        </w:rPr>
        <w:t xml:space="preserve"> </w:t>
      </w:r>
    </w:p>
    <w:p w14:paraId="0C1D5A75" w14:textId="2FA31EE9" w:rsidR="00EE3DC4" w:rsidRDefault="00EE3DC4">
      <w:pPr>
        <w:pStyle w:val="FootnoteText"/>
      </w:pPr>
    </w:p>
  </w:footnote>
  <w:footnote w:id="43">
    <w:p w14:paraId="0FB29912" w14:textId="73F63F14" w:rsidR="00875E5E" w:rsidRPr="0071492E" w:rsidRDefault="00875E5E" w:rsidP="00501FB9">
      <w:pPr>
        <w:pStyle w:val="FootnoteText"/>
        <w:jc w:val="both"/>
        <w:rPr>
          <w:u w:val="wave"/>
        </w:rPr>
      </w:pPr>
      <w:r w:rsidRPr="0071492E">
        <w:rPr>
          <w:rStyle w:val="FootnoteReference"/>
          <w:u w:val="wave"/>
        </w:rPr>
        <w:footnoteRef/>
      </w:r>
      <w:r w:rsidRPr="0071492E">
        <w:rPr>
          <w:u w:val="wave"/>
        </w:rPr>
        <w:t xml:space="preserve"> </w:t>
      </w:r>
      <w:r w:rsidR="0071492E" w:rsidRPr="0071492E">
        <w:rPr>
          <w:u w:val="wave"/>
        </w:rPr>
        <w:t>Membership is not required to access the Ohio Township Association’s compensation charts; right click on the compensation chart/image &amp; download to save a copy.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BBD" w14:textId="592AF83F"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7DFD08C3" w14:textId="77777777" w:rsidR="000D7C7B" w:rsidRPr="00271B7B" w:rsidRDefault="000D7C7B" w:rsidP="00271B7B">
    <w:pPr>
      <w:pStyle w:val="Header"/>
      <w:jc w:val="right"/>
      <w:rPr>
        <w:b/>
        <w:bCs/>
        <w:i/>
        <w:iCs/>
        <w:sz w:val="22"/>
        <w:szCs w:val="22"/>
        <w:lang w:eastAsia="ja-JP"/>
      </w:rPr>
    </w:pPr>
    <w:r w:rsidRPr="00271B7B">
      <w:rPr>
        <w:b/>
        <w:bCs/>
        <w:i/>
        <w:iCs/>
        <w:sz w:val="22"/>
        <w:szCs w:val="22"/>
        <w:lang w:eastAsia="ja-JP"/>
      </w:rPr>
      <w:t>Table of Contents</w:t>
    </w:r>
  </w:p>
  <w:p w14:paraId="6F462F80" w14:textId="77777777" w:rsidR="000D7C7B" w:rsidRDefault="000D7C7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4B82" w14:textId="53AF7F1E"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4B3E3F">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06D8635E" w14:textId="77777777" w:rsidR="000D7C7B" w:rsidRPr="00271B7B" w:rsidRDefault="000D7C7B" w:rsidP="00271B7B">
    <w:pPr>
      <w:pStyle w:val="Header"/>
      <w:jc w:val="right"/>
      <w:rPr>
        <w:b/>
        <w:bCs/>
        <w:i/>
        <w:iCs/>
        <w:sz w:val="22"/>
        <w:szCs w:val="22"/>
        <w:lang w:eastAsia="ja-JP"/>
      </w:rPr>
    </w:pPr>
    <w:r>
      <w:rPr>
        <w:b/>
        <w:bCs/>
        <w:i/>
        <w:iCs/>
        <w:sz w:val="22"/>
        <w:szCs w:val="22"/>
        <w:lang w:eastAsia="ja-JP"/>
      </w:rPr>
      <w:t>Referrals to the Ethics Commission, Other State Agencies, and the IRS</w:t>
    </w:r>
  </w:p>
  <w:p w14:paraId="3668B5E9" w14:textId="77777777" w:rsidR="000D7C7B" w:rsidRDefault="000D7C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C423" w14:textId="09675B18"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4B3E3F">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28F531BB" w14:textId="77777777" w:rsidR="000D7C7B" w:rsidRPr="00271B7B" w:rsidRDefault="000D7C7B" w:rsidP="0036091A">
    <w:pPr>
      <w:pStyle w:val="Header"/>
      <w:ind w:right="36"/>
      <w:jc w:val="right"/>
      <w:rPr>
        <w:b/>
        <w:bCs/>
        <w:i/>
        <w:iCs/>
        <w:sz w:val="22"/>
        <w:szCs w:val="22"/>
        <w:lang w:eastAsia="ja-JP"/>
      </w:rPr>
    </w:pPr>
    <w:r>
      <w:rPr>
        <w:b/>
        <w:bCs/>
        <w:i/>
        <w:iCs/>
        <w:sz w:val="22"/>
        <w:szCs w:val="22"/>
        <w:lang w:eastAsia="ja-JP"/>
      </w:rPr>
      <w:t>Appendix A</w:t>
    </w:r>
  </w:p>
  <w:p w14:paraId="6181A38E" w14:textId="77777777" w:rsidR="000D7C7B" w:rsidRDefault="000D7C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81C8" w14:textId="6C58C34E"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D661B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2637C287" w14:textId="77777777" w:rsidR="000D7C7B" w:rsidRPr="00271B7B" w:rsidRDefault="000D7C7B" w:rsidP="00271B7B">
    <w:pPr>
      <w:pStyle w:val="Header"/>
      <w:jc w:val="right"/>
      <w:rPr>
        <w:b/>
        <w:bCs/>
        <w:i/>
        <w:iCs/>
        <w:sz w:val="22"/>
        <w:szCs w:val="22"/>
        <w:lang w:eastAsia="ja-JP"/>
      </w:rPr>
    </w:pPr>
    <w:r>
      <w:rPr>
        <w:b/>
        <w:bCs/>
        <w:i/>
        <w:iCs/>
        <w:sz w:val="22"/>
        <w:szCs w:val="22"/>
        <w:lang w:eastAsia="ja-JP"/>
      </w:rPr>
      <w:t>Appendix B</w:t>
    </w:r>
  </w:p>
  <w:p w14:paraId="442E8C09" w14:textId="77777777" w:rsidR="000D7C7B" w:rsidRDefault="000D7C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DE79" w14:textId="30245605"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D661B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t xml:space="preserve">       Implementation Guide</w:t>
    </w:r>
  </w:p>
  <w:p w14:paraId="69A8AE4F" w14:textId="77777777" w:rsidR="000D7C7B" w:rsidRPr="00271B7B" w:rsidRDefault="000D7C7B" w:rsidP="00271B7B">
    <w:pPr>
      <w:pStyle w:val="Header"/>
      <w:jc w:val="right"/>
      <w:rPr>
        <w:b/>
        <w:bCs/>
        <w:i/>
        <w:iCs/>
        <w:sz w:val="22"/>
        <w:szCs w:val="22"/>
        <w:lang w:eastAsia="ja-JP"/>
      </w:rPr>
    </w:pPr>
    <w:r>
      <w:rPr>
        <w:b/>
        <w:bCs/>
        <w:i/>
        <w:iCs/>
        <w:sz w:val="22"/>
        <w:szCs w:val="22"/>
        <w:lang w:eastAsia="ja-JP"/>
      </w:rPr>
      <w:t>Appendix C</w:t>
    </w:r>
  </w:p>
  <w:p w14:paraId="0733EB30" w14:textId="77777777" w:rsidR="000D7C7B" w:rsidRDefault="000D7C7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1673" w14:textId="3E87318E"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D661B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4E85F8F1" w14:textId="77777777" w:rsidR="000D7C7B" w:rsidRPr="00271B7B" w:rsidRDefault="000D7C7B" w:rsidP="00271B7B">
    <w:pPr>
      <w:pStyle w:val="Header"/>
      <w:jc w:val="right"/>
      <w:rPr>
        <w:b/>
        <w:bCs/>
        <w:i/>
        <w:iCs/>
        <w:sz w:val="22"/>
        <w:szCs w:val="22"/>
        <w:lang w:eastAsia="ja-JP"/>
      </w:rPr>
    </w:pPr>
    <w:r>
      <w:rPr>
        <w:b/>
        <w:bCs/>
        <w:i/>
        <w:iCs/>
        <w:sz w:val="22"/>
        <w:szCs w:val="22"/>
        <w:lang w:eastAsia="ja-JP"/>
      </w:rPr>
      <w:t>Appendix D</w:t>
    </w:r>
  </w:p>
  <w:p w14:paraId="04AC141D" w14:textId="77777777" w:rsidR="000D7C7B" w:rsidRDefault="000D7C7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8581" w14:textId="7F034E86"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D661B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 xml:space="preserve">       Implementation Guide</w:t>
    </w:r>
  </w:p>
  <w:p w14:paraId="08C36555" w14:textId="77777777" w:rsidR="000D7C7B" w:rsidRPr="00271B7B" w:rsidRDefault="000D7C7B" w:rsidP="00271B7B">
    <w:pPr>
      <w:pStyle w:val="Header"/>
      <w:jc w:val="right"/>
      <w:rPr>
        <w:b/>
        <w:bCs/>
        <w:i/>
        <w:iCs/>
        <w:sz w:val="22"/>
        <w:szCs w:val="22"/>
        <w:lang w:eastAsia="ja-JP"/>
      </w:rPr>
    </w:pPr>
    <w:r>
      <w:rPr>
        <w:b/>
        <w:bCs/>
        <w:i/>
        <w:iCs/>
        <w:sz w:val="22"/>
        <w:szCs w:val="22"/>
        <w:lang w:eastAsia="ja-JP"/>
      </w:rPr>
      <w:t>Appendix E</w:t>
    </w:r>
  </w:p>
  <w:p w14:paraId="4B131B96" w14:textId="77777777" w:rsidR="000D7C7B" w:rsidRDefault="000D7C7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C1DD" w14:textId="082EC79B"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F616F3">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r>
    <w:r>
      <w:rPr>
        <w:b/>
        <w:bCs/>
        <w:i/>
        <w:iCs/>
        <w:sz w:val="22"/>
        <w:szCs w:val="22"/>
        <w:u w:val="single"/>
        <w:lang w:eastAsia="ja-JP"/>
      </w:rPr>
      <w:tab/>
      <w:t xml:space="preserve">       Implementation Guide</w:t>
    </w:r>
  </w:p>
  <w:p w14:paraId="5DEA0CA8" w14:textId="77777777" w:rsidR="000D7C7B" w:rsidRPr="00271B7B" w:rsidRDefault="000D7C7B" w:rsidP="00271B7B">
    <w:pPr>
      <w:pStyle w:val="Header"/>
      <w:jc w:val="right"/>
      <w:rPr>
        <w:b/>
        <w:bCs/>
        <w:i/>
        <w:iCs/>
        <w:sz w:val="22"/>
        <w:szCs w:val="22"/>
        <w:lang w:eastAsia="ja-JP"/>
      </w:rPr>
    </w:pPr>
    <w:r>
      <w:rPr>
        <w:b/>
        <w:bCs/>
        <w:i/>
        <w:iCs/>
        <w:sz w:val="22"/>
        <w:szCs w:val="22"/>
        <w:lang w:eastAsia="ja-JP"/>
      </w:rPr>
      <w:t>Appendix E</w:t>
    </w:r>
  </w:p>
  <w:p w14:paraId="76F46CE8" w14:textId="77777777" w:rsidR="000D7C7B" w:rsidRDefault="000D7C7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12BD" w14:textId="3DABEA6E"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F616F3">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03A8DAC5" w14:textId="77777777" w:rsidR="000D7C7B" w:rsidRPr="00271B7B" w:rsidRDefault="000D7C7B" w:rsidP="00271B7B">
    <w:pPr>
      <w:pStyle w:val="Header"/>
      <w:jc w:val="right"/>
      <w:rPr>
        <w:b/>
        <w:bCs/>
        <w:i/>
        <w:iCs/>
        <w:sz w:val="22"/>
        <w:szCs w:val="22"/>
        <w:lang w:eastAsia="ja-JP"/>
      </w:rPr>
    </w:pPr>
    <w:r>
      <w:rPr>
        <w:b/>
        <w:bCs/>
        <w:i/>
        <w:iCs/>
        <w:sz w:val="22"/>
        <w:szCs w:val="22"/>
        <w:lang w:eastAsia="ja-JP"/>
      </w:rPr>
      <w:t>Exhibit 1</w:t>
    </w:r>
  </w:p>
  <w:p w14:paraId="7FDD5F93" w14:textId="77777777" w:rsidR="000D7C7B" w:rsidRDefault="000D7C7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6E50" w14:textId="3C53AEF9"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F616F3">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1698DBAA" w14:textId="77777777" w:rsidR="000D7C7B" w:rsidRPr="00271B7B" w:rsidRDefault="000D7C7B" w:rsidP="00271B7B">
    <w:pPr>
      <w:pStyle w:val="Header"/>
      <w:jc w:val="right"/>
      <w:rPr>
        <w:b/>
        <w:bCs/>
        <w:i/>
        <w:iCs/>
        <w:sz w:val="22"/>
        <w:szCs w:val="22"/>
        <w:lang w:eastAsia="ja-JP"/>
      </w:rPr>
    </w:pPr>
    <w:r>
      <w:rPr>
        <w:b/>
        <w:bCs/>
        <w:i/>
        <w:iCs/>
        <w:sz w:val="22"/>
        <w:szCs w:val="22"/>
        <w:lang w:eastAsia="ja-JP"/>
      </w:rPr>
      <w:t>Exhibit 2</w:t>
    </w:r>
  </w:p>
  <w:p w14:paraId="012FD21E" w14:textId="77777777" w:rsidR="000D7C7B" w:rsidRDefault="000D7C7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6C0E" w14:textId="66974B31"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F616F3">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5FAA4F7B" w14:textId="77777777" w:rsidR="000D7C7B" w:rsidRPr="00271B7B" w:rsidRDefault="000D7C7B" w:rsidP="00271B7B">
    <w:pPr>
      <w:pStyle w:val="Header"/>
      <w:jc w:val="right"/>
      <w:rPr>
        <w:b/>
        <w:bCs/>
        <w:i/>
        <w:iCs/>
        <w:sz w:val="22"/>
        <w:szCs w:val="22"/>
        <w:lang w:eastAsia="ja-JP"/>
      </w:rPr>
    </w:pPr>
    <w:r>
      <w:rPr>
        <w:b/>
        <w:bCs/>
        <w:i/>
        <w:iCs/>
        <w:sz w:val="22"/>
        <w:szCs w:val="22"/>
        <w:lang w:eastAsia="ja-JP"/>
      </w:rPr>
      <w:t>Exhibit 3</w:t>
    </w:r>
  </w:p>
  <w:p w14:paraId="23B8038B" w14:textId="77777777" w:rsidR="000D7C7B" w:rsidRDefault="000D7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EDC2" w14:textId="190826B1"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64F3D6C8" w14:textId="42F93F3A" w:rsidR="000D7C7B" w:rsidRPr="00271B7B" w:rsidRDefault="00D0354B" w:rsidP="00271B7B">
    <w:pPr>
      <w:pStyle w:val="Header"/>
      <w:jc w:val="right"/>
      <w:rPr>
        <w:b/>
        <w:bCs/>
        <w:i/>
        <w:iCs/>
        <w:sz w:val="22"/>
        <w:szCs w:val="22"/>
        <w:lang w:eastAsia="ja-JP"/>
      </w:rPr>
    </w:pPr>
    <w:r>
      <w:rPr>
        <w:b/>
        <w:bCs/>
        <w:i/>
        <w:iCs/>
        <w:sz w:val="22"/>
        <w:szCs w:val="22"/>
        <w:lang w:eastAsia="ja-JP"/>
      </w:rPr>
      <w:t>Introduction</w:t>
    </w:r>
  </w:p>
  <w:p w14:paraId="7983B668" w14:textId="77777777" w:rsidR="000D7C7B" w:rsidRDefault="000D7C7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3964" w14:textId="286AECE7"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F616F3">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p>
  <w:p w14:paraId="3D9D5AEA" w14:textId="77777777" w:rsidR="000D7C7B" w:rsidRPr="00271B7B" w:rsidRDefault="000D7C7B" w:rsidP="00271B7B">
    <w:pPr>
      <w:pStyle w:val="Header"/>
      <w:jc w:val="right"/>
      <w:rPr>
        <w:b/>
        <w:bCs/>
        <w:i/>
        <w:iCs/>
        <w:sz w:val="22"/>
        <w:szCs w:val="22"/>
        <w:lang w:eastAsia="ja-JP"/>
      </w:rPr>
    </w:pPr>
    <w:r>
      <w:rPr>
        <w:b/>
        <w:bCs/>
        <w:i/>
        <w:iCs/>
        <w:sz w:val="22"/>
        <w:szCs w:val="22"/>
        <w:lang w:eastAsia="ja-JP"/>
      </w:rPr>
      <w:t>Exhibit 4</w:t>
    </w:r>
  </w:p>
  <w:p w14:paraId="58B59594" w14:textId="77777777" w:rsidR="000D7C7B" w:rsidRDefault="000D7C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DA88" w14:textId="44394E11" w:rsidR="000D7C7B" w:rsidRPr="00DA6246" w:rsidRDefault="000D7C7B" w:rsidP="008C534D">
    <w:pPr>
      <w:pStyle w:val="Header"/>
      <w:tabs>
        <w:tab w:val="clear" w:pos="8640"/>
        <w:tab w:val="right" w:pos="9540"/>
      </w:tabs>
      <w:ind w:right="540"/>
      <w:rPr>
        <w:b/>
        <w:sz w:val="22"/>
        <w:szCs w:val="22"/>
        <w:u w:val="single"/>
      </w:rPr>
    </w:pPr>
    <w:r>
      <w:rPr>
        <w:b/>
        <w:bCs/>
        <w:i/>
        <w:iCs/>
        <w:sz w:val="22"/>
        <w:szCs w:val="22"/>
        <w:u w:val="single"/>
      </w:rPr>
      <w:t>202</w:t>
    </w:r>
    <w:r w:rsidR="00F616F3">
      <w:rPr>
        <w:b/>
        <w:bCs/>
        <w:i/>
        <w:iCs/>
        <w:sz w:val="22"/>
        <w:szCs w:val="22"/>
        <w:u w:val="single"/>
      </w:rPr>
      <w:t>6</w:t>
    </w:r>
    <w:r>
      <w:rPr>
        <w:b/>
        <w:bCs/>
        <w:i/>
        <w:iCs/>
        <w:sz w:val="22"/>
        <w:szCs w:val="22"/>
        <w:u w:val="single"/>
      </w:rPr>
      <w:t xml:space="preserve"> </w:t>
    </w:r>
    <w:r w:rsidRPr="00DA6246">
      <w:rPr>
        <w:b/>
        <w:bCs/>
        <w:i/>
        <w:iCs/>
        <w:sz w:val="22"/>
        <w:szCs w:val="22"/>
        <w:u w:val="single"/>
      </w:rPr>
      <w:t>Ohio Compliance Supplement</w:t>
    </w:r>
    <w:r w:rsidRPr="00DA6246">
      <w:rPr>
        <w:rFonts w:ascii="New Century Schoolbook" w:hAnsi="New Century Schoolbook" w:cs="New Century Schoolbook"/>
        <w:b/>
        <w:bCs/>
        <w:i/>
        <w:iCs/>
        <w:sz w:val="22"/>
        <w:szCs w:val="22"/>
        <w:u w:val="single"/>
      </w:rPr>
      <w:tab/>
    </w:r>
    <w:r w:rsidRPr="00DA6246">
      <w:rPr>
        <w:rFonts w:ascii="New Century Schoolbook" w:hAnsi="New Century Schoolbook" w:cs="New Century Schoolbook"/>
        <w:b/>
        <w:bCs/>
        <w:i/>
        <w:iCs/>
        <w:sz w:val="22"/>
        <w:szCs w:val="22"/>
        <w:u w:val="single"/>
      </w:rPr>
      <w:tab/>
    </w:r>
    <w:r>
      <w:rPr>
        <w:b/>
        <w:bCs/>
        <w:i/>
        <w:iCs/>
        <w:sz w:val="22"/>
        <w:szCs w:val="22"/>
        <w:u w:val="single"/>
      </w:rPr>
      <w:t>Implementation Guide</w:t>
    </w:r>
  </w:p>
  <w:p w14:paraId="68CF5C89" w14:textId="53C8B311" w:rsidR="000D7C7B" w:rsidRPr="00725816" w:rsidRDefault="000D7C7B" w:rsidP="008C534D">
    <w:pPr>
      <w:pStyle w:val="Header"/>
      <w:tabs>
        <w:tab w:val="clear" w:pos="8640"/>
        <w:tab w:val="left" w:pos="5760"/>
      </w:tabs>
      <w:ind w:right="4320"/>
      <w:jc w:val="right"/>
      <w:rPr>
        <w:b/>
        <w:bCs/>
        <w:i/>
        <w:iCs/>
        <w:sz w:val="22"/>
        <w:szCs w:val="22"/>
        <w:lang w:eastAsia="ja-JP"/>
      </w:rPr>
    </w:pPr>
    <w:r>
      <w:rPr>
        <w:b/>
        <w:bCs/>
        <w:i/>
        <w:iCs/>
        <w:sz w:val="22"/>
        <w:szCs w:val="22"/>
        <w:lang w:eastAsia="ja-JP"/>
      </w:rPr>
      <w:tab/>
    </w:r>
    <w:r>
      <w:rPr>
        <w:b/>
        <w:bCs/>
        <w:i/>
        <w:iCs/>
        <w:sz w:val="22"/>
        <w:szCs w:val="22"/>
        <w:lang w:eastAsia="ja-JP"/>
      </w:rPr>
      <w:tab/>
    </w:r>
    <w:r>
      <w:rPr>
        <w:b/>
        <w:bCs/>
        <w:i/>
        <w:iCs/>
        <w:sz w:val="22"/>
        <w:szCs w:val="22"/>
        <w:lang w:eastAsia="ja-JP"/>
      </w:rPr>
      <w:tab/>
    </w:r>
    <w:r>
      <w:rPr>
        <w:b/>
        <w:bCs/>
        <w:i/>
        <w:iCs/>
        <w:sz w:val="22"/>
        <w:szCs w:val="22"/>
        <w:lang w:eastAsia="ja-JP"/>
      </w:rPr>
      <w:tab/>
    </w:r>
    <w:r>
      <w:rPr>
        <w:b/>
        <w:bCs/>
        <w:i/>
        <w:iCs/>
        <w:sz w:val="22"/>
        <w:szCs w:val="22"/>
        <w:lang w:eastAsia="ja-JP"/>
      </w:rPr>
      <w:tab/>
    </w:r>
    <w:r>
      <w:rPr>
        <w:b/>
        <w:bCs/>
        <w:i/>
        <w:iCs/>
        <w:sz w:val="22"/>
        <w:szCs w:val="22"/>
        <w:lang w:eastAsia="ja-JP"/>
      </w:rPr>
      <w:tab/>
      <w:t>Exhibit 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7850" w14:textId="77777777" w:rsidR="000D7C7B" w:rsidRDefault="000D7C7B">
    <w:r>
      <w:cr/>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9B56" w14:textId="4A5237A4" w:rsidR="000D7C7B" w:rsidRPr="00DA6246" w:rsidRDefault="000D7C7B" w:rsidP="00FC3F5F">
    <w:pPr>
      <w:pStyle w:val="Header"/>
      <w:tabs>
        <w:tab w:val="clear" w:pos="8640"/>
        <w:tab w:val="right" w:pos="9360"/>
      </w:tabs>
      <w:rPr>
        <w:b/>
        <w:sz w:val="22"/>
        <w:szCs w:val="22"/>
        <w:u w:val="single"/>
      </w:rPr>
    </w:pPr>
    <w:r>
      <w:rPr>
        <w:b/>
        <w:bCs/>
        <w:i/>
        <w:iCs/>
        <w:sz w:val="22"/>
        <w:szCs w:val="22"/>
        <w:u w:val="single"/>
      </w:rPr>
      <w:t>202</w:t>
    </w:r>
    <w:r w:rsidR="00F616F3">
      <w:rPr>
        <w:b/>
        <w:bCs/>
        <w:i/>
        <w:iCs/>
        <w:sz w:val="22"/>
        <w:szCs w:val="22"/>
        <w:u w:val="single"/>
      </w:rPr>
      <w:t>6</w:t>
    </w:r>
    <w:r>
      <w:rPr>
        <w:b/>
        <w:bCs/>
        <w:i/>
        <w:iCs/>
        <w:sz w:val="22"/>
        <w:szCs w:val="22"/>
        <w:u w:val="single"/>
      </w:rPr>
      <w:t xml:space="preserve"> </w:t>
    </w:r>
    <w:r w:rsidRPr="00DA6246">
      <w:rPr>
        <w:b/>
        <w:bCs/>
        <w:i/>
        <w:iCs/>
        <w:sz w:val="22"/>
        <w:szCs w:val="22"/>
        <w:u w:val="single"/>
      </w:rPr>
      <w:t>Ohio Compliance Supplement</w:t>
    </w:r>
    <w:r w:rsidRPr="00DA6246">
      <w:rPr>
        <w:rFonts w:ascii="New Century Schoolbook" w:hAnsi="New Century Schoolbook" w:cs="New Century Schoolbook"/>
        <w:b/>
        <w:bCs/>
        <w:i/>
        <w:iCs/>
        <w:sz w:val="22"/>
        <w:szCs w:val="22"/>
        <w:u w:val="single"/>
      </w:rPr>
      <w:tab/>
    </w:r>
    <w:r w:rsidRPr="00DA6246">
      <w:rPr>
        <w:rFonts w:ascii="New Century Schoolbook" w:hAnsi="New Century Schoolbook" w:cs="New Century Schoolbook"/>
        <w:b/>
        <w:bCs/>
        <w:i/>
        <w:iCs/>
        <w:sz w:val="22"/>
        <w:szCs w:val="22"/>
        <w:u w:val="single"/>
      </w:rPr>
      <w:tab/>
    </w:r>
    <w:r>
      <w:rPr>
        <w:b/>
        <w:bCs/>
        <w:i/>
        <w:iCs/>
        <w:sz w:val="22"/>
        <w:szCs w:val="22"/>
        <w:u w:val="single"/>
      </w:rPr>
      <w:t>Implementation Guide</w:t>
    </w:r>
    <w:r w:rsidRPr="00DA6246">
      <w:rPr>
        <w:rFonts w:ascii="New Century Schoolbook" w:hAnsi="New Century Schoolbook" w:cs="New Century Schoolbook"/>
        <w:b/>
        <w:bCs/>
        <w:i/>
        <w:iCs/>
        <w:sz w:val="22"/>
        <w:szCs w:val="22"/>
        <w:u w:val="single"/>
      </w:rPr>
      <w:t xml:space="preserve"> </w:t>
    </w:r>
  </w:p>
  <w:p w14:paraId="6333EDBC" w14:textId="77777777" w:rsidR="000D7C7B" w:rsidRPr="00725816" w:rsidRDefault="000D7C7B" w:rsidP="00725816">
    <w:pPr>
      <w:pStyle w:val="Header"/>
      <w:jc w:val="right"/>
      <w:rPr>
        <w:b/>
        <w:bCs/>
        <w:i/>
        <w:iCs/>
        <w:sz w:val="22"/>
        <w:szCs w:val="22"/>
        <w:lang w:eastAsia="ja-JP"/>
      </w:rPr>
    </w:pPr>
    <w:r>
      <w:rPr>
        <w:b/>
        <w:bCs/>
        <w:i/>
        <w:iCs/>
        <w:sz w:val="22"/>
        <w:szCs w:val="22"/>
        <w:lang w:eastAsia="ja-JP"/>
      </w:rPr>
      <w:t>Exhibit 6</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04A5" w14:textId="1E72C6DF" w:rsidR="000D7C7B" w:rsidRPr="00DA6246" w:rsidRDefault="000D7C7B" w:rsidP="00FC3F5F">
    <w:pPr>
      <w:pStyle w:val="Header"/>
      <w:tabs>
        <w:tab w:val="clear" w:pos="8640"/>
        <w:tab w:val="right" w:pos="9360"/>
      </w:tabs>
      <w:rPr>
        <w:b/>
        <w:sz w:val="22"/>
        <w:szCs w:val="22"/>
        <w:u w:val="single"/>
      </w:rPr>
    </w:pPr>
    <w:r>
      <w:rPr>
        <w:b/>
        <w:bCs/>
        <w:i/>
        <w:iCs/>
        <w:sz w:val="22"/>
        <w:szCs w:val="22"/>
        <w:u w:val="single"/>
      </w:rPr>
      <w:t>202</w:t>
    </w:r>
    <w:r w:rsidR="00F616F3">
      <w:rPr>
        <w:b/>
        <w:bCs/>
        <w:i/>
        <w:iCs/>
        <w:sz w:val="22"/>
        <w:szCs w:val="22"/>
        <w:u w:val="single"/>
      </w:rPr>
      <w:t>6</w:t>
    </w:r>
    <w:r>
      <w:rPr>
        <w:b/>
        <w:bCs/>
        <w:i/>
        <w:iCs/>
        <w:sz w:val="22"/>
        <w:szCs w:val="22"/>
        <w:u w:val="single"/>
      </w:rPr>
      <w:t xml:space="preserve"> </w:t>
    </w:r>
    <w:r w:rsidRPr="00DA6246">
      <w:rPr>
        <w:b/>
        <w:bCs/>
        <w:i/>
        <w:iCs/>
        <w:sz w:val="22"/>
        <w:szCs w:val="22"/>
        <w:u w:val="single"/>
      </w:rPr>
      <w:t>Ohio Compliance Supplement</w:t>
    </w:r>
    <w:r w:rsidRPr="00DA6246">
      <w:rPr>
        <w:rFonts w:ascii="New Century Schoolbook" w:hAnsi="New Century Schoolbook" w:cs="New Century Schoolbook"/>
        <w:b/>
        <w:bCs/>
        <w:i/>
        <w:iCs/>
        <w:sz w:val="22"/>
        <w:szCs w:val="22"/>
        <w:u w:val="single"/>
      </w:rPr>
      <w:tab/>
    </w:r>
    <w:r w:rsidRPr="00DA6246">
      <w:rPr>
        <w:rFonts w:ascii="New Century Schoolbook" w:hAnsi="New Century Schoolbook" w:cs="New Century Schoolbook"/>
        <w:b/>
        <w:bCs/>
        <w:i/>
        <w:iCs/>
        <w:sz w:val="22"/>
        <w:szCs w:val="22"/>
        <w:u w:val="single"/>
      </w:rPr>
      <w:tab/>
    </w:r>
    <w:r>
      <w:rPr>
        <w:b/>
        <w:bCs/>
        <w:i/>
        <w:iCs/>
        <w:sz w:val="22"/>
        <w:szCs w:val="22"/>
        <w:u w:val="single"/>
      </w:rPr>
      <w:t>Implementation Guide</w:t>
    </w:r>
    <w:r w:rsidRPr="00DA6246">
      <w:rPr>
        <w:rFonts w:ascii="New Century Schoolbook" w:hAnsi="New Century Schoolbook" w:cs="New Century Schoolbook"/>
        <w:b/>
        <w:bCs/>
        <w:i/>
        <w:iCs/>
        <w:sz w:val="22"/>
        <w:szCs w:val="22"/>
        <w:u w:val="single"/>
      </w:rPr>
      <w:t xml:space="preserve">             </w:t>
    </w:r>
  </w:p>
  <w:p w14:paraId="2935FDE4" w14:textId="77777777" w:rsidR="000D7C7B" w:rsidRPr="003F7AE2" w:rsidRDefault="000D7C7B" w:rsidP="003F7AE2">
    <w:pPr>
      <w:tabs>
        <w:tab w:val="left" w:pos="7798"/>
      </w:tabs>
      <w:jc w:val="right"/>
      <w:rPr>
        <w:rFonts w:ascii="Book Antiqua" w:hAnsi="Book Antiqua"/>
        <w:sz w:val="24"/>
        <w:lang w:eastAsia="ja-JP"/>
      </w:rPr>
    </w:pPr>
    <w:r w:rsidRPr="003F7AE2">
      <w:rPr>
        <w:b/>
        <w:bCs/>
        <w:i/>
        <w:iCs/>
        <w:sz w:val="22"/>
        <w:szCs w:val="22"/>
      </w:rPr>
      <w:t>Questions and Comments</w:t>
    </w:r>
  </w:p>
  <w:p w14:paraId="1759E667" w14:textId="77777777" w:rsidR="000D7C7B" w:rsidRDefault="000D7C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3226" w14:textId="77777777" w:rsidR="000D28D3" w:rsidRPr="00481C75" w:rsidRDefault="000D28D3" w:rsidP="00D56852">
    <w:pPr>
      <w:tabs>
        <w:tab w:val="right" w:pos="9900"/>
      </w:tabs>
      <w:ind w:left="5760" w:hanging="5760"/>
      <w:rPr>
        <w:sz w:val="22"/>
        <w:szCs w:val="22"/>
        <w:u w:val="single"/>
        <w:lang w:eastAsia="ja-JP"/>
      </w:rPr>
    </w:pPr>
    <w:r>
      <w:rPr>
        <w:b/>
        <w:bCs/>
        <w:i/>
        <w:iCs/>
        <w:sz w:val="22"/>
        <w:szCs w:val="22"/>
        <w:u w:val="single"/>
        <w:lang w:eastAsia="ja-JP"/>
      </w:rPr>
      <w:t xml:space="preserve">2026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3BFBACBA" w14:textId="35937D78" w:rsidR="000D28D3" w:rsidRPr="00271B7B" w:rsidRDefault="000D28D3" w:rsidP="00271B7B">
    <w:pPr>
      <w:pStyle w:val="Header"/>
      <w:jc w:val="right"/>
      <w:rPr>
        <w:b/>
        <w:bCs/>
        <w:i/>
        <w:iCs/>
        <w:sz w:val="22"/>
        <w:szCs w:val="22"/>
        <w:lang w:eastAsia="ja-JP"/>
      </w:rPr>
    </w:pPr>
    <w:r>
      <w:rPr>
        <w:b/>
        <w:bCs/>
        <w:i/>
        <w:iCs/>
        <w:sz w:val="22"/>
        <w:szCs w:val="22"/>
        <w:lang w:eastAsia="ja-JP"/>
      </w:rPr>
      <w:t>Compliance Risk and Controls</w:t>
    </w:r>
  </w:p>
  <w:p w14:paraId="411E3C01" w14:textId="77777777" w:rsidR="000D28D3" w:rsidRDefault="000D28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1044" w14:textId="5395C976"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1025CCAF" w14:textId="77777777" w:rsidR="000D7C7B" w:rsidRPr="00271B7B" w:rsidRDefault="000D7C7B" w:rsidP="00271B7B">
    <w:pPr>
      <w:pStyle w:val="Header"/>
      <w:jc w:val="right"/>
      <w:rPr>
        <w:b/>
        <w:bCs/>
        <w:i/>
        <w:iCs/>
        <w:sz w:val="22"/>
        <w:szCs w:val="22"/>
        <w:lang w:eastAsia="ja-JP"/>
      </w:rPr>
    </w:pPr>
    <w:r>
      <w:rPr>
        <w:b/>
        <w:bCs/>
        <w:i/>
        <w:iCs/>
        <w:sz w:val="22"/>
        <w:szCs w:val="22"/>
        <w:lang w:eastAsia="ja-JP"/>
      </w:rPr>
      <w:t>Organization of the OCS</w:t>
    </w:r>
  </w:p>
  <w:p w14:paraId="152A1019" w14:textId="77777777" w:rsidR="000D7C7B" w:rsidRDefault="000D7C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222CD" w14:textId="297DB54A"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5ECE03EA" w14:textId="77777777" w:rsidR="000D7C7B" w:rsidRPr="00271B7B" w:rsidRDefault="000D7C7B" w:rsidP="00271B7B">
    <w:pPr>
      <w:pStyle w:val="Header"/>
      <w:jc w:val="right"/>
      <w:rPr>
        <w:b/>
        <w:bCs/>
        <w:i/>
        <w:iCs/>
        <w:sz w:val="22"/>
        <w:szCs w:val="22"/>
        <w:lang w:eastAsia="ja-JP"/>
      </w:rPr>
    </w:pPr>
    <w:r>
      <w:rPr>
        <w:b/>
        <w:bCs/>
        <w:i/>
        <w:iCs/>
        <w:sz w:val="22"/>
        <w:szCs w:val="22"/>
        <w:lang w:eastAsia="ja-JP"/>
      </w:rPr>
      <w:t>Home Rule Powers</w:t>
    </w:r>
  </w:p>
  <w:p w14:paraId="20790226" w14:textId="77777777" w:rsidR="000D7C7B" w:rsidRDefault="000D7C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DCD2" w14:textId="6DE0171A"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41080DA6" w14:textId="77777777" w:rsidR="000D7C7B" w:rsidRPr="00271B7B" w:rsidRDefault="000D7C7B" w:rsidP="00271B7B">
    <w:pPr>
      <w:pStyle w:val="Header"/>
      <w:jc w:val="right"/>
      <w:rPr>
        <w:b/>
        <w:bCs/>
        <w:i/>
        <w:iCs/>
        <w:sz w:val="22"/>
        <w:szCs w:val="22"/>
        <w:lang w:eastAsia="ja-JP"/>
      </w:rPr>
    </w:pPr>
    <w:r>
      <w:rPr>
        <w:b/>
        <w:bCs/>
        <w:i/>
        <w:iCs/>
        <w:sz w:val="22"/>
        <w:szCs w:val="22"/>
        <w:lang w:eastAsia="ja-JP"/>
      </w:rPr>
      <w:t>Reporting</w:t>
    </w:r>
  </w:p>
  <w:p w14:paraId="6D007D55" w14:textId="77777777" w:rsidR="000D7C7B" w:rsidRDefault="000D7C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3791" w14:textId="4D6E1D81"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E12E58">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734D640E" w14:textId="60BC11A2" w:rsidR="000D7C7B" w:rsidRPr="00271B7B" w:rsidRDefault="000D7C7B" w:rsidP="00271B7B">
    <w:pPr>
      <w:pStyle w:val="Header"/>
      <w:jc w:val="right"/>
      <w:rPr>
        <w:b/>
        <w:bCs/>
        <w:i/>
        <w:iCs/>
        <w:sz w:val="22"/>
        <w:szCs w:val="22"/>
        <w:lang w:eastAsia="ja-JP"/>
      </w:rPr>
    </w:pPr>
    <w:r>
      <w:rPr>
        <w:b/>
        <w:bCs/>
        <w:i/>
        <w:iCs/>
        <w:sz w:val="22"/>
        <w:szCs w:val="22"/>
        <w:lang w:eastAsia="ja-JP"/>
      </w:rPr>
      <w:t>Audit Findings</w:t>
    </w:r>
  </w:p>
  <w:p w14:paraId="7B0457A1" w14:textId="77777777" w:rsidR="000D7C7B" w:rsidRDefault="000D7C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ACB" w14:textId="3B57CC42"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4B3E3F">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3BD91526" w14:textId="4B043224" w:rsidR="000D7C7B" w:rsidRPr="00271B7B" w:rsidRDefault="000D7C7B" w:rsidP="00271B7B">
    <w:pPr>
      <w:pStyle w:val="Header"/>
      <w:jc w:val="right"/>
      <w:rPr>
        <w:b/>
        <w:bCs/>
        <w:i/>
        <w:iCs/>
        <w:sz w:val="22"/>
        <w:szCs w:val="22"/>
        <w:lang w:eastAsia="ja-JP"/>
      </w:rPr>
    </w:pPr>
    <w:r>
      <w:rPr>
        <w:b/>
        <w:bCs/>
        <w:i/>
        <w:iCs/>
        <w:sz w:val="22"/>
        <w:szCs w:val="22"/>
        <w:lang w:eastAsia="ja-JP"/>
      </w:rPr>
      <w:t xml:space="preserve">Findings for Waste or Abuse </w:t>
    </w:r>
  </w:p>
  <w:p w14:paraId="120D1FC2" w14:textId="77777777" w:rsidR="000D7C7B" w:rsidRDefault="000D7C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15F62" w14:textId="717DA7C8" w:rsidR="000D7C7B" w:rsidRPr="00481C75" w:rsidRDefault="000D7C7B" w:rsidP="00D56852">
    <w:pPr>
      <w:tabs>
        <w:tab w:val="right" w:pos="9900"/>
      </w:tabs>
      <w:ind w:left="5760" w:hanging="5760"/>
      <w:rPr>
        <w:sz w:val="22"/>
        <w:szCs w:val="22"/>
        <w:u w:val="single"/>
        <w:lang w:eastAsia="ja-JP"/>
      </w:rPr>
    </w:pPr>
    <w:r>
      <w:rPr>
        <w:b/>
        <w:bCs/>
        <w:i/>
        <w:iCs/>
        <w:sz w:val="22"/>
        <w:szCs w:val="22"/>
        <w:u w:val="single"/>
        <w:lang w:eastAsia="ja-JP"/>
      </w:rPr>
      <w:t>202</w:t>
    </w:r>
    <w:r w:rsidR="004B3E3F">
      <w:rPr>
        <w:b/>
        <w:bCs/>
        <w:i/>
        <w:iCs/>
        <w:sz w:val="22"/>
        <w:szCs w:val="22"/>
        <w:u w:val="single"/>
        <w:lang w:eastAsia="ja-JP"/>
      </w:rPr>
      <w:t>6</w:t>
    </w:r>
    <w:r>
      <w:rPr>
        <w:b/>
        <w:bCs/>
        <w:i/>
        <w:iCs/>
        <w:sz w:val="22"/>
        <w:szCs w:val="22"/>
        <w:u w:val="single"/>
        <w:lang w:eastAsia="ja-JP"/>
      </w:rPr>
      <w:t xml:space="preserve"> </w:t>
    </w:r>
    <w:r w:rsidRPr="00481C75">
      <w:rPr>
        <w:b/>
        <w:bCs/>
        <w:i/>
        <w:iCs/>
        <w:sz w:val="22"/>
        <w:szCs w:val="22"/>
        <w:u w:val="single"/>
        <w:lang w:eastAsia="ja-JP"/>
      </w:rPr>
      <w:t>Ohio Compliance Supplement</w:t>
    </w:r>
    <w:r>
      <w:rPr>
        <w:b/>
        <w:bCs/>
        <w:i/>
        <w:iCs/>
        <w:sz w:val="22"/>
        <w:szCs w:val="22"/>
        <w:u w:val="single"/>
        <w:lang w:eastAsia="ja-JP"/>
      </w:rPr>
      <w:tab/>
    </w:r>
    <w:r>
      <w:rPr>
        <w:b/>
        <w:bCs/>
        <w:i/>
        <w:iCs/>
        <w:sz w:val="22"/>
        <w:szCs w:val="22"/>
        <w:u w:val="single"/>
        <w:lang w:eastAsia="ja-JP"/>
      </w:rPr>
      <w:tab/>
      <w:t>Implementation Guide</w:t>
    </w:r>
    <w:r w:rsidRPr="00481C75">
      <w:rPr>
        <w:b/>
        <w:bCs/>
        <w:i/>
        <w:iCs/>
        <w:sz w:val="22"/>
        <w:szCs w:val="22"/>
        <w:u w:val="single"/>
        <w:lang w:eastAsia="ja-JP"/>
      </w:rPr>
      <w:t xml:space="preserve"> </w:t>
    </w:r>
  </w:p>
  <w:p w14:paraId="1EE50433" w14:textId="77777777" w:rsidR="000D7C7B" w:rsidRPr="00271B7B" w:rsidRDefault="000D7C7B" w:rsidP="00271B7B">
    <w:pPr>
      <w:pStyle w:val="Header"/>
      <w:jc w:val="right"/>
      <w:rPr>
        <w:b/>
        <w:bCs/>
        <w:i/>
        <w:iCs/>
        <w:sz w:val="22"/>
        <w:szCs w:val="22"/>
        <w:lang w:eastAsia="ja-JP"/>
      </w:rPr>
    </w:pPr>
    <w:r>
      <w:rPr>
        <w:b/>
        <w:bCs/>
        <w:i/>
        <w:iCs/>
        <w:sz w:val="22"/>
        <w:szCs w:val="22"/>
        <w:lang w:eastAsia="ja-JP"/>
      </w:rPr>
      <w:t>Referring Audit Reports</w:t>
    </w:r>
  </w:p>
  <w:p w14:paraId="52DEEAF3" w14:textId="77777777" w:rsidR="000D7C7B" w:rsidRDefault="000D7C7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88A"/>
    <w:multiLevelType w:val="hybridMultilevel"/>
    <w:tmpl w:val="65E8E126"/>
    <w:lvl w:ilvl="0" w:tplc="777C3CF8">
      <w:start w:val="1"/>
      <w:numFmt w:val="bullet"/>
      <w:lvlText w:val=""/>
      <w:lvlJc w:val="left"/>
      <w:pPr>
        <w:tabs>
          <w:tab w:val="num" w:pos="720"/>
        </w:tabs>
        <w:ind w:left="720" w:hanging="360"/>
      </w:pPr>
      <w:rPr>
        <w:rFonts w:ascii="Symbol" w:hAnsi="Symbol" w:hint="default"/>
      </w:rPr>
    </w:lvl>
    <w:lvl w:ilvl="1" w:tplc="6FF6C89A" w:tentative="1">
      <w:start w:val="1"/>
      <w:numFmt w:val="bullet"/>
      <w:lvlText w:val="o"/>
      <w:lvlJc w:val="left"/>
      <w:pPr>
        <w:tabs>
          <w:tab w:val="num" w:pos="1440"/>
        </w:tabs>
        <w:ind w:left="1440" w:hanging="360"/>
      </w:pPr>
      <w:rPr>
        <w:rFonts w:ascii="Courier New" w:hAnsi="Courier New" w:cs="Courier New" w:hint="default"/>
      </w:rPr>
    </w:lvl>
    <w:lvl w:ilvl="2" w:tplc="51B4C19A" w:tentative="1">
      <w:start w:val="1"/>
      <w:numFmt w:val="bullet"/>
      <w:lvlText w:val=""/>
      <w:lvlJc w:val="left"/>
      <w:pPr>
        <w:tabs>
          <w:tab w:val="num" w:pos="2160"/>
        </w:tabs>
        <w:ind w:left="2160" w:hanging="360"/>
      </w:pPr>
      <w:rPr>
        <w:rFonts w:ascii="Wingdings" w:hAnsi="Wingdings" w:hint="default"/>
      </w:rPr>
    </w:lvl>
    <w:lvl w:ilvl="3" w:tplc="DF3471DA" w:tentative="1">
      <w:start w:val="1"/>
      <w:numFmt w:val="bullet"/>
      <w:lvlText w:val=""/>
      <w:lvlJc w:val="left"/>
      <w:pPr>
        <w:tabs>
          <w:tab w:val="num" w:pos="2880"/>
        </w:tabs>
        <w:ind w:left="2880" w:hanging="360"/>
      </w:pPr>
      <w:rPr>
        <w:rFonts w:ascii="Symbol" w:hAnsi="Symbol" w:hint="default"/>
      </w:rPr>
    </w:lvl>
    <w:lvl w:ilvl="4" w:tplc="37D430A4" w:tentative="1">
      <w:start w:val="1"/>
      <w:numFmt w:val="bullet"/>
      <w:lvlText w:val="o"/>
      <w:lvlJc w:val="left"/>
      <w:pPr>
        <w:tabs>
          <w:tab w:val="num" w:pos="3600"/>
        </w:tabs>
        <w:ind w:left="3600" w:hanging="360"/>
      </w:pPr>
      <w:rPr>
        <w:rFonts w:ascii="Courier New" w:hAnsi="Courier New" w:cs="Courier New" w:hint="default"/>
      </w:rPr>
    </w:lvl>
    <w:lvl w:ilvl="5" w:tplc="5E601D72" w:tentative="1">
      <w:start w:val="1"/>
      <w:numFmt w:val="bullet"/>
      <w:lvlText w:val=""/>
      <w:lvlJc w:val="left"/>
      <w:pPr>
        <w:tabs>
          <w:tab w:val="num" w:pos="4320"/>
        </w:tabs>
        <w:ind w:left="4320" w:hanging="360"/>
      </w:pPr>
      <w:rPr>
        <w:rFonts w:ascii="Wingdings" w:hAnsi="Wingdings" w:hint="default"/>
      </w:rPr>
    </w:lvl>
    <w:lvl w:ilvl="6" w:tplc="F9EC8840" w:tentative="1">
      <w:start w:val="1"/>
      <w:numFmt w:val="bullet"/>
      <w:lvlText w:val=""/>
      <w:lvlJc w:val="left"/>
      <w:pPr>
        <w:tabs>
          <w:tab w:val="num" w:pos="5040"/>
        </w:tabs>
        <w:ind w:left="5040" w:hanging="360"/>
      </w:pPr>
      <w:rPr>
        <w:rFonts w:ascii="Symbol" w:hAnsi="Symbol" w:hint="default"/>
      </w:rPr>
    </w:lvl>
    <w:lvl w:ilvl="7" w:tplc="A3209972" w:tentative="1">
      <w:start w:val="1"/>
      <w:numFmt w:val="bullet"/>
      <w:lvlText w:val="o"/>
      <w:lvlJc w:val="left"/>
      <w:pPr>
        <w:tabs>
          <w:tab w:val="num" w:pos="5760"/>
        </w:tabs>
        <w:ind w:left="5760" w:hanging="360"/>
      </w:pPr>
      <w:rPr>
        <w:rFonts w:ascii="Courier New" w:hAnsi="Courier New" w:cs="Courier New" w:hint="default"/>
      </w:rPr>
    </w:lvl>
    <w:lvl w:ilvl="8" w:tplc="2B76959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8B6A81"/>
    <w:multiLevelType w:val="hybridMultilevel"/>
    <w:tmpl w:val="5D200C06"/>
    <w:lvl w:ilvl="0" w:tplc="FD960094">
      <w:start w:val="1"/>
      <w:numFmt w:val="bullet"/>
      <w:lvlText w:val=""/>
      <w:lvlJc w:val="left"/>
      <w:pPr>
        <w:tabs>
          <w:tab w:val="num" w:pos="720"/>
        </w:tabs>
        <w:ind w:left="720" w:hanging="360"/>
      </w:pPr>
      <w:rPr>
        <w:rFonts w:ascii="Symbol" w:hAnsi="Symbol" w:hint="default"/>
        <w:sz w:val="20"/>
      </w:rPr>
    </w:lvl>
    <w:lvl w:ilvl="1" w:tplc="93C2F9A4" w:tentative="1">
      <w:start w:val="1"/>
      <w:numFmt w:val="bullet"/>
      <w:lvlText w:val="o"/>
      <w:lvlJc w:val="left"/>
      <w:pPr>
        <w:tabs>
          <w:tab w:val="num" w:pos="1440"/>
        </w:tabs>
        <w:ind w:left="1440" w:hanging="360"/>
      </w:pPr>
      <w:rPr>
        <w:rFonts w:ascii="Courier New" w:hAnsi="Courier New" w:hint="default"/>
        <w:sz w:val="20"/>
      </w:rPr>
    </w:lvl>
    <w:lvl w:ilvl="2" w:tplc="B912726C" w:tentative="1">
      <w:start w:val="1"/>
      <w:numFmt w:val="bullet"/>
      <w:lvlText w:val=""/>
      <w:lvlJc w:val="left"/>
      <w:pPr>
        <w:tabs>
          <w:tab w:val="num" w:pos="2160"/>
        </w:tabs>
        <w:ind w:left="2160" w:hanging="360"/>
      </w:pPr>
      <w:rPr>
        <w:rFonts w:ascii="Wingdings" w:hAnsi="Wingdings" w:hint="default"/>
        <w:sz w:val="20"/>
      </w:rPr>
    </w:lvl>
    <w:lvl w:ilvl="3" w:tplc="1D12A0AA" w:tentative="1">
      <w:start w:val="1"/>
      <w:numFmt w:val="bullet"/>
      <w:lvlText w:val=""/>
      <w:lvlJc w:val="left"/>
      <w:pPr>
        <w:tabs>
          <w:tab w:val="num" w:pos="2880"/>
        </w:tabs>
        <w:ind w:left="2880" w:hanging="360"/>
      </w:pPr>
      <w:rPr>
        <w:rFonts w:ascii="Wingdings" w:hAnsi="Wingdings" w:hint="default"/>
        <w:sz w:val="20"/>
      </w:rPr>
    </w:lvl>
    <w:lvl w:ilvl="4" w:tplc="0B7024AA" w:tentative="1">
      <w:start w:val="1"/>
      <w:numFmt w:val="bullet"/>
      <w:lvlText w:val=""/>
      <w:lvlJc w:val="left"/>
      <w:pPr>
        <w:tabs>
          <w:tab w:val="num" w:pos="3600"/>
        </w:tabs>
        <w:ind w:left="3600" w:hanging="360"/>
      </w:pPr>
      <w:rPr>
        <w:rFonts w:ascii="Wingdings" w:hAnsi="Wingdings" w:hint="default"/>
        <w:sz w:val="20"/>
      </w:rPr>
    </w:lvl>
    <w:lvl w:ilvl="5" w:tplc="0AACAF3E" w:tentative="1">
      <w:start w:val="1"/>
      <w:numFmt w:val="bullet"/>
      <w:lvlText w:val=""/>
      <w:lvlJc w:val="left"/>
      <w:pPr>
        <w:tabs>
          <w:tab w:val="num" w:pos="4320"/>
        </w:tabs>
        <w:ind w:left="4320" w:hanging="360"/>
      </w:pPr>
      <w:rPr>
        <w:rFonts w:ascii="Wingdings" w:hAnsi="Wingdings" w:hint="default"/>
        <w:sz w:val="20"/>
      </w:rPr>
    </w:lvl>
    <w:lvl w:ilvl="6" w:tplc="6F081AB8" w:tentative="1">
      <w:start w:val="1"/>
      <w:numFmt w:val="bullet"/>
      <w:lvlText w:val=""/>
      <w:lvlJc w:val="left"/>
      <w:pPr>
        <w:tabs>
          <w:tab w:val="num" w:pos="5040"/>
        </w:tabs>
        <w:ind w:left="5040" w:hanging="360"/>
      </w:pPr>
      <w:rPr>
        <w:rFonts w:ascii="Wingdings" w:hAnsi="Wingdings" w:hint="default"/>
        <w:sz w:val="20"/>
      </w:rPr>
    </w:lvl>
    <w:lvl w:ilvl="7" w:tplc="5E6497A8" w:tentative="1">
      <w:start w:val="1"/>
      <w:numFmt w:val="bullet"/>
      <w:lvlText w:val=""/>
      <w:lvlJc w:val="left"/>
      <w:pPr>
        <w:tabs>
          <w:tab w:val="num" w:pos="5760"/>
        </w:tabs>
        <w:ind w:left="5760" w:hanging="360"/>
      </w:pPr>
      <w:rPr>
        <w:rFonts w:ascii="Wingdings" w:hAnsi="Wingdings" w:hint="default"/>
        <w:sz w:val="20"/>
      </w:rPr>
    </w:lvl>
    <w:lvl w:ilvl="8" w:tplc="9C167C4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03896"/>
    <w:multiLevelType w:val="hybridMultilevel"/>
    <w:tmpl w:val="6B2CEA72"/>
    <w:lvl w:ilvl="0" w:tplc="202C9D6E">
      <w:start w:val="1"/>
      <w:numFmt w:val="decimal"/>
      <w:lvlText w:val="%1."/>
      <w:lvlJc w:val="left"/>
      <w:pPr>
        <w:ind w:left="720" w:hanging="360"/>
      </w:pPr>
      <w:rPr>
        <w:rFonts w:hint="default"/>
      </w:rPr>
    </w:lvl>
    <w:lvl w:ilvl="1" w:tplc="EF8C65D0">
      <w:start w:val="1"/>
      <w:numFmt w:val="lowerLetter"/>
      <w:lvlText w:val="%2."/>
      <w:lvlJc w:val="left"/>
      <w:pPr>
        <w:ind w:left="1440" w:hanging="360"/>
      </w:pPr>
    </w:lvl>
    <w:lvl w:ilvl="2" w:tplc="46742B2E" w:tentative="1">
      <w:start w:val="1"/>
      <w:numFmt w:val="lowerRoman"/>
      <w:lvlText w:val="%3."/>
      <w:lvlJc w:val="right"/>
      <w:pPr>
        <w:ind w:left="2160" w:hanging="180"/>
      </w:pPr>
    </w:lvl>
    <w:lvl w:ilvl="3" w:tplc="D92E51BA" w:tentative="1">
      <w:start w:val="1"/>
      <w:numFmt w:val="decimal"/>
      <w:lvlText w:val="%4."/>
      <w:lvlJc w:val="left"/>
      <w:pPr>
        <w:ind w:left="2880" w:hanging="360"/>
      </w:pPr>
    </w:lvl>
    <w:lvl w:ilvl="4" w:tplc="AC04B79A" w:tentative="1">
      <w:start w:val="1"/>
      <w:numFmt w:val="lowerLetter"/>
      <w:lvlText w:val="%5."/>
      <w:lvlJc w:val="left"/>
      <w:pPr>
        <w:ind w:left="3600" w:hanging="360"/>
      </w:pPr>
    </w:lvl>
    <w:lvl w:ilvl="5" w:tplc="0F14E64A" w:tentative="1">
      <w:start w:val="1"/>
      <w:numFmt w:val="lowerRoman"/>
      <w:lvlText w:val="%6."/>
      <w:lvlJc w:val="right"/>
      <w:pPr>
        <w:ind w:left="4320" w:hanging="180"/>
      </w:pPr>
    </w:lvl>
    <w:lvl w:ilvl="6" w:tplc="36245B92" w:tentative="1">
      <w:start w:val="1"/>
      <w:numFmt w:val="decimal"/>
      <w:lvlText w:val="%7."/>
      <w:lvlJc w:val="left"/>
      <w:pPr>
        <w:ind w:left="5040" w:hanging="360"/>
      </w:pPr>
    </w:lvl>
    <w:lvl w:ilvl="7" w:tplc="805EF2BC" w:tentative="1">
      <w:start w:val="1"/>
      <w:numFmt w:val="lowerLetter"/>
      <w:lvlText w:val="%8."/>
      <w:lvlJc w:val="left"/>
      <w:pPr>
        <w:ind w:left="5760" w:hanging="360"/>
      </w:pPr>
    </w:lvl>
    <w:lvl w:ilvl="8" w:tplc="C74E8570" w:tentative="1">
      <w:start w:val="1"/>
      <w:numFmt w:val="lowerRoman"/>
      <w:lvlText w:val="%9."/>
      <w:lvlJc w:val="right"/>
      <w:pPr>
        <w:ind w:left="6480" w:hanging="180"/>
      </w:pPr>
    </w:lvl>
  </w:abstractNum>
  <w:abstractNum w:abstractNumId="3" w15:restartNumberingAfterBreak="0">
    <w:nsid w:val="04D63613"/>
    <w:multiLevelType w:val="hybridMultilevel"/>
    <w:tmpl w:val="BD2860C6"/>
    <w:lvl w:ilvl="0" w:tplc="0409000F">
      <w:start w:val="1"/>
      <w:numFmt w:val="decimal"/>
      <w:lvlText w:val="%1."/>
      <w:lvlJc w:val="left"/>
      <w:pPr>
        <w:ind w:left="1080" w:hanging="360"/>
      </w:pPr>
      <w:rPr>
        <w:rFonts w:hint="default"/>
      </w:rPr>
    </w:lvl>
    <w:lvl w:ilvl="1" w:tplc="1AC2F8AC">
      <w:start w:val="1"/>
      <w:numFmt w:val="lowerLetter"/>
      <w:lvlText w:val="%2."/>
      <w:lvlJc w:val="left"/>
      <w:pPr>
        <w:ind w:left="1800" w:hanging="360"/>
      </w:pPr>
      <w:rPr>
        <w:rFonts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4" w15:restartNumberingAfterBreak="0">
    <w:nsid w:val="0C0D708D"/>
    <w:multiLevelType w:val="hybridMultilevel"/>
    <w:tmpl w:val="56149E7C"/>
    <w:lvl w:ilvl="0" w:tplc="04090001">
      <w:start w:val="1"/>
      <w:numFmt w:val="decimal"/>
      <w:lvlText w:val="%1."/>
      <w:lvlJc w:val="left"/>
      <w:pPr>
        <w:tabs>
          <w:tab w:val="num" w:pos="780"/>
        </w:tabs>
        <w:ind w:left="780" w:hanging="360"/>
      </w:pPr>
    </w:lvl>
    <w:lvl w:ilvl="1" w:tplc="04090003" w:tentative="1">
      <w:start w:val="1"/>
      <w:numFmt w:val="lowerLetter"/>
      <w:lvlText w:val="%2."/>
      <w:lvlJc w:val="left"/>
      <w:pPr>
        <w:tabs>
          <w:tab w:val="num" w:pos="1500"/>
        </w:tabs>
        <w:ind w:left="1500" w:hanging="360"/>
      </w:pPr>
    </w:lvl>
    <w:lvl w:ilvl="2" w:tplc="04090005" w:tentative="1">
      <w:start w:val="1"/>
      <w:numFmt w:val="lowerRoman"/>
      <w:lvlText w:val="%3."/>
      <w:lvlJc w:val="right"/>
      <w:pPr>
        <w:tabs>
          <w:tab w:val="num" w:pos="2220"/>
        </w:tabs>
        <w:ind w:left="2220" w:hanging="180"/>
      </w:pPr>
    </w:lvl>
    <w:lvl w:ilvl="3" w:tplc="04090001" w:tentative="1">
      <w:start w:val="1"/>
      <w:numFmt w:val="decimal"/>
      <w:lvlText w:val="%4."/>
      <w:lvlJc w:val="left"/>
      <w:pPr>
        <w:tabs>
          <w:tab w:val="num" w:pos="2940"/>
        </w:tabs>
        <w:ind w:left="2940" w:hanging="360"/>
      </w:pPr>
    </w:lvl>
    <w:lvl w:ilvl="4" w:tplc="04090003" w:tentative="1">
      <w:start w:val="1"/>
      <w:numFmt w:val="lowerLetter"/>
      <w:lvlText w:val="%5."/>
      <w:lvlJc w:val="left"/>
      <w:pPr>
        <w:tabs>
          <w:tab w:val="num" w:pos="3660"/>
        </w:tabs>
        <w:ind w:left="3660" w:hanging="360"/>
      </w:pPr>
    </w:lvl>
    <w:lvl w:ilvl="5" w:tplc="04090005" w:tentative="1">
      <w:start w:val="1"/>
      <w:numFmt w:val="lowerRoman"/>
      <w:lvlText w:val="%6."/>
      <w:lvlJc w:val="right"/>
      <w:pPr>
        <w:tabs>
          <w:tab w:val="num" w:pos="4380"/>
        </w:tabs>
        <w:ind w:left="4380" w:hanging="180"/>
      </w:pPr>
    </w:lvl>
    <w:lvl w:ilvl="6" w:tplc="04090001" w:tentative="1">
      <w:start w:val="1"/>
      <w:numFmt w:val="decimal"/>
      <w:lvlText w:val="%7."/>
      <w:lvlJc w:val="left"/>
      <w:pPr>
        <w:tabs>
          <w:tab w:val="num" w:pos="5100"/>
        </w:tabs>
        <w:ind w:left="5100" w:hanging="360"/>
      </w:pPr>
    </w:lvl>
    <w:lvl w:ilvl="7" w:tplc="04090003" w:tentative="1">
      <w:start w:val="1"/>
      <w:numFmt w:val="lowerLetter"/>
      <w:lvlText w:val="%8."/>
      <w:lvlJc w:val="left"/>
      <w:pPr>
        <w:tabs>
          <w:tab w:val="num" w:pos="5820"/>
        </w:tabs>
        <w:ind w:left="5820" w:hanging="360"/>
      </w:pPr>
    </w:lvl>
    <w:lvl w:ilvl="8" w:tplc="04090005" w:tentative="1">
      <w:start w:val="1"/>
      <w:numFmt w:val="lowerRoman"/>
      <w:lvlText w:val="%9."/>
      <w:lvlJc w:val="right"/>
      <w:pPr>
        <w:tabs>
          <w:tab w:val="num" w:pos="6540"/>
        </w:tabs>
        <w:ind w:left="6540" w:hanging="180"/>
      </w:pPr>
    </w:lvl>
  </w:abstractNum>
  <w:abstractNum w:abstractNumId="5" w15:restartNumberingAfterBreak="0">
    <w:nsid w:val="0F5B45FB"/>
    <w:multiLevelType w:val="hybridMultilevel"/>
    <w:tmpl w:val="012E8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85A3A"/>
    <w:multiLevelType w:val="multilevel"/>
    <w:tmpl w:val="2E5E474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61CED"/>
    <w:multiLevelType w:val="hybridMultilevel"/>
    <w:tmpl w:val="371A7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B31FA1"/>
    <w:multiLevelType w:val="hybridMultilevel"/>
    <w:tmpl w:val="317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5DCB"/>
    <w:multiLevelType w:val="hybridMultilevel"/>
    <w:tmpl w:val="5DBA353E"/>
    <w:lvl w:ilvl="0" w:tplc="04090001">
      <w:start w:val="3"/>
      <w:numFmt w:val="lowerLetter"/>
      <w:lvlText w:val="%1."/>
      <w:lvlJc w:val="left"/>
      <w:pPr>
        <w:tabs>
          <w:tab w:val="num" w:pos="360"/>
        </w:tabs>
        <w:ind w:left="360" w:hanging="360"/>
      </w:pPr>
      <w:rPr>
        <w:rFonts w:hint="default"/>
        <w:b/>
      </w:rPr>
    </w:lvl>
    <w:lvl w:ilvl="1" w:tplc="04090003">
      <w:start w:val="1"/>
      <w:numFmt w:val="lowerLetter"/>
      <w:lvlText w:val="%2."/>
      <w:lvlJc w:val="left"/>
      <w:pPr>
        <w:tabs>
          <w:tab w:val="num" w:pos="1080"/>
        </w:tabs>
        <w:ind w:left="1080" w:hanging="360"/>
      </w:pPr>
      <w:rPr>
        <w:strike w:val="0"/>
      </w:r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0" w15:restartNumberingAfterBreak="0">
    <w:nsid w:val="1B554E60"/>
    <w:multiLevelType w:val="hybridMultilevel"/>
    <w:tmpl w:val="21869D4E"/>
    <w:lvl w:ilvl="0" w:tplc="79F638DA">
      <w:start w:val="1"/>
      <w:numFmt w:val="bullet"/>
      <w:lvlText w:val=""/>
      <w:lvlJc w:val="left"/>
      <w:pPr>
        <w:ind w:left="720" w:hanging="360"/>
      </w:pPr>
      <w:rPr>
        <w:rFonts w:ascii="Symbol" w:hAnsi="Symbol" w:hint="default"/>
      </w:rPr>
    </w:lvl>
    <w:lvl w:ilvl="1" w:tplc="DF76730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1" w15:restartNumberingAfterBreak="0">
    <w:nsid w:val="1E8A404F"/>
    <w:multiLevelType w:val="hybridMultilevel"/>
    <w:tmpl w:val="4F58361A"/>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D7312"/>
    <w:multiLevelType w:val="hybridMultilevel"/>
    <w:tmpl w:val="062282B2"/>
    <w:lvl w:ilvl="0" w:tplc="04090001">
      <w:start w:val="1"/>
      <w:numFmt w:val="lowerRoman"/>
      <w:lvlText w:val="%1."/>
      <w:lvlJc w:val="left"/>
      <w:pPr>
        <w:ind w:left="1440" w:hanging="720"/>
      </w:pPr>
      <w:rPr>
        <w:rFonts w:hint="default"/>
      </w:rPr>
    </w:lvl>
    <w:lvl w:ilvl="1" w:tplc="04090001"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23A41082"/>
    <w:multiLevelType w:val="hybridMultilevel"/>
    <w:tmpl w:val="9C201BDC"/>
    <w:lvl w:ilvl="0" w:tplc="04090003">
      <w:start w:val="1"/>
      <w:numFmt w:val="lowerLetter"/>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4" w15:restartNumberingAfterBreak="0">
    <w:nsid w:val="24742C0D"/>
    <w:multiLevelType w:val="hybridMultilevel"/>
    <w:tmpl w:val="398E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508FC"/>
    <w:multiLevelType w:val="hybridMultilevel"/>
    <w:tmpl w:val="51FED0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A473EF"/>
    <w:multiLevelType w:val="hybridMultilevel"/>
    <w:tmpl w:val="10B8A9A4"/>
    <w:lvl w:ilvl="0" w:tplc="04090001">
      <w:start w:val="1"/>
      <w:numFmt w:val="none"/>
      <w:lvlText w:val="-"/>
      <w:lvlJc w:val="left"/>
      <w:pPr>
        <w:tabs>
          <w:tab w:val="num" w:pos="1980"/>
        </w:tabs>
        <w:ind w:left="1980" w:firstLine="90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none"/>
      <w:lvlText w:val="-"/>
      <w:lvlJc w:val="left"/>
      <w:pPr>
        <w:tabs>
          <w:tab w:val="num" w:pos="2340"/>
        </w:tabs>
        <w:ind w:left="2340" w:firstLine="900"/>
      </w:pPr>
      <w:rPr>
        <w:rFonts w:hint="default"/>
      </w:rPr>
    </w:lvl>
    <w:lvl w:ilvl="5" w:tplc="04090005">
      <w:start w:val="1"/>
      <w:numFmt w:val="bullet"/>
      <w:lvlText w:val=""/>
      <w:lvlJc w:val="left"/>
      <w:pPr>
        <w:tabs>
          <w:tab w:val="num" w:pos="4500"/>
        </w:tabs>
        <w:ind w:left="4500" w:hanging="360"/>
      </w:pPr>
      <w:rPr>
        <w:rFonts w:ascii="Symbol" w:hAnsi="Symbol" w:hint="default"/>
      </w:rPr>
    </w:lvl>
    <w:lvl w:ilvl="6" w:tplc="04090001">
      <w:start w:val="1"/>
      <w:numFmt w:val="none"/>
      <w:lvlText w:val="-"/>
      <w:lvlJc w:val="left"/>
      <w:pPr>
        <w:tabs>
          <w:tab w:val="num" w:pos="3780"/>
        </w:tabs>
        <w:ind w:left="3780" w:firstLine="900"/>
      </w:pPr>
      <w:rPr>
        <w:rFonts w:hint="default"/>
      </w:r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B546EA4"/>
    <w:multiLevelType w:val="hybridMultilevel"/>
    <w:tmpl w:val="576C4344"/>
    <w:lvl w:ilvl="0" w:tplc="0409000F">
      <w:start w:val="1"/>
      <w:numFmt w:val="decimal"/>
      <w:lvlText w:val="%1."/>
      <w:lvlJc w:val="left"/>
      <w:pPr>
        <w:ind w:left="1080" w:hanging="360"/>
      </w:pPr>
      <w:rPr>
        <w:rFont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2F19123F"/>
    <w:multiLevelType w:val="hybridMultilevel"/>
    <w:tmpl w:val="D59682A2"/>
    <w:lvl w:ilvl="0" w:tplc="61C08BB6">
      <w:start w:val="1"/>
      <w:numFmt w:val="decimal"/>
      <w:lvlText w:val="%1"/>
      <w:lvlJc w:val="left"/>
      <w:pPr>
        <w:tabs>
          <w:tab w:val="num" w:pos="720"/>
        </w:tabs>
        <w:ind w:left="720" w:hanging="360"/>
      </w:pPr>
      <w:rPr>
        <w:rFonts w:hint="default"/>
      </w:rPr>
    </w:lvl>
    <w:lvl w:ilvl="1" w:tplc="04090001">
      <w:start w:val="1"/>
      <w:numFmt w:val="lowerLetter"/>
      <w:lvlText w:val="%2."/>
      <w:lvlJc w:val="left"/>
      <w:pPr>
        <w:tabs>
          <w:tab w:val="num" w:pos="1440"/>
        </w:tabs>
        <w:ind w:left="1440" w:hanging="360"/>
      </w:pPr>
    </w:lvl>
    <w:lvl w:ilvl="2" w:tplc="61C08BB6"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61C08BB6" w:tentative="1">
      <w:start w:val="1"/>
      <w:numFmt w:val="lowerLetter"/>
      <w:lvlText w:val="%5."/>
      <w:lvlJc w:val="left"/>
      <w:pPr>
        <w:tabs>
          <w:tab w:val="num" w:pos="3600"/>
        </w:tabs>
        <w:ind w:left="3600" w:hanging="360"/>
      </w:pPr>
    </w:lvl>
    <w:lvl w:ilvl="5" w:tplc="04090001" w:tentative="1">
      <w:start w:val="1"/>
      <w:numFmt w:val="lowerRoman"/>
      <w:lvlText w:val="%6."/>
      <w:lvlJc w:val="right"/>
      <w:pPr>
        <w:tabs>
          <w:tab w:val="num" w:pos="4320"/>
        </w:tabs>
        <w:ind w:left="4320" w:hanging="180"/>
      </w:pPr>
    </w:lvl>
    <w:lvl w:ilvl="6" w:tplc="61C08BB6"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AA20E0"/>
    <w:multiLevelType w:val="hybridMultilevel"/>
    <w:tmpl w:val="B68E087E"/>
    <w:lvl w:ilvl="0" w:tplc="4BDA587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 w15:restartNumberingAfterBreak="0">
    <w:nsid w:val="31AC6246"/>
    <w:multiLevelType w:val="hybridMultilevel"/>
    <w:tmpl w:val="49F8FE3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F7B88"/>
    <w:multiLevelType w:val="hybridMultilevel"/>
    <w:tmpl w:val="922AE282"/>
    <w:lvl w:ilvl="0" w:tplc="C0DAE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05606D"/>
    <w:multiLevelType w:val="hybridMultilevel"/>
    <w:tmpl w:val="48462A7C"/>
    <w:lvl w:ilvl="0" w:tplc="04090001">
      <w:start w:val="1"/>
      <w:numFmt w:val="bullet"/>
      <w:lvlText w:val=""/>
      <w:lvlJc w:val="left"/>
      <w:pPr>
        <w:ind w:left="360" w:hanging="360"/>
      </w:pPr>
      <w:rPr>
        <w:rFonts w:ascii="Symbol" w:hAnsi="Symbol" w:hint="default"/>
      </w:rPr>
    </w:lvl>
    <w:lvl w:ilvl="1" w:tplc="04090001">
      <w:start w:val="1"/>
      <w:numFmt w:val="bullet"/>
      <w:lvlText w:val="o"/>
      <w:lvlJc w:val="left"/>
      <w:pPr>
        <w:ind w:left="1080" w:hanging="360"/>
      </w:pPr>
      <w:rPr>
        <w:rFonts w:ascii="Courier New" w:hAnsi="Courier New" w:cs="Courier New" w:hint="default"/>
        <w:strike w:val="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5F6272"/>
    <w:multiLevelType w:val="hybridMultilevel"/>
    <w:tmpl w:val="F8D4A8F6"/>
    <w:lvl w:ilvl="0" w:tplc="04090001">
      <w:start w:val="1"/>
      <w:numFmt w:val="bullet"/>
      <w:lvlText w:val=""/>
      <w:lvlJc w:val="left"/>
      <w:pPr>
        <w:ind w:left="360" w:hanging="360"/>
      </w:pPr>
      <w:rPr>
        <w:rFonts w:ascii="Symbol" w:hAnsi="Symbol" w:hint="default"/>
      </w:rPr>
    </w:lvl>
    <w:lvl w:ilvl="1" w:tplc="239CA02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7625CE"/>
    <w:multiLevelType w:val="hybridMultilevel"/>
    <w:tmpl w:val="37F8835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15:restartNumberingAfterBreak="0">
    <w:nsid w:val="40AA0CD1"/>
    <w:multiLevelType w:val="hybridMultilevel"/>
    <w:tmpl w:val="DDA23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5976E8"/>
    <w:multiLevelType w:val="hybridMultilevel"/>
    <w:tmpl w:val="803AB5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F0B91"/>
    <w:multiLevelType w:val="hybridMultilevel"/>
    <w:tmpl w:val="F8A80082"/>
    <w:lvl w:ilvl="0" w:tplc="04090001">
      <w:start w:val="1"/>
      <w:numFmt w:val="bullet"/>
      <w:lvlText w:val=""/>
      <w:lvlJc w:val="left"/>
      <w:pPr>
        <w:ind w:left="810" w:hanging="360"/>
      </w:pPr>
      <w:rPr>
        <w:rFonts w:ascii="Symbol" w:hAnsi="Symbol" w:hint="default"/>
      </w:rPr>
    </w:lvl>
    <w:lvl w:ilvl="1" w:tplc="0409000B"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7177E7C"/>
    <w:multiLevelType w:val="hybridMultilevel"/>
    <w:tmpl w:val="6D8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254AA"/>
    <w:multiLevelType w:val="hybridMultilevel"/>
    <w:tmpl w:val="605A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9053FF"/>
    <w:multiLevelType w:val="hybridMultilevel"/>
    <w:tmpl w:val="3E6C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FD2502"/>
    <w:multiLevelType w:val="hybridMultilevel"/>
    <w:tmpl w:val="576C4344"/>
    <w:lvl w:ilvl="0" w:tplc="0409000F">
      <w:start w:val="1"/>
      <w:numFmt w:val="decimal"/>
      <w:lvlText w:val="%1."/>
      <w:lvlJc w:val="left"/>
      <w:pPr>
        <w:ind w:left="1080" w:hanging="360"/>
      </w:pPr>
      <w:rPr>
        <w:rFonts w:hint="default"/>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2" w15:restartNumberingAfterBreak="0">
    <w:nsid w:val="52775BBE"/>
    <w:multiLevelType w:val="hybridMultilevel"/>
    <w:tmpl w:val="9F9A802E"/>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533276C5"/>
    <w:multiLevelType w:val="hybridMultilevel"/>
    <w:tmpl w:val="5D200C06"/>
    <w:lvl w:ilvl="0" w:tplc="84B0FCB0">
      <w:start w:val="1"/>
      <w:numFmt w:val="bullet"/>
      <w:lvlText w:val=""/>
      <w:lvlJc w:val="left"/>
      <w:pPr>
        <w:tabs>
          <w:tab w:val="num" w:pos="720"/>
        </w:tabs>
        <w:ind w:left="720" w:hanging="360"/>
      </w:pPr>
      <w:rPr>
        <w:rFonts w:ascii="Symbol" w:hAnsi="Symbol" w:hint="default"/>
        <w:sz w:val="20"/>
        <w:szCs w:val="22"/>
      </w:rPr>
    </w:lvl>
    <w:lvl w:ilvl="1" w:tplc="A4CA579E">
      <w:start w:val="1"/>
      <w:numFmt w:val="bullet"/>
      <w:lvlText w:val="o"/>
      <w:lvlJc w:val="left"/>
      <w:pPr>
        <w:tabs>
          <w:tab w:val="num" w:pos="1440"/>
        </w:tabs>
        <w:ind w:left="1440" w:hanging="360"/>
      </w:pPr>
      <w:rPr>
        <w:rFonts w:ascii="Courier New" w:hAnsi="Courier New" w:hint="default"/>
        <w:sz w:val="20"/>
      </w:rPr>
    </w:lvl>
    <w:lvl w:ilvl="2" w:tplc="AD1A63C2">
      <w:start w:val="1"/>
      <w:numFmt w:val="bullet"/>
      <w:lvlText w:val=""/>
      <w:lvlJc w:val="left"/>
      <w:pPr>
        <w:tabs>
          <w:tab w:val="num" w:pos="2160"/>
        </w:tabs>
        <w:ind w:left="2160" w:hanging="360"/>
      </w:pPr>
      <w:rPr>
        <w:rFonts w:ascii="Wingdings" w:hAnsi="Wingdings" w:hint="default"/>
        <w:sz w:val="20"/>
      </w:rPr>
    </w:lvl>
    <w:lvl w:ilvl="3" w:tplc="99A49B8C" w:tentative="1">
      <w:start w:val="1"/>
      <w:numFmt w:val="bullet"/>
      <w:lvlText w:val=""/>
      <w:lvlJc w:val="left"/>
      <w:pPr>
        <w:tabs>
          <w:tab w:val="num" w:pos="2880"/>
        </w:tabs>
        <w:ind w:left="2880" w:hanging="360"/>
      </w:pPr>
      <w:rPr>
        <w:rFonts w:ascii="Wingdings" w:hAnsi="Wingdings" w:hint="default"/>
        <w:sz w:val="20"/>
      </w:rPr>
    </w:lvl>
    <w:lvl w:ilvl="4" w:tplc="E71A7E74" w:tentative="1">
      <w:start w:val="1"/>
      <w:numFmt w:val="bullet"/>
      <w:lvlText w:val=""/>
      <w:lvlJc w:val="left"/>
      <w:pPr>
        <w:tabs>
          <w:tab w:val="num" w:pos="3600"/>
        </w:tabs>
        <w:ind w:left="3600" w:hanging="360"/>
      </w:pPr>
      <w:rPr>
        <w:rFonts w:ascii="Wingdings" w:hAnsi="Wingdings" w:hint="default"/>
        <w:sz w:val="20"/>
      </w:rPr>
    </w:lvl>
    <w:lvl w:ilvl="5" w:tplc="CD7E19C4" w:tentative="1">
      <w:start w:val="1"/>
      <w:numFmt w:val="bullet"/>
      <w:lvlText w:val=""/>
      <w:lvlJc w:val="left"/>
      <w:pPr>
        <w:tabs>
          <w:tab w:val="num" w:pos="4320"/>
        </w:tabs>
        <w:ind w:left="4320" w:hanging="360"/>
      </w:pPr>
      <w:rPr>
        <w:rFonts w:ascii="Wingdings" w:hAnsi="Wingdings" w:hint="default"/>
        <w:sz w:val="20"/>
      </w:rPr>
    </w:lvl>
    <w:lvl w:ilvl="6" w:tplc="B2C0EB7E" w:tentative="1">
      <w:start w:val="1"/>
      <w:numFmt w:val="bullet"/>
      <w:lvlText w:val=""/>
      <w:lvlJc w:val="left"/>
      <w:pPr>
        <w:tabs>
          <w:tab w:val="num" w:pos="5040"/>
        </w:tabs>
        <w:ind w:left="5040" w:hanging="360"/>
      </w:pPr>
      <w:rPr>
        <w:rFonts w:ascii="Wingdings" w:hAnsi="Wingdings" w:hint="default"/>
        <w:sz w:val="20"/>
      </w:rPr>
    </w:lvl>
    <w:lvl w:ilvl="7" w:tplc="FCC230EE" w:tentative="1">
      <w:start w:val="1"/>
      <w:numFmt w:val="bullet"/>
      <w:lvlText w:val=""/>
      <w:lvlJc w:val="left"/>
      <w:pPr>
        <w:tabs>
          <w:tab w:val="num" w:pos="5760"/>
        </w:tabs>
        <w:ind w:left="5760" w:hanging="360"/>
      </w:pPr>
      <w:rPr>
        <w:rFonts w:ascii="Wingdings" w:hAnsi="Wingdings" w:hint="default"/>
        <w:sz w:val="20"/>
      </w:rPr>
    </w:lvl>
    <w:lvl w:ilvl="8" w:tplc="6F8CB7C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617A7A"/>
    <w:multiLevelType w:val="hybridMultilevel"/>
    <w:tmpl w:val="EB8E522E"/>
    <w:lvl w:ilvl="0" w:tplc="18FC0138">
      <w:start w:val="1"/>
      <w:numFmt w:val="bullet"/>
      <w:lvlText w:val=""/>
      <w:lvlJc w:val="left"/>
      <w:pPr>
        <w:ind w:left="720" w:hanging="360"/>
      </w:pPr>
      <w:rPr>
        <w:rFonts w:ascii="Symbol" w:hAnsi="Symbol" w:hint="default"/>
      </w:rPr>
    </w:lvl>
    <w:lvl w:ilvl="1" w:tplc="235E456A">
      <w:start w:val="1"/>
      <w:numFmt w:val="bullet"/>
      <w:lvlText w:val="o"/>
      <w:lvlJc w:val="left"/>
      <w:pPr>
        <w:ind w:left="1440" w:hanging="360"/>
      </w:pPr>
      <w:rPr>
        <w:rFonts w:ascii="Courier New" w:hAnsi="Courier New" w:cs="Courier New" w:hint="default"/>
      </w:rPr>
    </w:lvl>
    <w:lvl w:ilvl="2" w:tplc="5F98DF5E">
      <w:start w:val="1"/>
      <w:numFmt w:val="bullet"/>
      <w:lvlText w:val=""/>
      <w:lvlJc w:val="left"/>
      <w:pPr>
        <w:ind w:left="2160" w:hanging="360"/>
      </w:pPr>
      <w:rPr>
        <w:rFonts w:ascii="Wingdings" w:hAnsi="Wingdings" w:hint="default"/>
      </w:rPr>
    </w:lvl>
    <w:lvl w:ilvl="3" w:tplc="9E9C6A8E">
      <w:start w:val="1"/>
      <w:numFmt w:val="bullet"/>
      <w:lvlText w:val=""/>
      <w:lvlJc w:val="left"/>
      <w:pPr>
        <w:ind w:left="2880" w:hanging="360"/>
      </w:pPr>
      <w:rPr>
        <w:rFonts w:ascii="Symbol" w:hAnsi="Symbol" w:hint="default"/>
      </w:rPr>
    </w:lvl>
    <w:lvl w:ilvl="4" w:tplc="464C5B32" w:tentative="1">
      <w:start w:val="1"/>
      <w:numFmt w:val="bullet"/>
      <w:lvlText w:val="o"/>
      <w:lvlJc w:val="left"/>
      <w:pPr>
        <w:ind w:left="3600" w:hanging="360"/>
      </w:pPr>
      <w:rPr>
        <w:rFonts w:ascii="Courier New" w:hAnsi="Courier New" w:cs="Courier New" w:hint="default"/>
      </w:rPr>
    </w:lvl>
    <w:lvl w:ilvl="5" w:tplc="EE8AB2B6" w:tentative="1">
      <w:start w:val="1"/>
      <w:numFmt w:val="bullet"/>
      <w:lvlText w:val=""/>
      <w:lvlJc w:val="left"/>
      <w:pPr>
        <w:ind w:left="4320" w:hanging="360"/>
      </w:pPr>
      <w:rPr>
        <w:rFonts w:ascii="Wingdings" w:hAnsi="Wingdings" w:hint="default"/>
      </w:rPr>
    </w:lvl>
    <w:lvl w:ilvl="6" w:tplc="962CBB24" w:tentative="1">
      <w:start w:val="1"/>
      <w:numFmt w:val="bullet"/>
      <w:lvlText w:val=""/>
      <w:lvlJc w:val="left"/>
      <w:pPr>
        <w:ind w:left="5040" w:hanging="360"/>
      </w:pPr>
      <w:rPr>
        <w:rFonts w:ascii="Symbol" w:hAnsi="Symbol" w:hint="default"/>
      </w:rPr>
    </w:lvl>
    <w:lvl w:ilvl="7" w:tplc="F1DE84F0" w:tentative="1">
      <w:start w:val="1"/>
      <w:numFmt w:val="bullet"/>
      <w:lvlText w:val="o"/>
      <w:lvlJc w:val="left"/>
      <w:pPr>
        <w:ind w:left="5760" w:hanging="360"/>
      </w:pPr>
      <w:rPr>
        <w:rFonts w:ascii="Courier New" w:hAnsi="Courier New" w:cs="Courier New" w:hint="default"/>
      </w:rPr>
    </w:lvl>
    <w:lvl w:ilvl="8" w:tplc="655272BE" w:tentative="1">
      <w:start w:val="1"/>
      <w:numFmt w:val="bullet"/>
      <w:lvlText w:val=""/>
      <w:lvlJc w:val="left"/>
      <w:pPr>
        <w:ind w:left="6480" w:hanging="360"/>
      </w:pPr>
      <w:rPr>
        <w:rFonts w:ascii="Wingdings" w:hAnsi="Wingdings" w:hint="default"/>
      </w:rPr>
    </w:lvl>
  </w:abstractNum>
  <w:abstractNum w:abstractNumId="35" w15:restartNumberingAfterBreak="0">
    <w:nsid w:val="543D79A7"/>
    <w:multiLevelType w:val="hybridMultilevel"/>
    <w:tmpl w:val="A72A6D3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15:restartNumberingAfterBreak="0">
    <w:nsid w:val="555144BC"/>
    <w:multiLevelType w:val="hybridMultilevel"/>
    <w:tmpl w:val="BAE8D1C0"/>
    <w:lvl w:ilvl="0" w:tplc="0409000F">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5867C9"/>
    <w:multiLevelType w:val="hybridMultilevel"/>
    <w:tmpl w:val="A386ECB6"/>
    <w:lvl w:ilvl="0" w:tplc="61C08BB6">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8" w15:restartNumberingAfterBreak="0">
    <w:nsid w:val="640C6CDA"/>
    <w:multiLevelType w:val="hybridMultilevel"/>
    <w:tmpl w:val="6786EA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47A79C9"/>
    <w:multiLevelType w:val="hybridMultilevel"/>
    <w:tmpl w:val="0824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0F34D4"/>
    <w:multiLevelType w:val="hybridMultilevel"/>
    <w:tmpl w:val="D03AD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33811"/>
    <w:multiLevelType w:val="hybridMultilevel"/>
    <w:tmpl w:val="5ACA7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A97BBE"/>
    <w:multiLevelType w:val="hybridMultilevel"/>
    <w:tmpl w:val="D9AA0772"/>
    <w:lvl w:ilvl="0" w:tplc="04090001">
      <w:start w:val="1"/>
      <w:numFmt w:val="bullet"/>
      <w:lvlText w:val="•"/>
      <w:lvlJc w:val="left"/>
      <w:pPr>
        <w:tabs>
          <w:tab w:val="num" w:pos="720"/>
        </w:tabs>
        <w:ind w:left="720" w:hanging="360"/>
      </w:pPr>
      <w:rPr>
        <w:rFonts w:ascii="Times New Roman" w:hAnsi="Times New Roman" w:hint="default"/>
      </w:rPr>
    </w:lvl>
    <w:lvl w:ilvl="1" w:tplc="04090003">
      <w:start w:val="1321"/>
      <w:numFmt w:val="bullet"/>
      <w:lvlText w:val="–"/>
      <w:lvlJc w:val="left"/>
      <w:pPr>
        <w:tabs>
          <w:tab w:val="num" w:pos="1440"/>
        </w:tabs>
        <w:ind w:left="1440" w:hanging="360"/>
      </w:pPr>
      <w:rPr>
        <w:rFonts w:ascii="Times New Roman" w:hAnsi="Times New Roman" w:hint="default"/>
      </w:rPr>
    </w:lvl>
    <w:lvl w:ilvl="2" w:tplc="04090005">
      <w:start w:val="1321"/>
      <w:numFmt w:val="bullet"/>
      <w:lvlText w:val="•"/>
      <w:lvlJc w:val="left"/>
      <w:pPr>
        <w:tabs>
          <w:tab w:val="num" w:pos="2160"/>
        </w:tabs>
        <w:ind w:left="2160" w:hanging="360"/>
      </w:pPr>
      <w:rPr>
        <w:rFonts w:ascii="Times New Roman" w:hAnsi="Times New Roman" w:hint="default"/>
      </w:rPr>
    </w:lvl>
    <w:lvl w:ilvl="3" w:tplc="04090001">
      <w:start w:val="132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8D73EBF"/>
    <w:multiLevelType w:val="hybridMultilevel"/>
    <w:tmpl w:val="C1F8BECC"/>
    <w:lvl w:ilvl="0" w:tplc="D93EB896">
      <w:start w:val="1"/>
      <w:numFmt w:val="bullet"/>
      <w:lvlText w:val=""/>
      <w:lvlJc w:val="left"/>
      <w:pPr>
        <w:ind w:left="720" w:hanging="360"/>
      </w:pPr>
      <w:rPr>
        <w:rFonts w:ascii="Symbol" w:hAnsi="Symbol" w:hint="default"/>
      </w:rPr>
    </w:lvl>
    <w:lvl w:ilvl="1" w:tplc="E9945F0C" w:tentative="1">
      <w:start w:val="1"/>
      <w:numFmt w:val="bullet"/>
      <w:lvlText w:val="o"/>
      <w:lvlJc w:val="left"/>
      <w:pPr>
        <w:ind w:left="1440" w:hanging="360"/>
      </w:pPr>
      <w:rPr>
        <w:rFonts w:ascii="Courier New" w:hAnsi="Courier New" w:cs="Courier New" w:hint="default"/>
      </w:rPr>
    </w:lvl>
    <w:lvl w:ilvl="2" w:tplc="DF14C000" w:tentative="1">
      <w:start w:val="1"/>
      <w:numFmt w:val="bullet"/>
      <w:lvlText w:val=""/>
      <w:lvlJc w:val="left"/>
      <w:pPr>
        <w:ind w:left="2160" w:hanging="360"/>
      </w:pPr>
      <w:rPr>
        <w:rFonts w:ascii="Wingdings" w:hAnsi="Wingdings" w:hint="default"/>
      </w:rPr>
    </w:lvl>
    <w:lvl w:ilvl="3" w:tplc="4FD04B90" w:tentative="1">
      <w:start w:val="1"/>
      <w:numFmt w:val="bullet"/>
      <w:lvlText w:val=""/>
      <w:lvlJc w:val="left"/>
      <w:pPr>
        <w:ind w:left="2880" w:hanging="360"/>
      </w:pPr>
      <w:rPr>
        <w:rFonts w:ascii="Symbol" w:hAnsi="Symbol" w:hint="default"/>
      </w:rPr>
    </w:lvl>
    <w:lvl w:ilvl="4" w:tplc="44C462E6" w:tentative="1">
      <w:start w:val="1"/>
      <w:numFmt w:val="bullet"/>
      <w:lvlText w:val="o"/>
      <w:lvlJc w:val="left"/>
      <w:pPr>
        <w:ind w:left="3600" w:hanging="360"/>
      </w:pPr>
      <w:rPr>
        <w:rFonts w:ascii="Courier New" w:hAnsi="Courier New" w:cs="Courier New" w:hint="default"/>
      </w:rPr>
    </w:lvl>
    <w:lvl w:ilvl="5" w:tplc="66648836" w:tentative="1">
      <w:start w:val="1"/>
      <w:numFmt w:val="bullet"/>
      <w:lvlText w:val=""/>
      <w:lvlJc w:val="left"/>
      <w:pPr>
        <w:ind w:left="4320" w:hanging="360"/>
      </w:pPr>
      <w:rPr>
        <w:rFonts w:ascii="Wingdings" w:hAnsi="Wingdings" w:hint="default"/>
      </w:rPr>
    </w:lvl>
    <w:lvl w:ilvl="6" w:tplc="239C8CBE" w:tentative="1">
      <w:start w:val="1"/>
      <w:numFmt w:val="bullet"/>
      <w:lvlText w:val=""/>
      <w:lvlJc w:val="left"/>
      <w:pPr>
        <w:ind w:left="5040" w:hanging="360"/>
      </w:pPr>
      <w:rPr>
        <w:rFonts w:ascii="Symbol" w:hAnsi="Symbol" w:hint="default"/>
      </w:rPr>
    </w:lvl>
    <w:lvl w:ilvl="7" w:tplc="B8DC4DE2" w:tentative="1">
      <w:start w:val="1"/>
      <w:numFmt w:val="bullet"/>
      <w:lvlText w:val="o"/>
      <w:lvlJc w:val="left"/>
      <w:pPr>
        <w:ind w:left="5760" w:hanging="360"/>
      </w:pPr>
      <w:rPr>
        <w:rFonts w:ascii="Courier New" w:hAnsi="Courier New" w:cs="Courier New" w:hint="default"/>
      </w:rPr>
    </w:lvl>
    <w:lvl w:ilvl="8" w:tplc="5B6EFC5E" w:tentative="1">
      <w:start w:val="1"/>
      <w:numFmt w:val="bullet"/>
      <w:lvlText w:val=""/>
      <w:lvlJc w:val="left"/>
      <w:pPr>
        <w:ind w:left="6480" w:hanging="360"/>
      </w:pPr>
      <w:rPr>
        <w:rFonts w:ascii="Wingdings" w:hAnsi="Wingdings" w:hint="default"/>
      </w:rPr>
    </w:lvl>
  </w:abstractNum>
  <w:abstractNum w:abstractNumId="44" w15:restartNumberingAfterBreak="0">
    <w:nsid w:val="6A2C5A97"/>
    <w:multiLevelType w:val="hybridMultilevel"/>
    <w:tmpl w:val="5ED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5036E8"/>
    <w:multiLevelType w:val="hybridMultilevel"/>
    <w:tmpl w:val="27A2FD6A"/>
    <w:lvl w:ilvl="0" w:tplc="54E8D88E">
      <w:start w:val="1"/>
      <w:numFmt w:val="bullet"/>
      <w:lvlText w:val=""/>
      <w:lvlJc w:val="left"/>
      <w:pPr>
        <w:tabs>
          <w:tab w:val="num" w:pos="0"/>
        </w:tabs>
        <w:ind w:left="0" w:hanging="360"/>
      </w:pPr>
      <w:rPr>
        <w:rFonts w:ascii="Symbol" w:hAnsi="Symbol" w:hint="default"/>
        <w:sz w:val="20"/>
      </w:rPr>
    </w:lvl>
    <w:lvl w:ilvl="1" w:tplc="655E5670">
      <w:start w:val="1"/>
      <w:numFmt w:val="bullet"/>
      <w:lvlText w:val="o"/>
      <w:lvlJc w:val="left"/>
      <w:pPr>
        <w:tabs>
          <w:tab w:val="num" w:pos="720"/>
        </w:tabs>
        <w:ind w:left="720" w:hanging="360"/>
      </w:pPr>
      <w:rPr>
        <w:rFonts w:ascii="Courier New" w:hAnsi="Courier New" w:hint="default"/>
        <w:sz w:val="20"/>
      </w:rPr>
    </w:lvl>
    <w:lvl w:ilvl="2" w:tplc="6D0CC6C8">
      <w:start w:val="1"/>
      <w:numFmt w:val="bullet"/>
      <w:lvlText w:val=""/>
      <w:lvlJc w:val="left"/>
      <w:pPr>
        <w:tabs>
          <w:tab w:val="num" w:pos="1440"/>
        </w:tabs>
        <w:ind w:left="1440" w:hanging="360"/>
      </w:pPr>
      <w:rPr>
        <w:rFonts w:ascii="Wingdings" w:hAnsi="Wingdings" w:hint="default"/>
        <w:sz w:val="20"/>
      </w:rPr>
    </w:lvl>
    <w:lvl w:ilvl="3" w:tplc="596255F0">
      <w:start w:val="1"/>
      <w:numFmt w:val="bullet"/>
      <w:lvlText w:val=""/>
      <w:lvlJc w:val="left"/>
      <w:pPr>
        <w:tabs>
          <w:tab w:val="num" w:pos="2160"/>
        </w:tabs>
        <w:ind w:left="2160" w:hanging="360"/>
      </w:pPr>
      <w:rPr>
        <w:rFonts w:ascii="Wingdings" w:hAnsi="Wingdings" w:hint="default"/>
        <w:sz w:val="20"/>
      </w:rPr>
    </w:lvl>
    <w:lvl w:ilvl="4" w:tplc="4044007A">
      <w:start w:val="1"/>
      <w:numFmt w:val="bullet"/>
      <w:lvlText w:val=""/>
      <w:lvlJc w:val="left"/>
      <w:pPr>
        <w:tabs>
          <w:tab w:val="num" w:pos="2880"/>
        </w:tabs>
        <w:ind w:left="2880" w:hanging="360"/>
      </w:pPr>
      <w:rPr>
        <w:rFonts w:ascii="Wingdings" w:hAnsi="Wingdings" w:hint="default"/>
        <w:sz w:val="20"/>
      </w:rPr>
    </w:lvl>
    <w:lvl w:ilvl="5" w:tplc="A6F8F918">
      <w:start w:val="1"/>
      <w:numFmt w:val="bullet"/>
      <w:lvlText w:val=""/>
      <w:lvlJc w:val="left"/>
      <w:pPr>
        <w:tabs>
          <w:tab w:val="num" w:pos="3600"/>
        </w:tabs>
        <w:ind w:left="3600" w:hanging="360"/>
      </w:pPr>
      <w:rPr>
        <w:rFonts w:ascii="Wingdings" w:hAnsi="Wingdings" w:hint="default"/>
        <w:sz w:val="20"/>
      </w:rPr>
    </w:lvl>
    <w:lvl w:ilvl="6" w:tplc="D49864AE">
      <w:start w:val="1"/>
      <w:numFmt w:val="bullet"/>
      <w:lvlText w:val=""/>
      <w:lvlJc w:val="left"/>
      <w:pPr>
        <w:tabs>
          <w:tab w:val="num" w:pos="4320"/>
        </w:tabs>
        <w:ind w:left="4320" w:hanging="360"/>
      </w:pPr>
      <w:rPr>
        <w:rFonts w:ascii="Wingdings" w:hAnsi="Wingdings" w:hint="default"/>
        <w:sz w:val="20"/>
      </w:rPr>
    </w:lvl>
    <w:lvl w:ilvl="7" w:tplc="CA1E5BC6" w:tentative="1">
      <w:start w:val="1"/>
      <w:numFmt w:val="bullet"/>
      <w:lvlText w:val=""/>
      <w:lvlJc w:val="left"/>
      <w:pPr>
        <w:tabs>
          <w:tab w:val="num" w:pos="5040"/>
        </w:tabs>
        <w:ind w:left="5040" w:hanging="360"/>
      </w:pPr>
      <w:rPr>
        <w:rFonts w:ascii="Wingdings" w:hAnsi="Wingdings" w:hint="default"/>
        <w:sz w:val="20"/>
      </w:rPr>
    </w:lvl>
    <w:lvl w:ilvl="8" w:tplc="1FA45000" w:tentative="1">
      <w:start w:val="1"/>
      <w:numFmt w:val="bullet"/>
      <w:lvlText w:val=""/>
      <w:lvlJc w:val="left"/>
      <w:pPr>
        <w:tabs>
          <w:tab w:val="num" w:pos="5760"/>
        </w:tabs>
        <w:ind w:left="5760" w:hanging="360"/>
      </w:pPr>
      <w:rPr>
        <w:rFonts w:ascii="Wingdings" w:hAnsi="Wingdings" w:hint="default"/>
        <w:sz w:val="20"/>
      </w:rPr>
    </w:lvl>
  </w:abstractNum>
  <w:abstractNum w:abstractNumId="46" w15:restartNumberingAfterBreak="0">
    <w:nsid w:val="6C5F4DF3"/>
    <w:multiLevelType w:val="hybridMultilevel"/>
    <w:tmpl w:val="7312FC24"/>
    <w:lvl w:ilvl="0" w:tplc="2EB077DC">
      <w:start w:val="1"/>
      <w:numFmt w:val="bullet"/>
      <w:lvlText w:val=""/>
      <w:lvlJc w:val="left"/>
      <w:pPr>
        <w:ind w:left="360" w:hanging="360"/>
      </w:pPr>
      <w:rPr>
        <w:rFonts w:ascii="Symbol" w:hAnsi="Symbol" w:hint="default"/>
      </w:rPr>
    </w:lvl>
    <w:lvl w:ilvl="1" w:tplc="8D3E281E">
      <w:start w:val="1"/>
      <w:numFmt w:val="bullet"/>
      <w:lvlText w:val="o"/>
      <w:lvlJc w:val="left"/>
      <w:pPr>
        <w:ind w:left="1080" w:hanging="360"/>
      </w:pPr>
      <w:rPr>
        <w:rFonts w:ascii="Courier New" w:hAnsi="Courier New" w:cs="Courier New" w:hint="default"/>
      </w:rPr>
    </w:lvl>
    <w:lvl w:ilvl="2" w:tplc="79728D54">
      <w:start w:val="1"/>
      <w:numFmt w:val="bullet"/>
      <w:lvlText w:val=""/>
      <w:lvlJc w:val="left"/>
      <w:pPr>
        <w:ind w:left="1800" w:hanging="360"/>
      </w:pPr>
      <w:rPr>
        <w:rFonts w:ascii="Wingdings" w:hAnsi="Wingdings" w:hint="default"/>
      </w:rPr>
    </w:lvl>
    <w:lvl w:ilvl="3" w:tplc="511C2FB0" w:tentative="1">
      <w:start w:val="1"/>
      <w:numFmt w:val="bullet"/>
      <w:lvlText w:val=""/>
      <w:lvlJc w:val="left"/>
      <w:pPr>
        <w:ind w:left="2520" w:hanging="360"/>
      </w:pPr>
      <w:rPr>
        <w:rFonts w:ascii="Symbol" w:hAnsi="Symbol" w:hint="default"/>
      </w:rPr>
    </w:lvl>
    <w:lvl w:ilvl="4" w:tplc="021EA206" w:tentative="1">
      <w:start w:val="1"/>
      <w:numFmt w:val="bullet"/>
      <w:lvlText w:val="o"/>
      <w:lvlJc w:val="left"/>
      <w:pPr>
        <w:ind w:left="3240" w:hanging="360"/>
      </w:pPr>
      <w:rPr>
        <w:rFonts w:ascii="Courier New" w:hAnsi="Courier New" w:cs="Courier New" w:hint="default"/>
      </w:rPr>
    </w:lvl>
    <w:lvl w:ilvl="5" w:tplc="595A3A56" w:tentative="1">
      <w:start w:val="1"/>
      <w:numFmt w:val="bullet"/>
      <w:lvlText w:val=""/>
      <w:lvlJc w:val="left"/>
      <w:pPr>
        <w:ind w:left="3960" w:hanging="360"/>
      </w:pPr>
      <w:rPr>
        <w:rFonts w:ascii="Wingdings" w:hAnsi="Wingdings" w:hint="default"/>
      </w:rPr>
    </w:lvl>
    <w:lvl w:ilvl="6" w:tplc="55783EEC" w:tentative="1">
      <w:start w:val="1"/>
      <w:numFmt w:val="bullet"/>
      <w:lvlText w:val=""/>
      <w:lvlJc w:val="left"/>
      <w:pPr>
        <w:ind w:left="4680" w:hanging="360"/>
      </w:pPr>
      <w:rPr>
        <w:rFonts w:ascii="Symbol" w:hAnsi="Symbol" w:hint="default"/>
      </w:rPr>
    </w:lvl>
    <w:lvl w:ilvl="7" w:tplc="441EB020" w:tentative="1">
      <w:start w:val="1"/>
      <w:numFmt w:val="bullet"/>
      <w:lvlText w:val="o"/>
      <w:lvlJc w:val="left"/>
      <w:pPr>
        <w:ind w:left="5400" w:hanging="360"/>
      </w:pPr>
      <w:rPr>
        <w:rFonts w:ascii="Courier New" w:hAnsi="Courier New" w:cs="Courier New" w:hint="default"/>
      </w:rPr>
    </w:lvl>
    <w:lvl w:ilvl="8" w:tplc="4BF45236" w:tentative="1">
      <w:start w:val="1"/>
      <w:numFmt w:val="bullet"/>
      <w:lvlText w:val=""/>
      <w:lvlJc w:val="left"/>
      <w:pPr>
        <w:ind w:left="6120" w:hanging="360"/>
      </w:pPr>
      <w:rPr>
        <w:rFonts w:ascii="Wingdings" w:hAnsi="Wingdings" w:hint="default"/>
      </w:rPr>
    </w:lvl>
  </w:abstractNum>
  <w:abstractNum w:abstractNumId="47" w15:restartNumberingAfterBreak="0">
    <w:nsid w:val="74703591"/>
    <w:multiLevelType w:val="hybridMultilevel"/>
    <w:tmpl w:val="B9102622"/>
    <w:lvl w:ilvl="0" w:tplc="04090001">
      <w:start w:val="1"/>
      <w:numFmt w:val="none"/>
      <w:lvlText w:val="-"/>
      <w:lvlJc w:val="left"/>
      <w:pPr>
        <w:tabs>
          <w:tab w:val="num" w:pos="1980"/>
        </w:tabs>
        <w:ind w:left="1980" w:firstLine="90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15:restartNumberingAfterBreak="0">
    <w:nsid w:val="74DD09E3"/>
    <w:multiLevelType w:val="hybridMultilevel"/>
    <w:tmpl w:val="D284987C"/>
    <w:lvl w:ilvl="0" w:tplc="61C08BB6">
      <w:start w:val="1"/>
      <w:numFmt w:val="bulle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49" w15:restartNumberingAfterBreak="0">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6AB5179"/>
    <w:multiLevelType w:val="hybridMultilevel"/>
    <w:tmpl w:val="4AC258CE"/>
    <w:lvl w:ilvl="0" w:tplc="2736B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42083F"/>
    <w:multiLevelType w:val="hybridMultilevel"/>
    <w:tmpl w:val="F24A93BC"/>
    <w:lvl w:ilvl="0" w:tplc="04090005">
      <w:start w:val="1"/>
      <w:numFmt w:val="bullet"/>
      <w:lvlText w:val=""/>
      <w:lvlJc w:val="left"/>
      <w:pPr>
        <w:ind w:left="720" w:hanging="360"/>
      </w:pPr>
      <w:rPr>
        <w:rFonts w:ascii="Symbol" w:hAnsi="Symbol" w:hint="default"/>
      </w:rPr>
    </w:lvl>
    <w:lvl w:ilvl="1" w:tplc="AEE07734">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920907">
    <w:abstractNumId w:val="33"/>
  </w:num>
  <w:num w:numId="2" w16cid:durableId="492835506">
    <w:abstractNumId w:val="9"/>
  </w:num>
  <w:num w:numId="3" w16cid:durableId="1865636392">
    <w:abstractNumId w:val="4"/>
  </w:num>
  <w:num w:numId="4" w16cid:durableId="15172304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1178756">
    <w:abstractNumId w:val="39"/>
  </w:num>
  <w:num w:numId="6" w16cid:durableId="1330332066">
    <w:abstractNumId w:val="14"/>
  </w:num>
  <w:num w:numId="7" w16cid:durableId="401562482">
    <w:abstractNumId w:val="27"/>
  </w:num>
  <w:num w:numId="8" w16cid:durableId="1886794424">
    <w:abstractNumId w:val="2"/>
  </w:num>
  <w:num w:numId="9" w16cid:durableId="2081781783">
    <w:abstractNumId w:val="34"/>
  </w:num>
  <w:num w:numId="10" w16cid:durableId="570503971">
    <w:abstractNumId w:val="51"/>
  </w:num>
  <w:num w:numId="11" w16cid:durableId="835653191">
    <w:abstractNumId w:val="1"/>
  </w:num>
  <w:num w:numId="12" w16cid:durableId="459228620">
    <w:abstractNumId w:val="30"/>
  </w:num>
  <w:num w:numId="13" w16cid:durableId="531503322">
    <w:abstractNumId w:val="24"/>
  </w:num>
  <w:num w:numId="14" w16cid:durableId="1761215013">
    <w:abstractNumId w:val="46"/>
  </w:num>
  <w:num w:numId="15" w16cid:durableId="1138032659">
    <w:abstractNumId w:val="23"/>
  </w:num>
  <w:num w:numId="16" w16cid:durableId="1508640794">
    <w:abstractNumId w:val="45"/>
  </w:num>
  <w:num w:numId="17" w16cid:durableId="58405255">
    <w:abstractNumId w:val="42"/>
  </w:num>
  <w:num w:numId="18" w16cid:durableId="61948436">
    <w:abstractNumId w:val="28"/>
  </w:num>
  <w:num w:numId="19" w16cid:durableId="1514649">
    <w:abstractNumId w:val="41"/>
  </w:num>
  <w:num w:numId="20" w16cid:durableId="1086456397">
    <w:abstractNumId w:val="8"/>
  </w:num>
  <w:num w:numId="21" w16cid:durableId="1672681312">
    <w:abstractNumId w:val="29"/>
  </w:num>
  <w:num w:numId="22" w16cid:durableId="797574106">
    <w:abstractNumId w:val="15"/>
  </w:num>
  <w:num w:numId="23" w16cid:durableId="797645428">
    <w:abstractNumId w:val="25"/>
  </w:num>
  <w:num w:numId="24" w16cid:durableId="375131850">
    <w:abstractNumId w:val="48"/>
  </w:num>
  <w:num w:numId="25" w16cid:durableId="1666085824">
    <w:abstractNumId w:val="35"/>
  </w:num>
  <w:num w:numId="26" w16cid:durableId="448479004">
    <w:abstractNumId w:val="49"/>
  </w:num>
  <w:num w:numId="27" w16cid:durableId="1365327648">
    <w:abstractNumId w:val="0"/>
  </w:num>
  <w:num w:numId="28" w16cid:durableId="1859536925">
    <w:abstractNumId w:val="32"/>
  </w:num>
  <w:num w:numId="29" w16cid:durableId="1387945556">
    <w:abstractNumId w:val="47"/>
  </w:num>
  <w:num w:numId="30" w16cid:durableId="1574192460">
    <w:abstractNumId w:val="36"/>
  </w:num>
  <w:num w:numId="31" w16cid:durableId="1943535662">
    <w:abstractNumId w:val="16"/>
  </w:num>
  <w:num w:numId="32" w16cid:durableId="1304773273">
    <w:abstractNumId w:val="22"/>
  </w:num>
  <w:num w:numId="33" w16cid:durableId="1354453716">
    <w:abstractNumId w:val="10"/>
  </w:num>
  <w:num w:numId="34" w16cid:durableId="558638626">
    <w:abstractNumId w:val="3"/>
  </w:num>
  <w:num w:numId="35" w16cid:durableId="351760888">
    <w:abstractNumId w:val="19"/>
  </w:num>
  <w:num w:numId="36" w16cid:durableId="718167429">
    <w:abstractNumId w:val="44"/>
  </w:num>
  <w:num w:numId="37" w16cid:durableId="1855728469">
    <w:abstractNumId w:val="43"/>
  </w:num>
  <w:num w:numId="38" w16cid:durableId="1561090557">
    <w:abstractNumId w:val="7"/>
  </w:num>
  <w:num w:numId="39" w16cid:durableId="2066639092">
    <w:abstractNumId w:val="11"/>
  </w:num>
  <w:num w:numId="40" w16cid:durableId="45879465">
    <w:abstractNumId w:val="26"/>
  </w:num>
  <w:num w:numId="41" w16cid:durableId="1941572007">
    <w:abstractNumId w:val="20"/>
  </w:num>
  <w:num w:numId="42" w16cid:durableId="1005593820">
    <w:abstractNumId w:val="12"/>
  </w:num>
  <w:num w:numId="43" w16cid:durableId="2056542414">
    <w:abstractNumId w:val="13"/>
  </w:num>
  <w:num w:numId="44" w16cid:durableId="1939945206">
    <w:abstractNumId w:val="17"/>
  </w:num>
  <w:num w:numId="45" w16cid:durableId="486434385">
    <w:abstractNumId w:val="31"/>
  </w:num>
  <w:num w:numId="46" w16cid:durableId="1089699013">
    <w:abstractNumId w:val="40"/>
  </w:num>
  <w:num w:numId="47" w16cid:durableId="1747922114">
    <w:abstractNumId w:val="5"/>
  </w:num>
  <w:num w:numId="48" w16cid:durableId="1123772295">
    <w:abstractNumId w:val="37"/>
  </w:num>
  <w:num w:numId="49" w16cid:durableId="1226136562">
    <w:abstractNumId w:val="50"/>
  </w:num>
  <w:num w:numId="50" w16cid:durableId="1921714349">
    <w:abstractNumId w:val="21"/>
  </w:num>
  <w:num w:numId="51" w16cid:durableId="547761148">
    <w:abstractNumId w:val="6"/>
  </w:num>
  <w:num w:numId="52" w16cid:durableId="122657429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0A"/>
    <w:rsid w:val="00000C14"/>
    <w:rsid w:val="00000D4C"/>
    <w:rsid w:val="00001164"/>
    <w:rsid w:val="00001374"/>
    <w:rsid w:val="00001496"/>
    <w:rsid w:val="000020F5"/>
    <w:rsid w:val="00002214"/>
    <w:rsid w:val="00002A6F"/>
    <w:rsid w:val="00002B69"/>
    <w:rsid w:val="00004152"/>
    <w:rsid w:val="00004456"/>
    <w:rsid w:val="000047B6"/>
    <w:rsid w:val="0000493E"/>
    <w:rsid w:val="0000505C"/>
    <w:rsid w:val="00005160"/>
    <w:rsid w:val="0000557D"/>
    <w:rsid w:val="00005814"/>
    <w:rsid w:val="00005A35"/>
    <w:rsid w:val="00005BFD"/>
    <w:rsid w:val="00005DFE"/>
    <w:rsid w:val="00006150"/>
    <w:rsid w:val="00006882"/>
    <w:rsid w:val="00006A54"/>
    <w:rsid w:val="00006BC8"/>
    <w:rsid w:val="00006F78"/>
    <w:rsid w:val="0000718B"/>
    <w:rsid w:val="00007AEC"/>
    <w:rsid w:val="00011A50"/>
    <w:rsid w:val="00011FA3"/>
    <w:rsid w:val="000121CE"/>
    <w:rsid w:val="00012D24"/>
    <w:rsid w:val="000134A4"/>
    <w:rsid w:val="00013670"/>
    <w:rsid w:val="00013848"/>
    <w:rsid w:val="000139E2"/>
    <w:rsid w:val="00013E48"/>
    <w:rsid w:val="00013EA4"/>
    <w:rsid w:val="000141AD"/>
    <w:rsid w:val="000150E1"/>
    <w:rsid w:val="00015187"/>
    <w:rsid w:val="0001519C"/>
    <w:rsid w:val="0001537A"/>
    <w:rsid w:val="0001599D"/>
    <w:rsid w:val="00015A4E"/>
    <w:rsid w:val="00015E32"/>
    <w:rsid w:val="000161DD"/>
    <w:rsid w:val="00016BC0"/>
    <w:rsid w:val="000173AE"/>
    <w:rsid w:val="00017CFC"/>
    <w:rsid w:val="00017FD2"/>
    <w:rsid w:val="000205D7"/>
    <w:rsid w:val="000212D9"/>
    <w:rsid w:val="00021309"/>
    <w:rsid w:val="0002133A"/>
    <w:rsid w:val="00021396"/>
    <w:rsid w:val="00021A40"/>
    <w:rsid w:val="000226DC"/>
    <w:rsid w:val="000226FB"/>
    <w:rsid w:val="000227B5"/>
    <w:rsid w:val="000228C3"/>
    <w:rsid w:val="00022C9D"/>
    <w:rsid w:val="000233D9"/>
    <w:rsid w:val="00023412"/>
    <w:rsid w:val="00023D2D"/>
    <w:rsid w:val="0002400C"/>
    <w:rsid w:val="0002429D"/>
    <w:rsid w:val="00024E27"/>
    <w:rsid w:val="000254B8"/>
    <w:rsid w:val="000259C5"/>
    <w:rsid w:val="000262EF"/>
    <w:rsid w:val="00026532"/>
    <w:rsid w:val="00026E37"/>
    <w:rsid w:val="00026EFA"/>
    <w:rsid w:val="00026FEA"/>
    <w:rsid w:val="000278DA"/>
    <w:rsid w:val="00027A03"/>
    <w:rsid w:val="00027A33"/>
    <w:rsid w:val="00027BDC"/>
    <w:rsid w:val="00030BFF"/>
    <w:rsid w:val="00030D7B"/>
    <w:rsid w:val="00030EC9"/>
    <w:rsid w:val="00030F13"/>
    <w:rsid w:val="00030F1C"/>
    <w:rsid w:val="000315FC"/>
    <w:rsid w:val="000318F3"/>
    <w:rsid w:val="00031EDC"/>
    <w:rsid w:val="0003204B"/>
    <w:rsid w:val="000321CD"/>
    <w:rsid w:val="00032A35"/>
    <w:rsid w:val="0003301E"/>
    <w:rsid w:val="00033057"/>
    <w:rsid w:val="000337E0"/>
    <w:rsid w:val="0003380F"/>
    <w:rsid w:val="00034142"/>
    <w:rsid w:val="000346B3"/>
    <w:rsid w:val="000346DF"/>
    <w:rsid w:val="00035C06"/>
    <w:rsid w:val="00036D21"/>
    <w:rsid w:val="000370D3"/>
    <w:rsid w:val="00037185"/>
    <w:rsid w:val="0003791F"/>
    <w:rsid w:val="00037C9D"/>
    <w:rsid w:val="00037EDB"/>
    <w:rsid w:val="00040026"/>
    <w:rsid w:val="00040497"/>
    <w:rsid w:val="0004054D"/>
    <w:rsid w:val="0004056E"/>
    <w:rsid w:val="00040886"/>
    <w:rsid w:val="00040AF9"/>
    <w:rsid w:val="000410EC"/>
    <w:rsid w:val="00041313"/>
    <w:rsid w:val="000413AE"/>
    <w:rsid w:val="00041851"/>
    <w:rsid w:val="00041BD1"/>
    <w:rsid w:val="00041D11"/>
    <w:rsid w:val="00041DDD"/>
    <w:rsid w:val="000423B4"/>
    <w:rsid w:val="00042797"/>
    <w:rsid w:val="00042AC5"/>
    <w:rsid w:val="00042D52"/>
    <w:rsid w:val="00042E14"/>
    <w:rsid w:val="00042F19"/>
    <w:rsid w:val="000432F6"/>
    <w:rsid w:val="0004334D"/>
    <w:rsid w:val="0004397F"/>
    <w:rsid w:val="000439C8"/>
    <w:rsid w:val="0004454B"/>
    <w:rsid w:val="00044889"/>
    <w:rsid w:val="0004488F"/>
    <w:rsid w:val="0004489D"/>
    <w:rsid w:val="000449E4"/>
    <w:rsid w:val="00044D1B"/>
    <w:rsid w:val="0004554C"/>
    <w:rsid w:val="00045BD1"/>
    <w:rsid w:val="00045D04"/>
    <w:rsid w:val="00045FD1"/>
    <w:rsid w:val="000460DC"/>
    <w:rsid w:val="00046776"/>
    <w:rsid w:val="000468BC"/>
    <w:rsid w:val="00046BB0"/>
    <w:rsid w:val="00046F3C"/>
    <w:rsid w:val="00047025"/>
    <w:rsid w:val="000479E2"/>
    <w:rsid w:val="00047BF7"/>
    <w:rsid w:val="0005006D"/>
    <w:rsid w:val="000502E5"/>
    <w:rsid w:val="000503F4"/>
    <w:rsid w:val="000507E0"/>
    <w:rsid w:val="00050FE8"/>
    <w:rsid w:val="000512D4"/>
    <w:rsid w:val="000517A1"/>
    <w:rsid w:val="000518F8"/>
    <w:rsid w:val="00051E4C"/>
    <w:rsid w:val="000524EF"/>
    <w:rsid w:val="0005251A"/>
    <w:rsid w:val="000526BD"/>
    <w:rsid w:val="000529F8"/>
    <w:rsid w:val="00052AF6"/>
    <w:rsid w:val="00052C1C"/>
    <w:rsid w:val="00052DF5"/>
    <w:rsid w:val="00052E1F"/>
    <w:rsid w:val="000531DC"/>
    <w:rsid w:val="000533BC"/>
    <w:rsid w:val="00053655"/>
    <w:rsid w:val="00053671"/>
    <w:rsid w:val="000536C7"/>
    <w:rsid w:val="00053791"/>
    <w:rsid w:val="00053899"/>
    <w:rsid w:val="00053A22"/>
    <w:rsid w:val="00053C3B"/>
    <w:rsid w:val="00053CC4"/>
    <w:rsid w:val="000542C0"/>
    <w:rsid w:val="0005471A"/>
    <w:rsid w:val="00054A92"/>
    <w:rsid w:val="00054B8C"/>
    <w:rsid w:val="00054B9B"/>
    <w:rsid w:val="00054BD9"/>
    <w:rsid w:val="00054E6A"/>
    <w:rsid w:val="00054FEA"/>
    <w:rsid w:val="0005553F"/>
    <w:rsid w:val="000559AF"/>
    <w:rsid w:val="000559EE"/>
    <w:rsid w:val="00055BC4"/>
    <w:rsid w:val="000574E5"/>
    <w:rsid w:val="0005795E"/>
    <w:rsid w:val="00057B5A"/>
    <w:rsid w:val="0006024D"/>
    <w:rsid w:val="00060265"/>
    <w:rsid w:val="00060285"/>
    <w:rsid w:val="00060649"/>
    <w:rsid w:val="000615B3"/>
    <w:rsid w:val="00061782"/>
    <w:rsid w:val="00061B47"/>
    <w:rsid w:val="00061C51"/>
    <w:rsid w:val="00061CAE"/>
    <w:rsid w:val="00061F17"/>
    <w:rsid w:val="00061F61"/>
    <w:rsid w:val="00062265"/>
    <w:rsid w:val="00062693"/>
    <w:rsid w:val="00062782"/>
    <w:rsid w:val="0006291B"/>
    <w:rsid w:val="00062DBF"/>
    <w:rsid w:val="00063AC7"/>
    <w:rsid w:val="00063F7A"/>
    <w:rsid w:val="000651E3"/>
    <w:rsid w:val="0006564A"/>
    <w:rsid w:val="00065A41"/>
    <w:rsid w:val="0006655A"/>
    <w:rsid w:val="000666B6"/>
    <w:rsid w:val="00066E29"/>
    <w:rsid w:val="00067241"/>
    <w:rsid w:val="0006769C"/>
    <w:rsid w:val="000679C1"/>
    <w:rsid w:val="000701F3"/>
    <w:rsid w:val="00070A93"/>
    <w:rsid w:val="000711B5"/>
    <w:rsid w:val="000711E3"/>
    <w:rsid w:val="00071694"/>
    <w:rsid w:val="000722C6"/>
    <w:rsid w:val="000724BE"/>
    <w:rsid w:val="00073423"/>
    <w:rsid w:val="00073443"/>
    <w:rsid w:val="00073D68"/>
    <w:rsid w:val="00073E19"/>
    <w:rsid w:val="0007449B"/>
    <w:rsid w:val="0007465C"/>
    <w:rsid w:val="00074B03"/>
    <w:rsid w:val="00074B1C"/>
    <w:rsid w:val="00074E8F"/>
    <w:rsid w:val="00075062"/>
    <w:rsid w:val="00075183"/>
    <w:rsid w:val="000752B5"/>
    <w:rsid w:val="000758BE"/>
    <w:rsid w:val="000759B9"/>
    <w:rsid w:val="00075EC1"/>
    <w:rsid w:val="0007660E"/>
    <w:rsid w:val="00076ABA"/>
    <w:rsid w:val="00077D3E"/>
    <w:rsid w:val="0008004C"/>
    <w:rsid w:val="000807EC"/>
    <w:rsid w:val="00081BC2"/>
    <w:rsid w:val="00081CBB"/>
    <w:rsid w:val="00081F12"/>
    <w:rsid w:val="0008278F"/>
    <w:rsid w:val="00083106"/>
    <w:rsid w:val="0008345E"/>
    <w:rsid w:val="00083507"/>
    <w:rsid w:val="0008350E"/>
    <w:rsid w:val="00083714"/>
    <w:rsid w:val="00083B2F"/>
    <w:rsid w:val="00083C34"/>
    <w:rsid w:val="00083D71"/>
    <w:rsid w:val="00083E19"/>
    <w:rsid w:val="000842E7"/>
    <w:rsid w:val="0008458C"/>
    <w:rsid w:val="00084706"/>
    <w:rsid w:val="000847CE"/>
    <w:rsid w:val="000848E2"/>
    <w:rsid w:val="00084B84"/>
    <w:rsid w:val="00084C2A"/>
    <w:rsid w:val="00084C88"/>
    <w:rsid w:val="00084CFC"/>
    <w:rsid w:val="0008523D"/>
    <w:rsid w:val="00085565"/>
    <w:rsid w:val="00085A44"/>
    <w:rsid w:val="00085D67"/>
    <w:rsid w:val="00085E33"/>
    <w:rsid w:val="000862A1"/>
    <w:rsid w:val="00086872"/>
    <w:rsid w:val="000869F7"/>
    <w:rsid w:val="0008716E"/>
    <w:rsid w:val="00087259"/>
    <w:rsid w:val="00087362"/>
    <w:rsid w:val="00087417"/>
    <w:rsid w:val="000877FC"/>
    <w:rsid w:val="000879A8"/>
    <w:rsid w:val="00087B9B"/>
    <w:rsid w:val="00087F62"/>
    <w:rsid w:val="000903FF"/>
    <w:rsid w:val="00090424"/>
    <w:rsid w:val="00090962"/>
    <w:rsid w:val="00090FA9"/>
    <w:rsid w:val="000917B1"/>
    <w:rsid w:val="00091947"/>
    <w:rsid w:val="00092166"/>
    <w:rsid w:val="000922FE"/>
    <w:rsid w:val="000926FD"/>
    <w:rsid w:val="00092BA1"/>
    <w:rsid w:val="0009306D"/>
    <w:rsid w:val="00093320"/>
    <w:rsid w:val="00093639"/>
    <w:rsid w:val="0009375D"/>
    <w:rsid w:val="00093F36"/>
    <w:rsid w:val="00094132"/>
    <w:rsid w:val="00094202"/>
    <w:rsid w:val="00094795"/>
    <w:rsid w:val="00094BCB"/>
    <w:rsid w:val="00094CBE"/>
    <w:rsid w:val="00094D18"/>
    <w:rsid w:val="00094DA1"/>
    <w:rsid w:val="00094FBA"/>
    <w:rsid w:val="000952E7"/>
    <w:rsid w:val="000954C1"/>
    <w:rsid w:val="000955E5"/>
    <w:rsid w:val="00095630"/>
    <w:rsid w:val="00095C13"/>
    <w:rsid w:val="0009621C"/>
    <w:rsid w:val="00096461"/>
    <w:rsid w:val="000965B0"/>
    <w:rsid w:val="000969E0"/>
    <w:rsid w:val="00096A42"/>
    <w:rsid w:val="00096DBD"/>
    <w:rsid w:val="00097031"/>
    <w:rsid w:val="00097343"/>
    <w:rsid w:val="000973EE"/>
    <w:rsid w:val="0009794A"/>
    <w:rsid w:val="00097990"/>
    <w:rsid w:val="000979A8"/>
    <w:rsid w:val="000979BE"/>
    <w:rsid w:val="00097AD7"/>
    <w:rsid w:val="00097CF1"/>
    <w:rsid w:val="000A0594"/>
    <w:rsid w:val="000A0792"/>
    <w:rsid w:val="000A0978"/>
    <w:rsid w:val="000A0D20"/>
    <w:rsid w:val="000A1857"/>
    <w:rsid w:val="000A186C"/>
    <w:rsid w:val="000A1BC4"/>
    <w:rsid w:val="000A1C4F"/>
    <w:rsid w:val="000A214D"/>
    <w:rsid w:val="000A2809"/>
    <w:rsid w:val="000A2F9D"/>
    <w:rsid w:val="000A3700"/>
    <w:rsid w:val="000A37D6"/>
    <w:rsid w:val="000A387B"/>
    <w:rsid w:val="000A3AC0"/>
    <w:rsid w:val="000A4128"/>
    <w:rsid w:val="000A4188"/>
    <w:rsid w:val="000A41F6"/>
    <w:rsid w:val="000A4ED4"/>
    <w:rsid w:val="000A51A0"/>
    <w:rsid w:val="000A55C0"/>
    <w:rsid w:val="000A56F5"/>
    <w:rsid w:val="000A5959"/>
    <w:rsid w:val="000A5C6D"/>
    <w:rsid w:val="000A6262"/>
    <w:rsid w:val="000A7A7F"/>
    <w:rsid w:val="000A7E75"/>
    <w:rsid w:val="000B0224"/>
    <w:rsid w:val="000B034F"/>
    <w:rsid w:val="000B0B96"/>
    <w:rsid w:val="000B0D00"/>
    <w:rsid w:val="000B1DD1"/>
    <w:rsid w:val="000B1DE2"/>
    <w:rsid w:val="000B1DEF"/>
    <w:rsid w:val="000B202F"/>
    <w:rsid w:val="000B25EE"/>
    <w:rsid w:val="000B340B"/>
    <w:rsid w:val="000B3AF3"/>
    <w:rsid w:val="000B3B63"/>
    <w:rsid w:val="000B4368"/>
    <w:rsid w:val="000B4A7F"/>
    <w:rsid w:val="000B4B69"/>
    <w:rsid w:val="000B4C4B"/>
    <w:rsid w:val="000B50DE"/>
    <w:rsid w:val="000B5140"/>
    <w:rsid w:val="000B53E9"/>
    <w:rsid w:val="000B5661"/>
    <w:rsid w:val="000B5D0D"/>
    <w:rsid w:val="000B5DCC"/>
    <w:rsid w:val="000B695F"/>
    <w:rsid w:val="000B6E68"/>
    <w:rsid w:val="000B7106"/>
    <w:rsid w:val="000B7423"/>
    <w:rsid w:val="000B7583"/>
    <w:rsid w:val="000C06CF"/>
    <w:rsid w:val="000C0D5C"/>
    <w:rsid w:val="000C0D5E"/>
    <w:rsid w:val="000C15A9"/>
    <w:rsid w:val="000C19FF"/>
    <w:rsid w:val="000C1E91"/>
    <w:rsid w:val="000C227D"/>
    <w:rsid w:val="000C28E4"/>
    <w:rsid w:val="000C2B93"/>
    <w:rsid w:val="000C2D0B"/>
    <w:rsid w:val="000C3A68"/>
    <w:rsid w:val="000C3D2E"/>
    <w:rsid w:val="000C4643"/>
    <w:rsid w:val="000C4A9F"/>
    <w:rsid w:val="000C4D1F"/>
    <w:rsid w:val="000C53EB"/>
    <w:rsid w:val="000C5B9F"/>
    <w:rsid w:val="000C657A"/>
    <w:rsid w:val="000C6716"/>
    <w:rsid w:val="000C68FF"/>
    <w:rsid w:val="000C6967"/>
    <w:rsid w:val="000C69B3"/>
    <w:rsid w:val="000C6C5D"/>
    <w:rsid w:val="000C6FE9"/>
    <w:rsid w:val="000C749E"/>
    <w:rsid w:val="000C7547"/>
    <w:rsid w:val="000C7854"/>
    <w:rsid w:val="000C78B5"/>
    <w:rsid w:val="000C7B95"/>
    <w:rsid w:val="000D0834"/>
    <w:rsid w:val="000D0B6B"/>
    <w:rsid w:val="000D0C0E"/>
    <w:rsid w:val="000D0FFB"/>
    <w:rsid w:val="000D136A"/>
    <w:rsid w:val="000D17C6"/>
    <w:rsid w:val="000D18CF"/>
    <w:rsid w:val="000D1929"/>
    <w:rsid w:val="000D1971"/>
    <w:rsid w:val="000D1C10"/>
    <w:rsid w:val="000D1E3F"/>
    <w:rsid w:val="000D1F2F"/>
    <w:rsid w:val="000D22DA"/>
    <w:rsid w:val="000D28D3"/>
    <w:rsid w:val="000D3037"/>
    <w:rsid w:val="000D3AFB"/>
    <w:rsid w:val="000D4421"/>
    <w:rsid w:val="000D4F49"/>
    <w:rsid w:val="000D50A0"/>
    <w:rsid w:val="000D543D"/>
    <w:rsid w:val="000D5969"/>
    <w:rsid w:val="000D5F99"/>
    <w:rsid w:val="000D6849"/>
    <w:rsid w:val="000D6C64"/>
    <w:rsid w:val="000D6C9B"/>
    <w:rsid w:val="000D7180"/>
    <w:rsid w:val="000D7195"/>
    <w:rsid w:val="000D71DC"/>
    <w:rsid w:val="000D7358"/>
    <w:rsid w:val="000D762D"/>
    <w:rsid w:val="000D7979"/>
    <w:rsid w:val="000D7C7B"/>
    <w:rsid w:val="000E03FA"/>
    <w:rsid w:val="000E04E9"/>
    <w:rsid w:val="000E073D"/>
    <w:rsid w:val="000E0785"/>
    <w:rsid w:val="000E0DB5"/>
    <w:rsid w:val="000E1478"/>
    <w:rsid w:val="000E1648"/>
    <w:rsid w:val="000E1A8F"/>
    <w:rsid w:val="000E1C80"/>
    <w:rsid w:val="000E21A0"/>
    <w:rsid w:val="000E2A4C"/>
    <w:rsid w:val="000E313E"/>
    <w:rsid w:val="000E3246"/>
    <w:rsid w:val="000E3570"/>
    <w:rsid w:val="000E3876"/>
    <w:rsid w:val="000E38B1"/>
    <w:rsid w:val="000E3B2B"/>
    <w:rsid w:val="000E3CA9"/>
    <w:rsid w:val="000E3CE0"/>
    <w:rsid w:val="000E3D5B"/>
    <w:rsid w:val="000E3F74"/>
    <w:rsid w:val="000E4BBB"/>
    <w:rsid w:val="000E4D7F"/>
    <w:rsid w:val="000E5087"/>
    <w:rsid w:val="000E5120"/>
    <w:rsid w:val="000E5442"/>
    <w:rsid w:val="000E59FD"/>
    <w:rsid w:val="000E5D08"/>
    <w:rsid w:val="000E5F6B"/>
    <w:rsid w:val="000E5F96"/>
    <w:rsid w:val="000E610D"/>
    <w:rsid w:val="000E654E"/>
    <w:rsid w:val="000E680E"/>
    <w:rsid w:val="000E6AD5"/>
    <w:rsid w:val="000E7233"/>
    <w:rsid w:val="000E74C0"/>
    <w:rsid w:val="000E7A0C"/>
    <w:rsid w:val="000E7D79"/>
    <w:rsid w:val="000F0E0C"/>
    <w:rsid w:val="000F125F"/>
    <w:rsid w:val="000F1505"/>
    <w:rsid w:val="000F1717"/>
    <w:rsid w:val="000F1FD9"/>
    <w:rsid w:val="000F2DF0"/>
    <w:rsid w:val="000F35EF"/>
    <w:rsid w:val="000F3918"/>
    <w:rsid w:val="000F3E22"/>
    <w:rsid w:val="000F451F"/>
    <w:rsid w:val="000F48F1"/>
    <w:rsid w:val="000F55A1"/>
    <w:rsid w:val="000F5BFD"/>
    <w:rsid w:val="000F5DF8"/>
    <w:rsid w:val="000F63AE"/>
    <w:rsid w:val="000F6D6B"/>
    <w:rsid w:val="000F71AD"/>
    <w:rsid w:val="000F7802"/>
    <w:rsid w:val="000F7E78"/>
    <w:rsid w:val="00100615"/>
    <w:rsid w:val="00100A11"/>
    <w:rsid w:val="00100BD7"/>
    <w:rsid w:val="00100BF6"/>
    <w:rsid w:val="00101003"/>
    <w:rsid w:val="00101186"/>
    <w:rsid w:val="0010137D"/>
    <w:rsid w:val="00101CD5"/>
    <w:rsid w:val="00101EE2"/>
    <w:rsid w:val="00101FE1"/>
    <w:rsid w:val="00102112"/>
    <w:rsid w:val="00102586"/>
    <w:rsid w:val="0010287B"/>
    <w:rsid w:val="00102B97"/>
    <w:rsid w:val="00102BA4"/>
    <w:rsid w:val="00102CED"/>
    <w:rsid w:val="00102DDC"/>
    <w:rsid w:val="00102E6C"/>
    <w:rsid w:val="0010364C"/>
    <w:rsid w:val="001036ED"/>
    <w:rsid w:val="00103A36"/>
    <w:rsid w:val="001040D0"/>
    <w:rsid w:val="00104159"/>
    <w:rsid w:val="0010420E"/>
    <w:rsid w:val="00104C2C"/>
    <w:rsid w:val="00104C8E"/>
    <w:rsid w:val="00104E3B"/>
    <w:rsid w:val="00105421"/>
    <w:rsid w:val="00105487"/>
    <w:rsid w:val="001055BB"/>
    <w:rsid w:val="00105793"/>
    <w:rsid w:val="00105797"/>
    <w:rsid w:val="001069CF"/>
    <w:rsid w:val="00106ADD"/>
    <w:rsid w:val="00106B53"/>
    <w:rsid w:val="00106C0B"/>
    <w:rsid w:val="001071F8"/>
    <w:rsid w:val="00107599"/>
    <w:rsid w:val="0010769C"/>
    <w:rsid w:val="0010774F"/>
    <w:rsid w:val="001079AC"/>
    <w:rsid w:val="001079C8"/>
    <w:rsid w:val="00107D9C"/>
    <w:rsid w:val="00107DF2"/>
    <w:rsid w:val="00107FE5"/>
    <w:rsid w:val="00110023"/>
    <w:rsid w:val="00110591"/>
    <w:rsid w:val="001111F9"/>
    <w:rsid w:val="001112A6"/>
    <w:rsid w:val="0011166F"/>
    <w:rsid w:val="001116C9"/>
    <w:rsid w:val="0011171D"/>
    <w:rsid w:val="001117DC"/>
    <w:rsid w:val="001118C4"/>
    <w:rsid w:val="001118EC"/>
    <w:rsid w:val="0011194E"/>
    <w:rsid w:val="00111FB6"/>
    <w:rsid w:val="001123BD"/>
    <w:rsid w:val="001124A5"/>
    <w:rsid w:val="00112594"/>
    <w:rsid w:val="00112E68"/>
    <w:rsid w:val="00112F77"/>
    <w:rsid w:val="001135FE"/>
    <w:rsid w:val="00113724"/>
    <w:rsid w:val="00113880"/>
    <w:rsid w:val="00113960"/>
    <w:rsid w:val="001139FF"/>
    <w:rsid w:val="00113B44"/>
    <w:rsid w:val="00113E2A"/>
    <w:rsid w:val="001142E6"/>
    <w:rsid w:val="00114665"/>
    <w:rsid w:val="001146D6"/>
    <w:rsid w:val="001147E9"/>
    <w:rsid w:val="001149F8"/>
    <w:rsid w:val="00114A9C"/>
    <w:rsid w:val="00114B37"/>
    <w:rsid w:val="00114D9E"/>
    <w:rsid w:val="00114F48"/>
    <w:rsid w:val="00115633"/>
    <w:rsid w:val="00115943"/>
    <w:rsid w:val="00115A97"/>
    <w:rsid w:val="00115C5D"/>
    <w:rsid w:val="00115F5D"/>
    <w:rsid w:val="001160A7"/>
    <w:rsid w:val="00116BDA"/>
    <w:rsid w:val="00117035"/>
    <w:rsid w:val="001171D6"/>
    <w:rsid w:val="0012044C"/>
    <w:rsid w:val="00120515"/>
    <w:rsid w:val="00120CE5"/>
    <w:rsid w:val="00120F23"/>
    <w:rsid w:val="00120FD1"/>
    <w:rsid w:val="001217AB"/>
    <w:rsid w:val="00121945"/>
    <w:rsid w:val="001220EA"/>
    <w:rsid w:val="00122321"/>
    <w:rsid w:val="001224E6"/>
    <w:rsid w:val="00122910"/>
    <w:rsid w:val="00122A38"/>
    <w:rsid w:val="001231F7"/>
    <w:rsid w:val="0012368C"/>
    <w:rsid w:val="00123697"/>
    <w:rsid w:val="00124225"/>
    <w:rsid w:val="001245B7"/>
    <w:rsid w:val="001248E5"/>
    <w:rsid w:val="00124BA9"/>
    <w:rsid w:val="00124E88"/>
    <w:rsid w:val="00125168"/>
    <w:rsid w:val="00125374"/>
    <w:rsid w:val="001254CD"/>
    <w:rsid w:val="0012555E"/>
    <w:rsid w:val="00125920"/>
    <w:rsid w:val="00125D6D"/>
    <w:rsid w:val="00125E84"/>
    <w:rsid w:val="00125FAA"/>
    <w:rsid w:val="001273DE"/>
    <w:rsid w:val="001274CA"/>
    <w:rsid w:val="00127644"/>
    <w:rsid w:val="001277CE"/>
    <w:rsid w:val="001278A4"/>
    <w:rsid w:val="00130155"/>
    <w:rsid w:val="00130CF3"/>
    <w:rsid w:val="001314D4"/>
    <w:rsid w:val="00131994"/>
    <w:rsid w:val="00131B40"/>
    <w:rsid w:val="0013243C"/>
    <w:rsid w:val="00132A19"/>
    <w:rsid w:val="00132A49"/>
    <w:rsid w:val="00132D18"/>
    <w:rsid w:val="00132E97"/>
    <w:rsid w:val="00132FF4"/>
    <w:rsid w:val="001330E3"/>
    <w:rsid w:val="0013381F"/>
    <w:rsid w:val="001340A8"/>
    <w:rsid w:val="001342D6"/>
    <w:rsid w:val="001348A5"/>
    <w:rsid w:val="00134DF6"/>
    <w:rsid w:val="00134E40"/>
    <w:rsid w:val="00135AD0"/>
    <w:rsid w:val="00135C43"/>
    <w:rsid w:val="001362E6"/>
    <w:rsid w:val="0013630F"/>
    <w:rsid w:val="00136496"/>
    <w:rsid w:val="00136B2B"/>
    <w:rsid w:val="00136C80"/>
    <w:rsid w:val="00136F86"/>
    <w:rsid w:val="00137043"/>
    <w:rsid w:val="001370A9"/>
    <w:rsid w:val="001370CD"/>
    <w:rsid w:val="001371A5"/>
    <w:rsid w:val="00137797"/>
    <w:rsid w:val="00137BD8"/>
    <w:rsid w:val="00137DDE"/>
    <w:rsid w:val="00137EF1"/>
    <w:rsid w:val="001403EC"/>
    <w:rsid w:val="00140690"/>
    <w:rsid w:val="001410AF"/>
    <w:rsid w:val="0014113D"/>
    <w:rsid w:val="00141605"/>
    <w:rsid w:val="001418A9"/>
    <w:rsid w:val="00141D35"/>
    <w:rsid w:val="0014248A"/>
    <w:rsid w:val="00143012"/>
    <w:rsid w:val="001433B9"/>
    <w:rsid w:val="00143702"/>
    <w:rsid w:val="00143842"/>
    <w:rsid w:val="001438D7"/>
    <w:rsid w:val="00143CFA"/>
    <w:rsid w:val="00143E84"/>
    <w:rsid w:val="00143F2F"/>
    <w:rsid w:val="001445BD"/>
    <w:rsid w:val="00144C68"/>
    <w:rsid w:val="00145130"/>
    <w:rsid w:val="001451A6"/>
    <w:rsid w:val="00146562"/>
    <w:rsid w:val="00146B94"/>
    <w:rsid w:val="00146FC5"/>
    <w:rsid w:val="00147856"/>
    <w:rsid w:val="001478A5"/>
    <w:rsid w:val="001478A7"/>
    <w:rsid w:val="00147BB0"/>
    <w:rsid w:val="00147E20"/>
    <w:rsid w:val="00150475"/>
    <w:rsid w:val="001504A7"/>
    <w:rsid w:val="0015074C"/>
    <w:rsid w:val="00150766"/>
    <w:rsid w:val="00150C05"/>
    <w:rsid w:val="001511CC"/>
    <w:rsid w:val="001512E9"/>
    <w:rsid w:val="0015196F"/>
    <w:rsid w:val="0015208E"/>
    <w:rsid w:val="00152B10"/>
    <w:rsid w:val="00152D39"/>
    <w:rsid w:val="00152FAB"/>
    <w:rsid w:val="001542C0"/>
    <w:rsid w:val="00154696"/>
    <w:rsid w:val="00154B7C"/>
    <w:rsid w:val="00155190"/>
    <w:rsid w:val="001551E7"/>
    <w:rsid w:val="00155345"/>
    <w:rsid w:val="00155755"/>
    <w:rsid w:val="00155B44"/>
    <w:rsid w:val="00155EF0"/>
    <w:rsid w:val="0015664F"/>
    <w:rsid w:val="00156677"/>
    <w:rsid w:val="001566AB"/>
    <w:rsid w:val="0015691E"/>
    <w:rsid w:val="00156C54"/>
    <w:rsid w:val="00157487"/>
    <w:rsid w:val="0015797E"/>
    <w:rsid w:val="00157E10"/>
    <w:rsid w:val="00160602"/>
    <w:rsid w:val="0016085C"/>
    <w:rsid w:val="00160A36"/>
    <w:rsid w:val="00160F9D"/>
    <w:rsid w:val="00160FF0"/>
    <w:rsid w:val="0016147E"/>
    <w:rsid w:val="0016169A"/>
    <w:rsid w:val="00161C6F"/>
    <w:rsid w:val="00161DB7"/>
    <w:rsid w:val="00162434"/>
    <w:rsid w:val="0016269D"/>
    <w:rsid w:val="0016298B"/>
    <w:rsid w:val="001632C5"/>
    <w:rsid w:val="001634CB"/>
    <w:rsid w:val="0016396E"/>
    <w:rsid w:val="00163BDA"/>
    <w:rsid w:val="00163CC4"/>
    <w:rsid w:val="00163D75"/>
    <w:rsid w:val="00164627"/>
    <w:rsid w:val="00164F89"/>
    <w:rsid w:val="0016520F"/>
    <w:rsid w:val="00165347"/>
    <w:rsid w:val="00165436"/>
    <w:rsid w:val="001654CF"/>
    <w:rsid w:val="00165D11"/>
    <w:rsid w:val="00165D9A"/>
    <w:rsid w:val="00166380"/>
    <w:rsid w:val="0016654B"/>
    <w:rsid w:val="001666A3"/>
    <w:rsid w:val="00166703"/>
    <w:rsid w:val="00166AB8"/>
    <w:rsid w:val="00166BA5"/>
    <w:rsid w:val="001670E1"/>
    <w:rsid w:val="0016723C"/>
    <w:rsid w:val="00167509"/>
    <w:rsid w:val="00167B01"/>
    <w:rsid w:val="00167B96"/>
    <w:rsid w:val="0017171E"/>
    <w:rsid w:val="001718A8"/>
    <w:rsid w:val="00171B97"/>
    <w:rsid w:val="0017223D"/>
    <w:rsid w:val="00172799"/>
    <w:rsid w:val="001727F2"/>
    <w:rsid w:val="00172A5C"/>
    <w:rsid w:val="00172CE7"/>
    <w:rsid w:val="00173087"/>
    <w:rsid w:val="001730D8"/>
    <w:rsid w:val="00173304"/>
    <w:rsid w:val="00173B9A"/>
    <w:rsid w:val="00173E74"/>
    <w:rsid w:val="00174540"/>
    <w:rsid w:val="001745F7"/>
    <w:rsid w:val="00174804"/>
    <w:rsid w:val="00174BE8"/>
    <w:rsid w:val="001750EF"/>
    <w:rsid w:val="0017591F"/>
    <w:rsid w:val="00175E2A"/>
    <w:rsid w:val="00176077"/>
    <w:rsid w:val="00176A5C"/>
    <w:rsid w:val="00177E8E"/>
    <w:rsid w:val="001805CD"/>
    <w:rsid w:val="00180F18"/>
    <w:rsid w:val="00181439"/>
    <w:rsid w:val="00181F1B"/>
    <w:rsid w:val="0018266B"/>
    <w:rsid w:val="0018289F"/>
    <w:rsid w:val="00182F43"/>
    <w:rsid w:val="00183098"/>
    <w:rsid w:val="001832CC"/>
    <w:rsid w:val="00183A0A"/>
    <w:rsid w:val="00183FE6"/>
    <w:rsid w:val="00184347"/>
    <w:rsid w:val="00184731"/>
    <w:rsid w:val="00184F08"/>
    <w:rsid w:val="00184FA5"/>
    <w:rsid w:val="001850AD"/>
    <w:rsid w:val="00185466"/>
    <w:rsid w:val="001856E2"/>
    <w:rsid w:val="001858F6"/>
    <w:rsid w:val="00185AD3"/>
    <w:rsid w:val="00185F3F"/>
    <w:rsid w:val="0018608D"/>
    <w:rsid w:val="0018680D"/>
    <w:rsid w:val="001868CD"/>
    <w:rsid w:val="001868CE"/>
    <w:rsid w:val="00186B70"/>
    <w:rsid w:val="00186CF0"/>
    <w:rsid w:val="00187323"/>
    <w:rsid w:val="0018765B"/>
    <w:rsid w:val="00187B2A"/>
    <w:rsid w:val="00187C55"/>
    <w:rsid w:val="00190141"/>
    <w:rsid w:val="00190350"/>
    <w:rsid w:val="00190ED6"/>
    <w:rsid w:val="00191175"/>
    <w:rsid w:val="00191190"/>
    <w:rsid w:val="0019176C"/>
    <w:rsid w:val="00191CE8"/>
    <w:rsid w:val="00191EAC"/>
    <w:rsid w:val="00192373"/>
    <w:rsid w:val="00192A76"/>
    <w:rsid w:val="00192B38"/>
    <w:rsid w:val="00193149"/>
    <w:rsid w:val="001936E6"/>
    <w:rsid w:val="00194577"/>
    <w:rsid w:val="0019466A"/>
    <w:rsid w:val="00194719"/>
    <w:rsid w:val="0019478C"/>
    <w:rsid w:val="00194DCE"/>
    <w:rsid w:val="00194E61"/>
    <w:rsid w:val="00194F09"/>
    <w:rsid w:val="00195612"/>
    <w:rsid w:val="0019605A"/>
    <w:rsid w:val="001966CC"/>
    <w:rsid w:val="00196946"/>
    <w:rsid w:val="00196954"/>
    <w:rsid w:val="00197134"/>
    <w:rsid w:val="001979DF"/>
    <w:rsid w:val="00197C30"/>
    <w:rsid w:val="001A0D69"/>
    <w:rsid w:val="001A1648"/>
    <w:rsid w:val="001A1E11"/>
    <w:rsid w:val="001A2388"/>
    <w:rsid w:val="001A2B1A"/>
    <w:rsid w:val="001A2D65"/>
    <w:rsid w:val="001A3686"/>
    <w:rsid w:val="001A3AAA"/>
    <w:rsid w:val="001A3D0F"/>
    <w:rsid w:val="001A433A"/>
    <w:rsid w:val="001A4504"/>
    <w:rsid w:val="001A4709"/>
    <w:rsid w:val="001A4A55"/>
    <w:rsid w:val="001A4BED"/>
    <w:rsid w:val="001A50D4"/>
    <w:rsid w:val="001A5677"/>
    <w:rsid w:val="001A5693"/>
    <w:rsid w:val="001A5849"/>
    <w:rsid w:val="001A596A"/>
    <w:rsid w:val="001A5976"/>
    <w:rsid w:val="001A5CDF"/>
    <w:rsid w:val="001A6109"/>
    <w:rsid w:val="001A61AA"/>
    <w:rsid w:val="001A61FA"/>
    <w:rsid w:val="001A62F8"/>
    <w:rsid w:val="001A6749"/>
    <w:rsid w:val="001A681B"/>
    <w:rsid w:val="001A6995"/>
    <w:rsid w:val="001A7680"/>
    <w:rsid w:val="001A7768"/>
    <w:rsid w:val="001A7DB5"/>
    <w:rsid w:val="001A7E48"/>
    <w:rsid w:val="001B00AD"/>
    <w:rsid w:val="001B0803"/>
    <w:rsid w:val="001B08EE"/>
    <w:rsid w:val="001B0A4D"/>
    <w:rsid w:val="001B0AE5"/>
    <w:rsid w:val="001B0CA1"/>
    <w:rsid w:val="001B0E1A"/>
    <w:rsid w:val="001B1569"/>
    <w:rsid w:val="001B16C8"/>
    <w:rsid w:val="001B17EE"/>
    <w:rsid w:val="001B1960"/>
    <w:rsid w:val="001B1D03"/>
    <w:rsid w:val="001B1FC9"/>
    <w:rsid w:val="001B2552"/>
    <w:rsid w:val="001B2699"/>
    <w:rsid w:val="001B29F8"/>
    <w:rsid w:val="001B2CDF"/>
    <w:rsid w:val="001B3187"/>
    <w:rsid w:val="001B34E3"/>
    <w:rsid w:val="001B38CE"/>
    <w:rsid w:val="001B3908"/>
    <w:rsid w:val="001B3994"/>
    <w:rsid w:val="001B3DE4"/>
    <w:rsid w:val="001B3EB8"/>
    <w:rsid w:val="001B41E1"/>
    <w:rsid w:val="001B41E5"/>
    <w:rsid w:val="001B42DB"/>
    <w:rsid w:val="001B4906"/>
    <w:rsid w:val="001B498A"/>
    <w:rsid w:val="001B53C3"/>
    <w:rsid w:val="001B5A37"/>
    <w:rsid w:val="001B5AE1"/>
    <w:rsid w:val="001B5AE7"/>
    <w:rsid w:val="001B5C1A"/>
    <w:rsid w:val="001B5D09"/>
    <w:rsid w:val="001B60FB"/>
    <w:rsid w:val="001B6320"/>
    <w:rsid w:val="001B632F"/>
    <w:rsid w:val="001B661C"/>
    <w:rsid w:val="001B6B42"/>
    <w:rsid w:val="001B6DFA"/>
    <w:rsid w:val="001B751F"/>
    <w:rsid w:val="001B788C"/>
    <w:rsid w:val="001B7B30"/>
    <w:rsid w:val="001B7DB2"/>
    <w:rsid w:val="001C04A2"/>
    <w:rsid w:val="001C076F"/>
    <w:rsid w:val="001C0A12"/>
    <w:rsid w:val="001C0BAC"/>
    <w:rsid w:val="001C1028"/>
    <w:rsid w:val="001C104E"/>
    <w:rsid w:val="001C1578"/>
    <w:rsid w:val="001C22D0"/>
    <w:rsid w:val="001C25EF"/>
    <w:rsid w:val="001C271C"/>
    <w:rsid w:val="001C28CE"/>
    <w:rsid w:val="001C2A5A"/>
    <w:rsid w:val="001C3252"/>
    <w:rsid w:val="001C344F"/>
    <w:rsid w:val="001C392E"/>
    <w:rsid w:val="001C41B5"/>
    <w:rsid w:val="001C4327"/>
    <w:rsid w:val="001C48ED"/>
    <w:rsid w:val="001C4D11"/>
    <w:rsid w:val="001C501B"/>
    <w:rsid w:val="001C569F"/>
    <w:rsid w:val="001C56E4"/>
    <w:rsid w:val="001C5AB8"/>
    <w:rsid w:val="001C5B5E"/>
    <w:rsid w:val="001C5E07"/>
    <w:rsid w:val="001C609E"/>
    <w:rsid w:val="001C6621"/>
    <w:rsid w:val="001C67F7"/>
    <w:rsid w:val="001C6B20"/>
    <w:rsid w:val="001C7598"/>
    <w:rsid w:val="001C7CE4"/>
    <w:rsid w:val="001C7EAE"/>
    <w:rsid w:val="001D01CE"/>
    <w:rsid w:val="001D0481"/>
    <w:rsid w:val="001D08DB"/>
    <w:rsid w:val="001D1311"/>
    <w:rsid w:val="001D1681"/>
    <w:rsid w:val="001D1B4E"/>
    <w:rsid w:val="001D1ED5"/>
    <w:rsid w:val="001D2328"/>
    <w:rsid w:val="001D23BE"/>
    <w:rsid w:val="001D2564"/>
    <w:rsid w:val="001D29FB"/>
    <w:rsid w:val="001D2ADC"/>
    <w:rsid w:val="001D2D4F"/>
    <w:rsid w:val="001D2DBF"/>
    <w:rsid w:val="001D2DFD"/>
    <w:rsid w:val="001D3B7B"/>
    <w:rsid w:val="001D3BA5"/>
    <w:rsid w:val="001D406E"/>
    <w:rsid w:val="001D423F"/>
    <w:rsid w:val="001D4946"/>
    <w:rsid w:val="001D4B50"/>
    <w:rsid w:val="001D4D44"/>
    <w:rsid w:val="001D4EF4"/>
    <w:rsid w:val="001D4F37"/>
    <w:rsid w:val="001D567B"/>
    <w:rsid w:val="001D5E84"/>
    <w:rsid w:val="001D6424"/>
    <w:rsid w:val="001D6699"/>
    <w:rsid w:val="001D6EC3"/>
    <w:rsid w:val="001D7409"/>
    <w:rsid w:val="001D7931"/>
    <w:rsid w:val="001D7962"/>
    <w:rsid w:val="001D7C49"/>
    <w:rsid w:val="001E0962"/>
    <w:rsid w:val="001E09DD"/>
    <w:rsid w:val="001E0B5D"/>
    <w:rsid w:val="001E0BD0"/>
    <w:rsid w:val="001E116B"/>
    <w:rsid w:val="001E1DF9"/>
    <w:rsid w:val="001E254F"/>
    <w:rsid w:val="001E296D"/>
    <w:rsid w:val="001E2C24"/>
    <w:rsid w:val="001E2CD3"/>
    <w:rsid w:val="001E326C"/>
    <w:rsid w:val="001E3344"/>
    <w:rsid w:val="001E3884"/>
    <w:rsid w:val="001E38EB"/>
    <w:rsid w:val="001E3AC3"/>
    <w:rsid w:val="001E3E45"/>
    <w:rsid w:val="001E3EB8"/>
    <w:rsid w:val="001E402E"/>
    <w:rsid w:val="001E436A"/>
    <w:rsid w:val="001E44F3"/>
    <w:rsid w:val="001E4778"/>
    <w:rsid w:val="001E4C5E"/>
    <w:rsid w:val="001E5170"/>
    <w:rsid w:val="001E55EF"/>
    <w:rsid w:val="001E58F7"/>
    <w:rsid w:val="001E5C67"/>
    <w:rsid w:val="001E6386"/>
    <w:rsid w:val="001E63E7"/>
    <w:rsid w:val="001E6797"/>
    <w:rsid w:val="001E684C"/>
    <w:rsid w:val="001E6FC8"/>
    <w:rsid w:val="001E7000"/>
    <w:rsid w:val="001E7301"/>
    <w:rsid w:val="001E7661"/>
    <w:rsid w:val="001E7785"/>
    <w:rsid w:val="001E77BF"/>
    <w:rsid w:val="001E7970"/>
    <w:rsid w:val="001E7B71"/>
    <w:rsid w:val="001E7B89"/>
    <w:rsid w:val="001E7C8D"/>
    <w:rsid w:val="001E7F68"/>
    <w:rsid w:val="001E7FD0"/>
    <w:rsid w:val="001F02C3"/>
    <w:rsid w:val="001F04B0"/>
    <w:rsid w:val="001F0AA1"/>
    <w:rsid w:val="001F0CBC"/>
    <w:rsid w:val="001F0F6D"/>
    <w:rsid w:val="001F13DC"/>
    <w:rsid w:val="001F1456"/>
    <w:rsid w:val="001F17F7"/>
    <w:rsid w:val="001F181F"/>
    <w:rsid w:val="001F1B9F"/>
    <w:rsid w:val="001F25F9"/>
    <w:rsid w:val="001F2D39"/>
    <w:rsid w:val="001F37A3"/>
    <w:rsid w:val="001F3ADB"/>
    <w:rsid w:val="001F3C06"/>
    <w:rsid w:val="001F3C93"/>
    <w:rsid w:val="001F3DF7"/>
    <w:rsid w:val="001F3E04"/>
    <w:rsid w:val="001F3FE6"/>
    <w:rsid w:val="001F4ACD"/>
    <w:rsid w:val="001F520E"/>
    <w:rsid w:val="001F5347"/>
    <w:rsid w:val="001F58B9"/>
    <w:rsid w:val="001F59CF"/>
    <w:rsid w:val="001F640E"/>
    <w:rsid w:val="001F6429"/>
    <w:rsid w:val="001F663C"/>
    <w:rsid w:val="001F6B26"/>
    <w:rsid w:val="001F7215"/>
    <w:rsid w:val="001F722B"/>
    <w:rsid w:val="001F79EB"/>
    <w:rsid w:val="001F7C74"/>
    <w:rsid w:val="001FB80C"/>
    <w:rsid w:val="00200056"/>
    <w:rsid w:val="002001F6"/>
    <w:rsid w:val="002005F6"/>
    <w:rsid w:val="00200AE4"/>
    <w:rsid w:val="00200BD5"/>
    <w:rsid w:val="00201382"/>
    <w:rsid w:val="0020147B"/>
    <w:rsid w:val="00201509"/>
    <w:rsid w:val="002019F2"/>
    <w:rsid w:val="002020F3"/>
    <w:rsid w:val="002024AF"/>
    <w:rsid w:val="0020266B"/>
    <w:rsid w:val="00202A31"/>
    <w:rsid w:val="00202CEA"/>
    <w:rsid w:val="00203893"/>
    <w:rsid w:val="00203ADD"/>
    <w:rsid w:val="00203C74"/>
    <w:rsid w:val="00204254"/>
    <w:rsid w:val="00204E64"/>
    <w:rsid w:val="0020560A"/>
    <w:rsid w:val="00205D3B"/>
    <w:rsid w:val="00205D70"/>
    <w:rsid w:val="00206142"/>
    <w:rsid w:val="0020637E"/>
    <w:rsid w:val="002066B8"/>
    <w:rsid w:val="002066FF"/>
    <w:rsid w:val="00206894"/>
    <w:rsid w:val="00206C12"/>
    <w:rsid w:val="00206CE5"/>
    <w:rsid w:val="00206E98"/>
    <w:rsid w:val="00207645"/>
    <w:rsid w:val="0020798B"/>
    <w:rsid w:val="00207D34"/>
    <w:rsid w:val="00207F15"/>
    <w:rsid w:val="002100D4"/>
    <w:rsid w:val="002101EC"/>
    <w:rsid w:val="002102F1"/>
    <w:rsid w:val="00210ABE"/>
    <w:rsid w:val="00210E47"/>
    <w:rsid w:val="002114E7"/>
    <w:rsid w:val="0021150B"/>
    <w:rsid w:val="00211A64"/>
    <w:rsid w:val="002123B2"/>
    <w:rsid w:val="0021268D"/>
    <w:rsid w:val="002126CC"/>
    <w:rsid w:val="00212E79"/>
    <w:rsid w:val="0021312B"/>
    <w:rsid w:val="00213314"/>
    <w:rsid w:val="00213774"/>
    <w:rsid w:val="002142C5"/>
    <w:rsid w:val="0021436B"/>
    <w:rsid w:val="002144A7"/>
    <w:rsid w:val="00214B38"/>
    <w:rsid w:val="00214C73"/>
    <w:rsid w:val="002150E0"/>
    <w:rsid w:val="002151CC"/>
    <w:rsid w:val="002151F4"/>
    <w:rsid w:val="0021537B"/>
    <w:rsid w:val="0021594B"/>
    <w:rsid w:val="002159E3"/>
    <w:rsid w:val="00216436"/>
    <w:rsid w:val="002164C1"/>
    <w:rsid w:val="002165C6"/>
    <w:rsid w:val="002166AF"/>
    <w:rsid w:val="00216EE6"/>
    <w:rsid w:val="00217CD3"/>
    <w:rsid w:val="00220055"/>
    <w:rsid w:val="002200BE"/>
    <w:rsid w:val="0022021B"/>
    <w:rsid w:val="00220B5E"/>
    <w:rsid w:val="00220B6A"/>
    <w:rsid w:val="00220B7C"/>
    <w:rsid w:val="00220B91"/>
    <w:rsid w:val="00221145"/>
    <w:rsid w:val="00221837"/>
    <w:rsid w:val="00221A16"/>
    <w:rsid w:val="00221B65"/>
    <w:rsid w:val="00221D1E"/>
    <w:rsid w:val="0022231D"/>
    <w:rsid w:val="002223E4"/>
    <w:rsid w:val="00222778"/>
    <w:rsid w:val="00222CDD"/>
    <w:rsid w:val="00222D17"/>
    <w:rsid w:val="00223286"/>
    <w:rsid w:val="002232EF"/>
    <w:rsid w:val="002233D3"/>
    <w:rsid w:val="002236B1"/>
    <w:rsid w:val="002238B9"/>
    <w:rsid w:val="00223DB5"/>
    <w:rsid w:val="002244DF"/>
    <w:rsid w:val="0022454C"/>
    <w:rsid w:val="00224757"/>
    <w:rsid w:val="00224852"/>
    <w:rsid w:val="00224925"/>
    <w:rsid w:val="002249B2"/>
    <w:rsid w:val="00224B10"/>
    <w:rsid w:val="00225520"/>
    <w:rsid w:val="0022635F"/>
    <w:rsid w:val="0022644E"/>
    <w:rsid w:val="0022659C"/>
    <w:rsid w:val="00226A05"/>
    <w:rsid w:val="00226ECF"/>
    <w:rsid w:val="00227060"/>
    <w:rsid w:val="0022723A"/>
    <w:rsid w:val="00227365"/>
    <w:rsid w:val="0022769B"/>
    <w:rsid w:val="00227C10"/>
    <w:rsid w:val="00227CB7"/>
    <w:rsid w:val="00227CFC"/>
    <w:rsid w:val="00227E5A"/>
    <w:rsid w:val="0023021C"/>
    <w:rsid w:val="002304EE"/>
    <w:rsid w:val="00230502"/>
    <w:rsid w:val="00230580"/>
    <w:rsid w:val="00230DD8"/>
    <w:rsid w:val="002310CD"/>
    <w:rsid w:val="002311C7"/>
    <w:rsid w:val="002312B6"/>
    <w:rsid w:val="00231C8F"/>
    <w:rsid w:val="00231F27"/>
    <w:rsid w:val="00232CFB"/>
    <w:rsid w:val="00232E46"/>
    <w:rsid w:val="00233022"/>
    <w:rsid w:val="00233630"/>
    <w:rsid w:val="00233F31"/>
    <w:rsid w:val="002341BD"/>
    <w:rsid w:val="00234232"/>
    <w:rsid w:val="002342C1"/>
    <w:rsid w:val="00234896"/>
    <w:rsid w:val="00234C89"/>
    <w:rsid w:val="00234CD1"/>
    <w:rsid w:val="0023542B"/>
    <w:rsid w:val="002358FE"/>
    <w:rsid w:val="00235C48"/>
    <w:rsid w:val="00235C55"/>
    <w:rsid w:val="00235E5D"/>
    <w:rsid w:val="00235EC6"/>
    <w:rsid w:val="0023621B"/>
    <w:rsid w:val="00236459"/>
    <w:rsid w:val="002367BA"/>
    <w:rsid w:val="00236B2D"/>
    <w:rsid w:val="002370BF"/>
    <w:rsid w:val="00237597"/>
    <w:rsid w:val="00240334"/>
    <w:rsid w:val="00240904"/>
    <w:rsid w:val="00240911"/>
    <w:rsid w:val="00240AE4"/>
    <w:rsid w:val="00240D4F"/>
    <w:rsid w:val="00240ECA"/>
    <w:rsid w:val="0024143E"/>
    <w:rsid w:val="00242357"/>
    <w:rsid w:val="00242B17"/>
    <w:rsid w:val="00242FD2"/>
    <w:rsid w:val="00243065"/>
    <w:rsid w:val="002430E8"/>
    <w:rsid w:val="00243276"/>
    <w:rsid w:val="00243787"/>
    <w:rsid w:val="002437BC"/>
    <w:rsid w:val="002439C2"/>
    <w:rsid w:val="00243E7A"/>
    <w:rsid w:val="00243EC1"/>
    <w:rsid w:val="00243F50"/>
    <w:rsid w:val="00244613"/>
    <w:rsid w:val="00244803"/>
    <w:rsid w:val="0024498D"/>
    <w:rsid w:val="00244C2E"/>
    <w:rsid w:val="00244CF5"/>
    <w:rsid w:val="00244EF4"/>
    <w:rsid w:val="0024506C"/>
    <w:rsid w:val="002450EE"/>
    <w:rsid w:val="002455ED"/>
    <w:rsid w:val="00246D20"/>
    <w:rsid w:val="00246F58"/>
    <w:rsid w:val="00246F9E"/>
    <w:rsid w:val="0024727C"/>
    <w:rsid w:val="002473FC"/>
    <w:rsid w:val="0024755C"/>
    <w:rsid w:val="00247C89"/>
    <w:rsid w:val="00247F9B"/>
    <w:rsid w:val="002501F7"/>
    <w:rsid w:val="00250468"/>
    <w:rsid w:val="0025092A"/>
    <w:rsid w:val="00250BF4"/>
    <w:rsid w:val="00250D26"/>
    <w:rsid w:val="00250D4A"/>
    <w:rsid w:val="00250DFA"/>
    <w:rsid w:val="00250F9D"/>
    <w:rsid w:val="002510BE"/>
    <w:rsid w:val="002510E7"/>
    <w:rsid w:val="00251314"/>
    <w:rsid w:val="0025140E"/>
    <w:rsid w:val="0025169C"/>
    <w:rsid w:val="00251C41"/>
    <w:rsid w:val="00251E95"/>
    <w:rsid w:val="00253091"/>
    <w:rsid w:val="002535D2"/>
    <w:rsid w:val="002539EA"/>
    <w:rsid w:val="00253A30"/>
    <w:rsid w:val="00253B2B"/>
    <w:rsid w:val="00253E66"/>
    <w:rsid w:val="00254286"/>
    <w:rsid w:val="00254476"/>
    <w:rsid w:val="00254808"/>
    <w:rsid w:val="002551B8"/>
    <w:rsid w:val="0025635E"/>
    <w:rsid w:val="00256436"/>
    <w:rsid w:val="00256E46"/>
    <w:rsid w:val="00257B13"/>
    <w:rsid w:val="00257CE6"/>
    <w:rsid w:val="00257E0D"/>
    <w:rsid w:val="002600AC"/>
    <w:rsid w:val="00260108"/>
    <w:rsid w:val="0026049D"/>
    <w:rsid w:val="00260F02"/>
    <w:rsid w:val="00261129"/>
    <w:rsid w:val="00261A18"/>
    <w:rsid w:val="00261E72"/>
    <w:rsid w:val="00262218"/>
    <w:rsid w:val="002626F5"/>
    <w:rsid w:val="00262A33"/>
    <w:rsid w:val="00262D37"/>
    <w:rsid w:val="0026312C"/>
    <w:rsid w:val="002631E8"/>
    <w:rsid w:val="0026342F"/>
    <w:rsid w:val="00263AE8"/>
    <w:rsid w:val="00263E59"/>
    <w:rsid w:val="00263FB5"/>
    <w:rsid w:val="0026500F"/>
    <w:rsid w:val="00265CBC"/>
    <w:rsid w:val="00266453"/>
    <w:rsid w:val="002664A3"/>
    <w:rsid w:val="00266675"/>
    <w:rsid w:val="00266A67"/>
    <w:rsid w:val="00266B87"/>
    <w:rsid w:val="002676A5"/>
    <w:rsid w:val="00270149"/>
    <w:rsid w:val="0027039F"/>
    <w:rsid w:val="00270592"/>
    <w:rsid w:val="002705E8"/>
    <w:rsid w:val="00270EF6"/>
    <w:rsid w:val="00270F0E"/>
    <w:rsid w:val="00271065"/>
    <w:rsid w:val="00271B7B"/>
    <w:rsid w:val="00272178"/>
    <w:rsid w:val="002725F6"/>
    <w:rsid w:val="0027269E"/>
    <w:rsid w:val="002729C0"/>
    <w:rsid w:val="0027323C"/>
    <w:rsid w:val="00273426"/>
    <w:rsid w:val="00273460"/>
    <w:rsid w:val="00273493"/>
    <w:rsid w:val="002734BD"/>
    <w:rsid w:val="002735D6"/>
    <w:rsid w:val="00274025"/>
    <w:rsid w:val="0027440D"/>
    <w:rsid w:val="0027479A"/>
    <w:rsid w:val="00274CB8"/>
    <w:rsid w:val="00274E3F"/>
    <w:rsid w:val="0027509F"/>
    <w:rsid w:val="00275154"/>
    <w:rsid w:val="00275378"/>
    <w:rsid w:val="00276448"/>
    <w:rsid w:val="00276807"/>
    <w:rsid w:val="00276895"/>
    <w:rsid w:val="00276A0C"/>
    <w:rsid w:val="00276B96"/>
    <w:rsid w:val="002773C9"/>
    <w:rsid w:val="0027744D"/>
    <w:rsid w:val="00277971"/>
    <w:rsid w:val="002802E7"/>
    <w:rsid w:val="0028079D"/>
    <w:rsid w:val="00280AE1"/>
    <w:rsid w:val="00280F8A"/>
    <w:rsid w:val="002811B3"/>
    <w:rsid w:val="00281324"/>
    <w:rsid w:val="002814AB"/>
    <w:rsid w:val="002818D4"/>
    <w:rsid w:val="00281B4D"/>
    <w:rsid w:val="00281C81"/>
    <w:rsid w:val="00281F66"/>
    <w:rsid w:val="00282382"/>
    <w:rsid w:val="00282604"/>
    <w:rsid w:val="00282A21"/>
    <w:rsid w:val="00282DAC"/>
    <w:rsid w:val="0028373D"/>
    <w:rsid w:val="00284803"/>
    <w:rsid w:val="00284BCE"/>
    <w:rsid w:val="002853C0"/>
    <w:rsid w:val="00285BEE"/>
    <w:rsid w:val="00285CC7"/>
    <w:rsid w:val="00286EF3"/>
    <w:rsid w:val="0028720D"/>
    <w:rsid w:val="002873A6"/>
    <w:rsid w:val="002875EE"/>
    <w:rsid w:val="0028766D"/>
    <w:rsid w:val="002900C0"/>
    <w:rsid w:val="002902F6"/>
    <w:rsid w:val="00290464"/>
    <w:rsid w:val="002904A3"/>
    <w:rsid w:val="0029107E"/>
    <w:rsid w:val="00291185"/>
    <w:rsid w:val="002914C8"/>
    <w:rsid w:val="00291BCF"/>
    <w:rsid w:val="00291E1D"/>
    <w:rsid w:val="00291E49"/>
    <w:rsid w:val="00291F58"/>
    <w:rsid w:val="00292534"/>
    <w:rsid w:val="00292613"/>
    <w:rsid w:val="00292969"/>
    <w:rsid w:val="00292B29"/>
    <w:rsid w:val="00292B77"/>
    <w:rsid w:val="00292CD5"/>
    <w:rsid w:val="00293487"/>
    <w:rsid w:val="002934C2"/>
    <w:rsid w:val="00293B75"/>
    <w:rsid w:val="00293C03"/>
    <w:rsid w:val="00293D15"/>
    <w:rsid w:val="00293E31"/>
    <w:rsid w:val="00293ECB"/>
    <w:rsid w:val="002940F9"/>
    <w:rsid w:val="00294528"/>
    <w:rsid w:val="0029473A"/>
    <w:rsid w:val="00294A6A"/>
    <w:rsid w:val="00294BB5"/>
    <w:rsid w:val="00294C86"/>
    <w:rsid w:val="002951A8"/>
    <w:rsid w:val="002952DD"/>
    <w:rsid w:val="0029589E"/>
    <w:rsid w:val="002959F7"/>
    <w:rsid w:val="00295AB1"/>
    <w:rsid w:val="00296004"/>
    <w:rsid w:val="0029629A"/>
    <w:rsid w:val="0029666E"/>
    <w:rsid w:val="002966D6"/>
    <w:rsid w:val="00296703"/>
    <w:rsid w:val="002969B5"/>
    <w:rsid w:val="002972DA"/>
    <w:rsid w:val="002976F8"/>
    <w:rsid w:val="00297BDE"/>
    <w:rsid w:val="002A01A9"/>
    <w:rsid w:val="002A024A"/>
    <w:rsid w:val="002A04C6"/>
    <w:rsid w:val="002A04E3"/>
    <w:rsid w:val="002A0A70"/>
    <w:rsid w:val="002A0CEE"/>
    <w:rsid w:val="002A1227"/>
    <w:rsid w:val="002A12DF"/>
    <w:rsid w:val="002A1CEA"/>
    <w:rsid w:val="002A1F5E"/>
    <w:rsid w:val="002A2359"/>
    <w:rsid w:val="002A2478"/>
    <w:rsid w:val="002A27A7"/>
    <w:rsid w:val="002A2B4D"/>
    <w:rsid w:val="002A3165"/>
    <w:rsid w:val="002A339D"/>
    <w:rsid w:val="002A3762"/>
    <w:rsid w:val="002A38E1"/>
    <w:rsid w:val="002A392D"/>
    <w:rsid w:val="002A3B17"/>
    <w:rsid w:val="002A3C02"/>
    <w:rsid w:val="002A3E67"/>
    <w:rsid w:val="002A4188"/>
    <w:rsid w:val="002A4C85"/>
    <w:rsid w:val="002A4CB5"/>
    <w:rsid w:val="002A4CC4"/>
    <w:rsid w:val="002A4E53"/>
    <w:rsid w:val="002A4EEE"/>
    <w:rsid w:val="002A5393"/>
    <w:rsid w:val="002A557C"/>
    <w:rsid w:val="002A5671"/>
    <w:rsid w:val="002A5682"/>
    <w:rsid w:val="002A5B44"/>
    <w:rsid w:val="002A611C"/>
    <w:rsid w:val="002A63F7"/>
    <w:rsid w:val="002A6748"/>
    <w:rsid w:val="002A711B"/>
    <w:rsid w:val="002A744A"/>
    <w:rsid w:val="002A7A1B"/>
    <w:rsid w:val="002A7CEA"/>
    <w:rsid w:val="002A7F40"/>
    <w:rsid w:val="002B0207"/>
    <w:rsid w:val="002B0963"/>
    <w:rsid w:val="002B1485"/>
    <w:rsid w:val="002B16A2"/>
    <w:rsid w:val="002B1847"/>
    <w:rsid w:val="002B18D7"/>
    <w:rsid w:val="002B19B7"/>
    <w:rsid w:val="002B1F7D"/>
    <w:rsid w:val="002B226D"/>
    <w:rsid w:val="002B2650"/>
    <w:rsid w:val="002B29C9"/>
    <w:rsid w:val="002B2BB4"/>
    <w:rsid w:val="002B3890"/>
    <w:rsid w:val="002B3A27"/>
    <w:rsid w:val="002B3F14"/>
    <w:rsid w:val="002B42B6"/>
    <w:rsid w:val="002B4DB2"/>
    <w:rsid w:val="002B4E50"/>
    <w:rsid w:val="002B6049"/>
    <w:rsid w:val="002B6106"/>
    <w:rsid w:val="002B6315"/>
    <w:rsid w:val="002B63A8"/>
    <w:rsid w:val="002B64D7"/>
    <w:rsid w:val="002B6A8D"/>
    <w:rsid w:val="002B7159"/>
    <w:rsid w:val="002B74E5"/>
    <w:rsid w:val="002B76D6"/>
    <w:rsid w:val="002B7E00"/>
    <w:rsid w:val="002C01C9"/>
    <w:rsid w:val="002C01FE"/>
    <w:rsid w:val="002C030E"/>
    <w:rsid w:val="002C055A"/>
    <w:rsid w:val="002C0854"/>
    <w:rsid w:val="002C0E68"/>
    <w:rsid w:val="002C1AA1"/>
    <w:rsid w:val="002C1C01"/>
    <w:rsid w:val="002C2866"/>
    <w:rsid w:val="002C2908"/>
    <w:rsid w:val="002C2C17"/>
    <w:rsid w:val="002C32DD"/>
    <w:rsid w:val="002C34D1"/>
    <w:rsid w:val="002C35B9"/>
    <w:rsid w:val="002C39E3"/>
    <w:rsid w:val="002C3AE7"/>
    <w:rsid w:val="002C4369"/>
    <w:rsid w:val="002C4EDA"/>
    <w:rsid w:val="002C5185"/>
    <w:rsid w:val="002C5A19"/>
    <w:rsid w:val="002C65FC"/>
    <w:rsid w:val="002C6CDD"/>
    <w:rsid w:val="002C6F07"/>
    <w:rsid w:val="002C7071"/>
    <w:rsid w:val="002C739C"/>
    <w:rsid w:val="002C7DBC"/>
    <w:rsid w:val="002C7FBA"/>
    <w:rsid w:val="002D06A2"/>
    <w:rsid w:val="002D06E0"/>
    <w:rsid w:val="002D08F4"/>
    <w:rsid w:val="002D0A84"/>
    <w:rsid w:val="002D13BE"/>
    <w:rsid w:val="002D13D9"/>
    <w:rsid w:val="002D1B25"/>
    <w:rsid w:val="002D1C06"/>
    <w:rsid w:val="002D2032"/>
    <w:rsid w:val="002D2076"/>
    <w:rsid w:val="002D22BC"/>
    <w:rsid w:val="002D24AE"/>
    <w:rsid w:val="002D3315"/>
    <w:rsid w:val="002D3E89"/>
    <w:rsid w:val="002D3F49"/>
    <w:rsid w:val="002D412E"/>
    <w:rsid w:val="002D44F2"/>
    <w:rsid w:val="002D473C"/>
    <w:rsid w:val="002D4B36"/>
    <w:rsid w:val="002D52CF"/>
    <w:rsid w:val="002D54AB"/>
    <w:rsid w:val="002D576E"/>
    <w:rsid w:val="002D5964"/>
    <w:rsid w:val="002D6194"/>
    <w:rsid w:val="002D62C7"/>
    <w:rsid w:val="002D6504"/>
    <w:rsid w:val="002D666E"/>
    <w:rsid w:val="002D6AE8"/>
    <w:rsid w:val="002D6AF8"/>
    <w:rsid w:val="002D6DDB"/>
    <w:rsid w:val="002D6F7E"/>
    <w:rsid w:val="002D7065"/>
    <w:rsid w:val="002D711A"/>
    <w:rsid w:val="002D711C"/>
    <w:rsid w:val="002D73F7"/>
    <w:rsid w:val="002E03DF"/>
    <w:rsid w:val="002E0B1C"/>
    <w:rsid w:val="002E0C60"/>
    <w:rsid w:val="002E0D6B"/>
    <w:rsid w:val="002E0DAD"/>
    <w:rsid w:val="002E0FD4"/>
    <w:rsid w:val="002E0FFC"/>
    <w:rsid w:val="002E10FA"/>
    <w:rsid w:val="002E11B3"/>
    <w:rsid w:val="002E126C"/>
    <w:rsid w:val="002E15E1"/>
    <w:rsid w:val="002E1A39"/>
    <w:rsid w:val="002E1E5C"/>
    <w:rsid w:val="002E22E4"/>
    <w:rsid w:val="002E248E"/>
    <w:rsid w:val="002E25F7"/>
    <w:rsid w:val="002E2A61"/>
    <w:rsid w:val="002E2DAC"/>
    <w:rsid w:val="002E312E"/>
    <w:rsid w:val="002E3753"/>
    <w:rsid w:val="002E3C09"/>
    <w:rsid w:val="002E4198"/>
    <w:rsid w:val="002E426C"/>
    <w:rsid w:val="002E4291"/>
    <w:rsid w:val="002E4802"/>
    <w:rsid w:val="002E4B21"/>
    <w:rsid w:val="002E4C3D"/>
    <w:rsid w:val="002E4D2E"/>
    <w:rsid w:val="002E4DC6"/>
    <w:rsid w:val="002E525F"/>
    <w:rsid w:val="002E527B"/>
    <w:rsid w:val="002E547E"/>
    <w:rsid w:val="002E5B80"/>
    <w:rsid w:val="002E5CB7"/>
    <w:rsid w:val="002E5F97"/>
    <w:rsid w:val="002E60ED"/>
    <w:rsid w:val="002E68BA"/>
    <w:rsid w:val="002E6A9B"/>
    <w:rsid w:val="002E6D23"/>
    <w:rsid w:val="002E6E8B"/>
    <w:rsid w:val="002E78FC"/>
    <w:rsid w:val="002F016B"/>
    <w:rsid w:val="002F0540"/>
    <w:rsid w:val="002F08C4"/>
    <w:rsid w:val="002F0BB5"/>
    <w:rsid w:val="002F145B"/>
    <w:rsid w:val="002F18E5"/>
    <w:rsid w:val="002F22F2"/>
    <w:rsid w:val="002F2AAC"/>
    <w:rsid w:val="002F2D1C"/>
    <w:rsid w:val="002F2E49"/>
    <w:rsid w:val="002F3111"/>
    <w:rsid w:val="002F3250"/>
    <w:rsid w:val="002F44C7"/>
    <w:rsid w:val="002F46FD"/>
    <w:rsid w:val="002F4760"/>
    <w:rsid w:val="002F4B15"/>
    <w:rsid w:val="002F4B7E"/>
    <w:rsid w:val="002F4D5C"/>
    <w:rsid w:val="002F56B3"/>
    <w:rsid w:val="002F586A"/>
    <w:rsid w:val="002F5DAC"/>
    <w:rsid w:val="002F6486"/>
    <w:rsid w:val="002F6620"/>
    <w:rsid w:val="002F68D9"/>
    <w:rsid w:val="002F6A8A"/>
    <w:rsid w:val="002F6F50"/>
    <w:rsid w:val="002F73D1"/>
    <w:rsid w:val="002F7404"/>
    <w:rsid w:val="002F7C6D"/>
    <w:rsid w:val="002F7F16"/>
    <w:rsid w:val="00300739"/>
    <w:rsid w:val="00300C6A"/>
    <w:rsid w:val="003015D7"/>
    <w:rsid w:val="0030190F"/>
    <w:rsid w:val="00301A19"/>
    <w:rsid w:val="00301C3F"/>
    <w:rsid w:val="00302277"/>
    <w:rsid w:val="003022BB"/>
    <w:rsid w:val="0030271A"/>
    <w:rsid w:val="0030281D"/>
    <w:rsid w:val="00302964"/>
    <w:rsid w:val="003029A9"/>
    <w:rsid w:val="00302BD4"/>
    <w:rsid w:val="0030356C"/>
    <w:rsid w:val="00303643"/>
    <w:rsid w:val="00303837"/>
    <w:rsid w:val="00303C54"/>
    <w:rsid w:val="0030419A"/>
    <w:rsid w:val="003048B9"/>
    <w:rsid w:val="00304EF0"/>
    <w:rsid w:val="00304F49"/>
    <w:rsid w:val="00305161"/>
    <w:rsid w:val="0030516F"/>
    <w:rsid w:val="003051B1"/>
    <w:rsid w:val="00305893"/>
    <w:rsid w:val="00305CDD"/>
    <w:rsid w:val="00306276"/>
    <w:rsid w:val="003063E3"/>
    <w:rsid w:val="00306B8E"/>
    <w:rsid w:val="00306C4D"/>
    <w:rsid w:val="0030705E"/>
    <w:rsid w:val="00307296"/>
    <w:rsid w:val="00307362"/>
    <w:rsid w:val="003077E9"/>
    <w:rsid w:val="00307D2B"/>
    <w:rsid w:val="00310BEE"/>
    <w:rsid w:val="00311026"/>
    <w:rsid w:val="00311062"/>
    <w:rsid w:val="003113F2"/>
    <w:rsid w:val="00311795"/>
    <w:rsid w:val="003118C6"/>
    <w:rsid w:val="00311995"/>
    <w:rsid w:val="003124B8"/>
    <w:rsid w:val="003127B3"/>
    <w:rsid w:val="0031298C"/>
    <w:rsid w:val="00312BB2"/>
    <w:rsid w:val="00312C5E"/>
    <w:rsid w:val="00312DB6"/>
    <w:rsid w:val="0031331C"/>
    <w:rsid w:val="003137E3"/>
    <w:rsid w:val="00313D4A"/>
    <w:rsid w:val="0031450C"/>
    <w:rsid w:val="003146CC"/>
    <w:rsid w:val="00314708"/>
    <w:rsid w:val="003150FE"/>
    <w:rsid w:val="00315196"/>
    <w:rsid w:val="00315253"/>
    <w:rsid w:val="00315641"/>
    <w:rsid w:val="00315778"/>
    <w:rsid w:val="00315B93"/>
    <w:rsid w:val="00315D0A"/>
    <w:rsid w:val="003163AC"/>
    <w:rsid w:val="0031679F"/>
    <w:rsid w:val="0031689E"/>
    <w:rsid w:val="00316F82"/>
    <w:rsid w:val="00316FAF"/>
    <w:rsid w:val="00317474"/>
    <w:rsid w:val="0031764F"/>
    <w:rsid w:val="00317966"/>
    <w:rsid w:val="003203C8"/>
    <w:rsid w:val="0032040F"/>
    <w:rsid w:val="00320433"/>
    <w:rsid w:val="00320CC8"/>
    <w:rsid w:val="00320E61"/>
    <w:rsid w:val="00321419"/>
    <w:rsid w:val="003214FB"/>
    <w:rsid w:val="0032213A"/>
    <w:rsid w:val="0032234B"/>
    <w:rsid w:val="003226E2"/>
    <w:rsid w:val="00322A48"/>
    <w:rsid w:val="00324227"/>
    <w:rsid w:val="003243BC"/>
    <w:rsid w:val="00324817"/>
    <w:rsid w:val="00324AA0"/>
    <w:rsid w:val="00324D10"/>
    <w:rsid w:val="003251E5"/>
    <w:rsid w:val="0032588E"/>
    <w:rsid w:val="003259D8"/>
    <w:rsid w:val="00325B7E"/>
    <w:rsid w:val="00325CE2"/>
    <w:rsid w:val="0032658D"/>
    <w:rsid w:val="00326848"/>
    <w:rsid w:val="003275AF"/>
    <w:rsid w:val="00327694"/>
    <w:rsid w:val="003276B9"/>
    <w:rsid w:val="0033066D"/>
    <w:rsid w:val="00330846"/>
    <w:rsid w:val="0033114F"/>
    <w:rsid w:val="003312A1"/>
    <w:rsid w:val="00331562"/>
    <w:rsid w:val="00331C1A"/>
    <w:rsid w:val="00331DCA"/>
    <w:rsid w:val="00331FD4"/>
    <w:rsid w:val="0033208E"/>
    <w:rsid w:val="003320C3"/>
    <w:rsid w:val="00332204"/>
    <w:rsid w:val="00332563"/>
    <w:rsid w:val="003325D3"/>
    <w:rsid w:val="00332A57"/>
    <w:rsid w:val="00332DA1"/>
    <w:rsid w:val="00333A68"/>
    <w:rsid w:val="00333E4E"/>
    <w:rsid w:val="00334633"/>
    <w:rsid w:val="00334D27"/>
    <w:rsid w:val="0033524A"/>
    <w:rsid w:val="0033536F"/>
    <w:rsid w:val="003354E7"/>
    <w:rsid w:val="003356A1"/>
    <w:rsid w:val="003359C3"/>
    <w:rsid w:val="00335B2C"/>
    <w:rsid w:val="00336225"/>
    <w:rsid w:val="003364FF"/>
    <w:rsid w:val="003366D4"/>
    <w:rsid w:val="00336BA3"/>
    <w:rsid w:val="0033702E"/>
    <w:rsid w:val="00337060"/>
    <w:rsid w:val="00337438"/>
    <w:rsid w:val="0033753A"/>
    <w:rsid w:val="0033764B"/>
    <w:rsid w:val="00337CB3"/>
    <w:rsid w:val="00337CFC"/>
    <w:rsid w:val="00337D37"/>
    <w:rsid w:val="003404B9"/>
    <w:rsid w:val="00340873"/>
    <w:rsid w:val="003409D9"/>
    <w:rsid w:val="00340AD1"/>
    <w:rsid w:val="00340B50"/>
    <w:rsid w:val="00340C58"/>
    <w:rsid w:val="00340DC7"/>
    <w:rsid w:val="00341382"/>
    <w:rsid w:val="003416F7"/>
    <w:rsid w:val="003417E2"/>
    <w:rsid w:val="00341996"/>
    <w:rsid w:val="00341E63"/>
    <w:rsid w:val="00341EF2"/>
    <w:rsid w:val="00342D54"/>
    <w:rsid w:val="00342F16"/>
    <w:rsid w:val="003434D1"/>
    <w:rsid w:val="0034356D"/>
    <w:rsid w:val="0034404F"/>
    <w:rsid w:val="00344D63"/>
    <w:rsid w:val="00344FCC"/>
    <w:rsid w:val="00345106"/>
    <w:rsid w:val="0034510C"/>
    <w:rsid w:val="003454D5"/>
    <w:rsid w:val="0034575B"/>
    <w:rsid w:val="003457A1"/>
    <w:rsid w:val="0034599E"/>
    <w:rsid w:val="00345C00"/>
    <w:rsid w:val="00345D45"/>
    <w:rsid w:val="00346245"/>
    <w:rsid w:val="00346751"/>
    <w:rsid w:val="003467FC"/>
    <w:rsid w:val="003469D0"/>
    <w:rsid w:val="00346EAF"/>
    <w:rsid w:val="00346F52"/>
    <w:rsid w:val="00346F9A"/>
    <w:rsid w:val="003473F2"/>
    <w:rsid w:val="0034785D"/>
    <w:rsid w:val="0035077E"/>
    <w:rsid w:val="00350EA6"/>
    <w:rsid w:val="00351671"/>
    <w:rsid w:val="00351FD5"/>
    <w:rsid w:val="00352A13"/>
    <w:rsid w:val="00352A14"/>
    <w:rsid w:val="00353966"/>
    <w:rsid w:val="00353BE8"/>
    <w:rsid w:val="00353E83"/>
    <w:rsid w:val="003541CF"/>
    <w:rsid w:val="00354553"/>
    <w:rsid w:val="00354646"/>
    <w:rsid w:val="00354723"/>
    <w:rsid w:val="00354D29"/>
    <w:rsid w:val="00355713"/>
    <w:rsid w:val="0035584B"/>
    <w:rsid w:val="00355CB4"/>
    <w:rsid w:val="00355D73"/>
    <w:rsid w:val="00355FAE"/>
    <w:rsid w:val="00356118"/>
    <w:rsid w:val="0035649A"/>
    <w:rsid w:val="0035689E"/>
    <w:rsid w:val="00356FB7"/>
    <w:rsid w:val="003572D6"/>
    <w:rsid w:val="003577C3"/>
    <w:rsid w:val="00357B15"/>
    <w:rsid w:val="00357DCD"/>
    <w:rsid w:val="00357DDD"/>
    <w:rsid w:val="00360076"/>
    <w:rsid w:val="0036024B"/>
    <w:rsid w:val="0036058A"/>
    <w:rsid w:val="003608C6"/>
    <w:rsid w:val="0036091A"/>
    <w:rsid w:val="003609D1"/>
    <w:rsid w:val="00360EA1"/>
    <w:rsid w:val="00361150"/>
    <w:rsid w:val="00361317"/>
    <w:rsid w:val="0036167F"/>
    <w:rsid w:val="00361843"/>
    <w:rsid w:val="003619E6"/>
    <w:rsid w:val="00361E1A"/>
    <w:rsid w:val="00362125"/>
    <w:rsid w:val="0036216A"/>
    <w:rsid w:val="003628BC"/>
    <w:rsid w:val="00362B92"/>
    <w:rsid w:val="00362BC6"/>
    <w:rsid w:val="00362DD7"/>
    <w:rsid w:val="00362DE7"/>
    <w:rsid w:val="0036311B"/>
    <w:rsid w:val="00363553"/>
    <w:rsid w:val="0036376B"/>
    <w:rsid w:val="00363B65"/>
    <w:rsid w:val="00363BF0"/>
    <w:rsid w:val="00363D59"/>
    <w:rsid w:val="0036405E"/>
    <w:rsid w:val="00364093"/>
    <w:rsid w:val="003644C6"/>
    <w:rsid w:val="003645DB"/>
    <w:rsid w:val="003651F6"/>
    <w:rsid w:val="0036572C"/>
    <w:rsid w:val="00365892"/>
    <w:rsid w:val="003661BD"/>
    <w:rsid w:val="003661FD"/>
    <w:rsid w:val="0036677C"/>
    <w:rsid w:val="00366D37"/>
    <w:rsid w:val="0036771C"/>
    <w:rsid w:val="00367789"/>
    <w:rsid w:val="00367B8C"/>
    <w:rsid w:val="00367C7E"/>
    <w:rsid w:val="00367CA4"/>
    <w:rsid w:val="00367DF7"/>
    <w:rsid w:val="00367E6C"/>
    <w:rsid w:val="00367FE7"/>
    <w:rsid w:val="0037006D"/>
    <w:rsid w:val="003701F3"/>
    <w:rsid w:val="00370258"/>
    <w:rsid w:val="003703A5"/>
    <w:rsid w:val="00370537"/>
    <w:rsid w:val="00370B3C"/>
    <w:rsid w:val="00370BAD"/>
    <w:rsid w:val="00370C8B"/>
    <w:rsid w:val="00370FB2"/>
    <w:rsid w:val="00371428"/>
    <w:rsid w:val="00371699"/>
    <w:rsid w:val="003716B9"/>
    <w:rsid w:val="00371731"/>
    <w:rsid w:val="00371924"/>
    <w:rsid w:val="00371AC8"/>
    <w:rsid w:val="00371BFD"/>
    <w:rsid w:val="003721B5"/>
    <w:rsid w:val="00372245"/>
    <w:rsid w:val="003725E0"/>
    <w:rsid w:val="00372AA4"/>
    <w:rsid w:val="00372F85"/>
    <w:rsid w:val="00373003"/>
    <w:rsid w:val="00373345"/>
    <w:rsid w:val="00373556"/>
    <w:rsid w:val="00373569"/>
    <w:rsid w:val="00373666"/>
    <w:rsid w:val="00373C11"/>
    <w:rsid w:val="0037401F"/>
    <w:rsid w:val="00374033"/>
    <w:rsid w:val="00374548"/>
    <w:rsid w:val="00374589"/>
    <w:rsid w:val="003750CF"/>
    <w:rsid w:val="003751F6"/>
    <w:rsid w:val="003753D6"/>
    <w:rsid w:val="003754AA"/>
    <w:rsid w:val="0037562B"/>
    <w:rsid w:val="00375664"/>
    <w:rsid w:val="00375A97"/>
    <w:rsid w:val="00375DE4"/>
    <w:rsid w:val="00375E7A"/>
    <w:rsid w:val="00375EC1"/>
    <w:rsid w:val="00376840"/>
    <w:rsid w:val="00376F16"/>
    <w:rsid w:val="00377253"/>
    <w:rsid w:val="00377871"/>
    <w:rsid w:val="00377B2B"/>
    <w:rsid w:val="00377BF6"/>
    <w:rsid w:val="00377CBF"/>
    <w:rsid w:val="00377DF7"/>
    <w:rsid w:val="00380024"/>
    <w:rsid w:val="0038024D"/>
    <w:rsid w:val="003803C4"/>
    <w:rsid w:val="00380764"/>
    <w:rsid w:val="00380857"/>
    <w:rsid w:val="00380D8C"/>
    <w:rsid w:val="00381069"/>
    <w:rsid w:val="00381836"/>
    <w:rsid w:val="00381D38"/>
    <w:rsid w:val="00381E77"/>
    <w:rsid w:val="00381EF4"/>
    <w:rsid w:val="003827C0"/>
    <w:rsid w:val="003828EE"/>
    <w:rsid w:val="00382FC1"/>
    <w:rsid w:val="00383001"/>
    <w:rsid w:val="003833E1"/>
    <w:rsid w:val="00383605"/>
    <w:rsid w:val="0038459D"/>
    <w:rsid w:val="0038488F"/>
    <w:rsid w:val="00384B44"/>
    <w:rsid w:val="00384E0D"/>
    <w:rsid w:val="00385439"/>
    <w:rsid w:val="00385C2C"/>
    <w:rsid w:val="00385FE6"/>
    <w:rsid w:val="0038601E"/>
    <w:rsid w:val="0038610A"/>
    <w:rsid w:val="00386E98"/>
    <w:rsid w:val="00386F93"/>
    <w:rsid w:val="0038749D"/>
    <w:rsid w:val="003874D3"/>
    <w:rsid w:val="00387AB4"/>
    <w:rsid w:val="00387DA7"/>
    <w:rsid w:val="00387F2F"/>
    <w:rsid w:val="00390037"/>
    <w:rsid w:val="0039018E"/>
    <w:rsid w:val="00390275"/>
    <w:rsid w:val="0039031E"/>
    <w:rsid w:val="0039044B"/>
    <w:rsid w:val="00390485"/>
    <w:rsid w:val="003919D7"/>
    <w:rsid w:val="00391FE9"/>
    <w:rsid w:val="003920D1"/>
    <w:rsid w:val="003924C8"/>
    <w:rsid w:val="0039288D"/>
    <w:rsid w:val="00392B75"/>
    <w:rsid w:val="0039355E"/>
    <w:rsid w:val="00393579"/>
    <w:rsid w:val="00393B75"/>
    <w:rsid w:val="00393DAD"/>
    <w:rsid w:val="00394248"/>
    <w:rsid w:val="003942D9"/>
    <w:rsid w:val="003952FD"/>
    <w:rsid w:val="00395792"/>
    <w:rsid w:val="00395D58"/>
    <w:rsid w:val="0039609E"/>
    <w:rsid w:val="0039631C"/>
    <w:rsid w:val="003963BA"/>
    <w:rsid w:val="00396920"/>
    <w:rsid w:val="00396962"/>
    <w:rsid w:val="003969DB"/>
    <w:rsid w:val="00396B7C"/>
    <w:rsid w:val="00396D6A"/>
    <w:rsid w:val="00397128"/>
    <w:rsid w:val="00397184"/>
    <w:rsid w:val="00397220"/>
    <w:rsid w:val="003A0065"/>
    <w:rsid w:val="003A007B"/>
    <w:rsid w:val="003A01A2"/>
    <w:rsid w:val="003A01DC"/>
    <w:rsid w:val="003A0544"/>
    <w:rsid w:val="003A0827"/>
    <w:rsid w:val="003A0B59"/>
    <w:rsid w:val="003A1027"/>
    <w:rsid w:val="003A113E"/>
    <w:rsid w:val="003A1B8C"/>
    <w:rsid w:val="003A1BF4"/>
    <w:rsid w:val="003A1D27"/>
    <w:rsid w:val="003A1D5B"/>
    <w:rsid w:val="003A2A76"/>
    <w:rsid w:val="003A316B"/>
    <w:rsid w:val="003A36D1"/>
    <w:rsid w:val="003A4387"/>
    <w:rsid w:val="003A439F"/>
    <w:rsid w:val="003A4780"/>
    <w:rsid w:val="003A4D0B"/>
    <w:rsid w:val="003A500A"/>
    <w:rsid w:val="003A52AE"/>
    <w:rsid w:val="003A5361"/>
    <w:rsid w:val="003A5D0F"/>
    <w:rsid w:val="003A61A7"/>
    <w:rsid w:val="003A63BD"/>
    <w:rsid w:val="003A65B6"/>
    <w:rsid w:val="003A71DA"/>
    <w:rsid w:val="003A75D5"/>
    <w:rsid w:val="003A7C06"/>
    <w:rsid w:val="003AEEC5"/>
    <w:rsid w:val="003B0377"/>
    <w:rsid w:val="003B0BFE"/>
    <w:rsid w:val="003B0E4E"/>
    <w:rsid w:val="003B156B"/>
    <w:rsid w:val="003B160D"/>
    <w:rsid w:val="003B174E"/>
    <w:rsid w:val="003B2F07"/>
    <w:rsid w:val="003B31CC"/>
    <w:rsid w:val="003B3691"/>
    <w:rsid w:val="003B3AAC"/>
    <w:rsid w:val="003B3D30"/>
    <w:rsid w:val="003B528C"/>
    <w:rsid w:val="003B59DF"/>
    <w:rsid w:val="003B5ACA"/>
    <w:rsid w:val="003B5B0C"/>
    <w:rsid w:val="003B5CA9"/>
    <w:rsid w:val="003B5DDA"/>
    <w:rsid w:val="003B6642"/>
    <w:rsid w:val="003B6DCD"/>
    <w:rsid w:val="003B70ED"/>
    <w:rsid w:val="003B735C"/>
    <w:rsid w:val="003B73B0"/>
    <w:rsid w:val="003B7558"/>
    <w:rsid w:val="003B77AD"/>
    <w:rsid w:val="003B7B2A"/>
    <w:rsid w:val="003B7B2C"/>
    <w:rsid w:val="003B7B96"/>
    <w:rsid w:val="003B7C26"/>
    <w:rsid w:val="003C0146"/>
    <w:rsid w:val="003C0429"/>
    <w:rsid w:val="003C1182"/>
    <w:rsid w:val="003C1246"/>
    <w:rsid w:val="003C14E6"/>
    <w:rsid w:val="003C163F"/>
    <w:rsid w:val="003C1A23"/>
    <w:rsid w:val="003C208C"/>
    <w:rsid w:val="003C212F"/>
    <w:rsid w:val="003C219E"/>
    <w:rsid w:val="003C24B6"/>
    <w:rsid w:val="003C24BF"/>
    <w:rsid w:val="003C2BB1"/>
    <w:rsid w:val="003C3CB8"/>
    <w:rsid w:val="003C4267"/>
    <w:rsid w:val="003C46CD"/>
    <w:rsid w:val="003C47FE"/>
    <w:rsid w:val="003C48BD"/>
    <w:rsid w:val="003C4A07"/>
    <w:rsid w:val="003C6676"/>
    <w:rsid w:val="003C67EF"/>
    <w:rsid w:val="003C73C7"/>
    <w:rsid w:val="003C746E"/>
    <w:rsid w:val="003C772B"/>
    <w:rsid w:val="003C775A"/>
    <w:rsid w:val="003C79B7"/>
    <w:rsid w:val="003C7A85"/>
    <w:rsid w:val="003C7A98"/>
    <w:rsid w:val="003D05CA"/>
    <w:rsid w:val="003D05D4"/>
    <w:rsid w:val="003D0975"/>
    <w:rsid w:val="003D0D88"/>
    <w:rsid w:val="003D15B4"/>
    <w:rsid w:val="003D1865"/>
    <w:rsid w:val="003D1DA6"/>
    <w:rsid w:val="003D1DEE"/>
    <w:rsid w:val="003D209C"/>
    <w:rsid w:val="003D2306"/>
    <w:rsid w:val="003D2314"/>
    <w:rsid w:val="003D2A41"/>
    <w:rsid w:val="003D2A6B"/>
    <w:rsid w:val="003D3010"/>
    <w:rsid w:val="003D332E"/>
    <w:rsid w:val="003D3A94"/>
    <w:rsid w:val="003D4009"/>
    <w:rsid w:val="003D40DC"/>
    <w:rsid w:val="003D44BA"/>
    <w:rsid w:val="003D4686"/>
    <w:rsid w:val="003D47ED"/>
    <w:rsid w:val="003D483A"/>
    <w:rsid w:val="003D4884"/>
    <w:rsid w:val="003D4BD5"/>
    <w:rsid w:val="003D4F26"/>
    <w:rsid w:val="003D5685"/>
    <w:rsid w:val="003D58DE"/>
    <w:rsid w:val="003D5F86"/>
    <w:rsid w:val="003D62A0"/>
    <w:rsid w:val="003D637E"/>
    <w:rsid w:val="003D63D6"/>
    <w:rsid w:val="003D6B6C"/>
    <w:rsid w:val="003D6E48"/>
    <w:rsid w:val="003D7178"/>
    <w:rsid w:val="003D741C"/>
    <w:rsid w:val="003D74EA"/>
    <w:rsid w:val="003D7F20"/>
    <w:rsid w:val="003D7F3A"/>
    <w:rsid w:val="003E06B7"/>
    <w:rsid w:val="003E07EA"/>
    <w:rsid w:val="003E080B"/>
    <w:rsid w:val="003E0C62"/>
    <w:rsid w:val="003E0E83"/>
    <w:rsid w:val="003E103B"/>
    <w:rsid w:val="003E130C"/>
    <w:rsid w:val="003E1359"/>
    <w:rsid w:val="003E2C6D"/>
    <w:rsid w:val="003E2E09"/>
    <w:rsid w:val="003E2E61"/>
    <w:rsid w:val="003E3D6D"/>
    <w:rsid w:val="003E3E08"/>
    <w:rsid w:val="003E49DE"/>
    <w:rsid w:val="003E4F8D"/>
    <w:rsid w:val="003E51D6"/>
    <w:rsid w:val="003E54BD"/>
    <w:rsid w:val="003E5864"/>
    <w:rsid w:val="003E5E1F"/>
    <w:rsid w:val="003E5F7A"/>
    <w:rsid w:val="003E6966"/>
    <w:rsid w:val="003E6B87"/>
    <w:rsid w:val="003E71ED"/>
    <w:rsid w:val="003E7268"/>
    <w:rsid w:val="003E750E"/>
    <w:rsid w:val="003E785D"/>
    <w:rsid w:val="003E7CC4"/>
    <w:rsid w:val="003E7E7E"/>
    <w:rsid w:val="003F0A03"/>
    <w:rsid w:val="003F0D0F"/>
    <w:rsid w:val="003F0DCA"/>
    <w:rsid w:val="003F0EFA"/>
    <w:rsid w:val="003F106E"/>
    <w:rsid w:val="003F124E"/>
    <w:rsid w:val="003F18BE"/>
    <w:rsid w:val="003F1997"/>
    <w:rsid w:val="003F19C4"/>
    <w:rsid w:val="003F2CB7"/>
    <w:rsid w:val="003F3959"/>
    <w:rsid w:val="003F3F84"/>
    <w:rsid w:val="003F42FD"/>
    <w:rsid w:val="003F499F"/>
    <w:rsid w:val="003F4A57"/>
    <w:rsid w:val="003F4C63"/>
    <w:rsid w:val="003F5044"/>
    <w:rsid w:val="003F5229"/>
    <w:rsid w:val="003F552F"/>
    <w:rsid w:val="003F5CFF"/>
    <w:rsid w:val="003F5D33"/>
    <w:rsid w:val="003F7AE2"/>
    <w:rsid w:val="003F7C7D"/>
    <w:rsid w:val="003F7FCF"/>
    <w:rsid w:val="00400223"/>
    <w:rsid w:val="00400738"/>
    <w:rsid w:val="0040087B"/>
    <w:rsid w:val="00400882"/>
    <w:rsid w:val="00400B2D"/>
    <w:rsid w:val="00400BCD"/>
    <w:rsid w:val="00400F88"/>
    <w:rsid w:val="00401033"/>
    <w:rsid w:val="0040178E"/>
    <w:rsid w:val="00401AEC"/>
    <w:rsid w:val="00401DD0"/>
    <w:rsid w:val="0040201B"/>
    <w:rsid w:val="00402024"/>
    <w:rsid w:val="0040211A"/>
    <w:rsid w:val="0040216C"/>
    <w:rsid w:val="004021F0"/>
    <w:rsid w:val="004028A7"/>
    <w:rsid w:val="00402B05"/>
    <w:rsid w:val="00402D38"/>
    <w:rsid w:val="00402D99"/>
    <w:rsid w:val="00402E8E"/>
    <w:rsid w:val="00402EBF"/>
    <w:rsid w:val="00403239"/>
    <w:rsid w:val="004034B0"/>
    <w:rsid w:val="00403589"/>
    <w:rsid w:val="00403997"/>
    <w:rsid w:val="00403CC6"/>
    <w:rsid w:val="004043D6"/>
    <w:rsid w:val="004046A8"/>
    <w:rsid w:val="004047DA"/>
    <w:rsid w:val="00404BF1"/>
    <w:rsid w:val="00404CDD"/>
    <w:rsid w:val="00404E1E"/>
    <w:rsid w:val="0040543D"/>
    <w:rsid w:val="00405A43"/>
    <w:rsid w:val="00406295"/>
    <w:rsid w:val="0040642A"/>
    <w:rsid w:val="00406504"/>
    <w:rsid w:val="00406A54"/>
    <w:rsid w:val="0040723E"/>
    <w:rsid w:val="004074B6"/>
    <w:rsid w:val="00407911"/>
    <w:rsid w:val="00410084"/>
    <w:rsid w:val="00410526"/>
    <w:rsid w:val="00410777"/>
    <w:rsid w:val="00410D3E"/>
    <w:rsid w:val="00410D83"/>
    <w:rsid w:val="0041146C"/>
    <w:rsid w:val="0041190F"/>
    <w:rsid w:val="00411A2A"/>
    <w:rsid w:val="00411C93"/>
    <w:rsid w:val="004120F7"/>
    <w:rsid w:val="00412369"/>
    <w:rsid w:val="00412C77"/>
    <w:rsid w:val="00412C7B"/>
    <w:rsid w:val="00412EBA"/>
    <w:rsid w:val="00413240"/>
    <w:rsid w:val="00413294"/>
    <w:rsid w:val="00413AF6"/>
    <w:rsid w:val="00413B30"/>
    <w:rsid w:val="00413C04"/>
    <w:rsid w:val="00413CE2"/>
    <w:rsid w:val="00413F9A"/>
    <w:rsid w:val="00414383"/>
    <w:rsid w:val="00414413"/>
    <w:rsid w:val="0041454D"/>
    <w:rsid w:val="00414ECB"/>
    <w:rsid w:val="00414F6E"/>
    <w:rsid w:val="0041517B"/>
    <w:rsid w:val="00415556"/>
    <w:rsid w:val="00415C9E"/>
    <w:rsid w:val="00415FC5"/>
    <w:rsid w:val="004161FF"/>
    <w:rsid w:val="0041645D"/>
    <w:rsid w:val="0041655A"/>
    <w:rsid w:val="00416942"/>
    <w:rsid w:val="00416B0B"/>
    <w:rsid w:val="00416B20"/>
    <w:rsid w:val="00416C6F"/>
    <w:rsid w:val="00417517"/>
    <w:rsid w:val="0041761A"/>
    <w:rsid w:val="00417668"/>
    <w:rsid w:val="00417A71"/>
    <w:rsid w:val="00417B97"/>
    <w:rsid w:val="004202D2"/>
    <w:rsid w:val="00420610"/>
    <w:rsid w:val="00420843"/>
    <w:rsid w:val="00420C89"/>
    <w:rsid w:val="00421203"/>
    <w:rsid w:val="004215F1"/>
    <w:rsid w:val="004218EF"/>
    <w:rsid w:val="00421C1C"/>
    <w:rsid w:val="00421CE1"/>
    <w:rsid w:val="00421F9D"/>
    <w:rsid w:val="00422219"/>
    <w:rsid w:val="004222C6"/>
    <w:rsid w:val="00422ECD"/>
    <w:rsid w:val="00423055"/>
    <w:rsid w:val="004230FC"/>
    <w:rsid w:val="00423360"/>
    <w:rsid w:val="004236C8"/>
    <w:rsid w:val="00423F1F"/>
    <w:rsid w:val="00424011"/>
    <w:rsid w:val="00424122"/>
    <w:rsid w:val="004246BB"/>
    <w:rsid w:val="00424976"/>
    <w:rsid w:val="004249B7"/>
    <w:rsid w:val="00424BA1"/>
    <w:rsid w:val="00424D0D"/>
    <w:rsid w:val="00424D8C"/>
    <w:rsid w:val="004251C4"/>
    <w:rsid w:val="00425F0C"/>
    <w:rsid w:val="00426336"/>
    <w:rsid w:val="0042644C"/>
    <w:rsid w:val="00426812"/>
    <w:rsid w:val="0042683B"/>
    <w:rsid w:val="00426B4B"/>
    <w:rsid w:val="00426E26"/>
    <w:rsid w:val="00427062"/>
    <w:rsid w:val="00427758"/>
    <w:rsid w:val="00427E94"/>
    <w:rsid w:val="0043067C"/>
    <w:rsid w:val="004306D8"/>
    <w:rsid w:val="00431004"/>
    <w:rsid w:val="0043143C"/>
    <w:rsid w:val="0043174B"/>
    <w:rsid w:val="004317EA"/>
    <w:rsid w:val="00431B4A"/>
    <w:rsid w:val="00431E80"/>
    <w:rsid w:val="0043219E"/>
    <w:rsid w:val="00432237"/>
    <w:rsid w:val="004322EA"/>
    <w:rsid w:val="00432648"/>
    <w:rsid w:val="00432A5E"/>
    <w:rsid w:val="00432A7F"/>
    <w:rsid w:val="00432AD3"/>
    <w:rsid w:val="00432E5A"/>
    <w:rsid w:val="00433097"/>
    <w:rsid w:val="00433612"/>
    <w:rsid w:val="00433AB2"/>
    <w:rsid w:val="00433C76"/>
    <w:rsid w:val="00433FCD"/>
    <w:rsid w:val="00433FF7"/>
    <w:rsid w:val="004341C4"/>
    <w:rsid w:val="004342D0"/>
    <w:rsid w:val="00434890"/>
    <w:rsid w:val="00434C8D"/>
    <w:rsid w:val="00435049"/>
    <w:rsid w:val="004356C9"/>
    <w:rsid w:val="00435700"/>
    <w:rsid w:val="004357E8"/>
    <w:rsid w:val="00435EFE"/>
    <w:rsid w:val="004361AC"/>
    <w:rsid w:val="004367CC"/>
    <w:rsid w:val="00436A9E"/>
    <w:rsid w:val="00436C7C"/>
    <w:rsid w:val="00437927"/>
    <w:rsid w:val="00440244"/>
    <w:rsid w:val="00441C55"/>
    <w:rsid w:val="00442A6D"/>
    <w:rsid w:val="00442FAA"/>
    <w:rsid w:val="00443057"/>
    <w:rsid w:val="0044306B"/>
    <w:rsid w:val="00443104"/>
    <w:rsid w:val="004433AF"/>
    <w:rsid w:val="004437B1"/>
    <w:rsid w:val="00443A24"/>
    <w:rsid w:val="0044425C"/>
    <w:rsid w:val="00444A39"/>
    <w:rsid w:val="00444BA9"/>
    <w:rsid w:val="00444ED8"/>
    <w:rsid w:val="0044562E"/>
    <w:rsid w:val="00445B77"/>
    <w:rsid w:val="00445F75"/>
    <w:rsid w:val="0044601A"/>
    <w:rsid w:val="00446B8E"/>
    <w:rsid w:val="00446C7E"/>
    <w:rsid w:val="00446D1F"/>
    <w:rsid w:val="00446FF6"/>
    <w:rsid w:val="00447628"/>
    <w:rsid w:val="0044765D"/>
    <w:rsid w:val="00447946"/>
    <w:rsid w:val="00450507"/>
    <w:rsid w:val="00450722"/>
    <w:rsid w:val="00450905"/>
    <w:rsid w:val="00450DC3"/>
    <w:rsid w:val="00451EEC"/>
    <w:rsid w:val="0045221B"/>
    <w:rsid w:val="004523CD"/>
    <w:rsid w:val="0045297A"/>
    <w:rsid w:val="00452C3A"/>
    <w:rsid w:val="00452F54"/>
    <w:rsid w:val="0045398E"/>
    <w:rsid w:val="00453A18"/>
    <w:rsid w:val="00453FCA"/>
    <w:rsid w:val="00454643"/>
    <w:rsid w:val="004547FF"/>
    <w:rsid w:val="00454853"/>
    <w:rsid w:val="004549CF"/>
    <w:rsid w:val="004552D3"/>
    <w:rsid w:val="0045572C"/>
    <w:rsid w:val="004557C1"/>
    <w:rsid w:val="004558E8"/>
    <w:rsid w:val="00455CA8"/>
    <w:rsid w:val="00455D13"/>
    <w:rsid w:val="00455E82"/>
    <w:rsid w:val="00456C72"/>
    <w:rsid w:val="00457225"/>
    <w:rsid w:val="004577FE"/>
    <w:rsid w:val="00457B31"/>
    <w:rsid w:val="00457C10"/>
    <w:rsid w:val="00457E85"/>
    <w:rsid w:val="004601C9"/>
    <w:rsid w:val="00460284"/>
    <w:rsid w:val="0046034B"/>
    <w:rsid w:val="00460848"/>
    <w:rsid w:val="00460ABD"/>
    <w:rsid w:val="00460D25"/>
    <w:rsid w:val="004611FA"/>
    <w:rsid w:val="0046129D"/>
    <w:rsid w:val="004613D1"/>
    <w:rsid w:val="004616E8"/>
    <w:rsid w:val="00461A88"/>
    <w:rsid w:val="00461EEB"/>
    <w:rsid w:val="00462237"/>
    <w:rsid w:val="004626B1"/>
    <w:rsid w:val="004626DC"/>
    <w:rsid w:val="00462ADB"/>
    <w:rsid w:val="004631E9"/>
    <w:rsid w:val="00463215"/>
    <w:rsid w:val="004632B2"/>
    <w:rsid w:val="0046335A"/>
    <w:rsid w:val="004637BB"/>
    <w:rsid w:val="00463B88"/>
    <w:rsid w:val="00463EB9"/>
    <w:rsid w:val="00464101"/>
    <w:rsid w:val="00464730"/>
    <w:rsid w:val="0046495A"/>
    <w:rsid w:val="0046516E"/>
    <w:rsid w:val="004658F5"/>
    <w:rsid w:val="00465EDB"/>
    <w:rsid w:val="00466889"/>
    <w:rsid w:val="00466A1D"/>
    <w:rsid w:val="00466CD3"/>
    <w:rsid w:val="00467115"/>
    <w:rsid w:val="004672FC"/>
    <w:rsid w:val="00467743"/>
    <w:rsid w:val="00467767"/>
    <w:rsid w:val="00467B24"/>
    <w:rsid w:val="004705C2"/>
    <w:rsid w:val="0047094A"/>
    <w:rsid w:val="00470BF1"/>
    <w:rsid w:val="00470C59"/>
    <w:rsid w:val="0047103F"/>
    <w:rsid w:val="00471375"/>
    <w:rsid w:val="004716F6"/>
    <w:rsid w:val="004719E8"/>
    <w:rsid w:val="004720C9"/>
    <w:rsid w:val="0047226A"/>
    <w:rsid w:val="00472483"/>
    <w:rsid w:val="004725A4"/>
    <w:rsid w:val="004728D9"/>
    <w:rsid w:val="00472966"/>
    <w:rsid w:val="00472C86"/>
    <w:rsid w:val="00473286"/>
    <w:rsid w:val="00474090"/>
    <w:rsid w:val="00474413"/>
    <w:rsid w:val="00474B3F"/>
    <w:rsid w:val="00474BA5"/>
    <w:rsid w:val="00474C46"/>
    <w:rsid w:val="00474D5E"/>
    <w:rsid w:val="00475194"/>
    <w:rsid w:val="00475222"/>
    <w:rsid w:val="00476111"/>
    <w:rsid w:val="00476205"/>
    <w:rsid w:val="004769CF"/>
    <w:rsid w:val="004769E3"/>
    <w:rsid w:val="00476B79"/>
    <w:rsid w:val="00476C61"/>
    <w:rsid w:val="00476D09"/>
    <w:rsid w:val="00476FEB"/>
    <w:rsid w:val="004772CD"/>
    <w:rsid w:val="0047740C"/>
    <w:rsid w:val="00477BE6"/>
    <w:rsid w:val="00477DBD"/>
    <w:rsid w:val="00477E42"/>
    <w:rsid w:val="004800EC"/>
    <w:rsid w:val="00480244"/>
    <w:rsid w:val="00480667"/>
    <w:rsid w:val="004808C7"/>
    <w:rsid w:val="00480975"/>
    <w:rsid w:val="00480B60"/>
    <w:rsid w:val="00480CE1"/>
    <w:rsid w:val="0048119B"/>
    <w:rsid w:val="004815D7"/>
    <w:rsid w:val="00481D4D"/>
    <w:rsid w:val="004823E4"/>
    <w:rsid w:val="004831C5"/>
    <w:rsid w:val="00483257"/>
    <w:rsid w:val="004834F6"/>
    <w:rsid w:val="004839C1"/>
    <w:rsid w:val="00483BAB"/>
    <w:rsid w:val="00483CE0"/>
    <w:rsid w:val="004842F3"/>
    <w:rsid w:val="0048448D"/>
    <w:rsid w:val="00484BE3"/>
    <w:rsid w:val="00484E6A"/>
    <w:rsid w:val="00485262"/>
    <w:rsid w:val="00485720"/>
    <w:rsid w:val="004858D3"/>
    <w:rsid w:val="00485A4C"/>
    <w:rsid w:val="00486059"/>
    <w:rsid w:val="004862B5"/>
    <w:rsid w:val="00486F29"/>
    <w:rsid w:val="004870E0"/>
    <w:rsid w:val="00487128"/>
    <w:rsid w:val="004873AE"/>
    <w:rsid w:val="0048790C"/>
    <w:rsid w:val="00487BDA"/>
    <w:rsid w:val="00487F68"/>
    <w:rsid w:val="00487FF8"/>
    <w:rsid w:val="0049021D"/>
    <w:rsid w:val="00490AF9"/>
    <w:rsid w:val="00490BEE"/>
    <w:rsid w:val="00490C4A"/>
    <w:rsid w:val="00491F9E"/>
    <w:rsid w:val="0049246C"/>
    <w:rsid w:val="0049264B"/>
    <w:rsid w:val="00492B63"/>
    <w:rsid w:val="00492BC9"/>
    <w:rsid w:val="00492F63"/>
    <w:rsid w:val="0049323D"/>
    <w:rsid w:val="004933B1"/>
    <w:rsid w:val="0049363D"/>
    <w:rsid w:val="00493A93"/>
    <w:rsid w:val="004941BC"/>
    <w:rsid w:val="004941BE"/>
    <w:rsid w:val="00494CE2"/>
    <w:rsid w:val="00495EDA"/>
    <w:rsid w:val="00496CF0"/>
    <w:rsid w:val="00496EBD"/>
    <w:rsid w:val="0049760E"/>
    <w:rsid w:val="004A0141"/>
    <w:rsid w:val="004A02AB"/>
    <w:rsid w:val="004A0A87"/>
    <w:rsid w:val="004A1100"/>
    <w:rsid w:val="004A157E"/>
    <w:rsid w:val="004A1914"/>
    <w:rsid w:val="004A2141"/>
    <w:rsid w:val="004A2563"/>
    <w:rsid w:val="004A279C"/>
    <w:rsid w:val="004A2B26"/>
    <w:rsid w:val="004A42A0"/>
    <w:rsid w:val="004A4AFA"/>
    <w:rsid w:val="004A4B92"/>
    <w:rsid w:val="004A4EF1"/>
    <w:rsid w:val="004A5233"/>
    <w:rsid w:val="004A5305"/>
    <w:rsid w:val="004A5659"/>
    <w:rsid w:val="004A58CA"/>
    <w:rsid w:val="004A5AA0"/>
    <w:rsid w:val="004A5AF4"/>
    <w:rsid w:val="004A6011"/>
    <w:rsid w:val="004A6065"/>
    <w:rsid w:val="004A60E4"/>
    <w:rsid w:val="004A63AD"/>
    <w:rsid w:val="004A66FE"/>
    <w:rsid w:val="004A6760"/>
    <w:rsid w:val="004A7140"/>
    <w:rsid w:val="004A75BB"/>
    <w:rsid w:val="004A7B39"/>
    <w:rsid w:val="004A7DA6"/>
    <w:rsid w:val="004A7DFF"/>
    <w:rsid w:val="004B069F"/>
    <w:rsid w:val="004B0C09"/>
    <w:rsid w:val="004B1281"/>
    <w:rsid w:val="004B1503"/>
    <w:rsid w:val="004B18E9"/>
    <w:rsid w:val="004B2259"/>
    <w:rsid w:val="004B298B"/>
    <w:rsid w:val="004B2D0A"/>
    <w:rsid w:val="004B378B"/>
    <w:rsid w:val="004B3E30"/>
    <w:rsid w:val="004B3E3F"/>
    <w:rsid w:val="004B4099"/>
    <w:rsid w:val="004B43E0"/>
    <w:rsid w:val="004B4A35"/>
    <w:rsid w:val="004B5758"/>
    <w:rsid w:val="004B5CE5"/>
    <w:rsid w:val="004B6B0A"/>
    <w:rsid w:val="004B754E"/>
    <w:rsid w:val="004B7561"/>
    <w:rsid w:val="004B7A25"/>
    <w:rsid w:val="004B7B4C"/>
    <w:rsid w:val="004C029A"/>
    <w:rsid w:val="004C0347"/>
    <w:rsid w:val="004C04AB"/>
    <w:rsid w:val="004C075E"/>
    <w:rsid w:val="004C0898"/>
    <w:rsid w:val="004C0932"/>
    <w:rsid w:val="004C0A82"/>
    <w:rsid w:val="004C0BF6"/>
    <w:rsid w:val="004C13F2"/>
    <w:rsid w:val="004C166F"/>
    <w:rsid w:val="004C1C73"/>
    <w:rsid w:val="004C2955"/>
    <w:rsid w:val="004C29C8"/>
    <w:rsid w:val="004C2C2E"/>
    <w:rsid w:val="004C33BC"/>
    <w:rsid w:val="004C33D9"/>
    <w:rsid w:val="004C40E6"/>
    <w:rsid w:val="004C4321"/>
    <w:rsid w:val="004C4AF8"/>
    <w:rsid w:val="004C4B2B"/>
    <w:rsid w:val="004C4F3B"/>
    <w:rsid w:val="004C5050"/>
    <w:rsid w:val="004C56E5"/>
    <w:rsid w:val="004C5702"/>
    <w:rsid w:val="004C59BF"/>
    <w:rsid w:val="004C5AD0"/>
    <w:rsid w:val="004C6A26"/>
    <w:rsid w:val="004C6FC8"/>
    <w:rsid w:val="004C74C3"/>
    <w:rsid w:val="004D01C3"/>
    <w:rsid w:val="004D023D"/>
    <w:rsid w:val="004D04B3"/>
    <w:rsid w:val="004D08A4"/>
    <w:rsid w:val="004D0F03"/>
    <w:rsid w:val="004D10FF"/>
    <w:rsid w:val="004D13BD"/>
    <w:rsid w:val="004D1602"/>
    <w:rsid w:val="004D2520"/>
    <w:rsid w:val="004D2691"/>
    <w:rsid w:val="004D2B56"/>
    <w:rsid w:val="004D2C22"/>
    <w:rsid w:val="004D2C65"/>
    <w:rsid w:val="004D2F0E"/>
    <w:rsid w:val="004D2FC4"/>
    <w:rsid w:val="004D356D"/>
    <w:rsid w:val="004D3969"/>
    <w:rsid w:val="004D39AE"/>
    <w:rsid w:val="004D4156"/>
    <w:rsid w:val="004D496B"/>
    <w:rsid w:val="004D4A1A"/>
    <w:rsid w:val="004D4A23"/>
    <w:rsid w:val="004D4B18"/>
    <w:rsid w:val="004D4CFD"/>
    <w:rsid w:val="004D4D1D"/>
    <w:rsid w:val="004D5990"/>
    <w:rsid w:val="004D59A0"/>
    <w:rsid w:val="004D5E5A"/>
    <w:rsid w:val="004D5EC7"/>
    <w:rsid w:val="004D5F60"/>
    <w:rsid w:val="004D60B8"/>
    <w:rsid w:val="004D6655"/>
    <w:rsid w:val="004D6907"/>
    <w:rsid w:val="004D6D38"/>
    <w:rsid w:val="004D6FA2"/>
    <w:rsid w:val="004D7479"/>
    <w:rsid w:val="004D781D"/>
    <w:rsid w:val="004D7902"/>
    <w:rsid w:val="004D7983"/>
    <w:rsid w:val="004D7F7A"/>
    <w:rsid w:val="004E0383"/>
    <w:rsid w:val="004E0B8F"/>
    <w:rsid w:val="004E0E7F"/>
    <w:rsid w:val="004E1482"/>
    <w:rsid w:val="004E18E7"/>
    <w:rsid w:val="004E1B71"/>
    <w:rsid w:val="004E2755"/>
    <w:rsid w:val="004E2803"/>
    <w:rsid w:val="004E2A69"/>
    <w:rsid w:val="004E2BBB"/>
    <w:rsid w:val="004E309E"/>
    <w:rsid w:val="004E3496"/>
    <w:rsid w:val="004E391C"/>
    <w:rsid w:val="004E5361"/>
    <w:rsid w:val="004E5970"/>
    <w:rsid w:val="004E5ADF"/>
    <w:rsid w:val="004E5C54"/>
    <w:rsid w:val="004E61D4"/>
    <w:rsid w:val="004E632D"/>
    <w:rsid w:val="004E634E"/>
    <w:rsid w:val="004E6E24"/>
    <w:rsid w:val="004E70FE"/>
    <w:rsid w:val="004E7250"/>
    <w:rsid w:val="004E773F"/>
    <w:rsid w:val="004E7C51"/>
    <w:rsid w:val="004E7C5E"/>
    <w:rsid w:val="004F052A"/>
    <w:rsid w:val="004F086F"/>
    <w:rsid w:val="004F0BD8"/>
    <w:rsid w:val="004F0C36"/>
    <w:rsid w:val="004F0E0B"/>
    <w:rsid w:val="004F10F0"/>
    <w:rsid w:val="004F1127"/>
    <w:rsid w:val="004F1982"/>
    <w:rsid w:val="004F1B14"/>
    <w:rsid w:val="004F29C3"/>
    <w:rsid w:val="004F2D66"/>
    <w:rsid w:val="004F2E01"/>
    <w:rsid w:val="004F2E37"/>
    <w:rsid w:val="004F2E75"/>
    <w:rsid w:val="004F309B"/>
    <w:rsid w:val="004F379E"/>
    <w:rsid w:val="004F390F"/>
    <w:rsid w:val="004F4AA7"/>
    <w:rsid w:val="004F5118"/>
    <w:rsid w:val="004F583B"/>
    <w:rsid w:val="004F5A29"/>
    <w:rsid w:val="004F5E56"/>
    <w:rsid w:val="004F6A1C"/>
    <w:rsid w:val="004F6D7E"/>
    <w:rsid w:val="004F6EEF"/>
    <w:rsid w:val="004F7715"/>
    <w:rsid w:val="004F7813"/>
    <w:rsid w:val="004F7CE4"/>
    <w:rsid w:val="004F7EEF"/>
    <w:rsid w:val="005006A4"/>
    <w:rsid w:val="0050099B"/>
    <w:rsid w:val="00501329"/>
    <w:rsid w:val="00501401"/>
    <w:rsid w:val="00501829"/>
    <w:rsid w:val="00501DE5"/>
    <w:rsid w:val="00501E38"/>
    <w:rsid w:val="00501FA9"/>
    <w:rsid w:val="00501FB9"/>
    <w:rsid w:val="00502CE6"/>
    <w:rsid w:val="00502DF0"/>
    <w:rsid w:val="00502DF5"/>
    <w:rsid w:val="00503753"/>
    <w:rsid w:val="00503959"/>
    <w:rsid w:val="00504A1E"/>
    <w:rsid w:val="00504D9A"/>
    <w:rsid w:val="00505180"/>
    <w:rsid w:val="005051E3"/>
    <w:rsid w:val="00505441"/>
    <w:rsid w:val="00505879"/>
    <w:rsid w:val="00505DE6"/>
    <w:rsid w:val="0050664E"/>
    <w:rsid w:val="0050665F"/>
    <w:rsid w:val="00506B8B"/>
    <w:rsid w:val="00506DAA"/>
    <w:rsid w:val="005070CF"/>
    <w:rsid w:val="0050712A"/>
    <w:rsid w:val="00507BE7"/>
    <w:rsid w:val="00510450"/>
    <w:rsid w:val="005106B4"/>
    <w:rsid w:val="00510AE2"/>
    <w:rsid w:val="00511997"/>
    <w:rsid w:val="00511A0B"/>
    <w:rsid w:val="00511D96"/>
    <w:rsid w:val="005121F6"/>
    <w:rsid w:val="00512222"/>
    <w:rsid w:val="005124FD"/>
    <w:rsid w:val="00512664"/>
    <w:rsid w:val="00512775"/>
    <w:rsid w:val="00513780"/>
    <w:rsid w:val="00513897"/>
    <w:rsid w:val="00513B9A"/>
    <w:rsid w:val="00513E2A"/>
    <w:rsid w:val="0051432A"/>
    <w:rsid w:val="0051495E"/>
    <w:rsid w:val="00515306"/>
    <w:rsid w:val="00515563"/>
    <w:rsid w:val="005155B2"/>
    <w:rsid w:val="005155B8"/>
    <w:rsid w:val="0051569A"/>
    <w:rsid w:val="00515ABF"/>
    <w:rsid w:val="00515DC9"/>
    <w:rsid w:val="00516008"/>
    <w:rsid w:val="00516104"/>
    <w:rsid w:val="005166A8"/>
    <w:rsid w:val="00516756"/>
    <w:rsid w:val="00516916"/>
    <w:rsid w:val="00516F08"/>
    <w:rsid w:val="0051711D"/>
    <w:rsid w:val="00517647"/>
    <w:rsid w:val="00517B60"/>
    <w:rsid w:val="005207BC"/>
    <w:rsid w:val="0052097D"/>
    <w:rsid w:val="00520FEC"/>
    <w:rsid w:val="0052132F"/>
    <w:rsid w:val="00521940"/>
    <w:rsid w:val="00521FA3"/>
    <w:rsid w:val="0052236B"/>
    <w:rsid w:val="0052237C"/>
    <w:rsid w:val="005226EE"/>
    <w:rsid w:val="00522936"/>
    <w:rsid w:val="00522CD8"/>
    <w:rsid w:val="005232E6"/>
    <w:rsid w:val="005232FC"/>
    <w:rsid w:val="005238D0"/>
    <w:rsid w:val="0052397C"/>
    <w:rsid w:val="00523C18"/>
    <w:rsid w:val="00523CC4"/>
    <w:rsid w:val="00524037"/>
    <w:rsid w:val="00524091"/>
    <w:rsid w:val="00524241"/>
    <w:rsid w:val="005244FE"/>
    <w:rsid w:val="00524B61"/>
    <w:rsid w:val="00524BBC"/>
    <w:rsid w:val="00525160"/>
    <w:rsid w:val="00525616"/>
    <w:rsid w:val="0052594F"/>
    <w:rsid w:val="00525D5D"/>
    <w:rsid w:val="00526278"/>
    <w:rsid w:val="00526289"/>
    <w:rsid w:val="00526B08"/>
    <w:rsid w:val="00526BC6"/>
    <w:rsid w:val="00526CB0"/>
    <w:rsid w:val="00526CBB"/>
    <w:rsid w:val="00526DBD"/>
    <w:rsid w:val="00527960"/>
    <w:rsid w:val="005279FC"/>
    <w:rsid w:val="00527D61"/>
    <w:rsid w:val="00527E1E"/>
    <w:rsid w:val="00530326"/>
    <w:rsid w:val="005307A4"/>
    <w:rsid w:val="00530B46"/>
    <w:rsid w:val="00530C58"/>
    <w:rsid w:val="00530CC1"/>
    <w:rsid w:val="00530D6C"/>
    <w:rsid w:val="00531189"/>
    <w:rsid w:val="00531370"/>
    <w:rsid w:val="00531678"/>
    <w:rsid w:val="00531AD3"/>
    <w:rsid w:val="00531B08"/>
    <w:rsid w:val="00531C97"/>
    <w:rsid w:val="00532221"/>
    <w:rsid w:val="00532642"/>
    <w:rsid w:val="005328AC"/>
    <w:rsid w:val="00532DBD"/>
    <w:rsid w:val="00532F0B"/>
    <w:rsid w:val="00533158"/>
    <w:rsid w:val="00533364"/>
    <w:rsid w:val="0053347C"/>
    <w:rsid w:val="005334F5"/>
    <w:rsid w:val="00533A9B"/>
    <w:rsid w:val="00533C64"/>
    <w:rsid w:val="00533C66"/>
    <w:rsid w:val="005340E9"/>
    <w:rsid w:val="00534101"/>
    <w:rsid w:val="0053496C"/>
    <w:rsid w:val="005351AF"/>
    <w:rsid w:val="00535450"/>
    <w:rsid w:val="00535662"/>
    <w:rsid w:val="00535669"/>
    <w:rsid w:val="005358E8"/>
    <w:rsid w:val="00535B3D"/>
    <w:rsid w:val="00535DEE"/>
    <w:rsid w:val="00535F90"/>
    <w:rsid w:val="005366A9"/>
    <w:rsid w:val="00536948"/>
    <w:rsid w:val="00536A80"/>
    <w:rsid w:val="00537E3F"/>
    <w:rsid w:val="00540012"/>
    <w:rsid w:val="00540150"/>
    <w:rsid w:val="005401C0"/>
    <w:rsid w:val="0054050D"/>
    <w:rsid w:val="005409FA"/>
    <w:rsid w:val="00541225"/>
    <w:rsid w:val="005412A3"/>
    <w:rsid w:val="00541330"/>
    <w:rsid w:val="005415BE"/>
    <w:rsid w:val="00541874"/>
    <w:rsid w:val="00541BF3"/>
    <w:rsid w:val="00541FDA"/>
    <w:rsid w:val="0054244A"/>
    <w:rsid w:val="0054305E"/>
    <w:rsid w:val="0054383D"/>
    <w:rsid w:val="00543999"/>
    <w:rsid w:val="00543C56"/>
    <w:rsid w:val="00543E62"/>
    <w:rsid w:val="00543F68"/>
    <w:rsid w:val="00543FBD"/>
    <w:rsid w:val="00544BE4"/>
    <w:rsid w:val="00544CC0"/>
    <w:rsid w:val="00544FB5"/>
    <w:rsid w:val="005451F9"/>
    <w:rsid w:val="0054553C"/>
    <w:rsid w:val="00545EDD"/>
    <w:rsid w:val="00545F75"/>
    <w:rsid w:val="0054665A"/>
    <w:rsid w:val="00546B24"/>
    <w:rsid w:val="00546C2D"/>
    <w:rsid w:val="00546D5F"/>
    <w:rsid w:val="00546E7B"/>
    <w:rsid w:val="005470BB"/>
    <w:rsid w:val="005470BD"/>
    <w:rsid w:val="0054755E"/>
    <w:rsid w:val="00547F9F"/>
    <w:rsid w:val="005503D6"/>
    <w:rsid w:val="00550560"/>
    <w:rsid w:val="00550764"/>
    <w:rsid w:val="0055079F"/>
    <w:rsid w:val="00550A9C"/>
    <w:rsid w:val="00550BC7"/>
    <w:rsid w:val="00550E6C"/>
    <w:rsid w:val="00551466"/>
    <w:rsid w:val="005519DA"/>
    <w:rsid w:val="00552477"/>
    <w:rsid w:val="00552CC8"/>
    <w:rsid w:val="00552F47"/>
    <w:rsid w:val="0055364C"/>
    <w:rsid w:val="00553BAD"/>
    <w:rsid w:val="00553BAF"/>
    <w:rsid w:val="00553E18"/>
    <w:rsid w:val="00554A80"/>
    <w:rsid w:val="00554B5E"/>
    <w:rsid w:val="00554E4C"/>
    <w:rsid w:val="00554EB2"/>
    <w:rsid w:val="005550D2"/>
    <w:rsid w:val="00555296"/>
    <w:rsid w:val="00555403"/>
    <w:rsid w:val="00555463"/>
    <w:rsid w:val="005554D5"/>
    <w:rsid w:val="005557A4"/>
    <w:rsid w:val="00555BBA"/>
    <w:rsid w:val="00555EE7"/>
    <w:rsid w:val="00555F20"/>
    <w:rsid w:val="0055600E"/>
    <w:rsid w:val="005560BD"/>
    <w:rsid w:val="00556FF2"/>
    <w:rsid w:val="0055730B"/>
    <w:rsid w:val="0055738E"/>
    <w:rsid w:val="005574E7"/>
    <w:rsid w:val="0055755B"/>
    <w:rsid w:val="0055782C"/>
    <w:rsid w:val="00560209"/>
    <w:rsid w:val="0056029A"/>
    <w:rsid w:val="005607ED"/>
    <w:rsid w:val="005618DC"/>
    <w:rsid w:val="00561DE0"/>
    <w:rsid w:val="00562EB6"/>
    <w:rsid w:val="00563DD6"/>
    <w:rsid w:val="00564069"/>
    <w:rsid w:val="00564DDA"/>
    <w:rsid w:val="00564E18"/>
    <w:rsid w:val="0056612D"/>
    <w:rsid w:val="0056619E"/>
    <w:rsid w:val="0056685F"/>
    <w:rsid w:val="005670DB"/>
    <w:rsid w:val="005673C7"/>
    <w:rsid w:val="00567524"/>
    <w:rsid w:val="005678C5"/>
    <w:rsid w:val="00567E8E"/>
    <w:rsid w:val="00570252"/>
    <w:rsid w:val="00570471"/>
    <w:rsid w:val="005705FD"/>
    <w:rsid w:val="00570B00"/>
    <w:rsid w:val="00570F86"/>
    <w:rsid w:val="005712B9"/>
    <w:rsid w:val="005712E4"/>
    <w:rsid w:val="005716F7"/>
    <w:rsid w:val="0057186E"/>
    <w:rsid w:val="00571C4E"/>
    <w:rsid w:val="00572285"/>
    <w:rsid w:val="005722F3"/>
    <w:rsid w:val="005724F5"/>
    <w:rsid w:val="00572672"/>
    <w:rsid w:val="005726BE"/>
    <w:rsid w:val="0057270D"/>
    <w:rsid w:val="00572A38"/>
    <w:rsid w:val="00572CEC"/>
    <w:rsid w:val="00573A9F"/>
    <w:rsid w:val="00574694"/>
    <w:rsid w:val="005749FB"/>
    <w:rsid w:val="00575841"/>
    <w:rsid w:val="00575C72"/>
    <w:rsid w:val="00576235"/>
    <w:rsid w:val="00577073"/>
    <w:rsid w:val="00577546"/>
    <w:rsid w:val="005775F3"/>
    <w:rsid w:val="005778EE"/>
    <w:rsid w:val="0057791C"/>
    <w:rsid w:val="005779EE"/>
    <w:rsid w:val="00577A98"/>
    <w:rsid w:val="005800FF"/>
    <w:rsid w:val="005803CC"/>
    <w:rsid w:val="00580405"/>
    <w:rsid w:val="0058059B"/>
    <w:rsid w:val="005805B2"/>
    <w:rsid w:val="00580967"/>
    <w:rsid w:val="00580A32"/>
    <w:rsid w:val="00580B3E"/>
    <w:rsid w:val="00580D2C"/>
    <w:rsid w:val="0058126D"/>
    <w:rsid w:val="00581732"/>
    <w:rsid w:val="005818AF"/>
    <w:rsid w:val="00581F7B"/>
    <w:rsid w:val="00582155"/>
    <w:rsid w:val="005822A9"/>
    <w:rsid w:val="005824C6"/>
    <w:rsid w:val="0058277F"/>
    <w:rsid w:val="00582D86"/>
    <w:rsid w:val="0058384E"/>
    <w:rsid w:val="00583D43"/>
    <w:rsid w:val="00583F20"/>
    <w:rsid w:val="00584181"/>
    <w:rsid w:val="00584919"/>
    <w:rsid w:val="00584CC7"/>
    <w:rsid w:val="0058509F"/>
    <w:rsid w:val="0058548D"/>
    <w:rsid w:val="00585615"/>
    <w:rsid w:val="0058584F"/>
    <w:rsid w:val="00585C32"/>
    <w:rsid w:val="00586079"/>
    <w:rsid w:val="005866FF"/>
    <w:rsid w:val="005867B0"/>
    <w:rsid w:val="00586A42"/>
    <w:rsid w:val="00586E9E"/>
    <w:rsid w:val="00587833"/>
    <w:rsid w:val="00587B1C"/>
    <w:rsid w:val="00590002"/>
    <w:rsid w:val="0059057E"/>
    <w:rsid w:val="00590C5D"/>
    <w:rsid w:val="00591343"/>
    <w:rsid w:val="005916FC"/>
    <w:rsid w:val="00591700"/>
    <w:rsid w:val="00591AC7"/>
    <w:rsid w:val="005922AE"/>
    <w:rsid w:val="00593034"/>
    <w:rsid w:val="005935B4"/>
    <w:rsid w:val="005938FC"/>
    <w:rsid w:val="00594236"/>
    <w:rsid w:val="00594284"/>
    <w:rsid w:val="00594793"/>
    <w:rsid w:val="005948AC"/>
    <w:rsid w:val="00595431"/>
    <w:rsid w:val="00596162"/>
    <w:rsid w:val="00596BC5"/>
    <w:rsid w:val="00596E4E"/>
    <w:rsid w:val="00597C15"/>
    <w:rsid w:val="00597C72"/>
    <w:rsid w:val="005A08F5"/>
    <w:rsid w:val="005A0F27"/>
    <w:rsid w:val="005A0FA4"/>
    <w:rsid w:val="005A1339"/>
    <w:rsid w:val="005A15D5"/>
    <w:rsid w:val="005A1918"/>
    <w:rsid w:val="005A1D92"/>
    <w:rsid w:val="005A214C"/>
    <w:rsid w:val="005A2B51"/>
    <w:rsid w:val="005A2D88"/>
    <w:rsid w:val="005A2E07"/>
    <w:rsid w:val="005A2F00"/>
    <w:rsid w:val="005A327B"/>
    <w:rsid w:val="005A4586"/>
    <w:rsid w:val="005A47F4"/>
    <w:rsid w:val="005A52C1"/>
    <w:rsid w:val="005A596B"/>
    <w:rsid w:val="005A5A73"/>
    <w:rsid w:val="005A6235"/>
    <w:rsid w:val="005A6807"/>
    <w:rsid w:val="005A69D7"/>
    <w:rsid w:val="005A6BC0"/>
    <w:rsid w:val="005A6F43"/>
    <w:rsid w:val="005A6FE9"/>
    <w:rsid w:val="005A7468"/>
    <w:rsid w:val="005A7D1E"/>
    <w:rsid w:val="005A7F09"/>
    <w:rsid w:val="005B03F8"/>
    <w:rsid w:val="005B0A11"/>
    <w:rsid w:val="005B0ADE"/>
    <w:rsid w:val="005B0FD1"/>
    <w:rsid w:val="005B13C1"/>
    <w:rsid w:val="005B1E75"/>
    <w:rsid w:val="005B201B"/>
    <w:rsid w:val="005B26C7"/>
    <w:rsid w:val="005B29A3"/>
    <w:rsid w:val="005B2FC9"/>
    <w:rsid w:val="005B3613"/>
    <w:rsid w:val="005B36CC"/>
    <w:rsid w:val="005B3775"/>
    <w:rsid w:val="005B3935"/>
    <w:rsid w:val="005B3E2F"/>
    <w:rsid w:val="005B3E71"/>
    <w:rsid w:val="005B4DBE"/>
    <w:rsid w:val="005B4F2E"/>
    <w:rsid w:val="005B50D8"/>
    <w:rsid w:val="005B529F"/>
    <w:rsid w:val="005B58B8"/>
    <w:rsid w:val="005B59A8"/>
    <w:rsid w:val="005B59FF"/>
    <w:rsid w:val="005B61D4"/>
    <w:rsid w:val="005B68F9"/>
    <w:rsid w:val="005B6AC5"/>
    <w:rsid w:val="005B764F"/>
    <w:rsid w:val="005B7809"/>
    <w:rsid w:val="005B7BC2"/>
    <w:rsid w:val="005B7D06"/>
    <w:rsid w:val="005B7D31"/>
    <w:rsid w:val="005B7E33"/>
    <w:rsid w:val="005B7E71"/>
    <w:rsid w:val="005B7F05"/>
    <w:rsid w:val="005C0717"/>
    <w:rsid w:val="005C09F9"/>
    <w:rsid w:val="005C0B5F"/>
    <w:rsid w:val="005C0DFB"/>
    <w:rsid w:val="005C122D"/>
    <w:rsid w:val="005C12D4"/>
    <w:rsid w:val="005C14C8"/>
    <w:rsid w:val="005C15E3"/>
    <w:rsid w:val="005C177D"/>
    <w:rsid w:val="005C2261"/>
    <w:rsid w:val="005C2512"/>
    <w:rsid w:val="005C26C1"/>
    <w:rsid w:val="005C26D4"/>
    <w:rsid w:val="005C290A"/>
    <w:rsid w:val="005C291E"/>
    <w:rsid w:val="005C2ACA"/>
    <w:rsid w:val="005C33B0"/>
    <w:rsid w:val="005C43CE"/>
    <w:rsid w:val="005C535E"/>
    <w:rsid w:val="005C5582"/>
    <w:rsid w:val="005C569E"/>
    <w:rsid w:val="005C56E4"/>
    <w:rsid w:val="005C5975"/>
    <w:rsid w:val="005C5B0D"/>
    <w:rsid w:val="005C5C01"/>
    <w:rsid w:val="005C605A"/>
    <w:rsid w:val="005C60A1"/>
    <w:rsid w:val="005C679B"/>
    <w:rsid w:val="005C6A26"/>
    <w:rsid w:val="005C6E8C"/>
    <w:rsid w:val="005C7040"/>
    <w:rsid w:val="005C7707"/>
    <w:rsid w:val="005C7B43"/>
    <w:rsid w:val="005C7C27"/>
    <w:rsid w:val="005D02F2"/>
    <w:rsid w:val="005D0E0C"/>
    <w:rsid w:val="005D0ED4"/>
    <w:rsid w:val="005D1825"/>
    <w:rsid w:val="005D1B8B"/>
    <w:rsid w:val="005D1C34"/>
    <w:rsid w:val="005D2300"/>
    <w:rsid w:val="005D2308"/>
    <w:rsid w:val="005D2CD9"/>
    <w:rsid w:val="005D32B7"/>
    <w:rsid w:val="005D377B"/>
    <w:rsid w:val="005D3B69"/>
    <w:rsid w:val="005D3C98"/>
    <w:rsid w:val="005D411F"/>
    <w:rsid w:val="005D470B"/>
    <w:rsid w:val="005D470E"/>
    <w:rsid w:val="005D5255"/>
    <w:rsid w:val="005D59E4"/>
    <w:rsid w:val="005D5AD5"/>
    <w:rsid w:val="005D5B81"/>
    <w:rsid w:val="005D60A5"/>
    <w:rsid w:val="005D61B4"/>
    <w:rsid w:val="005D6378"/>
    <w:rsid w:val="005D650D"/>
    <w:rsid w:val="005D6A24"/>
    <w:rsid w:val="005D6D1A"/>
    <w:rsid w:val="005D6D7A"/>
    <w:rsid w:val="005D746B"/>
    <w:rsid w:val="005D7470"/>
    <w:rsid w:val="005D77BA"/>
    <w:rsid w:val="005D792A"/>
    <w:rsid w:val="005D7CA1"/>
    <w:rsid w:val="005E0781"/>
    <w:rsid w:val="005E0BC6"/>
    <w:rsid w:val="005E0C74"/>
    <w:rsid w:val="005E12E0"/>
    <w:rsid w:val="005E13CD"/>
    <w:rsid w:val="005E13EB"/>
    <w:rsid w:val="005E1708"/>
    <w:rsid w:val="005E1C8A"/>
    <w:rsid w:val="005E1CAC"/>
    <w:rsid w:val="005E1CC7"/>
    <w:rsid w:val="005E1DF3"/>
    <w:rsid w:val="005E1FBD"/>
    <w:rsid w:val="005E2101"/>
    <w:rsid w:val="005E223E"/>
    <w:rsid w:val="005E30DA"/>
    <w:rsid w:val="005E3303"/>
    <w:rsid w:val="005E3643"/>
    <w:rsid w:val="005E3A85"/>
    <w:rsid w:val="005E3E8E"/>
    <w:rsid w:val="005E4172"/>
    <w:rsid w:val="005E48C9"/>
    <w:rsid w:val="005E4AF8"/>
    <w:rsid w:val="005E4BF7"/>
    <w:rsid w:val="005E4C4F"/>
    <w:rsid w:val="005E4C7B"/>
    <w:rsid w:val="005E617A"/>
    <w:rsid w:val="005E688A"/>
    <w:rsid w:val="005E6AAE"/>
    <w:rsid w:val="005E6E3A"/>
    <w:rsid w:val="005E72F5"/>
    <w:rsid w:val="005E72F9"/>
    <w:rsid w:val="005E7352"/>
    <w:rsid w:val="005E75BC"/>
    <w:rsid w:val="005E7D5B"/>
    <w:rsid w:val="005E7F62"/>
    <w:rsid w:val="005F04FC"/>
    <w:rsid w:val="005F0837"/>
    <w:rsid w:val="005F0BFB"/>
    <w:rsid w:val="005F0CC3"/>
    <w:rsid w:val="005F138A"/>
    <w:rsid w:val="005F154B"/>
    <w:rsid w:val="005F17E1"/>
    <w:rsid w:val="005F194A"/>
    <w:rsid w:val="005F1B78"/>
    <w:rsid w:val="005F1BAD"/>
    <w:rsid w:val="005F1BBE"/>
    <w:rsid w:val="005F2736"/>
    <w:rsid w:val="005F2E33"/>
    <w:rsid w:val="005F2E97"/>
    <w:rsid w:val="005F338B"/>
    <w:rsid w:val="005F3417"/>
    <w:rsid w:val="005F3887"/>
    <w:rsid w:val="005F3D60"/>
    <w:rsid w:val="005F4171"/>
    <w:rsid w:val="005F4D3E"/>
    <w:rsid w:val="005F4EB9"/>
    <w:rsid w:val="005F4FA0"/>
    <w:rsid w:val="005F4FE5"/>
    <w:rsid w:val="005F51A3"/>
    <w:rsid w:val="005F55D9"/>
    <w:rsid w:val="005F55DB"/>
    <w:rsid w:val="005F58D3"/>
    <w:rsid w:val="005F5DD9"/>
    <w:rsid w:val="005F657A"/>
    <w:rsid w:val="005F6AE0"/>
    <w:rsid w:val="005F73A2"/>
    <w:rsid w:val="005F74CC"/>
    <w:rsid w:val="005F7CFA"/>
    <w:rsid w:val="0060014E"/>
    <w:rsid w:val="006005EA"/>
    <w:rsid w:val="0060061E"/>
    <w:rsid w:val="006006B6"/>
    <w:rsid w:val="006010CA"/>
    <w:rsid w:val="00601349"/>
    <w:rsid w:val="00601495"/>
    <w:rsid w:val="00601666"/>
    <w:rsid w:val="00601DAA"/>
    <w:rsid w:val="00601EEC"/>
    <w:rsid w:val="006024B4"/>
    <w:rsid w:val="00602BD0"/>
    <w:rsid w:val="0060355B"/>
    <w:rsid w:val="00603CF3"/>
    <w:rsid w:val="00604A77"/>
    <w:rsid w:val="00604BAE"/>
    <w:rsid w:val="00604F1B"/>
    <w:rsid w:val="006050F1"/>
    <w:rsid w:val="0060567B"/>
    <w:rsid w:val="006058D9"/>
    <w:rsid w:val="00605CE7"/>
    <w:rsid w:val="00605EC6"/>
    <w:rsid w:val="00606964"/>
    <w:rsid w:val="00606C1D"/>
    <w:rsid w:val="00606D4C"/>
    <w:rsid w:val="00606FCF"/>
    <w:rsid w:val="00607288"/>
    <w:rsid w:val="006072AE"/>
    <w:rsid w:val="00607341"/>
    <w:rsid w:val="00607B34"/>
    <w:rsid w:val="006100B7"/>
    <w:rsid w:val="006106EE"/>
    <w:rsid w:val="00610C21"/>
    <w:rsid w:val="00610C6B"/>
    <w:rsid w:val="0061124D"/>
    <w:rsid w:val="00611623"/>
    <w:rsid w:val="00611740"/>
    <w:rsid w:val="00611DEC"/>
    <w:rsid w:val="0061206C"/>
    <w:rsid w:val="0061213B"/>
    <w:rsid w:val="00612172"/>
    <w:rsid w:val="006127FE"/>
    <w:rsid w:val="0061283C"/>
    <w:rsid w:val="00612D22"/>
    <w:rsid w:val="00612D35"/>
    <w:rsid w:val="00612F8A"/>
    <w:rsid w:val="00613906"/>
    <w:rsid w:val="00613F6F"/>
    <w:rsid w:val="006142C8"/>
    <w:rsid w:val="006146FE"/>
    <w:rsid w:val="0061512E"/>
    <w:rsid w:val="0061518D"/>
    <w:rsid w:val="00615694"/>
    <w:rsid w:val="0061589D"/>
    <w:rsid w:val="00615955"/>
    <w:rsid w:val="00615FED"/>
    <w:rsid w:val="0061615D"/>
    <w:rsid w:val="00616DE1"/>
    <w:rsid w:val="00616E05"/>
    <w:rsid w:val="00616E7B"/>
    <w:rsid w:val="00617490"/>
    <w:rsid w:val="006204D6"/>
    <w:rsid w:val="00621109"/>
    <w:rsid w:val="0062130C"/>
    <w:rsid w:val="006215B6"/>
    <w:rsid w:val="00621693"/>
    <w:rsid w:val="00621ED8"/>
    <w:rsid w:val="00621F87"/>
    <w:rsid w:val="00621F8F"/>
    <w:rsid w:val="00622773"/>
    <w:rsid w:val="006229C2"/>
    <w:rsid w:val="00622B16"/>
    <w:rsid w:val="00623243"/>
    <w:rsid w:val="00623809"/>
    <w:rsid w:val="00623AA7"/>
    <w:rsid w:val="00623B4B"/>
    <w:rsid w:val="00623BD2"/>
    <w:rsid w:val="00623C7B"/>
    <w:rsid w:val="00623DBD"/>
    <w:rsid w:val="00623DC6"/>
    <w:rsid w:val="0062429B"/>
    <w:rsid w:val="0062445A"/>
    <w:rsid w:val="006244DE"/>
    <w:rsid w:val="006248EE"/>
    <w:rsid w:val="00626557"/>
    <w:rsid w:val="0062666E"/>
    <w:rsid w:val="0062698A"/>
    <w:rsid w:val="00626D3B"/>
    <w:rsid w:val="00626F1B"/>
    <w:rsid w:val="006273A5"/>
    <w:rsid w:val="00627743"/>
    <w:rsid w:val="00627D0E"/>
    <w:rsid w:val="00627FEB"/>
    <w:rsid w:val="00630AAE"/>
    <w:rsid w:val="00630E29"/>
    <w:rsid w:val="0063136F"/>
    <w:rsid w:val="00631410"/>
    <w:rsid w:val="00631A4A"/>
    <w:rsid w:val="00631AB8"/>
    <w:rsid w:val="00631BFB"/>
    <w:rsid w:val="00631FF9"/>
    <w:rsid w:val="00632E9F"/>
    <w:rsid w:val="0063326D"/>
    <w:rsid w:val="0063329C"/>
    <w:rsid w:val="006333BF"/>
    <w:rsid w:val="00633530"/>
    <w:rsid w:val="00633F53"/>
    <w:rsid w:val="006340BB"/>
    <w:rsid w:val="006340C3"/>
    <w:rsid w:val="006343AA"/>
    <w:rsid w:val="0063452E"/>
    <w:rsid w:val="006345D6"/>
    <w:rsid w:val="00634C0E"/>
    <w:rsid w:val="00634D0A"/>
    <w:rsid w:val="0063596B"/>
    <w:rsid w:val="00635AEE"/>
    <w:rsid w:val="00635E4E"/>
    <w:rsid w:val="0063646B"/>
    <w:rsid w:val="006364EB"/>
    <w:rsid w:val="006365A7"/>
    <w:rsid w:val="00636CC9"/>
    <w:rsid w:val="00636D51"/>
    <w:rsid w:val="00636E1C"/>
    <w:rsid w:val="0063720B"/>
    <w:rsid w:val="0063738C"/>
    <w:rsid w:val="006373D0"/>
    <w:rsid w:val="00637863"/>
    <w:rsid w:val="00637C8B"/>
    <w:rsid w:val="00637CF7"/>
    <w:rsid w:val="00637DF7"/>
    <w:rsid w:val="00640160"/>
    <w:rsid w:val="006409B7"/>
    <w:rsid w:val="006410A9"/>
    <w:rsid w:val="006418F1"/>
    <w:rsid w:val="006420E6"/>
    <w:rsid w:val="006420F8"/>
    <w:rsid w:val="0064213A"/>
    <w:rsid w:val="00642436"/>
    <w:rsid w:val="00642705"/>
    <w:rsid w:val="00642997"/>
    <w:rsid w:val="00642F9C"/>
    <w:rsid w:val="00643187"/>
    <w:rsid w:val="0064319B"/>
    <w:rsid w:val="006432F5"/>
    <w:rsid w:val="006437E8"/>
    <w:rsid w:val="00643821"/>
    <w:rsid w:val="00643B9C"/>
    <w:rsid w:val="00643EA9"/>
    <w:rsid w:val="0064424C"/>
    <w:rsid w:val="00644326"/>
    <w:rsid w:val="00644C37"/>
    <w:rsid w:val="006454B0"/>
    <w:rsid w:val="0064577F"/>
    <w:rsid w:val="00645A38"/>
    <w:rsid w:val="00645D33"/>
    <w:rsid w:val="00646354"/>
    <w:rsid w:val="0064709C"/>
    <w:rsid w:val="00647523"/>
    <w:rsid w:val="00647566"/>
    <w:rsid w:val="00647BB8"/>
    <w:rsid w:val="00650491"/>
    <w:rsid w:val="0065092B"/>
    <w:rsid w:val="00650AC8"/>
    <w:rsid w:val="00650BC1"/>
    <w:rsid w:val="0065131E"/>
    <w:rsid w:val="0065133A"/>
    <w:rsid w:val="00651882"/>
    <w:rsid w:val="00651C79"/>
    <w:rsid w:val="00651CAE"/>
    <w:rsid w:val="006527E6"/>
    <w:rsid w:val="0065312B"/>
    <w:rsid w:val="006536DD"/>
    <w:rsid w:val="0065374A"/>
    <w:rsid w:val="00653E14"/>
    <w:rsid w:val="00654922"/>
    <w:rsid w:val="00654CC4"/>
    <w:rsid w:val="00654D70"/>
    <w:rsid w:val="00654E7C"/>
    <w:rsid w:val="006550A2"/>
    <w:rsid w:val="00655407"/>
    <w:rsid w:val="00655557"/>
    <w:rsid w:val="00655897"/>
    <w:rsid w:val="00655AB6"/>
    <w:rsid w:val="00655DCC"/>
    <w:rsid w:val="006560AB"/>
    <w:rsid w:val="00656263"/>
    <w:rsid w:val="0065639F"/>
    <w:rsid w:val="006566FC"/>
    <w:rsid w:val="00656F2B"/>
    <w:rsid w:val="006572EB"/>
    <w:rsid w:val="006576FD"/>
    <w:rsid w:val="00657B3D"/>
    <w:rsid w:val="00657BD0"/>
    <w:rsid w:val="00657CCF"/>
    <w:rsid w:val="0066007C"/>
    <w:rsid w:val="006600D3"/>
    <w:rsid w:val="006601A6"/>
    <w:rsid w:val="00660245"/>
    <w:rsid w:val="00660250"/>
    <w:rsid w:val="0066083E"/>
    <w:rsid w:val="00660954"/>
    <w:rsid w:val="00661017"/>
    <w:rsid w:val="006615EA"/>
    <w:rsid w:val="00661C2E"/>
    <w:rsid w:val="006621FB"/>
    <w:rsid w:val="00662214"/>
    <w:rsid w:val="00662A38"/>
    <w:rsid w:val="00662C4D"/>
    <w:rsid w:val="00662EB5"/>
    <w:rsid w:val="00663B4B"/>
    <w:rsid w:val="00664A03"/>
    <w:rsid w:val="00664A6A"/>
    <w:rsid w:val="00664F2F"/>
    <w:rsid w:val="00665150"/>
    <w:rsid w:val="006652B6"/>
    <w:rsid w:val="006654A4"/>
    <w:rsid w:val="006655B1"/>
    <w:rsid w:val="00665876"/>
    <w:rsid w:val="006660EF"/>
    <w:rsid w:val="0066635A"/>
    <w:rsid w:val="006663FC"/>
    <w:rsid w:val="00666D63"/>
    <w:rsid w:val="00667058"/>
    <w:rsid w:val="0066799D"/>
    <w:rsid w:val="00667AAC"/>
    <w:rsid w:val="00667AF6"/>
    <w:rsid w:val="00667DBB"/>
    <w:rsid w:val="006701B5"/>
    <w:rsid w:val="00670824"/>
    <w:rsid w:val="00670870"/>
    <w:rsid w:val="00671263"/>
    <w:rsid w:val="00671522"/>
    <w:rsid w:val="0067155D"/>
    <w:rsid w:val="006719D1"/>
    <w:rsid w:val="00671AEC"/>
    <w:rsid w:val="00671AEE"/>
    <w:rsid w:val="00671E39"/>
    <w:rsid w:val="00671EA7"/>
    <w:rsid w:val="00671F9E"/>
    <w:rsid w:val="0067212A"/>
    <w:rsid w:val="0067232D"/>
    <w:rsid w:val="0067275E"/>
    <w:rsid w:val="0067321E"/>
    <w:rsid w:val="006732FC"/>
    <w:rsid w:val="006733CB"/>
    <w:rsid w:val="006735AF"/>
    <w:rsid w:val="0067400D"/>
    <w:rsid w:val="00674018"/>
    <w:rsid w:val="006740FC"/>
    <w:rsid w:val="0067419F"/>
    <w:rsid w:val="006747AF"/>
    <w:rsid w:val="00674E3A"/>
    <w:rsid w:val="00675070"/>
    <w:rsid w:val="00675192"/>
    <w:rsid w:val="00675AF2"/>
    <w:rsid w:val="00675BD3"/>
    <w:rsid w:val="00675DD5"/>
    <w:rsid w:val="00675F71"/>
    <w:rsid w:val="00676560"/>
    <w:rsid w:val="00676C8A"/>
    <w:rsid w:val="00676D4A"/>
    <w:rsid w:val="00676F24"/>
    <w:rsid w:val="006772B3"/>
    <w:rsid w:val="00677493"/>
    <w:rsid w:val="00677732"/>
    <w:rsid w:val="0067783A"/>
    <w:rsid w:val="006779AB"/>
    <w:rsid w:val="0068028F"/>
    <w:rsid w:val="006803EF"/>
    <w:rsid w:val="00680BFB"/>
    <w:rsid w:val="00680D5F"/>
    <w:rsid w:val="00680E22"/>
    <w:rsid w:val="00680F83"/>
    <w:rsid w:val="0068143D"/>
    <w:rsid w:val="00681472"/>
    <w:rsid w:val="0068154F"/>
    <w:rsid w:val="006815B9"/>
    <w:rsid w:val="006821B8"/>
    <w:rsid w:val="00682225"/>
    <w:rsid w:val="006824CD"/>
    <w:rsid w:val="00682699"/>
    <w:rsid w:val="006829A3"/>
    <w:rsid w:val="006829F3"/>
    <w:rsid w:val="00682A81"/>
    <w:rsid w:val="00682AF9"/>
    <w:rsid w:val="00682BC8"/>
    <w:rsid w:val="00682EFA"/>
    <w:rsid w:val="00683DBF"/>
    <w:rsid w:val="00683FE4"/>
    <w:rsid w:val="00684741"/>
    <w:rsid w:val="00684F7B"/>
    <w:rsid w:val="0068533F"/>
    <w:rsid w:val="00685368"/>
    <w:rsid w:val="006854C9"/>
    <w:rsid w:val="00685E1B"/>
    <w:rsid w:val="00686EE6"/>
    <w:rsid w:val="0069019C"/>
    <w:rsid w:val="0069035E"/>
    <w:rsid w:val="0069055B"/>
    <w:rsid w:val="006906FE"/>
    <w:rsid w:val="00690B32"/>
    <w:rsid w:val="00690B34"/>
    <w:rsid w:val="00690D8D"/>
    <w:rsid w:val="00690DB3"/>
    <w:rsid w:val="0069121E"/>
    <w:rsid w:val="00691CAD"/>
    <w:rsid w:val="00691DA6"/>
    <w:rsid w:val="00691ED9"/>
    <w:rsid w:val="0069221F"/>
    <w:rsid w:val="006926EA"/>
    <w:rsid w:val="00692713"/>
    <w:rsid w:val="0069276D"/>
    <w:rsid w:val="00692A38"/>
    <w:rsid w:val="00692AE3"/>
    <w:rsid w:val="00692DAA"/>
    <w:rsid w:val="00692DFD"/>
    <w:rsid w:val="00693453"/>
    <w:rsid w:val="00693501"/>
    <w:rsid w:val="00693658"/>
    <w:rsid w:val="006939D9"/>
    <w:rsid w:val="006939E7"/>
    <w:rsid w:val="00694BB3"/>
    <w:rsid w:val="00694C28"/>
    <w:rsid w:val="00694D1D"/>
    <w:rsid w:val="00694E60"/>
    <w:rsid w:val="0069552D"/>
    <w:rsid w:val="006959FB"/>
    <w:rsid w:val="006967BF"/>
    <w:rsid w:val="006969A3"/>
    <w:rsid w:val="00696ACA"/>
    <w:rsid w:val="006972BA"/>
    <w:rsid w:val="006973E0"/>
    <w:rsid w:val="00697453"/>
    <w:rsid w:val="0069752D"/>
    <w:rsid w:val="006975FD"/>
    <w:rsid w:val="006977AC"/>
    <w:rsid w:val="00697C88"/>
    <w:rsid w:val="00697CB7"/>
    <w:rsid w:val="00697E83"/>
    <w:rsid w:val="00697E8A"/>
    <w:rsid w:val="00697ED2"/>
    <w:rsid w:val="006A0021"/>
    <w:rsid w:val="006A0342"/>
    <w:rsid w:val="006A042B"/>
    <w:rsid w:val="006A0763"/>
    <w:rsid w:val="006A0865"/>
    <w:rsid w:val="006A0FE5"/>
    <w:rsid w:val="006A1C80"/>
    <w:rsid w:val="006A2243"/>
    <w:rsid w:val="006A24C9"/>
    <w:rsid w:val="006A2C1B"/>
    <w:rsid w:val="006A2EF3"/>
    <w:rsid w:val="006A3437"/>
    <w:rsid w:val="006A3488"/>
    <w:rsid w:val="006A3C72"/>
    <w:rsid w:val="006A3EA7"/>
    <w:rsid w:val="006A4146"/>
    <w:rsid w:val="006A416E"/>
    <w:rsid w:val="006A41CD"/>
    <w:rsid w:val="006A41D3"/>
    <w:rsid w:val="006A4794"/>
    <w:rsid w:val="006A4B12"/>
    <w:rsid w:val="006A4BF3"/>
    <w:rsid w:val="006A4FA1"/>
    <w:rsid w:val="006A5416"/>
    <w:rsid w:val="006A5554"/>
    <w:rsid w:val="006A556B"/>
    <w:rsid w:val="006A56DF"/>
    <w:rsid w:val="006A5837"/>
    <w:rsid w:val="006A5C6C"/>
    <w:rsid w:val="006A5F5B"/>
    <w:rsid w:val="006A630C"/>
    <w:rsid w:val="006A6519"/>
    <w:rsid w:val="006A67BF"/>
    <w:rsid w:val="006A71A3"/>
    <w:rsid w:val="006A7355"/>
    <w:rsid w:val="006A75B5"/>
    <w:rsid w:val="006A793F"/>
    <w:rsid w:val="006A796E"/>
    <w:rsid w:val="006A79CE"/>
    <w:rsid w:val="006A7A27"/>
    <w:rsid w:val="006B0266"/>
    <w:rsid w:val="006B0564"/>
    <w:rsid w:val="006B0635"/>
    <w:rsid w:val="006B0931"/>
    <w:rsid w:val="006B0AA4"/>
    <w:rsid w:val="006B0BAB"/>
    <w:rsid w:val="006B0E69"/>
    <w:rsid w:val="006B10E1"/>
    <w:rsid w:val="006B134B"/>
    <w:rsid w:val="006B1C10"/>
    <w:rsid w:val="006B2A7F"/>
    <w:rsid w:val="006B2B0D"/>
    <w:rsid w:val="006B2E85"/>
    <w:rsid w:val="006B337F"/>
    <w:rsid w:val="006B3902"/>
    <w:rsid w:val="006B3A07"/>
    <w:rsid w:val="006B3A2B"/>
    <w:rsid w:val="006B3E0C"/>
    <w:rsid w:val="006B3EE0"/>
    <w:rsid w:val="006B3F29"/>
    <w:rsid w:val="006B49DC"/>
    <w:rsid w:val="006B5151"/>
    <w:rsid w:val="006B5563"/>
    <w:rsid w:val="006B559A"/>
    <w:rsid w:val="006B55B4"/>
    <w:rsid w:val="006B55F3"/>
    <w:rsid w:val="006B5739"/>
    <w:rsid w:val="006B5843"/>
    <w:rsid w:val="006B58D5"/>
    <w:rsid w:val="006B5BF7"/>
    <w:rsid w:val="006B606D"/>
    <w:rsid w:val="006B61EE"/>
    <w:rsid w:val="006B6B90"/>
    <w:rsid w:val="006B6FBE"/>
    <w:rsid w:val="006B7037"/>
    <w:rsid w:val="006B72D0"/>
    <w:rsid w:val="006B74DD"/>
    <w:rsid w:val="006B795D"/>
    <w:rsid w:val="006B7B57"/>
    <w:rsid w:val="006B7E6B"/>
    <w:rsid w:val="006C00A9"/>
    <w:rsid w:val="006C0100"/>
    <w:rsid w:val="006C01C9"/>
    <w:rsid w:val="006C0AFB"/>
    <w:rsid w:val="006C0BD2"/>
    <w:rsid w:val="006C0D71"/>
    <w:rsid w:val="006C18AE"/>
    <w:rsid w:val="006C2815"/>
    <w:rsid w:val="006C2AD4"/>
    <w:rsid w:val="006C2B06"/>
    <w:rsid w:val="006C2CC1"/>
    <w:rsid w:val="006C2CF7"/>
    <w:rsid w:val="006C3139"/>
    <w:rsid w:val="006C31C7"/>
    <w:rsid w:val="006C343A"/>
    <w:rsid w:val="006C367B"/>
    <w:rsid w:val="006C3691"/>
    <w:rsid w:val="006C3B03"/>
    <w:rsid w:val="006C3DEA"/>
    <w:rsid w:val="006C4044"/>
    <w:rsid w:val="006C4154"/>
    <w:rsid w:val="006C4B04"/>
    <w:rsid w:val="006C4BB4"/>
    <w:rsid w:val="006C4BE6"/>
    <w:rsid w:val="006C4DAF"/>
    <w:rsid w:val="006C53A9"/>
    <w:rsid w:val="006C5A56"/>
    <w:rsid w:val="006C5D66"/>
    <w:rsid w:val="006C6192"/>
    <w:rsid w:val="006C68B4"/>
    <w:rsid w:val="006C6B06"/>
    <w:rsid w:val="006C6B7A"/>
    <w:rsid w:val="006C6C94"/>
    <w:rsid w:val="006C74C8"/>
    <w:rsid w:val="006C763A"/>
    <w:rsid w:val="006C770C"/>
    <w:rsid w:val="006C775A"/>
    <w:rsid w:val="006C7C86"/>
    <w:rsid w:val="006D000B"/>
    <w:rsid w:val="006D00B6"/>
    <w:rsid w:val="006D01E4"/>
    <w:rsid w:val="006D028C"/>
    <w:rsid w:val="006D0437"/>
    <w:rsid w:val="006D076A"/>
    <w:rsid w:val="006D0CCD"/>
    <w:rsid w:val="006D11C5"/>
    <w:rsid w:val="006D18A3"/>
    <w:rsid w:val="006D1E07"/>
    <w:rsid w:val="006D1FAA"/>
    <w:rsid w:val="006D22B8"/>
    <w:rsid w:val="006D2B91"/>
    <w:rsid w:val="006D2FA9"/>
    <w:rsid w:val="006D2FDF"/>
    <w:rsid w:val="006D2FEA"/>
    <w:rsid w:val="006D2FF3"/>
    <w:rsid w:val="006D324F"/>
    <w:rsid w:val="006D3396"/>
    <w:rsid w:val="006D3A17"/>
    <w:rsid w:val="006D3F2F"/>
    <w:rsid w:val="006D4441"/>
    <w:rsid w:val="006D4A7F"/>
    <w:rsid w:val="006D4CE7"/>
    <w:rsid w:val="006D5EA9"/>
    <w:rsid w:val="006D5EF1"/>
    <w:rsid w:val="006D6601"/>
    <w:rsid w:val="006D6695"/>
    <w:rsid w:val="006D6745"/>
    <w:rsid w:val="006D6DB1"/>
    <w:rsid w:val="006D7342"/>
    <w:rsid w:val="006D7FC3"/>
    <w:rsid w:val="006E0136"/>
    <w:rsid w:val="006E0280"/>
    <w:rsid w:val="006E06B4"/>
    <w:rsid w:val="006E0B84"/>
    <w:rsid w:val="006E159F"/>
    <w:rsid w:val="006E2048"/>
    <w:rsid w:val="006E23DC"/>
    <w:rsid w:val="006E28AE"/>
    <w:rsid w:val="006E2DDF"/>
    <w:rsid w:val="006E30C4"/>
    <w:rsid w:val="006E3553"/>
    <w:rsid w:val="006E394B"/>
    <w:rsid w:val="006E3AF6"/>
    <w:rsid w:val="006E4469"/>
    <w:rsid w:val="006E4DAD"/>
    <w:rsid w:val="006E51AD"/>
    <w:rsid w:val="006E5651"/>
    <w:rsid w:val="006E5839"/>
    <w:rsid w:val="006E5A31"/>
    <w:rsid w:val="006E5E8A"/>
    <w:rsid w:val="006E5F30"/>
    <w:rsid w:val="006E6573"/>
    <w:rsid w:val="006E7195"/>
    <w:rsid w:val="006E772A"/>
    <w:rsid w:val="006E7AC1"/>
    <w:rsid w:val="006E7CCD"/>
    <w:rsid w:val="006E7D8E"/>
    <w:rsid w:val="006F047D"/>
    <w:rsid w:val="006F0714"/>
    <w:rsid w:val="006F0A0A"/>
    <w:rsid w:val="006F0F22"/>
    <w:rsid w:val="006F150D"/>
    <w:rsid w:val="006F1862"/>
    <w:rsid w:val="006F1A40"/>
    <w:rsid w:val="006F2EDE"/>
    <w:rsid w:val="006F30C6"/>
    <w:rsid w:val="006F332B"/>
    <w:rsid w:val="006F3C33"/>
    <w:rsid w:val="006F3FB8"/>
    <w:rsid w:val="006F40F0"/>
    <w:rsid w:val="006F43A0"/>
    <w:rsid w:val="006F4866"/>
    <w:rsid w:val="006F4E10"/>
    <w:rsid w:val="006F4EE4"/>
    <w:rsid w:val="006F4F5E"/>
    <w:rsid w:val="006F52C7"/>
    <w:rsid w:val="006F54C5"/>
    <w:rsid w:val="006F59DF"/>
    <w:rsid w:val="006F6039"/>
    <w:rsid w:val="006F6330"/>
    <w:rsid w:val="006F633A"/>
    <w:rsid w:val="006F6513"/>
    <w:rsid w:val="006F6B7C"/>
    <w:rsid w:val="006F6CC5"/>
    <w:rsid w:val="006F6D8C"/>
    <w:rsid w:val="006F745D"/>
    <w:rsid w:val="006F7D34"/>
    <w:rsid w:val="006F7D89"/>
    <w:rsid w:val="00700128"/>
    <w:rsid w:val="00700312"/>
    <w:rsid w:val="00700858"/>
    <w:rsid w:val="00700BAA"/>
    <w:rsid w:val="007018BD"/>
    <w:rsid w:val="00701DA6"/>
    <w:rsid w:val="00701DF8"/>
    <w:rsid w:val="00702076"/>
    <w:rsid w:val="007039E6"/>
    <w:rsid w:val="00703B3A"/>
    <w:rsid w:val="00703DAD"/>
    <w:rsid w:val="00703EC7"/>
    <w:rsid w:val="007040B0"/>
    <w:rsid w:val="00704235"/>
    <w:rsid w:val="007043AE"/>
    <w:rsid w:val="0070456F"/>
    <w:rsid w:val="007049C0"/>
    <w:rsid w:val="00704AF7"/>
    <w:rsid w:val="00705431"/>
    <w:rsid w:val="007063E3"/>
    <w:rsid w:val="00706A5C"/>
    <w:rsid w:val="00707113"/>
    <w:rsid w:val="00707371"/>
    <w:rsid w:val="00707428"/>
    <w:rsid w:val="007076D3"/>
    <w:rsid w:val="007076DB"/>
    <w:rsid w:val="00707895"/>
    <w:rsid w:val="00707D87"/>
    <w:rsid w:val="00707DDB"/>
    <w:rsid w:val="00707F57"/>
    <w:rsid w:val="00710B24"/>
    <w:rsid w:val="00711905"/>
    <w:rsid w:val="00711CA4"/>
    <w:rsid w:val="00712AEC"/>
    <w:rsid w:val="00712C7B"/>
    <w:rsid w:val="00712CD1"/>
    <w:rsid w:val="00712CE5"/>
    <w:rsid w:val="00713111"/>
    <w:rsid w:val="007133AB"/>
    <w:rsid w:val="00713428"/>
    <w:rsid w:val="00713434"/>
    <w:rsid w:val="007138DB"/>
    <w:rsid w:val="00713C05"/>
    <w:rsid w:val="00713C23"/>
    <w:rsid w:val="00714277"/>
    <w:rsid w:val="007144E7"/>
    <w:rsid w:val="00714548"/>
    <w:rsid w:val="0071492E"/>
    <w:rsid w:val="0071533B"/>
    <w:rsid w:val="00715631"/>
    <w:rsid w:val="00716656"/>
    <w:rsid w:val="00716CBA"/>
    <w:rsid w:val="00716DB5"/>
    <w:rsid w:val="00716F49"/>
    <w:rsid w:val="00716FF8"/>
    <w:rsid w:val="007177ED"/>
    <w:rsid w:val="00717986"/>
    <w:rsid w:val="007179EF"/>
    <w:rsid w:val="00717FC4"/>
    <w:rsid w:val="00720194"/>
    <w:rsid w:val="00720609"/>
    <w:rsid w:val="007206C6"/>
    <w:rsid w:val="00720925"/>
    <w:rsid w:val="00720E71"/>
    <w:rsid w:val="00720EBF"/>
    <w:rsid w:val="00720F16"/>
    <w:rsid w:val="00721383"/>
    <w:rsid w:val="007215A4"/>
    <w:rsid w:val="007218DC"/>
    <w:rsid w:val="00721B63"/>
    <w:rsid w:val="00721C8C"/>
    <w:rsid w:val="00722411"/>
    <w:rsid w:val="00722765"/>
    <w:rsid w:val="007228A3"/>
    <w:rsid w:val="00722E68"/>
    <w:rsid w:val="00722FFC"/>
    <w:rsid w:val="0072300A"/>
    <w:rsid w:val="0072333F"/>
    <w:rsid w:val="00723677"/>
    <w:rsid w:val="0072369F"/>
    <w:rsid w:val="007237DE"/>
    <w:rsid w:val="007238BB"/>
    <w:rsid w:val="00723A55"/>
    <w:rsid w:val="00723D6B"/>
    <w:rsid w:val="00723E2E"/>
    <w:rsid w:val="00723F4B"/>
    <w:rsid w:val="00724703"/>
    <w:rsid w:val="00724EFA"/>
    <w:rsid w:val="007253D1"/>
    <w:rsid w:val="00725626"/>
    <w:rsid w:val="00725699"/>
    <w:rsid w:val="007256EB"/>
    <w:rsid w:val="00725728"/>
    <w:rsid w:val="00725816"/>
    <w:rsid w:val="007259B1"/>
    <w:rsid w:val="007259DB"/>
    <w:rsid w:val="00725AEF"/>
    <w:rsid w:val="007264E7"/>
    <w:rsid w:val="00726863"/>
    <w:rsid w:val="007268A9"/>
    <w:rsid w:val="00726976"/>
    <w:rsid w:val="00727692"/>
    <w:rsid w:val="0072780A"/>
    <w:rsid w:val="007278ED"/>
    <w:rsid w:val="00727BC3"/>
    <w:rsid w:val="00727F77"/>
    <w:rsid w:val="00730AE9"/>
    <w:rsid w:val="00730AF5"/>
    <w:rsid w:val="00730F71"/>
    <w:rsid w:val="0073178F"/>
    <w:rsid w:val="00731AF3"/>
    <w:rsid w:val="00731D77"/>
    <w:rsid w:val="00732268"/>
    <w:rsid w:val="0073236D"/>
    <w:rsid w:val="00732E7B"/>
    <w:rsid w:val="00733609"/>
    <w:rsid w:val="0073448F"/>
    <w:rsid w:val="00734FC0"/>
    <w:rsid w:val="007350C7"/>
    <w:rsid w:val="007355D0"/>
    <w:rsid w:val="00735621"/>
    <w:rsid w:val="007356AB"/>
    <w:rsid w:val="00735838"/>
    <w:rsid w:val="00735ABA"/>
    <w:rsid w:val="007363F0"/>
    <w:rsid w:val="0073678B"/>
    <w:rsid w:val="00736840"/>
    <w:rsid w:val="007368E1"/>
    <w:rsid w:val="007377C3"/>
    <w:rsid w:val="007377CC"/>
    <w:rsid w:val="00737BAD"/>
    <w:rsid w:val="00740000"/>
    <w:rsid w:val="00740608"/>
    <w:rsid w:val="00741BA4"/>
    <w:rsid w:val="0074265B"/>
    <w:rsid w:val="00742B10"/>
    <w:rsid w:val="00742E3B"/>
    <w:rsid w:val="007430FB"/>
    <w:rsid w:val="00743345"/>
    <w:rsid w:val="00743942"/>
    <w:rsid w:val="00743999"/>
    <w:rsid w:val="00743DBD"/>
    <w:rsid w:val="00744623"/>
    <w:rsid w:val="007448CD"/>
    <w:rsid w:val="00744CE2"/>
    <w:rsid w:val="00744D11"/>
    <w:rsid w:val="00744FFA"/>
    <w:rsid w:val="007452FF"/>
    <w:rsid w:val="00745AD2"/>
    <w:rsid w:val="00745C10"/>
    <w:rsid w:val="007460BA"/>
    <w:rsid w:val="0074636E"/>
    <w:rsid w:val="00746541"/>
    <w:rsid w:val="0074678F"/>
    <w:rsid w:val="007471EE"/>
    <w:rsid w:val="007471F3"/>
    <w:rsid w:val="007474FA"/>
    <w:rsid w:val="00747DEA"/>
    <w:rsid w:val="0075043A"/>
    <w:rsid w:val="007507CF"/>
    <w:rsid w:val="007508A5"/>
    <w:rsid w:val="007508D6"/>
    <w:rsid w:val="00751535"/>
    <w:rsid w:val="007515A9"/>
    <w:rsid w:val="007518F3"/>
    <w:rsid w:val="00751E4B"/>
    <w:rsid w:val="0075214B"/>
    <w:rsid w:val="00752513"/>
    <w:rsid w:val="007526BC"/>
    <w:rsid w:val="00752E14"/>
    <w:rsid w:val="007531A9"/>
    <w:rsid w:val="00753463"/>
    <w:rsid w:val="007537DA"/>
    <w:rsid w:val="0075387D"/>
    <w:rsid w:val="007538A7"/>
    <w:rsid w:val="007538AB"/>
    <w:rsid w:val="00753BC9"/>
    <w:rsid w:val="00753BF5"/>
    <w:rsid w:val="00753E52"/>
    <w:rsid w:val="0075405E"/>
    <w:rsid w:val="007542A7"/>
    <w:rsid w:val="00754C10"/>
    <w:rsid w:val="0075538A"/>
    <w:rsid w:val="00755F25"/>
    <w:rsid w:val="00755FE3"/>
    <w:rsid w:val="00756706"/>
    <w:rsid w:val="00756B8E"/>
    <w:rsid w:val="00756FE2"/>
    <w:rsid w:val="00757132"/>
    <w:rsid w:val="00757153"/>
    <w:rsid w:val="00757247"/>
    <w:rsid w:val="00757698"/>
    <w:rsid w:val="007576D5"/>
    <w:rsid w:val="00757E08"/>
    <w:rsid w:val="0076027F"/>
    <w:rsid w:val="00760C50"/>
    <w:rsid w:val="00760D58"/>
    <w:rsid w:val="007614B2"/>
    <w:rsid w:val="007624AF"/>
    <w:rsid w:val="007628F4"/>
    <w:rsid w:val="007629B1"/>
    <w:rsid w:val="00762C4C"/>
    <w:rsid w:val="0076313C"/>
    <w:rsid w:val="00763E95"/>
    <w:rsid w:val="00763ED6"/>
    <w:rsid w:val="00764124"/>
    <w:rsid w:val="00764DD6"/>
    <w:rsid w:val="007655B1"/>
    <w:rsid w:val="007655C2"/>
    <w:rsid w:val="007659A2"/>
    <w:rsid w:val="00765E2E"/>
    <w:rsid w:val="00766210"/>
    <w:rsid w:val="007664B9"/>
    <w:rsid w:val="007665F8"/>
    <w:rsid w:val="007667B4"/>
    <w:rsid w:val="00766951"/>
    <w:rsid w:val="0076713D"/>
    <w:rsid w:val="00767984"/>
    <w:rsid w:val="007679C9"/>
    <w:rsid w:val="00767FB8"/>
    <w:rsid w:val="007700AF"/>
    <w:rsid w:val="007701EF"/>
    <w:rsid w:val="0077031F"/>
    <w:rsid w:val="007708B3"/>
    <w:rsid w:val="00770A67"/>
    <w:rsid w:val="00770C11"/>
    <w:rsid w:val="00770E67"/>
    <w:rsid w:val="0077104D"/>
    <w:rsid w:val="0077131E"/>
    <w:rsid w:val="00771526"/>
    <w:rsid w:val="00771595"/>
    <w:rsid w:val="007717F9"/>
    <w:rsid w:val="00771A4B"/>
    <w:rsid w:val="00771AFD"/>
    <w:rsid w:val="00771E39"/>
    <w:rsid w:val="00771F51"/>
    <w:rsid w:val="007722E1"/>
    <w:rsid w:val="0077242A"/>
    <w:rsid w:val="00772AE5"/>
    <w:rsid w:val="00772D7D"/>
    <w:rsid w:val="00772E9D"/>
    <w:rsid w:val="00772F20"/>
    <w:rsid w:val="00772FAC"/>
    <w:rsid w:val="0077317B"/>
    <w:rsid w:val="007737BF"/>
    <w:rsid w:val="0077383B"/>
    <w:rsid w:val="00774BA1"/>
    <w:rsid w:val="007752BB"/>
    <w:rsid w:val="0077563A"/>
    <w:rsid w:val="00775663"/>
    <w:rsid w:val="00775995"/>
    <w:rsid w:val="007759D7"/>
    <w:rsid w:val="00775A2E"/>
    <w:rsid w:val="00775F1E"/>
    <w:rsid w:val="00776413"/>
    <w:rsid w:val="007769EB"/>
    <w:rsid w:val="00776C23"/>
    <w:rsid w:val="00776EA0"/>
    <w:rsid w:val="00777185"/>
    <w:rsid w:val="00777294"/>
    <w:rsid w:val="00777ADC"/>
    <w:rsid w:val="00777C22"/>
    <w:rsid w:val="00777FB8"/>
    <w:rsid w:val="00780915"/>
    <w:rsid w:val="00780AAA"/>
    <w:rsid w:val="00780D5C"/>
    <w:rsid w:val="00780EA6"/>
    <w:rsid w:val="007813E5"/>
    <w:rsid w:val="007814C4"/>
    <w:rsid w:val="007816AF"/>
    <w:rsid w:val="00781925"/>
    <w:rsid w:val="00782130"/>
    <w:rsid w:val="00782244"/>
    <w:rsid w:val="0078227E"/>
    <w:rsid w:val="007822A2"/>
    <w:rsid w:val="0078263C"/>
    <w:rsid w:val="00782768"/>
    <w:rsid w:val="0078323C"/>
    <w:rsid w:val="00783315"/>
    <w:rsid w:val="00783858"/>
    <w:rsid w:val="00783882"/>
    <w:rsid w:val="007839F0"/>
    <w:rsid w:val="00783BC0"/>
    <w:rsid w:val="00783C2B"/>
    <w:rsid w:val="00783FBD"/>
    <w:rsid w:val="007849FD"/>
    <w:rsid w:val="007856A7"/>
    <w:rsid w:val="007856C6"/>
    <w:rsid w:val="00785BBB"/>
    <w:rsid w:val="00785D1C"/>
    <w:rsid w:val="00786229"/>
    <w:rsid w:val="0078673F"/>
    <w:rsid w:val="00786820"/>
    <w:rsid w:val="00786CBE"/>
    <w:rsid w:val="00786D07"/>
    <w:rsid w:val="00787180"/>
    <w:rsid w:val="007872D5"/>
    <w:rsid w:val="007876EF"/>
    <w:rsid w:val="0078778E"/>
    <w:rsid w:val="0078797C"/>
    <w:rsid w:val="0078799E"/>
    <w:rsid w:val="00787F01"/>
    <w:rsid w:val="00790973"/>
    <w:rsid w:val="0079120E"/>
    <w:rsid w:val="00791399"/>
    <w:rsid w:val="0079149D"/>
    <w:rsid w:val="0079169A"/>
    <w:rsid w:val="00791821"/>
    <w:rsid w:val="007918AB"/>
    <w:rsid w:val="00791CB0"/>
    <w:rsid w:val="00791FA7"/>
    <w:rsid w:val="00791FE1"/>
    <w:rsid w:val="00792728"/>
    <w:rsid w:val="007927B9"/>
    <w:rsid w:val="00792CD2"/>
    <w:rsid w:val="00793055"/>
    <w:rsid w:val="007930F8"/>
    <w:rsid w:val="00793126"/>
    <w:rsid w:val="00793168"/>
    <w:rsid w:val="007931E1"/>
    <w:rsid w:val="00793362"/>
    <w:rsid w:val="00793BB6"/>
    <w:rsid w:val="00794F18"/>
    <w:rsid w:val="00794F9F"/>
    <w:rsid w:val="00795553"/>
    <w:rsid w:val="007955CF"/>
    <w:rsid w:val="007955DE"/>
    <w:rsid w:val="00795697"/>
    <w:rsid w:val="00795A39"/>
    <w:rsid w:val="00795DC3"/>
    <w:rsid w:val="0079651C"/>
    <w:rsid w:val="007965C4"/>
    <w:rsid w:val="00796859"/>
    <w:rsid w:val="0079705B"/>
    <w:rsid w:val="00797103"/>
    <w:rsid w:val="0079749C"/>
    <w:rsid w:val="00797CB5"/>
    <w:rsid w:val="00797DC3"/>
    <w:rsid w:val="007A0192"/>
    <w:rsid w:val="007A0360"/>
    <w:rsid w:val="007A07B6"/>
    <w:rsid w:val="007A0A41"/>
    <w:rsid w:val="007A0A48"/>
    <w:rsid w:val="007A0CCB"/>
    <w:rsid w:val="007A0D86"/>
    <w:rsid w:val="007A102E"/>
    <w:rsid w:val="007A1ADF"/>
    <w:rsid w:val="007A1C7A"/>
    <w:rsid w:val="007A1DEA"/>
    <w:rsid w:val="007A21C6"/>
    <w:rsid w:val="007A2466"/>
    <w:rsid w:val="007A298F"/>
    <w:rsid w:val="007A2AB8"/>
    <w:rsid w:val="007A349B"/>
    <w:rsid w:val="007A3A2C"/>
    <w:rsid w:val="007A3B3B"/>
    <w:rsid w:val="007A3D46"/>
    <w:rsid w:val="007A3FC5"/>
    <w:rsid w:val="007A4019"/>
    <w:rsid w:val="007A4420"/>
    <w:rsid w:val="007A4640"/>
    <w:rsid w:val="007A4757"/>
    <w:rsid w:val="007A47D1"/>
    <w:rsid w:val="007A51F7"/>
    <w:rsid w:val="007A594F"/>
    <w:rsid w:val="007A59E3"/>
    <w:rsid w:val="007A5ADE"/>
    <w:rsid w:val="007A5C90"/>
    <w:rsid w:val="007A6183"/>
    <w:rsid w:val="007A64A2"/>
    <w:rsid w:val="007A659B"/>
    <w:rsid w:val="007A66FD"/>
    <w:rsid w:val="007A69A7"/>
    <w:rsid w:val="007A6B15"/>
    <w:rsid w:val="007A6FA3"/>
    <w:rsid w:val="007A7113"/>
    <w:rsid w:val="007A7487"/>
    <w:rsid w:val="007A7522"/>
    <w:rsid w:val="007A7788"/>
    <w:rsid w:val="007A7802"/>
    <w:rsid w:val="007A7DF6"/>
    <w:rsid w:val="007A7E71"/>
    <w:rsid w:val="007B0494"/>
    <w:rsid w:val="007B0519"/>
    <w:rsid w:val="007B07CF"/>
    <w:rsid w:val="007B0BBE"/>
    <w:rsid w:val="007B10C9"/>
    <w:rsid w:val="007B10F2"/>
    <w:rsid w:val="007B111E"/>
    <w:rsid w:val="007B146F"/>
    <w:rsid w:val="007B27D9"/>
    <w:rsid w:val="007B2A22"/>
    <w:rsid w:val="007B2B9F"/>
    <w:rsid w:val="007B2DB7"/>
    <w:rsid w:val="007B2DBB"/>
    <w:rsid w:val="007B37F8"/>
    <w:rsid w:val="007B3DF8"/>
    <w:rsid w:val="007B486E"/>
    <w:rsid w:val="007B5578"/>
    <w:rsid w:val="007B582D"/>
    <w:rsid w:val="007B5B49"/>
    <w:rsid w:val="007B5D3C"/>
    <w:rsid w:val="007B5E67"/>
    <w:rsid w:val="007B613B"/>
    <w:rsid w:val="007B62A8"/>
    <w:rsid w:val="007B6757"/>
    <w:rsid w:val="007B68A1"/>
    <w:rsid w:val="007B6AAF"/>
    <w:rsid w:val="007B6C3C"/>
    <w:rsid w:val="007B7218"/>
    <w:rsid w:val="007B74F1"/>
    <w:rsid w:val="007B7589"/>
    <w:rsid w:val="007B761A"/>
    <w:rsid w:val="007B7714"/>
    <w:rsid w:val="007B7783"/>
    <w:rsid w:val="007C031C"/>
    <w:rsid w:val="007C0709"/>
    <w:rsid w:val="007C0B65"/>
    <w:rsid w:val="007C0C6A"/>
    <w:rsid w:val="007C1073"/>
    <w:rsid w:val="007C1291"/>
    <w:rsid w:val="007C141C"/>
    <w:rsid w:val="007C22A7"/>
    <w:rsid w:val="007C27A9"/>
    <w:rsid w:val="007C28EE"/>
    <w:rsid w:val="007C2B84"/>
    <w:rsid w:val="007C2D37"/>
    <w:rsid w:val="007C2F68"/>
    <w:rsid w:val="007C303B"/>
    <w:rsid w:val="007C3E84"/>
    <w:rsid w:val="007C47D5"/>
    <w:rsid w:val="007C48CF"/>
    <w:rsid w:val="007C498A"/>
    <w:rsid w:val="007C49D7"/>
    <w:rsid w:val="007C5584"/>
    <w:rsid w:val="007C57A4"/>
    <w:rsid w:val="007C5A99"/>
    <w:rsid w:val="007C5F87"/>
    <w:rsid w:val="007C629C"/>
    <w:rsid w:val="007C6559"/>
    <w:rsid w:val="007C6C72"/>
    <w:rsid w:val="007C710D"/>
    <w:rsid w:val="007C7429"/>
    <w:rsid w:val="007C748A"/>
    <w:rsid w:val="007C767C"/>
    <w:rsid w:val="007C7749"/>
    <w:rsid w:val="007C798F"/>
    <w:rsid w:val="007CC79B"/>
    <w:rsid w:val="007D01E5"/>
    <w:rsid w:val="007D06A3"/>
    <w:rsid w:val="007D073B"/>
    <w:rsid w:val="007D0993"/>
    <w:rsid w:val="007D0A8B"/>
    <w:rsid w:val="007D149E"/>
    <w:rsid w:val="007D1846"/>
    <w:rsid w:val="007D1A91"/>
    <w:rsid w:val="007D1C73"/>
    <w:rsid w:val="007D1C76"/>
    <w:rsid w:val="007D1F04"/>
    <w:rsid w:val="007D216D"/>
    <w:rsid w:val="007D2ABD"/>
    <w:rsid w:val="007D2DF0"/>
    <w:rsid w:val="007D2F6B"/>
    <w:rsid w:val="007D302B"/>
    <w:rsid w:val="007D3831"/>
    <w:rsid w:val="007D39C9"/>
    <w:rsid w:val="007D3A5B"/>
    <w:rsid w:val="007D3DF7"/>
    <w:rsid w:val="007D3EBA"/>
    <w:rsid w:val="007D4149"/>
    <w:rsid w:val="007D4430"/>
    <w:rsid w:val="007D46C2"/>
    <w:rsid w:val="007D4B0D"/>
    <w:rsid w:val="007D4D72"/>
    <w:rsid w:val="007D4E8F"/>
    <w:rsid w:val="007D5163"/>
    <w:rsid w:val="007D596C"/>
    <w:rsid w:val="007D5C2F"/>
    <w:rsid w:val="007D60ED"/>
    <w:rsid w:val="007D6125"/>
    <w:rsid w:val="007D6253"/>
    <w:rsid w:val="007D652B"/>
    <w:rsid w:val="007D6609"/>
    <w:rsid w:val="007D661B"/>
    <w:rsid w:val="007D6675"/>
    <w:rsid w:val="007D67FE"/>
    <w:rsid w:val="007D698C"/>
    <w:rsid w:val="007D6C9D"/>
    <w:rsid w:val="007D6DE9"/>
    <w:rsid w:val="007D71A4"/>
    <w:rsid w:val="007D766A"/>
    <w:rsid w:val="007D7672"/>
    <w:rsid w:val="007E0A28"/>
    <w:rsid w:val="007E0DBA"/>
    <w:rsid w:val="007E0E89"/>
    <w:rsid w:val="007E1358"/>
    <w:rsid w:val="007E16AC"/>
    <w:rsid w:val="007E17AD"/>
    <w:rsid w:val="007E1B55"/>
    <w:rsid w:val="007E1BB0"/>
    <w:rsid w:val="007E27F0"/>
    <w:rsid w:val="007E2AF5"/>
    <w:rsid w:val="007E2C20"/>
    <w:rsid w:val="007E3211"/>
    <w:rsid w:val="007E3620"/>
    <w:rsid w:val="007E3B02"/>
    <w:rsid w:val="007E3E32"/>
    <w:rsid w:val="007E4960"/>
    <w:rsid w:val="007E4997"/>
    <w:rsid w:val="007E4D33"/>
    <w:rsid w:val="007E5095"/>
    <w:rsid w:val="007E5411"/>
    <w:rsid w:val="007E547B"/>
    <w:rsid w:val="007E5668"/>
    <w:rsid w:val="007E5B1E"/>
    <w:rsid w:val="007E63F7"/>
    <w:rsid w:val="007E677A"/>
    <w:rsid w:val="007E690D"/>
    <w:rsid w:val="007E6AFA"/>
    <w:rsid w:val="007E6EE0"/>
    <w:rsid w:val="007E707F"/>
    <w:rsid w:val="007E7E1C"/>
    <w:rsid w:val="007F0B2F"/>
    <w:rsid w:val="007F0E28"/>
    <w:rsid w:val="007F0FA0"/>
    <w:rsid w:val="007F15A5"/>
    <w:rsid w:val="007F1B32"/>
    <w:rsid w:val="007F1FBC"/>
    <w:rsid w:val="007F249C"/>
    <w:rsid w:val="007F26DA"/>
    <w:rsid w:val="007F2CBF"/>
    <w:rsid w:val="007F2E43"/>
    <w:rsid w:val="007F3154"/>
    <w:rsid w:val="007F3661"/>
    <w:rsid w:val="007F3BDC"/>
    <w:rsid w:val="007F3E19"/>
    <w:rsid w:val="007F45FB"/>
    <w:rsid w:val="007F4718"/>
    <w:rsid w:val="007F4C5E"/>
    <w:rsid w:val="007F4CFF"/>
    <w:rsid w:val="007F4E8C"/>
    <w:rsid w:val="007F4F55"/>
    <w:rsid w:val="007F54CB"/>
    <w:rsid w:val="007F5BA2"/>
    <w:rsid w:val="007F5C1B"/>
    <w:rsid w:val="007F5D15"/>
    <w:rsid w:val="007F60C6"/>
    <w:rsid w:val="007F6A45"/>
    <w:rsid w:val="007F6B11"/>
    <w:rsid w:val="007F76E5"/>
    <w:rsid w:val="007F771B"/>
    <w:rsid w:val="007F7799"/>
    <w:rsid w:val="007F79B5"/>
    <w:rsid w:val="007F7B93"/>
    <w:rsid w:val="008005FD"/>
    <w:rsid w:val="0080090B"/>
    <w:rsid w:val="008009F6"/>
    <w:rsid w:val="00800C73"/>
    <w:rsid w:val="0080154B"/>
    <w:rsid w:val="008019EA"/>
    <w:rsid w:val="00802912"/>
    <w:rsid w:val="00802AF0"/>
    <w:rsid w:val="008033E0"/>
    <w:rsid w:val="008034B0"/>
    <w:rsid w:val="0080401F"/>
    <w:rsid w:val="008041D8"/>
    <w:rsid w:val="00804349"/>
    <w:rsid w:val="0080462E"/>
    <w:rsid w:val="008046CC"/>
    <w:rsid w:val="00804F38"/>
    <w:rsid w:val="008050DE"/>
    <w:rsid w:val="00805154"/>
    <w:rsid w:val="00805ACC"/>
    <w:rsid w:val="00805B82"/>
    <w:rsid w:val="00805DEF"/>
    <w:rsid w:val="00806519"/>
    <w:rsid w:val="00806756"/>
    <w:rsid w:val="00806FAA"/>
    <w:rsid w:val="00807023"/>
    <w:rsid w:val="0080749C"/>
    <w:rsid w:val="00807CEB"/>
    <w:rsid w:val="00807D42"/>
    <w:rsid w:val="00807F90"/>
    <w:rsid w:val="00810353"/>
    <w:rsid w:val="00810991"/>
    <w:rsid w:val="008109D5"/>
    <w:rsid w:val="00810C2E"/>
    <w:rsid w:val="00810E38"/>
    <w:rsid w:val="00811545"/>
    <w:rsid w:val="0081194D"/>
    <w:rsid w:val="00812B18"/>
    <w:rsid w:val="00812C08"/>
    <w:rsid w:val="00812E14"/>
    <w:rsid w:val="008139FF"/>
    <w:rsid w:val="00813AC6"/>
    <w:rsid w:val="00813D08"/>
    <w:rsid w:val="00813F4C"/>
    <w:rsid w:val="008141D1"/>
    <w:rsid w:val="008144DD"/>
    <w:rsid w:val="0081478B"/>
    <w:rsid w:val="00814E0B"/>
    <w:rsid w:val="00814F62"/>
    <w:rsid w:val="00815277"/>
    <w:rsid w:val="00815649"/>
    <w:rsid w:val="0081602D"/>
    <w:rsid w:val="00816893"/>
    <w:rsid w:val="0081716C"/>
    <w:rsid w:val="0081797A"/>
    <w:rsid w:val="00817D46"/>
    <w:rsid w:val="0082083F"/>
    <w:rsid w:val="00820D22"/>
    <w:rsid w:val="00821379"/>
    <w:rsid w:val="00821528"/>
    <w:rsid w:val="00821600"/>
    <w:rsid w:val="00821654"/>
    <w:rsid w:val="008217B8"/>
    <w:rsid w:val="00822554"/>
    <w:rsid w:val="008225D6"/>
    <w:rsid w:val="0082271C"/>
    <w:rsid w:val="00822D1C"/>
    <w:rsid w:val="00822DFE"/>
    <w:rsid w:val="0082305A"/>
    <w:rsid w:val="00823470"/>
    <w:rsid w:val="0082351B"/>
    <w:rsid w:val="0082395B"/>
    <w:rsid w:val="00823CDF"/>
    <w:rsid w:val="008240EF"/>
    <w:rsid w:val="00824383"/>
    <w:rsid w:val="00825460"/>
    <w:rsid w:val="008256CE"/>
    <w:rsid w:val="008261F6"/>
    <w:rsid w:val="00826213"/>
    <w:rsid w:val="00826AAA"/>
    <w:rsid w:val="00826BBE"/>
    <w:rsid w:val="00826DBE"/>
    <w:rsid w:val="00826E13"/>
    <w:rsid w:val="008271D1"/>
    <w:rsid w:val="0082726B"/>
    <w:rsid w:val="00827904"/>
    <w:rsid w:val="008279E0"/>
    <w:rsid w:val="00827C91"/>
    <w:rsid w:val="00827D4B"/>
    <w:rsid w:val="008300DB"/>
    <w:rsid w:val="00830636"/>
    <w:rsid w:val="008312B9"/>
    <w:rsid w:val="008313E8"/>
    <w:rsid w:val="008316DF"/>
    <w:rsid w:val="00831856"/>
    <w:rsid w:val="00831B75"/>
    <w:rsid w:val="00831F03"/>
    <w:rsid w:val="00831FA3"/>
    <w:rsid w:val="00832060"/>
    <w:rsid w:val="00832B48"/>
    <w:rsid w:val="00833016"/>
    <w:rsid w:val="00833423"/>
    <w:rsid w:val="0083350C"/>
    <w:rsid w:val="008341A5"/>
    <w:rsid w:val="008343A5"/>
    <w:rsid w:val="00834449"/>
    <w:rsid w:val="0083450D"/>
    <w:rsid w:val="00834841"/>
    <w:rsid w:val="00834C62"/>
    <w:rsid w:val="00835150"/>
    <w:rsid w:val="008351AF"/>
    <w:rsid w:val="008354A2"/>
    <w:rsid w:val="00835C8E"/>
    <w:rsid w:val="008363AD"/>
    <w:rsid w:val="00836724"/>
    <w:rsid w:val="008367AE"/>
    <w:rsid w:val="00836976"/>
    <w:rsid w:val="00836B6B"/>
    <w:rsid w:val="00836E7C"/>
    <w:rsid w:val="00836EB1"/>
    <w:rsid w:val="0083761B"/>
    <w:rsid w:val="00837B73"/>
    <w:rsid w:val="008400D8"/>
    <w:rsid w:val="008410C8"/>
    <w:rsid w:val="00841472"/>
    <w:rsid w:val="00841473"/>
    <w:rsid w:val="00841488"/>
    <w:rsid w:val="00841496"/>
    <w:rsid w:val="00841835"/>
    <w:rsid w:val="00841A5D"/>
    <w:rsid w:val="00841B22"/>
    <w:rsid w:val="00841E82"/>
    <w:rsid w:val="00842086"/>
    <w:rsid w:val="0084210B"/>
    <w:rsid w:val="00842153"/>
    <w:rsid w:val="00842AFC"/>
    <w:rsid w:val="00842BC0"/>
    <w:rsid w:val="00843AB6"/>
    <w:rsid w:val="00844221"/>
    <w:rsid w:val="00844956"/>
    <w:rsid w:val="00844C40"/>
    <w:rsid w:val="00844F73"/>
    <w:rsid w:val="00844F8A"/>
    <w:rsid w:val="008451A7"/>
    <w:rsid w:val="008451D3"/>
    <w:rsid w:val="00846443"/>
    <w:rsid w:val="008464DE"/>
    <w:rsid w:val="00846619"/>
    <w:rsid w:val="00846736"/>
    <w:rsid w:val="00846AE0"/>
    <w:rsid w:val="00846E1D"/>
    <w:rsid w:val="008470E6"/>
    <w:rsid w:val="00847171"/>
    <w:rsid w:val="00847234"/>
    <w:rsid w:val="00847241"/>
    <w:rsid w:val="00847848"/>
    <w:rsid w:val="00847C35"/>
    <w:rsid w:val="00847FF8"/>
    <w:rsid w:val="008503A5"/>
    <w:rsid w:val="0085067C"/>
    <w:rsid w:val="008506FB"/>
    <w:rsid w:val="00850716"/>
    <w:rsid w:val="0085091F"/>
    <w:rsid w:val="008510C6"/>
    <w:rsid w:val="00851288"/>
    <w:rsid w:val="008515F5"/>
    <w:rsid w:val="008518AF"/>
    <w:rsid w:val="00851AB7"/>
    <w:rsid w:val="00851EF7"/>
    <w:rsid w:val="0085219A"/>
    <w:rsid w:val="00852755"/>
    <w:rsid w:val="00852832"/>
    <w:rsid w:val="00852F04"/>
    <w:rsid w:val="0085304E"/>
    <w:rsid w:val="008539F4"/>
    <w:rsid w:val="00853C19"/>
    <w:rsid w:val="00853D4E"/>
    <w:rsid w:val="008542A0"/>
    <w:rsid w:val="008544C8"/>
    <w:rsid w:val="008545EC"/>
    <w:rsid w:val="0085565E"/>
    <w:rsid w:val="0085583E"/>
    <w:rsid w:val="00856112"/>
    <w:rsid w:val="00856C61"/>
    <w:rsid w:val="00857105"/>
    <w:rsid w:val="008573A2"/>
    <w:rsid w:val="00857446"/>
    <w:rsid w:val="0085746D"/>
    <w:rsid w:val="00857564"/>
    <w:rsid w:val="00857841"/>
    <w:rsid w:val="0086036B"/>
    <w:rsid w:val="0086074A"/>
    <w:rsid w:val="008608F9"/>
    <w:rsid w:val="00860F01"/>
    <w:rsid w:val="008610B6"/>
    <w:rsid w:val="008612AC"/>
    <w:rsid w:val="00861432"/>
    <w:rsid w:val="008617A6"/>
    <w:rsid w:val="008619E1"/>
    <w:rsid w:val="008623C4"/>
    <w:rsid w:val="008626B4"/>
    <w:rsid w:val="00862C88"/>
    <w:rsid w:val="00862D50"/>
    <w:rsid w:val="00863262"/>
    <w:rsid w:val="008632E3"/>
    <w:rsid w:val="008634D8"/>
    <w:rsid w:val="008636B4"/>
    <w:rsid w:val="0086380A"/>
    <w:rsid w:val="00863C22"/>
    <w:rsid w:val="00863D32"/>
    <w:rsid w:val="00863F2C"/>
    <w:rsid w:val="00863FDC"/>
    <w:rsid w:val="00864A02"/>
    <w:rsid w:val="00864BAC"/>
    <w:rsid w:val="00864CFB"/>
    <w:rsid w:val="00864D4C"/>
    <w:rsid w:val="00864DE9"/>
    <w:rsid w:val="00865619"/>
    <w:rsid w:val="00865C0E"/>
    <w:rsid w:val="00865D6D"/>
    <w:rsid w:val="00865E83"/>
    <w:rsid w:val="008661EF"/>
    <w:rsid w:val="008663E2"/>
    <w:rsid w:val="008674D1"/>
    <w:rsid w:val="00867965"/>
    <w:rsid w:val="00867D15"/>
    <w:rsid w:val="00867D9E"/>
    <w:rsid w:val="0087022A"/>
    <w:rsid w:val="0087038C"/>
    <w:rsid w:val="00870789"/>
    <w:rsid w:val="0087146C"/>
    <w:rsid w:val="008716E1"/>
    <w:rsid w:val="008719D9"/>
    <w:rsid w:val="00872668"/>
    <w:rsid w:val="0087277D"/>
    <w:rsid w:val="00872A61"/>
    <w:rsid w:val="00872F80"/>
    <w:rsid w:val="008730AF"/>
    <w:rsid w:val="008736D7"/>
    <w:rsid w:val="008738AA"/>
    <w:rsid w:val="00873C7F"/>
    <w:rsid w:val="00873DC0"/>
    <w:rsid w:val="00873E71"/>
    <w:rsid w:val="00874407"/>
    <w:rsid w:val="00874620"/>
    <w:rsid w:val="00874A73"/>
    <w:rsid w:val="00874D31"/>
    <w:rsid w:val="0087514E"/>
    <w:rsid w:val="00875D62"/>
    <w:rsid w:val="00875E5E"/>
    <w:rsid w:val="0087646C"/>
    <w:rsid w:val="00876808"/>
    <w:rsid w:val="00876BCF"/>
    <w:rsid w:val="00876EB6"/>
    <w:rsid w:val="00876FB7"/>
    <w:rsid w:val="00877EE6"/>
    <w:rsid w:val="0088077D"/>
    <w:rsid w:val="00880C44"/>
    <w:rsid w:val="00880D64"/>
    <w:rsid w:val="00880DE6"/>
    <w:rsid w:val="00881882"/>
    <w:rsid w:val="008818A7"/>
    <w:rsid w:val="00881D42"/>
    <w:rsid w:val="00881F0F"/>
    <w:rsid w:val="00881FDC"/>
    <w:rsid w:val="00881FF0"/>
    <w:rsid w:val="008820C0"/>
    <w:rsid w:val="008820FE"/>
    <w:rsid w:val="008822AF"/>
    <w:rsid w:val="0088230A"/>
    <w:rsid w:val="0088244F"/>
    <w:rsid w:val="008826EF"/>
    <w:rsid w:val="00882967"/>
    <w:rsid w:val="0088318D"/>
    <w:rsid w:val="0088398B"/>
    <w:rsid w:val="00883C3B"/>
    <w:rsid w:val="0088425A"/>
    <w:rsid w:val="00884518"/>
    <w:rsid w:val="00884A56"/>
    <w:rsid w:val="008851F9"/>
    <w:rsid w:val="008854D2"/>
    <w:rsid w:val="00885AF1"/>
    <w:rsid w:val="00886089"/>
    <w:rsid w:val="008866A7"/>
    <w:rsid w:val="008866BE"/>
    <w:rsid w:val="0088697D"/>
    <w:rsid w:val="00887228"/>
    <w:rsid w:val="00887442"/>
    <w:rsid w:val="008878FE"/>
    <w:rsid w:val="00887EA9"/>
    <w:rsid w:val="008903A6"/>
    <w:rsid w:val="0089063F"/>
    <w:rsid w:val="0089072E"/>
    <w:rsid w:val="008910E8"/>
    <w:rsid w:val="0089182C"/>
    <w:rsid w:val="00891863"/>
    <w:rsid w:val="00891A2A"/>
    <w:rsid w:val="00891F99"/>
    <w:rsid w:val="008923E8"/>
    <w:rsid w:val="0089266A"/>
    <w:rsid w:val="00892AE3"/>
    <w:rsid w:val="00892B04"/>
    <w:rsid w:val="00892FC8"/>
    <w:rsid w:val="00893350"/>
    <w:rsid w:val="008936F9"/>
    <w:rsid w:val="00893761"/>
    <w:rsid w:val="008939E0"/>
    <w:rsid w:val="00893BF8"/>
    <w:rsid w:val="00894739"/>
    <w:rsid w:val="008949FA"/>
    <w:rsid w:val="00894A04"/>
    <w:rsid w:val="00894C3A"/>
    <w:rsid w:val="00894C48"/>
    <w:rsid w:val="008953F5"/>
    <w:rsid w:val="0089555F"/>
    <w:rsid w:val="00895735"/>
    <w:rsid w:val="008958BC"/>
    <w:rsid w:val="00895919"/>
    <w:rsid w:val="00895EEC"/>
    <w:rsid w:val="00896946"/>
    <w:rsid w:val="0089723E"/>
    <w:rsid w:val="00897487"/>
    <w:rsid w:val="00897611"/>
    <w:rsid w:val="00897C2E"/>
    <w:rsid w:val="00897E2F"/>
    <w:rsid w:val="008A017E"/>
    <w:rsid w:val="008A0758"/>
    <w:rsid w:val="008A080D"/>
    <w:rsid w:val="008A0A00"/>
    <w:rsid w:val="008A0AFA"/>
    <w:rsid w:val="008A0F01"/>
    <w:rsid w:val="008A144B"/>
    <w:rsid w:val="008A1637"/>
    <w:rsid w:val="008A18B9"/>
    <w:rsid w:val="008A18D7"/>
    <w:rsid w:val="008A1B73"/>
    <w:rsid w:val="008A292F"/>
    <w:rsid w:val="008A2AE4"/>
    <w:rsid w:val="008A2C37"/>
    <w:rsid w:val="008A2CAE"/>
    <w:rsid w:val="008A2F8F"/>
    <w:rsid w:val="008A33C4"/>
    <w:rsid w:val="008A356F"/>
    <w:rsid w:val="008A35D5"/>
    <w:rsid w:val="008A3A94"/>
    <w:rsid w:val="008A3F0D"/>
    <w:rsid w:val="008A42FE"/>
    <w:rsid w:val="008A49AB"/>
    <w:rsid w:val="008A4A93"/>
    <w:rsid w:val="008A4B61"/>
    <w:rsid w:val="008A5065"/>
    <w:rsid w:val="008A50F7"/>
    <w:rsid w:val="008A51B5"/>
    <w:rsid w:val="008A5844"/>
    <w:rsid w:val="008A6143"/>
    <w:rsid w:val="008A6150"/>
    <w:rsid w:val="008A62A1"/>
    <w:rsid w:val="008A674F"/>
    <w:rsid w:val="008A7458"/>
    <w:rsid w:val="008A75CB"/>
    <w:rsid w:val="008B0031"/>
    <w:rsid w:val="008B0311"/>
    <w:rsid w:val="008B05C2"/>
    <w:rsid w:val="008B0693"/>
    <w:rsid w:val="008B091A"/>
    <w:rsid w:val="008B0EBA"/>
    <w:rsid w:val="008B149E"/>
    <w:rsid w:val="008B1638"/>
    <w:rsid w:val="008B1887"/>
    <w:rsid w:val="008B1AF4"/>
    <w:rsid w:val="008B23AD"/>
    <w:rsid w:val="008B2A04"/>
    <w:rsid w:val="008B2D2F"/>
    <w:rsid w:val="008B2E13"/>
    <w:rsid w:val="008B2FCC"/>
    <w:rsid w:val="008B30C8"/>
    <w:rsid w:val="008B31B7"/>
    <w:rsid w:val="008B354F"/>
    <w:rsid w:val="008B3915"/>
    <w:rsid w:val="008B3F8E"/>
    <w:rsid w:val="008B40AE"/>
    <w:rsid w:val="008B429D"/>
    <w:rsid w:val="008B42B4"/>
    <w:rsid w:val="008B4B96"/>
    <w:rsid w:val="008B4FFB"/>
    <w:rsid w:val="008B57CA"/>
    <w:rsid w:val="008B5CF9"/>
    <w:rsid w:val="008B5D9B"/>
    <w:rsid w:val="008B5E6E"/>
    <w:rsid w:val="008B5EFA"/>
    <w:rsid w:val="008B5F0B"/>
    <w:rsid w:val="008B6442"/>
    <w:rsid w:val="008B6BD8"/>
    <w:rsid w:val="008B6D46"/>
    <w:rsid w:val="008B6ECB"/>
    <w:rsid w:val="008B7542"/>
    <w:rsid w:val="008B793A"/>
    <w:rsid w:val="008C01E8"/>
    <w:rsid w:val="008C0293"/>
    <w:rsid w:val="008C042D"/>
    <w:rsid w:val="008C0522"/>
    <w:rsid w:val="008C06CA"/>
    <w:rsid w:val="008C097B"/>
    <w:rsid w:val="008C0BB9"/>
    <w:rsid w:val="008C13D9"/>
    <w:rsid w:val="008C154F"/>
    <w:rsid w:val="008C188D"/>
    <w:rsid w:val="008C1C6B"/>
    <w:rsid w:val="008C1D2C"/>
    <w:rsid w:val="008C201E"/>
    <w:rsid w:val="008C24E2"/>
    <w:rsid w:val="008C2A4E"/>
    <w:rsid w:val="008C2BF4"/>
    <w:rsid w:val="008C3315"/>
    <w:rsid w:val="008C4348"/>
    <w:rsid w:val="008C45DD"/>
    <w:rsid w:val="008C534D"/>
    <w:rsid w:val="008C53DD"/>
    <w:rsid w:val="008C5411"/>
    <w:rsid w:val="008C5887"/>
    <w:rsid w:val="008C6137"/>
    <w:rsid w:val="008C624E"/>
    <w:rsid w:val="008C6A44"/>
    <w:rsid w:val="008C6E7F"/>
    <w:rsid w:val="008C6E89"/>
    <w:rsid w:val="008C705A"/>
    <w:rsid w:val="008C7249"/>
    <w:rsid w:val="008C74C8"/>
    <w:rsid w:val="008C7675"/>
    <w:rsid w:val="008C76AA"/>
    <w:rsid w:val="008C7998"/>
    <w:rsid w:val="008C7F03"/>
    <w:rsid w:val="008D007E"/>
    <w:rsid w:val="008D0314"/>
    <w:rsid w:val="008D0560"/>
    <w:rsid w:val="008D1A26"/>
    <w:rsid w:val="008D1B2E"/>
    <w:rsid w:val="008D1B65"/>
    <w:rsid w:val="008D1FB7"/>
    <w:rsid w:val="008D2566"/>
    <w:rsid w:val="008D26B5"/>
    <w:rsid w:val="008D30D0"/>
    <w:rsid w:val="008D332B"/>
    <w:rsid w:val="008D3699"/>
    <w:rsid w:val="008D3A15"/>
    <w:rsid w:val="008D3AD6"/>
    <w:rsid w:val="008D3BF5"/>
    <w:rsid w:val="008D3E08"/>
    <w:rsid w:val="008D3E96"/>
    <w:rsid w:val="008D4AFF"/>
    <w:rsid w:val="008D4F06"/>
    <w:rsid w:val="008D4FAD"/>
    <w:rsid w:val="008D5044"/>
    <w:rsid w:val="008D531B"/>
    <w:rsid w:val="008D5497"/>
    <w:rsid w:val="008D56D3"/>
    <w:rsid w:val="008D5AB5"/>
    <w:rsid w:val="008D5BB1"/>
    <w:rsid w:val="008D5F0B"/>
    <w:rsid w:val="008D63B8"/>
    <w:rsid w:val="008D6C74"/>
    <w:rsid w:val="008D6E6A"/>
    <w:rsid w:val="008D7131"/>
    <w:rsid w:val="008E020D"/>
    <w:rsid w:val="008E0959"/>
    <w:rsid w:val="008E0979"/>
    <w:rsid w:val="008E0AFF"/>
    <w:rsid w:val="008E0E3F"/>
    <w:rsid w:val="008E0E99"/>
    <w:rsid w:val="008E0FE1"/>
    <w:rsid w:val="008E14AD"/>
    <w:rsid w:val="008E1777"/>
    <w:rsid w:val="008E1C2C"/>
    <w:rsid w:val="008E210D"/>
    <w:rsid w:val="008E25E3"/>
    <w:rsid w:val="008E278A"/>
    <w:rsid w:val="008E27C2"/>
    <w:rsid w:val="008E2E0D"/>
    <w:rsid w:val="008E31F1"/>
    <w:rsid w:val="008E34A1"/>
    <w:rsid w:val="008E3941"/>
    <w:rsid w:val="008E3BFE"/>
    <w:rsid w:val="008E3E1D"/>
    <w:rsid w:val="008E447F"/>
    <w:rsid w:val="008E48B4"/>
    <w:rsid w:val="008E49DA"/>
    <w:rsid w:val="008E4A5E"/>
    <w:rsid w:val="008E4B1E"/>
    <w:rsid w:val="008E4D34"/>
    <w:rsid w:val="008E4F66"/>
    <w:rsid w:val="008E50A6"/>
    <w:rsid w:val="008E52EA"/>
    <w:rsid w:val="008E54DD"/>
    <w:rsid w:val="008E55A4"/>
    <w:rsid w:val="008E55F1"/>
    <w:rsid w:val="008E56CB"/>
    <w:rsid w:val="008E572A"/>
    <w:rsid w:val="008E5A5C"/>
    <w:rsid w:val="008E6665"/>
    <w:rsid w:val="008E6A9B"/>
    <w:rsid w:val="008E6EA8"/>
    <w:rsid w:val="008E6F0E"/>
    <w:rsid w:val="008E6FC6"/>
    <w:rsid w:val="008E7940"/>
    <w:rsid w:val="008F0048"/>
    <w:rsid w:val="008F0082"/>
    <w:rsid w:val="008F05BC"/>
    <w:rsid w:val="008F129D"/>
    <w:rsid w:val="008F18B9"/>
    <w:rsid w:val="008F1AEE"/>
    <w:rsid w:val="008F1BCA"/>
    <w:rsid w:val="008F1EC4"/>
    <w:rsid w:val="008F1F49"/>
    <w:rsid w:val="008F2330"/>
    <w:rsid w:val="008F2442"/>
    <w:rsid w:val="008F27ED"/>
    <w:rsid w:val="008F2EBE"/>
    <w:rsid w:val="008F3375"/>
    <w:rsid w:val="008F345E"/>
    <w:rsid w:val="008F3493"/>
    <w:rsid w:val="008F4021"/>
    <w:rsid w:val="008F44D9"/>
    <w:rsid w:val="008F4BC3"/>
    <w:rsid w:val="008F4D7C"/>
    <w:rsid w:val="008F4E8B"/>
    <w:rsid w:val="008F4F92"/>
    <w:rsid w:val="008F539E"/>
    <w:rsid w:val="008F5435"/>
    <w:rsid w:val="008F543F"/>
    <w:rsid w:val="008F54A4"/>
    <w:rsid w:val="008F5BFE"/>
    <w:rsid w:val="008F5DD6"/>
    <w:rsid w:val="008F656E"/>
    <w:rsid w:val="008F6A36"/>
    <w:rsid w:val="008F6AE1"/>
    <w:rsid w:val="008F6B84"/>
    <w:rsid w:val="008F73F1"/>
    <w:rsid w:val="008F7AEC"/>
    <w:rsid w:val="008F7ECC"/>
    <w:rsid w:val="009002C6"/>
    <w:rsid w:val="00900622"/>
    <w:rsid w:val="009011D6"/>
    <w:rsid w:val="0090150B"/>
    <w:rsid w:val="00901B0E"/>
    <w:rsid w:val="00902BB7"/>
    <w:rsid w:val="00902CE1"/>
    <w:rsid w:val="00902D69"/>
    <w:rsid w:val="009036D1"/>
    <w:rsid w:val="00903A7C"/>
    <w:rsid w:val="00903C0F"/>
    <w:rsid w:val="0090423E"/>
    <w:rsid w:val="0090498D"/>
    <w:rsid w:val="009049A2"/>
    <w:rsid w:val="00904F2B"/>
    <w:rsid w:val="0090534F"/>
    <w:rsid w:val="00905881"/>
    <w:rsid w:val="00905933"/>
    <w:rsid w:val="00905CEA"/>
    <w:rsid w:val="0090603C"/>
    <w:rsid w:val="00906352"/>
    <w:rsid w:val="009063D4"/>
    <w:rsid w:val="0090680E"/>
    <w:rsid w:val="00906D0F"/>
    <w:rsid w:val="0090712C"/>
    <w:rsid w:val="00907254"/>
    <w:rsid w:val="00907A58"/>
    <w:rsid w:val="0091006A"/>
    <w:rsid w:val="009106AA"/>
    <w:rsid w:val="009108C0"/>
    <w:rsid w:val="00910A9A"/>
    <w:rsid w:val="00910B23"/>
    <w:rsid w:val="00910C3A"/>
    <w:rsid w:val="00911051"/>
    <w:rsid w:val="00911AD4"/>
    <w:rsid w:val="00911B60"/>
    <w:rsid w:val="00911DA0"/>
    <w:rsid w:val="00911ED3"/>
    <w:rsid w:val="00912203"/>
    <w:rsid w:val="00912494"/>
    <w:rsid w:val="009124D2"/>
    <w:rsid w:val="00912DB1"/>
    <w:rsid w:val="00912F52"/>
    <w:rsid w:val="009130C4"/>
    <w:rsid w:val="0091311F"/>
    <w:rsid w:val="009133A4"/>
    <w:rsid w:val="009138A8"/>
    <w:rsid w:val="00913937"/>
    <w:rsid w:val="00913953"/>
    <w:rsid w:val="00913D7A"/>
    <w:rsid w:val="00913FD2"/>
    <w:rsid w:val="009144A3"/>
    <w:rsid w:val="00914A10"/>
    <w:rsid w:val="00914B75"/>
    <w:rsid w:val="00914DAF"/>
    <w:rsid w:val="0091506F"/>
    <w:rsid w:val="009150B1"/>
    <w:rsid w:val="009157A3"/>
    <w:rsid w:val="009158A3"/>
    <w:rsid w:val="0091621A"/>
    <w:rsid w:val="009163FC"/>
    <w:rsid w:val="00916764"/>
    <w:rsid w:val="009167D5"/>
    <w:rsid w:val="00916A83"/>
    <w:rsid w:val="00916AE4"/>
    <w:rsid w:val="00916EAC"/>
    <w:rsid w:val="00917050"/>
    <w:rsid w:val="0091736A"/>
    <w:rsid w:val="00917496"/>
    <w:rsid w:val="009176FE"/>
    <w:rsid w:val="009178A7"/>
    <w:rsid w:val="009200FB"/>
    <w:rsid w:val="0092013E"/>
    <w:rsid w:val="009204D6"/>
    <w:rsid w:val="009215C9"/>
    <w:rsid w:val="00921EEA"/>
    <w:rsid w:val="00921F4E"/>
    <w:rsid w:val="00922455"/>
    <w:rsid w:val="00922840"/>
    <w:rsid w:val="00922AEB"/>
    <w:rsid w:val="00922D71"/>
    <w:rsid w:val="00923834"/>
    <w:rsid w:val="00923FE3"/>
    <w:rsid w:val="009242E8"/>
    <w:rsid w:val="0092441B"/>
    <w:rsid w:val="00924FA5"/>
    <w:rsid w:val="00925217"/>
    <w:rsid w:val="00925613"/>
    <w:rsid w:val="009260D3"/>
    <w:rsid w:val="00926136"/>
    <w:rsid w:val="009266CC"/>
    <w:rsid w:val="00926BA0"/>
    <w:rsid w:val="00926DB8"/>
    <w:rsid w:val="00927274"/>
    <w:rsid w:val="00927C3C"/>
    <w:rsid w:val="00927CBC"/>
    <w:rsid w:val="00927E69"/>
    <w:rsid w:val="009300BE"/>
    <w:rsid w:val="009303E1"/>
    <w:rsid w:val="009309CE"/>
    <w:rsid w:val="00930F9C"/>
    <w:rsid w:val="00931047"/>
    <w:rsid w:val="00931DA4"/>
    <w:rsid w:val="00931FBE"/>
    <w:rsid w:val="0093235D"/>
    <w:rsid w:val="009325CF"/>
    <w:rsid w:val="009328EF"/>
    <w:rsid w:val="00932A50"/>
    <w:rsid w:val="00932A95"/>
    <w:rsid w:val="00932BB7"/>
    <w:rsid w:val="00932D9B"/>
    <w:rsid w:val="00932F21"/>
    <w:rsid w:val="00932F81"/>
    <w:rsid w:val="0093304D"/>
    <w:rsid w:val="009331C0"/>
    <w:rsid w:val="00933532"/>
    <w:rsid w:val="00933561"/>
    <w:rsid w:val="00934635"/>
    <w:rsid w:val="00934D2D"/>
    <w:rsid w:val="00935A83"/>
    <w:rsid w:val="00935C78"/>
    <w:rsid w:val="0093625E"/>
    <w:rsid w:val="0093659E"/>
    <w:rsid w:val="009368D9"/>
    <w:rsid w:val="00936D51"/>
    <w:rsid w:val="00936EA6"/>
    <w:rsid w:val="00936FBA"/>
    <w:rsid w:val="009370C8"/>
    <w:rsid w:val="009375E4"/>
    <w:rsid w:val="00937B76"/>
    <w:rsid w:val="0093B30E"/>
    <w:rsid w:val="009403FD"/>
    <w:rsid w:val="009409A4"/>
    <w:rsid w:val="00940B91"/>
    <w:rsid w:val="009417A4"/>
    <w:rsid w:val="00941B43"/>
    <w:rsid w:val="00941BBD"/>
    <w:rsid w:val="009422F6"/>
    <w:rsid w:val="0094234C"/>
    <w:rsid w:val="009426F7"/>
    <w:rsid w:val="00942966"/>
    <w:rsid w:val="00942D11"/>
    <w:rsid w:val="0094303B"/>
    <w:rsid w:val="0094316F"/>
    <w:rsid w:val="0094318B"/>
    <w:rsid w:val="0094356C"/>
    <w:rsid w:val="00943649"/>
    <w:rsid w:val="00943ACF"/>
    <w:rsid w:val="009443ED"/>
    <w:rsid w:val="00944B88"/>
    <w:rsid w:val="00944EF2"/>
    <w:rsid w:val="00944F0B"/>
    <w:rsid w:val="0094543B"/>
    <w:rsid w:val="009455B9"/>
    <w:rsid w:val="009455EC"/>
    <w:rsid w:val="00945B1B"/>
    <w:rsid w:val="00945DB4"/>
    <w:rsid w:val="0094657F"/>
    <w:rsid w:val="009465EF"/>
    <w:rsid w:val="00946AA0"/>
    <w:rsid w:val="009470A6"/>
    <w:rsid w:val="00947597"/>
    <w:rsid w:val="00947F91"/>
    <w:rsid w:val="009500F2"/>
    <w:rsid w:val="00950226"/>
    <w:rsid w:val="00950274"/>
    <w:rsid w:val="009503EE"/>
    <w:rsid w:val="00950C5A"/>
    <w:rsid w:val="0095160A"/>
    <w:rsid w:val="0095179E"/>
    <w:rsid w:val="00951A42"/>
    <w:rsid w:val="009526A6"/>
    <w:rsid w:val="0095270B"/>
    <w:rsid w:val="00953893"/>
    <w:rsid w:val="00954189"/>
    <w:rsid w:val="009542C4"/>
    <w:rsid w:val="009547E2"/>
    <w:rsid w:val="00954886"/>
    <w:rsid w:val="009549EF"/>
    <w:rsid w:val="00954BB9"/>
    <w:rsid w:val="0095571B"/>
    <w:rsid w:val="00955AA6"/>
    <w:rsid w:val="00955B02"/>
    <w:rsid w:val="009567A1"/>
    <w:rsid w:val="00956DF0"/>
    <w:rsid w:val="00956DF5"/>
    <w:rsid w:val="00956E76"/>
    <w:rsid w:val="00956FAD"/>
    <w:rsid w:val="00956FB0"/>
    <w:rsid w:val="009570F6"/>
    <w:rsid w:val="0095776C"/>
    <w:rsid w:val="00957ACF"/>
    <w:rsid w:val="00957EE6"/>
    <w:rsid w:val="0096002D"/>
    <w:rsid w:val="00960221"/>
    <w:rsid w:val="0096043B"/>
    <w:rsid w:val="00960608"/>
    <w:rsid w:val="00960876"/>
    <w:rsid w:val="00961073"/>
    <w:rsid w:val="0096221B"/>
    <w:rsid w:val="009624A7"/>
    <w:rsid w:val="0096272A"/>
    <w:rsid w:val="00962C4C"/>
    <w:rsid w:val="00963185"/>
    <w:rsid w:val="009642DC"/>
    <w:rsid w:val="00964612"/>
    <w:rsid w:val="00964B70"/>
    <w:rsid w:val="00964C34"/>
    <w:rsid w:val="00964CA3"/>
    <w:rsid w:val="00964DAB"/>
    <w:rsid w:val="00964EDB"/>
    <w:rsid w:val="009650DB"/>
    <w:rsid w:val="00965548"/>
    <w:rsid w:val="00965C3D"/>
    <w:rsid w:val="00965FCC"/>
    <w:rsid w:val="00966402"/>
    <w:rsid w:val="00966501"/>
    <w:rsid w:val="00966B0F"/>
    <w:rsid w:val="00966CEB"/>
    <w:rsid w:val="00966F0D"/>
    <w:rsid w:val="00967205"/>
    <w:rsid w:val="009672D6"/>
    <w:rsid w:val="009673E2"/>
    <w:rsid w:val="00967884"/>
    <w:rsid w:val="009678D9"/>
    <w:rsid w:val="00967DFA"/>
    <w:rsid w:val="00967F36"/>
    <w:rsid w:val="00970172"/>
    <w:rsid w:val="0097028E"/>
    <w:rsid w:val="00970577"/>
    <w:rsid w:val="009705D0"/>
    <w:rsid w:val="009706EC"/>
    <w:rsid w:val="00970A16"/>
    <w:rsid w:val="0097171E"/>
    <w:rsid w:val="009717E4"/>
    <w:rsid w:val="00971C5E"/>
    <w:rsid w:val="00972E27"/>
    <w:rsid w:val="0097345A"/>
    <w:rsid w:val="00973E5E"/>
    <w:rsid w:val="009744DE"/>
    <w:rsid w:val="009745C4"/>
    <w:rsid w:val="009745E1"/>
    <w:rsid w:val="009746B2"/>
    <w:rsid w:val="009747C0"/>
    <w:rsid w:val="00974970"/>
    <w:rsid w:val="00974C19"/>
    <w:rsid w:val="0097537D"/>
    <w:rsid w:val="009753EE"/>
    <w:rsid w:val="00975692"/>
    <w:rsid w:val="00975BA2"/>
    <w:rsid w:val="00976138"/>
    <w:rsid w:val="009765C7"/>
    <w:rsid w:val="00976A97"/>
    <w:rsid w:val="00976F6B"/>
    <w:rsid w:val="009770E2"/>
    <w:rsid w:val="00977256"/>
    <w:rsid w:val="009772D4"/>
    <w:rsid w:val="009805F4"/>
    <w:rsid w:val="00980E3D"/>
    <w:rsid w:val="0098116C"/>
    <w:rsid w:val="0098137B"/>
    <w:rsid w:val="009815E9"/>
    <w:rsid w:val="009817F3"/>
    <w:rsid w:val="00981C63"/>
    <w:rsid w:val="009820F0"/>
    <w:rsid w:val="00982E25"/>
    <w:rsid w:val="00983679"/>
    <w:rsid w:val="00984B95"/>
    <w:rsid w:val="00984E3D"/>
    <w:rsid w:val="00984F25"/>
    <w:rsid w:val="009850BC"/>
    <w:rsid w:val="009850FF"/>
    <w:rsid w:val="009852D3"/>
    <w:rsid w:val="00986125"/>
    <w:rsid w:val="0098649A"/>
    <w:rsid w:val="009864A3"/>
    <w:rsid w:val="009865E5"/>
    <w:rsid w:val="00986A92"/>
    <w:rsid w:val="00986ACA"/>
    <w:rsid w:val="00987194"/>
    <w:rsid w:val="009873A8"/>
    <w:rsid w:val="00987741"/>
    <w:rsid w:val="00987767"/>
    <w:rsid w:val="00987ED6"/>
    <w:rsid w:val="00990991"/>
    <w:rsid w:val="00990BA5"/>
    <w:rsid w:val="00991642"/>
    <w:rsid w:val="00991650"/>
    <w:rsid w:val="0099188C"/>
    <w:rsid w:val="009918AC"/>
    <w:rsid w:val="00991FF1"/>
    <w:rsid w:val="009926CD"/>
    <w:rsid w:val="00992A35"/>
    <w:rsid w:val="00992EB3"/>
    <w:rsid w:val="0099309A"/>
    <w:rsid w:val="009932FC"/>
    <w:rsid w:val="009935C5"/>
    <w:rsid w:val="00993807"/>
    <w:rsid w:val="009944F2"/>
    <w:rsid w:val="0099467B"/>
    <w:rsid w:val="00994A6E"/>
    <w:rsid w:val="00994B37"/>
    <w:rsid w:val="00994C67"/>
    <w:rsid w:val="00995C1D"/>
    <w:rsid w:val="00995F32"/>
    <w:rsid w:val="00996C67"/>
    <w:rsid w:val="00996DDA"/>
    <w:rsid w:val="00996F08"/>
    <w:rsid w:val="00996F42"/>
    <w:rsid w:val="009977DF"/>
    <w:rsid w:val="0099789E"/>
    <w:rsid w:val="00997EE7"/>
    <w:rsid w:val="009A020B"/>
    <w:rsid w:val="009A031E"/>
    <w:rsid w:val="009A0473"/>
    <w:rsid w:val="009A0919"/>
    <w:rsid w:val="009A0F75"/>
    <w:rsid w:val="009A117C"/>
    <w:rsid w:val="009A1400"/>
    <w:rsid w:val="009A1C4D"/>
    <w:rsid w:val="009A1F92"/>
    <w:rsid w:val="009A1FC6"/>
    <w:rsid w:val="009A2DA7"/>
    <w:rsid w:val="009A2DE8"/>
    <w:rsid w:val="009A2E41"/>
    <w:rsid w:val="009A4103"/>
    <w:rsid w:val="009A43C7"/>
    <w:rsid w:val="009A457B"/>
    <w:rsid w:val="009A498C"/>
    <w:rsid w:val="009A5DB5"/>
    <w:rsid w:val="009A5FA7"/>
    <w:rsid w:val="009A6294"/>
    <w:rsid w:val="009A6491"/>
    <w:rsid w:val="009A6586"/>
    <w:rsid w:val="009A7066"/>
    <w:rsid w:val="009A711C"/>
    <w:rsid w:val="009A72B8"/>
    <w:rsid w:val="009A7B25"/>
    <w:rsid w:val="009B022A"/>
    <w:rsid w:val="009B04FE"/>
    <w:rsid w:val="009B050B"/>
    <w:rsid w:val="009B0895"/>
    <w:rsid w:val="009B0919"/>
    <w:rsid w:val="009B099A"/>
    <w:rsid w:val="009B09B9"/>
    <w:rsid w:val="009B1016"/>
    <w:rsid w:val="009B1362"/>
    <w:rsid w:val="009B1AB9"/>
    <w:rsid w:val="009B1DE3"/>
    <w:rsid w:val="009B1E38"/>
    <w:rsid w:val="009B1EA3"/>
    <w:rsid w:val="009B22BB"/>
    <w:rsid w:val="009B2426"/>
    <w:rsid w:val="009B26F1"/>
    <w:rsid w:val="009B276C"/>
    <w:rsid w:val="009B278E"/>
    <w:rsid w:val="009B2BAE"/>
    <w:rsid w:val="009B2C1A"/>
    <w:rsid w:val="009B34EA"/>
    <w:rsid w:val="009B3613"/>
    <w:rsid w:val="009B3CD1"/>
    <w:rsid w:val="009B4BF1"/>
    <w:rsid w:val="009B50EC"/>
    <w:rsid w:val="009B5374"/>
    <w:rsid w:val="009B5412"/>
    <w:rsid w:val="009B54AE"/>
    <w:rsid w:val="009B586B"/>
    <w:rsid w:val="009B5CFF"/>
    <w:rsid w:val="009B5E64"/>
    <w:rsid w:val="009B6305"/>
    <w:rsid w:val="009B641F"/>
    <w:rsid w:val="009B652F"/>
    <w:rsid w:val="009B72C5"/>
    <w:rsid w:val="009B74D8"/>
    <w:rsid w:val="009B7807"/>
    <w:rsid w:val="009B7A72"/>
    <w:rsid w:val="009B7CBA"/>
    <w:rsid w:val="009C02F5"/>
    <w:rsid w:val="009C0AD1"/>
    <w:rsid w:val="009C0D55"/>
    <w:rsid w:val="009C0F62"/>
    <w:rsid w:val="009C1C53"/>
    <w:rsid w:val="009C1DB1"/>
    <w:rsid w:val="009C26A8"/>
    <w:rsid w:val="009C2A70"/>
    <w:rsid w:val="009C2FF7"/>
    <w:rsid w:val="009C31EF"/>
    <w:rsid w:val="009C32ED"/>
    <w:rsid w:val="009C343F"/>
    <w:rsid w:val="009C3934"/>
    <w:rsid w:val="009C410A"/>
    <w:rsid w:val="009C4450"/>
    <w:rsid w:val="009C4812"/>
    <w:rsid w:val="009C4ED2"/>
    <w:rsid w:val="009C508C"/>
    <w:rsid w:val="009C547C"/>
    <w:rsid w:val="009C5A28"/>
    <w:rsid w:val="009C5A7B"/>
    <w:rsid w:val="009C5CCC"/>
    <w:rsid w:val="009C5D8F"/>
    <w:rsid w:val="009C5FE8"/>
    <w:rsid w:val="009C6382"/>
    <w:rsid w:val="009C63E5"/>
    <w:rsid w:val="009C6584"/>
    <w:rsid w:val="009C6875"/>
    <w:rsid w:val="009C7A1A"/>
    <w:rsid w:val="009D030F"/>
    <w:rsid w:val="009D072E"/>
    <w:rsid w:val="009D0B66"/>
    <w:rsid w:val="009D0D62"/>
    <w:rsid w:val="009D0F4D"/>
    <w:rsid w:val="009D1287"/>
    <w:rsid w:val="009D12DF"/>
    <w:rsid w:val="009D2778"/>
    <w:rsid w:val="009D27BE"/>
    <w:rsid w:val="009D2893"/>
    <w:rsid w:val="009D2CFB"/>
    <w:rsid w:val="009D3C1F"/>
    <w:rsid w:val="009D464E"/>
    <w:rsid w:val="009D4CBF"/>
    <w:rsid w:val="009D589E"/>
    <w:rsid w:val="009D5CB3"/>
    <w:rsid w:val="009D681B"/>
    <w:rsid w:val="009D69DA"/>
    <w:rsid w:val="009D6BEE"/>
    <w:rsid w:val="009D7472"/>
    <w:rsid w:val="009D7632"/>
    <w:rsid w:val="009D7783"/>
    <w:rsid w:val="009D7A0B"/>
    <w:rsid w:val="009D7A8A"/>
    <w:rsid w:val="009D7DF4"/>
    <w:rsid w:val="009E14FA"/>
    <w:rsid w:val="009E18AA"/>
    <w:rsid w:val="009E1ACA"/>
    <w:rsid w:val="009E1BBE"/>
    <w:rsid w:val="009E2044"/>
    <w:rsid w:val="009E2078"/>
    <w:rsid w:val="009E28F5"/>
    <w:rsid w:val="009E2B62"/>
    <w:rsid w:val="009E2BDB"/>
    <w:rsid w:val="009E2D78"/>
    <w:rsid w:val="009E3D0A"/>
    <w:rsid w:val="009E401D"/>
    <w:rsid w:val="009E4435"/>
    <w:rsid w:val="009E447A"/>
    <w:rsid w:val="009E462B"/>
    <w:rsid w:val="009E481F"/>
    <w:rsid w:val="009E485F"/>
    <w:rsid w:val="009E4B1A"/>
    <w:rsid w:val="009E560E"/>
    <w:rsid w:val="009E5E7F"/>
    <w:rsid w:val="009E623D"/>
    <w:rsid w:val="009E63C3"/>
    <w:rsid w:val="009E69B3"/>
    <w:rsid w:val="009E6C2B"/>
    <w:rsid w:val="009E6D96"/>
    <w:rsid w:val="009E75D3"/>
    <w:rsid w:val="009E7AC7"/>
    <w:rsid w:val="009E7DA5"/>
    <w:rsid w:val="009E7F00"/>
    <w:rsid w:val="009F0094"/>
    <w:rsid w:val="009F07B8"/>
    <w:rsid w:val="009F095A"/>
    <w:rsid w:val="009F0A38"/>
    <w:rsid w:val="009F0B69"/>
    <w:rsid w:val="009F0E12"/>
    <w:rsid w:val="009F130F"/>
    <w:rsid w:val="009F14CE"/>
    <w:rsid w:val="009F157A"/>
    <w:rsid w:val="009F162B"/>
    <w:rsid w:val="009F1FC0"/>
    <w:rsid w:val="009F2019"/>
    <w:rsid w:val="009F2233"/>
    <w:rsid w:val="009F2345"/>
    <w:rsid w:val="009F2601"/>
    <w:rsid w:val="009F2944"/>
    <w:rsid w:val="009F2D21"/>
    <w:rsid w:val="009F3196"/>
    <w:rsid w:val="009F3A47"/>
    <w:rsid w:val="009F3BE6"/>
    <w:rsid w:val="009F40CC"/>
    <w:rsid w:val="009F4232"/>
    <w:rsid w:val="009F4797"/>
    <w:rsid w:val="009F5445"/>
    <w:rsid w:val="009F58A1"/>
    <w:rsid w:val="009F5BD4"/>
    <w:rsid w:val="009F60CA"/>
    <w:rsid w:val="009F61EE"/>
    <w:rsid w:val="009F6590"/>
    <w:rsid w:val="009F6836"/>
    <w:rsid w:val="009F709A"/>
    <w:rsid w:val="009F7161"/>
    <w:rsid w:val="009F7422"/>
    <w:rsid w:val="009F74AE"/>
    <w:rsid w:val="009F78D4"/>
    <w:rsid w:val="009F7EE7"/>
    <w:rsid w:val="00A00899"/>
    <w:rsid w:val="00A00D89"/>
    <w:rsid w:val="00A00E3B"/>
    <w:rsid w:val="00A00F51"/>
    <w:rsid w:val="00A0151E"/>
    <w:rsid w:val="00A015D1"/>
    <w:rsid w:val="00A017CE"/>
    <w:rsid w:val="00A019C8"/>
    <w:rsid w:val="00A01E7F"/>
    <w:rsid w:val="00A0246B"/>
    <w:rsid w:val="00A02559"/>
    <w:rsid w:val="00A026E2"/>
    <w:rsid w:val="00A0293F"/>
    <w:rsid w:val="00A02E5B"/>
    <w:rsid w:val="00A034F2"/>
    <w:rsid w:val="00A038C7"/>
    <w:rsid w:val="00A04105"/>
    <w:rsid w:val="00A04890"/>
    <w:rsid w:val="00A053DE"/>
    <w:rsid w:val="00A055A3"/>
    <w:rsid w:val="00A06626"/>
    <w:rsid w:val="00A0688B"/>
    <w:rsid w:val="00A072DD"/>
    <w:rsid w:val="00A101D2"/>
    <w:rsid w:val="00A1041A"/>
    <w:rsid w:val="00A10751"/>
    <w:rsid w:val="00A10CF6"/>
    <w:rsid w:val="00A10F92"/>
    <w:rsid w:val="00A1116D"/>
    <w:rsid w:val="00A115B0"/>
    <w:rsid w:val="00A11B63"/>
    <w:rsid w:val="00A11C08"/>
    <w:rsid w:val="00A12AA8"/>
    <w:rsid w:val="00A12B6E"/>
    <w:rsid w:val="00A12C9B"/>
    <w:rsid w:val="00A13339"/>
    <w:rsid w:val="00A137CE"/>
    <w:rsid w:val="00A13866"/>
    <w:rsid w:val="00A13890"/>
    <w:rsid w:val="00A138BB"/>
    <w:rsid w:val="00A13C73"/>
    <w:rsid w:val="00A13CFC"/>
    <w:rsid w:val="00A13D8F"/>
    <w:rsid w:val="00A13EA6"/>
    <w:rsid w:val="00A13EEE"/>
    <w:rsid w:val="00A146E1"/>
    <w:rsid w:val="00A1492E"/>
    <w:rsid w:val="00A14BED"/>
    <w:rsid w:val="00A1501B"/>
    <w:rsid w:val="00A1521E"/>
    <w:rsid w:val="00A15D6F"/>
    <w:rsid w:val="00A17487"/>
    <w:rsid w:val="00A1775D"/>
    <w:rsid w:val="00A205B9"/>
    <w:rsid w:val="00A20755"/>
    <w:rsid w:val="00A208B9"/>
    <w:rsid w:val="00A20A3B"/>
    <w:rsid w:val="00A20C2D"/>
    <w:rsid w:val="00A20DCB"/>
    <w:rsid w:val="00A212E5"/>
    <w:rsid w:val="00A2142B"/>
    <w:rsid w:val="00A226FF"/>
    <w:rsid w:val="00A22925"/>
    <w:rsid w:val="00A22F1B"/>
    <w:rsid w:val="00A22F42"/>
    <w:rsid w:val="00A236CB"/>
    <w:rsid w:val="00A2391A"/>
    <w:rsid w:val="00A23AE2"/>
    <w:rsid w:val="00A23E47"/>
    <w:rsid w:val="00A246AD"/>
    <w:rsid w:val="00A24B6D"/>
    <w:rsid w:val="00A24D2E"/>
    <w:rsid w:val="00A256D2"/>
    <w:rsid w:val="00A25854"/>
    <w:rsid w:val="00A25B99"/>
    <w:rsid w:val="00A25D85"/>
    <w:rsid w:val="00A2637F"/>
    <w:rsid w:val="00A2679F"/>
    <w:rsid w:val="00A268AB"/>
    <w:rsid w:val="00A26F30"/>
    <w:rsid w:val="00A270A0"/>
    <w:rsid w:val="00A270A2"/>
    <w:rsid w:val="00A27302"/>
    <w:rsid w:val="00A2732F"/>
    <w:rsid w:val="00A27363"/>
    <w:rsid w:val="00A273C0"/>
    <w:rsid w:val="00A275C2"/>
    <w:rsid w:val="00A276D3"/>
    <w:rsid w:val="00A2777A"/>
    <w:rsid w:val="00A27F81"/>
    <w:rsid w:val="00A27FF2"/>
    <w:rsid w:val="00A30109"/>
    <w:rsid w:val="00A30360"/>
    <w:rsid w:val="00A30422"/>
    <w:rsid w:val="00A307A0"/>
    <w:rsid w:val="00A30D5D"/>
    <w:rsid w:val="00A310FE"/>
    <w:rsid w:val="00A31336"/>
    <w:rsid w:val="00A313AF"/>
    <w:rsid w:val="00A31469"/>
    <w:rsid w:val="00A3146F"/>
    <w:rsid w:val="00A31562"/>
    <w:rsid w:val="00A319C5"/>
    <w:rsid w:val="00A31B7C"/>
    <w:rsid w:val="00A32706"/>
    <w:rsid w:val="00A32B2D"/>
    <w:rsid w:val="00A32C0C"/>
    <w:rsid w:val="00A32EAB"/>
    <w:rsid w:val="00A33805"/>
    <w:rsid w:val="00A339B0"/>
    <w:rsid w:val="00A33A96"/>
    <w:rsid w:val="00A33BB0"/>
    <w:rsid w:val="00A3420F"/>
    <w:rsid w:val="00A34540"/>
    <w:rsid w:val="00A349C2"/>
    <w:rsid w:val="00A349C7"/>
    <w:rsid w:val="00A34DCD"/>
    <w:rsid w:val="00A34E3E"/>
    <w:rsid w:val="00A3515D"/>
    <w:rsid w:val="00A35207"/>
    <w:rsid w:val="00A35596"/>
    <w:rsid w:val="00A35AE6"/>
    <w:rsid w:val="00A35FAF"/>
    <w:rsid w:val="00A36072"/>
    <w:rsid w:val="00A36404"/>
    <w:rsid w:val="00A368A7"/>
    <w:rsid w:val="00A36AF2"/>
    <w:rsid w:val="00A36DE8"/>
    <w:rsid w:val="00A3731D"/>
    <w:rsid w:val="00A37D17"/>
    <w:rsid w:val="00A37DF2"/>
    <w:rsid w:val="00A37F2C"/>
    <w:rsid w:val="00A4036C"/>
    <w:rsid w:val="00A404BA"/>
    <w:rsid w:val="00A4083F"/>
    <w:rsid w:val="00A408B8"/>
    <w:rsid w:val="00A40931"/>
    <w:rsid w:val="00A411CC"/>
    <w:rsid w:val="00A4146B"/>
    <w:rsid w:val="00A420BB"/>
    <w:rsid w:val="00A4226A"/>
    <w:rsid w:val="00A426BE"/>
    <w:rsid w:val="00A42934"/>
    <w:rsid w:val="00A42998"/>
    <w:rsid w:val="00A42A3A"/>
    <w:rsid w:val="00A42A7D"/>
    <w:rsid w:val="00A42F0E"/>
    <w:rsid w:val="00A43011"/>
    <w:rsid w:val="00A431B4"/>
    <w:rsid w:val="00A4337B"/>
    <w:rsid w:val="00A43A2D"/>
    <w:rsid w:val="00A43F40"/>
    <w:rsid w:val="00A4412F"/>
    <w:rsid w:val="00A443F1"/>
    <w:rsid w:val="00A4449B"/>
    <w:rsid w:val="00A4490C"/>
    <w:rsid w:val="00A44A4D"/>
    <w:rsid w:val="00A44C65"/>
    <w:rsid w:val="00A44D71"/>
    <w:rsid w:val="00A44E1B"/>
    <w:rsid w:val="00A455BC"/>
    <w:rsid w:val="00A455BF"/>
    <w:rsid w:val="00A45D8C"/>
    <w:rsid w:val="00A45E96"/>
    <w:rsid w:val="00A46923"/>
    <w:rsid w:val="00A46A2E"/>
    <w:rsid w:val="00A46F4E"/>
    <w:rsid w:val="00A475EA"/>
    <w:rsid w:val="00A4770E"/>
    <w:rsid w:val="00A47820"/>
    <w:rsid w:val="00A47ACE"/>
    <w:rsid w:val="00A47D55"/>
    <w:rsid w:val="00A47DBA"/>
    <w:rsid w:val="00A5029F"/>
    <w:rsid w:val="00A503BF"/>
    <w:rsid w:val="00A50D8A"/>
    <w:rsid w:val="00A516EA"/>
    <w:rsid w:val="00A51753"/>
    <w:rsid w:val="00A517CF"/>
    <w:rsid w:val="00A51F27"/>
    <w:rsid w:val="00A51FF1"/>
    <w:rsid w:val="00A523ED"/>
    <w:rsid w:val="00A525A4"/>
    <w:rsid w:val="00A53400"/>
    <w:rsid w:val="00A538B2"/>
    <w:rsid w:val="00A541A3"/>
    <w:rsid w:val="00A54D0A"/>
    <w:rsid w:val="00A551BB"/>
    <w:rsid w:val="00A553BE"/>
    <w:rsid w:val="00A55465"/>
    <w:rsid w:val="00A5571C"/>
    <w:rsid w:val="00A55C55"/>
    <w:rsid w:val="00A55F4B"/>
    <w:rsid w:val="00A563B5"/>
    <w:rsid w:val="00A57123"/>
    <w:rsid w:val="00A5735E"/>
    <w:rsid w:val="00A57443"/>
    <w:rsid w:val="00A57858"/>
    <w:rsid w:val="00A60366"/>
    <w:rsid w:val="00A60910"/>
    <w:rsid w:val="00A61178"/>
    <w:rsid w:val="00A61415"/>
    <w:rsid w:val="00A6194F"/>
    <w:rsid w:val="00A61F44"/>
    <w:rsid w:val="00A6201D"/>
    <w:rsid w:val="00A627CF"/>
    <w:rsid w:val="00A62F13"/>
    <w:rsid w:val="00A6302B"/>
    <w:rsid w:val="00A6327B"/>
    <w:rsid w:val="00A63647"/>
    <w:rsid w:val="00A639DC"/>
    <w:rsid w:val="00A63F09"/>
    <w:rsid w:val="00A63FAD"/>
    <w:rsid w:val="00A64569"/>
    <w:rsid w:val="00A64F48"/>
    <w:rsid w:val="00A65064"/>
    <w:rsid w:val="00A65554"/>
    <w:rsid w:val="00A65664"/>
    <w:rsid w:val="00A65A5A"/>
    <w:rsid w:val="00A665AE"/>
    <w:rsid w:val="00A6671E"/>
    <w:rsid w:val="00A66E45"/>
    <w:rsid w:val="00A674D6"/>
    <w:rsid w:val="00A67BE2"/>
    <w:rsid w:val="00A67D40"/>
    <w:rsid w:val="00A70110"/>
    <w:rsid w:val="00A70418"/>
    <w:rsid w:val="00A709D6"/>
    <w:rsid w:val="00A70EB4"/>
    <w:rsid w:val="00A70F9D"/>
    <w:rsid w:val="00A710E6"/>
    <w:rsid w:val="00A71489"/>
    <w:rsid w:val="00A71BE0"/>
    <w:rsid w:val="00A725BE"/>
    <w:rsid w:val="00A727F5"/>
    <w:rsid w:val="00A728D6"/>
    <w:rsid w:val="00A72A24"/>
    <w:rsid w:val="00A731C2"/>
    <w:rsid w:val="00A732F7"/>
    <w:rsid w:val="00A73DBB"/>
    <w:rsid w:val="00A74004"/>
    <w:rsid w:val="00A74170"/>
    <w:rsid w:val="00A74222"/>
    <w:rsid w:val="00A74228"/>
    <w:rsid w:val="00A74455"/>
    <w:rsid w:val="00A745E2"/>
    <w:rsid w:val="00A74EFB"/>
    <w:rsid w:val="00A75004"/>
    <w:rsid w:val="00A755AA"/>
    <w:rsid w:val="00A75B07"/>
    <w:rsid w:val="00A75F58"/>
    <w:rsid w:val="00A7645D"/>
    <w:rsid w:val="00A7692E"/>
    <w:rsid w:val="00A77180"/>
    <w:rsid w:val="00A7764D"/>
    <w:rsid w:val="00A776D8"/>
    <w:rsid w:val="00A77A6D"/>
    <w:rsid w:val="00A77E57"/>
    <w:rsid w:val="00A77EB5"/>
    <w:rsid w:val="00A800BD"/>
    <w:rsid w:val="00A80484"/>
    <w:rsid w:val="00A805D2"/>
    <w:rsid w:val="00A80786"/>
    <w:rsid w:val="00A80C4E"/>
    <w:rsid w:val="00A80F51"/>
    <w:rsid w:val="00A80F89"/>
    <w:rsid w:val="00A8179F"/>
    <w:rsid w:val="00A81A6A"/>
    <w:rsid w:val="00A82A0C"/>
    <w:rsid w:val="00A82AC5"/>
    <w:rsid w:val="00A83BE8"/>
    <w:rsid w:val="00A83CA6"/>
    <w:rsid w:val="00A84459"/>
    <w:rsid w:val="00A849AA"/>
    <w:rsid w:val="00A84A43"/>
    <w:rsid w:val="00A84AD2"/>
    <w:rsid w:val="00A85696"/>
    <w:rsid w:val="00A85AE3"/>
    <w:rsid w:val="00A85EE8"/>
    <w:rsid w:val="00A8605C"/>
    <w:rsid w:val="00A8614D"/>
    <w:rsid w:val="00A86D37"/>
    <w:rsid w:val="00A86EA4"/>
    <w:rsid w:val="00A87176"/>
    <w:rsid w:val="00A87796"/>
    <w:rsid w:val="00A87810"/>
    <w:rsid w:val="00A879AD"/>
    <w:rsid w:val="00A87A2F"/>
    <w:rsid w:val="00A87F45"/>
    <w:rsid w:val="00A9037E"/>
    <w:rsid w:val="00A90393"/>
    <w:rsid w:val="00A90682"/>
    <w:rsid w:val="00A90A4B"/>
    <w:rsid w:val="00A90A81"/>
    <w:rsid w:val="00A91267"/>
    <w:rsid w:val="00A91332"/>
    <w:rsid w:val="00A91965"/>
    <w:rsid w:val="00A91BD8"/>
    <w:rsid w:val="00A91C80"/>
    <w:rsid w:val="00A91E88"/>
    <w:rsid w:val="00A91F01"/>
    <w:rsid w:val="00A92BB4"/>
    <w:rsid w:val="00A92D5D"/>
    <w:rsid w:val="00A9308D"/>
    <w:rsid w:val="00A930BB"/>
    <w:rsid w:val="00A931BD"/>
    <w:rsid w:val="00A933B9"/>
    <w:rsid w:val="00A935FC"/>
    <w:rsid w:val="00A93858"/>
    <w:rsid w:val="00A93A6E"/>
    <w:rsid w:val="00A93E1B"/>
    <w:rsid w:val="00A94CC3"/>
    <w:rsid w:val="00A950CE"/>
    <w:rsid w:val="00A952EB"/>
    <w:rsid w:val="00A9560B"/>
    <w:rsid w:val="00A95850"/>
    <w:rsid w:val="00A95BFA"/>
    <w:rsid w:val="00A96285"/>
    <w:rsid w:val="00A96722"/>
    <w:rsid w:val="00A969F0"/>
    <w:rsid w:val="00A96AE4"/>
    <w:rsid w:val="00A96C79"/>
    <w:rsid w:val="00A96CF8"/>
    <w:rsid w:val="00A96E03"/>
    <w:rsid w:val="00A97303"/>
    <w:rsid w:val="00A973EF"/>
    <w:rsid w:val="00A97535"/>
    <w:rsid w:val="00A97618"/>
    <w:rsid w:val="00A978C5"/>
    <w:rsid w:val="00A97C3B"/>
    <w:rsid w:val="00AA01E5"/>
    <w:rsid w:val="00AA06A4"/>
    <w:rsid w:val="00AA0BDF"/>
    <w:rsid w:val="00AA0C5C"/>
    <w:rsid w:val="00AA0CA6"/>
    <w:rsid w:val="00AA0D5C"/>
    <w:rsid w:val="00AA17EF"/>
    <w:rsid w:val="00AA1FCC"/>
    <w:rsid w:val="00AA231D"/>
    <w:rsid w:val="00AA23C5"/>
    <w:rsid w:val="00AA2C6D"/>
    <w:rsid w:val="00AA3028"/>
    <w:rsid w:val="00AA368F"/>
    <w:rsid w:val="00AA3AA8"/>
    <w:rsid w:val="00AA40C2"/>
    <w:rsid w:val="00AA4160"/>
    <w:rsid w:val="00AA438E"/>
    <w:rsid w:val="00AA47AF"/>
    <w:rsid w:val="00AA4B40"/>
    <w:rsid w:val="00AA4C44"/>
    <w:rsid w:val="00AA5474"/>
    <w:rsid w:val="00AA572B"/>
    <w:rsid w:val="00AA5AC1"/>
    <w:rsid w:val="00AA6061"/>
    <w:rsid w:val="00AA62BA"/>
    <w:rsid w:val="00AA6717"/>
    <w:rsid w:val="00AA6A27"/>
    <w:rsid w:val="00AA6C47"/>
    <w:rsid w:val="00AA6DC4"/>
    <w:rsid w:val="00AA6DD7"/>
    <w:rsid w:val="00AA718E"/>
    <w:rsid w:val="00AA7274"/>
    <w:rsid w:val="00AA7530"/>
    <w:rsid w:val="00AA76D0"/>
    <w:rsid w:val="00AA79B6"/>
    <w:rsid w:val="00AA7C11"/>
    <w:rsid w:val="00AA7CFA"/>
    <w:rsid w:val="00AB0140"/>
    <w:rsid w:val="00AB020A"/>
    <w:rsid w:val="00AB0541"/>
    <w:rsid w:val="00AB054D"/>
    <w:rsid w:val="00AB0826"/>
    <w:rsid w:val="00AB0DBF"/>
    <w:rsid w:val="00AB17F3"/>
    <w:rsid w:val="00AB1D7B"/>
    <w:rsid w:val="00AB1F8F"/>
    <w:rsid w:val="00AB20AE"/>
    <w:rsid w:val="00AB226A"/>
    <w:rsid w:val="00AB226E"/>
    <w:rsid w:val="00AB2406"/>
    <w:rsid w:val="00AB289D"/>
    <w:rsid w:val="00AB28C8"/>
    <w:rsid w:val="00AB2B57"/>
    <w:rsid w:val="00AB3005"/>
    <w:rsid w:val="00AB3417"/>
    <w:rsid w:val="00AB3AA9"/>
    <w:rsid w:val="00AB3C28"/>
    <w:rsid w:val="00AB4079"/>
    <w:rsid w:val="00AB40F1"/>
    <w:rsid w:val="00AB41BE"/>
    <w:rsid w:val="00AB41E4"/>
    <w:rsid w:val="00AB41EF"/>
    <w:rsid w:val="00AB44EC"/>
    <w:rsid w:val="00AB4A0E"/>
    <w:rsid w:val="00AB4C1A"/>
    <w:rsid w:val="00AB4DFE"/>
    <w:rsid w:val="00AB507F"/>
    <w:rsid w:val="00AB5390"/>
    <w:rsid w:val="00AB5542"/>
    <w:rsid w:val="00AB568B"/>
    <w:rsid w:val="00AB569A"/>
    <w:rsid w:val="00AB5ACB"/>
    <w:rsid w:val="00AB5D3C"/>
    <w:rsid w:val="00AB5ED4"/>
    <w:rsid w:val="00AB602A"/>
    <w:rsid w:val="00AB621D"/>
    <w:rsid w:val="00AB6345"/>
    <w:rsid w:val="00AB6B68"/>
    <w:rsid w:val="00AB777E"/>
    <w:rsid w:val="00AB77C6"/>
    <w:rsid w:val="00AB785E"/>
    <w:rsid w:val="00AB7E9A"/>
    <w:rsid w:val="00AB7F23"/>
    <w:rsid w:val="00AC0C62"/>
    <w:rsid w:val="00AC0DD1"/>
    <w:rsid w:val="00AC11C4"/>
    <w:rsid w:val="00AC1293"/>
    <w:rsid w:val="00AC14FC"/>
    <w:rsid w:val="00AC16DD"/>
    <w:rsid w:val="00AC188D"/>
    <w:rsid w:val="00AC18DE"/>
    <w:rsid w:val="00AC19C4"/>
    <w:rsid w:val="00AC1CED"/>
    <w:rsid w:val="00AC266F"/>
    <w:rsid w:val="00AC2F53"/>
    <w:rsid w:val="00AC3211"/>
    <w:rsid w:val="00AC336E"/>
    <w:rsid w:val="00AC34A9"/>
    <w:rsid w:val="00AC3591"/>
    <w:rsid w:val="00AC3CA6"/>
    <w:rsid w:val="00AC40A2"/>
    <w:rsid w:val="00AC40C7"/>
    <w:rsid w:val="00AC4CF0"/>
    <w:rsid w:val="00AC4F03"/>
    <w:rsid w:val="00AC5111"/>
    <w:rsid w:val="00AC57A3"/>
    <w:rsid w:val="00AC59AE"/>
    <w:rsid w:val="00AC5BE7"/>
    <w:rsid w:val="00AC6511"/>
    <w:rsid w:val="00AC6889"/>
    <w:rsid w:val="00AC6C8C"/>
    <w:rsid w:val="00AC6D34"/>
    <w:rsid w:val="00AC721B"/>
    <w:rsid w:val="00AC790B"/>
    <w:rsid w:val="00AC7AA0"/>
    <w:rsid w:val="00AC7ABE"/>
    <w:rsid w:val="00AC7D7E"/>
    <w:rsid w:val="00AD0190"/>
    <w:rsid w:val="00AD0BCD"/>
    <w:rsid w:val="00AD1051"/>
    <w:rsid w:val="00AD1454"/>
    <w:rsid w:val="00AD2143"/>
    <w:rsid w:val="00AD23F8"/>
    <w:rsid w:val="00AD3905"/>
    <w:rsid w:val="00AD3AD3"/>
    <w:rsid w:val="00AD419D"/>
    <w:rsid w:val="00AD435B"/>
    <w:rsid w:val="00AD474E"/>
    <w:rsid w:val="00AD4A60"/>
    <w:rsid w:val="00AD4D22"/>
    <w:rsid w:val="00AD514B"/>
    <w:rsid w:val="00AD5272"/>
    <w:rsid w:val="00AD5323"/>
    <w:rsid w:val="00AD535B"/>
    <w:rsid w:val="00AD57E7"/>
    <w:rsid w:val="00AD5B2E"/>
    <w:rsid w:val="00AD5B52"/>
    <w:rsid w:val="00AD5FDF"/>
    <w:rsid w:val="00AD6110"/>
    <w:rsid w:val="00AD67D4"/>
    <w:rsid w:val="00AD7541"/>
    <w:rsid w:val="00AD77BA"/>
    <w:rsid w:val="00AD7DE2"/>
    <w:rsid w:val="00AE0392"/>
    <w:rsid w:val="00AE0399"/>
    <w:rsid w:val="00AE0A43"/>
    <w:rsid w:val="00AE0C1E"/>
    <w:rsid w:val="00AE0F73"/>
    <w:rsid w:val="00AE1060"/>
    <w:rsid w:val="00AE11AB"/>
    <w:rsid w:val="00AE1801"/>
    <w:rsid w:val="00AE1D22"/>
    <w:rsid w:val="00AE1E55"/>
    <w:rsid w:val="00AE2120"/>
    <w:rsid w:val="00AE2223"/>
    <w:rsid w:val="00AE2F3F"/>
    <w:rsid w:val="00AE3D3F"/>
    <w:rsid w:val="00AE42B4"/>
    <w:rsid w:val="00AE4626"/>
    <w:rsid w:val="00AE4640"/>
    <w:rsid w:val="00AE46DB"/>
    <w:rsid w:val="00AE4B79"/>
    <w:rsid w:val="00AE4B7B"/>
    <w:rsid w:val="00AE5235"/>
    <w:rsid w:val="00AE534B"/>
    <w:rsid w:val="00AE5A7C"/>
    <w:rsid w:val="00AE5B5D"/>
    <w:rsid w:val="00AE5CC8"/>
    <w:rsid w:val="00AE5DBF"/>
    <w:rsid w:val="00AE61AB"/>
    <w:rsid w:val="00AE62FA"/>
    <w:rsid w:val="00AE67B7"/>
    <w:rsid w:val="00AE73F9"/>
    <w:rsid w:val="00AE7702"/>
    <w:rsid w:val="00AE7737"/>
    <w:rsid w:val="00AE78E4"/>
    <w:rsid w:val="00AF0F06"/>
    <w:rsid w:val="00AF11BB"/>
    <w:rsid w:val="00AF1219"/>
    <w:rsid w:val="00AF1497"/>
    <w:rsid w:val="00AF1A0B"/>
    <w:rsid w:val="00AF1A6A"/>
    <w:rsid w:val="00AF236E"/>
    <w:rsid w:val="00AF242C"/>
    <w:rsid w:val="00AF2ED0"/>
    <w:rsid w:val="00AF358F"/>
    <w:rsid w:val="00AF3746"/>
    <w:rsid w:val="00AF3AD5"/>
    <w:rsid w:val="00AF3BDA"/>
    <w:rsid w:val="00AF3D60"/>
    <w:rsid w:val="00AF4363"/>
    <w:rsid w:val="00AF52A1"/>
    <w:rsid w:val="00AF52A7"/>
    <w:rsid w:val="00AF530D"/>
    <w:rsid w:val="00AF567C"/>
    <w:rsid w:val="00AF5958"/>
    <w:rsid w:val="00AF5983"/>
    <w:rsid w:val="00AF5BBB"/>
    <w:rsid w:val="00AF5C40"/>
    <w:rsid w:val="00AF5EEF"/>
    <w:rsid w:val="00AF5F1E"/>
    <w:rsid w:val="00AF6108"/>
    <w:rsid w:val="00AF6147"/>
    <w:rsid w:val="00AF691C"/>
    <w:rsid w:val="00AF6C1B"/>
    <w:rsid w:val="00AF6C6F"/>
    <w:rsid w:val="00AF7509"/>
    <w:rsid w:val="00AF7E91"/>
    <w:rsid w:val="00B00141"/>
    <w:rsid w:val="00B004FD"/>
    <w:rsid w:val="00B00905"/>
    <w:rsid w:val="00B00989"/>
    <w:rsid w:val="00B00D22"/>
    <w:rsid w:val="00B00F4A"/>
    <w:rsid w:val="00B011F8"/>
    <w:rsid w:val="00B017F1"/>
    <w:rsid w:val="00B0182A"/>
    <w:rsid w:val="00B01C55"/>
    <w:rsid w:val="00B0259F"/>
    <w:rsid w:val="00B02B85"/>
    <w:rsid w:val="00B02C88"/>
    <w:rsid w:val="00B032D9"/>
    <w:rsid w:val="00B03979"/>
    <w:rsid w:val="00B04032"/>
    <w:rsid w:val="00B0415C"/>
    <w:rsid w:val="00B0458F"/>
    <w:rsid w:val="00B04728"/>
    <w:rsid w:val="00B0481F"/>
    <w:rsid w:val="00B04868"/>
    <w:rsid w:val="00B04AB0"/>
    <w:rsid w:val="00B0540B"/>
    <w:rsid w:val="00B05625"/>
    <w:rsid w:val="00B0599F"/>
    <w:rsid w:val="00B05BF3"/>
    <w:rsid w:val="00B05ECC"/>
    <w:rsid w:val="00B066EE"/>
    <w:rsid w:val="00B067B1"/>
    <w:rsid w:val="00B06870"/>
    <w:rsid w:val="00B06D74"/>
    <w:rsid w:val="00B06F48"/>
    <w:rsid w:val="00B07674"/>
    <w:rsid w:val="00B0783C"/>
    <w:rsid w:val="00B07E41"/>
    <w:rsid w:val="00B07FA3"/>
    <w:rsid w:val="00B102C2"/>
    <w:rsid w:val="00B1034B"/>
    <w:rsid w:val="00B10487"/>
    <w:rsid w:val="00B10BDB"/>
    <w:rsid w:val="00B11047"/>
    <w:rsid w:val="00B112AE"/>
    <w:rsid w:val="00B112E1"/>
    <w:rsid w:val="00B12015"/>
    <w:rsid w:val="00B1203D"/>
    <w:rsid w:val="00B1246E"/>
    <w:rsid w:val="00B12A0D"/>
    <w:rsid w:val="00B12CDD"/>
    <w:rsid w:val="00B1390A"/>
    <w:rsid w:val="00B13AAB"/>
    <w:rsid w:val="00B13D0F"/>
    <w:rsid w:val="00B14599"/>
    <w:rsid w:val="00B14A85"/>
    <w:rsid w:val="00B15255"/>
    <w:rsid w:val="00B15407"/>
    <w:rsid w:val="00B1566B"/>
    <w:rsid w:val="00B15741"/>
    <w:rsid w:val="00B16430"/>
    <w:rsid w:val="00B164BA"/>
    <w:rsid w:val="00B16541"/>
    <w:rsid w:val="00B1659B"/>
    <w:rsid w:val="00B166D1"/>
    <w:rsid w:val="00B16922"/>
    <w:rsid w:val="00B16AC9"/>
    <w:rsid w:val="00B1708C"/>
    <w:rsid w:val="00B2021E"/>
    <w:rsid w:val="00B2048A"/>
    <w:rsid w:val="00B20804"/>
    <w:rsid w:val="00B2096C"/>
    <w:rsid w:val="00B20A64"/>
    <w:rsid w:val="00B20D26"/>
    <w:rsid w:val="00B21151"/>
    <w:rsid w:val="00B211D2"/>
    <w:rsid w:val="00B218B0"/>
    <w:rsid w:val="00B2191D"/>
    <w:rsid w:val="00B219BB"/>
    <w:rsid w:val="00B21BD3"/>
    <w:rsid w:val="00B21D33"/>
    <w:rsid w:val="00B21E2A"/>
    <w:rsid w:val="00B220ED"/>
    <w:rsid w:val="00B22114"/>
    <w:rsid w:val="00B2212F"/>
    <w:rsid w:val="00B22442"/>
    <w:rsid w:val="00B224D6"/>
    <w:rsid w:val="00B22ABF"/>
    <w:rsid w:val="00B23308"/>
    <w:rsid w:val="00B237BE"/>
    <w:rsid w:val="00B24385"/>
    <w:rsid w:val="00B25752"/>
    <w:rsid w:val="00B258BA"/>
    <w:rsid w:val="00B258D2"/>
    <w:rsid w:val="00B25AB8"/>
    <w:rsid w:val="00B26028"/>
    <w:rsid w:val="00B2629B"/>
    <w:rsid w:val="00B2690C"/>
    <w:rsid w:val="00B269A3"/>
    <w:rsid w:val="00B26C20"/>
    <w:rsid w:val="00B27022"/>
    <w:rsid w:val="00B2739B"/>
    <w:rsid w:val="00B279A1"/>
    <w:rsid w:val="00B27D42"/>
    <w:rsid w:val="00B27E5F"/>
    <w:rsid w:val="00B27FBF"/>
    <w:rsid w:val="00B3046B"/>
    <w:rsid w:val="00B30476"/>
    <w:rsid w:val="00B306A7"/>
    <w:rsid w:val="00B30903"/>
    <w:rsid w:val="00B30A49"/>
    <w:rsid w:val="00B30C72"/>
    <w:rsid w:val="00B30FA1"/>
    <w:rsid w:val="00B31B13"/>
    <w:rsid w:val="00B3217E"/>
    <w:rsid w:val="00B322A8"/>
    <w:rsid w:val="00B32A44"/>
    <w:rsid w:val="00B3371C"/>
    <w:rsid w:val="00B337D9"/>
    <w:rsid w:val="00B33AFC"/>
    <w:rsid w:val="00B33DB9"/>
    <w:rsid w:val="00B33F1C"/>
    <w:rsid w:val="00B3467F"/>
    <w:rsid w:val="00B34BB9"/>
    <w:rsid w:val="00B34F68"/>
    <w:rsid w:val="00B35065"/>
    <w:rsid w:val="00B3506D"/>
    <w:rsid w:val="00B358E6"/>
    <w:rsid w:val="00B35A1D"/>
    <w:rsid w:val="00B35D75"/>
    <w:rsid w:val="00B35DA5"/>
    <w:rsid w:val="00B360A8"/>
    <w:rsid w:val="00B3675E"/>
    <w:rsid w:val="00B36E82"/>
    <w:rsid w:val="00B36EF0"/>
    <w:rsid w:val="00B370ED"/>
    <w:rsid w:val="00B37575"/>
    <w:rsid w:val="00B37698"/>
    <w:rsid w:val="00B37F2A"/>
    <w:rsid w:val="00B400B1"/>
    <w:rsid w:val="00B40472"/>
    <w:rsid w:val="00B4047A"/>
    <w:rsid w:val="00B40AB7"/>
    <w:rsid w:val="00B411BB"/>
    <w:rsid w:val="00B41B22"/>
    <w:rsid w:val="00B41DAF"/>
    <w:rsid w:val="00B424A3"/>
    <w:rsid w:val="00B430C4"/>
    <w:rsid w:val="00B430E1"/>
    <w:rsid w:val="00B43CA5"/>
    <w:rsid w:val="00B43EA8"/>
    <w:rsid w:val="00B4403E"/>
    <w:rsid w:val="00B44622"/>
    <w:rsid w:val="00B447FB"/>
    <w:rsid w:val="00B44AEF"/>
    <w:rsid w:val="00B44CFE"/>
    <w:rsid w:val="00B454D1"/>
    <w:rsid w:val="00B45D56"/>
    <w:rsid w:val="00B4616C"/>
    <w:rsid w:val="00B4631D"/>
    <w:rsid w:val="00B469F1"/>
    <w:rsid w:val="00B46E53"/>
    <w:rsid w:val="00B46EC7"/>
    <w:rsid w:val="00B47425"/>
    <w:rsid w:val="00B4792F"/>
    <w:rsid w:val="00B47B13"/>
    <w:rsid w:val="00B5028C"/>
    <w:rsid w:val="00B50791"/>
    <w:rsid w:val="00B507D7"/>
    <w:rsid w:val="00B508AA"/>
    <w:rsid w:val="00B50916"/>
    <w:rsid w:val="00B50A94"/>
    <w:rsid w:val="00B515CE"/>
    <w:rsid w:val="00B51DBE"/>
    <w:rsid w:val="00B52014"/>
    <w:rsid w:val="00B52215"/>
    <w:rsid w:val="00B525A9"/>
    <w:rsid w:val="00B528BB"/>
    <w:rsid w:val="00B532B9"/>
    <w:rsid w:val="00B53361"/>
    <w:rsid w:val="00B535B9"/>
    <w:rsid w:val="00B53628"/>
    <w:rsid w:val="00B5378C"/>
    <w:rsid w:val="00B542FA"/>
    <w:rsid w:val="00B54D53"/>
    <w:rsid w:val="00B55073"/>
    <w:rsid w:val="00B5528C"/>
    <w:rsid w:val="00B555F1"/>
    <w:rsid w:val="00B566AA"/>
    <w:rsid w:val="00B57327"/>
    <w:rsid w:val="00B573CD"/>
    <w:rsid w:val="00B573F2"/>
    <w:rsid w:val="00B57ACC"/>
    <w:rsid w:val="00B57C31"/>
    <w:rsid w:val="00B57D6A"/>
    <w:rsid w:val="00B57F60"/>
    <w:rsid w:val="00B609D3"/>
    <w:rsid w:val="00B60D25"/>
    <w:rsid w:val="00B60F75"/>
    <w:rsid w:val="00B610EB"/>
    <w:rsid w:val="00B617CB"/>
    <w:rsid w:val="00B61887"/>
    <w:rsid w:val="00B618DE"/>
    <w:rsid w:val="00B619A8"/>
    <w:rsid w:val="00B61DCF"/>
    <w:rsid w:val="00B61E7C"/>
    <w:rsid w:val="00B61F95"/>
    <w:rsid w:val="00B620E8"/>
    <w:rsid w:val="00B621E1"/>
    <w:rsid w:val="00B62C66"/>
    <w:rsid w:val="00B62F38"/>
    <w:rsid w:val="00B63602"/>
    <w:rsid w:val="00B63A99"/>
    <w:rsid w:val="00B63D91"/>
    <w:rsid w:val="00B64294"/>
    <w:rsid w:val="00B64E89"/>
    <w:rsid w:val="00B65F25"/>
    <w:rsid w:val="00B660EA"/>
    <w:rsid w:val="00B668DC"/>
    <w:rsid w:val="00B669B2"/>
    <w:rsid w:val="00B66C0F"/>
    <w:rsid w:val="00B66DFA"/>
    <w:rsid w:val="00B67131"/>
    <w:rsid w:val="00B671A8"/>
    <w:rsid w:val="00B672AF"/>
    <w:rsid w:val="00B676EC"/>
    <w:rsid w:val="00B67E9D"/>
    <w:rsid w:val="00B67EAE"/>
    <w:rsid w:val="00B70382"/>
    <w:rsid w:val="00B70804"/>
    <w:rsid w:val="00B70E08"/>
    <w:rsid w:val="00B71016"/>
    <w:rsid w:val="00B7102D"/>
    <w:rsid w:val="00B712A6"/>
    <w:rsid w:val="00B713B0"/>
    <w:rsid w:val="00B7165B"/>
    <w:rsid w:val="00B71ADB"/>
    <w:rsid w:val="00B71F0B"/>
    <w:rsid w:val="00B720F9"/>
    <w:rsid w:val="00B7266A"/>
    <w:rsid w:val="00B726F0"/>
    <w:rsid w:val="00B72EFA"/>
    <w:rsid w:val="00B7316D"/>
    <w:rsid w:val="00B733CF"/>
    <w:rsid w:val="00B74098"/>
    <w:rsid w:val="00B7488F"/>
    <w:rsid w:val="00B748BA"/>
    <w:rsid w:val="00B74B15"/>
    <w:rsid w:val="00B74B7D"/>
    <w:rsid w:val="00B75A60"/>
    <w:rsid w:val="00B75C46"/>
    <w:rsid w:val="00B75E13"/>
    <w:rsid w:val="00B765AA"/>
    <w:rsid w:val="00B76F81"/>
    <w:rsid w:val="00B77426"/>
    <w:rsid w:val="00B778B7"/>
    <w:rsid w:val="00B7791B"/>
    <w:rsid w:val="00B77B95"/>
    <w:rsid w:val="00B77C8C"/>
    <w:rsid w:val="00B80083"/>
    <w:rsid w:val="00B801A1"/>
    <w:rsid w:val="00B8052D"/>
    <w:rsid w:val="00B80629"/>
    <w:rsid w:val="00B808CD"/>
    <w:rsid w:val="00B80FA9"/>
    <w:rsid w:val="00B82A92"/>
    <w:rsid w:val="00B82AAB"/>
    <w:rsid w:val="00B82B95"/>
    <w:rsid w:val="00B82C95"/>
    <w:rsid w:val="00B82D1B"/>
    <w:rsid w:val="00B82F36"/>
    <w:rsid w:val="00B8314D"/>
    <w:rsid w:val="00B83323"/>
    <w:rsid w:val="00B833A2"/>
    <w:rsid w:val="00B838E2"/>
    <w:rsid w:val="00B8394D"/>
    <w:rsid w:val="00B8395A"/>
    <w:rsid w:val="00B84392"/>
    <w:rsid w:val="00B845A2"/>
    <w:rsid w:val="00B845EC"/>
    <w:rsid w:val="00B84C79"/>
    <w:rsid w:val="00B84F4C"/>
    <w:rsid w:val="00B8561E"/>
    <w:rsid w:val="00B858A3"/>
    <w:rsid w:val="00B86266"/>
    <w:rsid w:val="00B8671C"/>
    <w:rsid w:val="00B86B4A"/>
    <w:rsid w:val="00B875E9"/>
    <w:rsid w:val="00B87AEE"/>
    <w:rsid w:val="00B87C04"/>
    <w:rsid w:val="00B87E02"/>
    <w:rsid w:val="00B9012E"/>
    <w:rsid w:val="00B907F2"/>
    <w:rsid w:val="00B909F4"/>
    <w:rsid w:val="00B90A58"/>
    <w:rsid w:val="00B912D0"/>
    <w:rsid w:val="00B912DC"/>
    <w:rsid w:val="00B91409"/>
    <w:rsid w:val="00B9174B"/>
    <w:rsid w:val="00B91787"/>
    <w:rsid w:val="00B917A2"/>
    <w:rsid w:val="00B917CC"/>
    <w:rsid w:val="00B9183A"/>
    <w:rsid w:val="00B920F1"/>
    <w:rsid w:val="00B9211D"/>
    <w:rsid w:val="00B92196"/>
    <w:rsid w:val="00B92535"/>
    <w:rsid w:val="00B92774"/>
    <w:rsid w:val="00B92FA9"/>
    <w:rsid w:val="00B93662"/>
    <w:rsid w:val="00B939CF"/>
    <w:rsid w:val="00B93A1C"/>
    <w:rsid w:val="00B94195"/>
    <w:rsid w:val="00B94197"/>
    <w:rsid w:val="00B941CA"/>
    <w:rsid w:val="00B9445A"/>
    <w:rsid w:val="00B9462C"/>
    <w:rsid w:val="00B9484C"/>
    <w:rsid w:val="00B953E9"/>
    <w:rsid w:val="00B955B8"/>
    <w:rsid w:val="00B955F7"/>
    <w:rsid w:val="00B95827"/>
    <w:rsid w:val="00B9618D"/>
    <w:rsid w:val="00B96411"/>
    <w:rsid w:val="00B973A0"/>
    <w:rsid w:val="00B974C8"/>
    <w:rsid w:val="00B97BF6"/>
    <w:rsid w:val="00B97C88"/>
    <w:rsid w:val="00BA08F5"/>
    <w:rsid w:val="00BA0997"/>
    <w:rsid w:val="00BA10B8"/>
    <w:rsid w:val="00BA1279"/>
    <w:rsid w:val="00BA1624"/>
    <w:rsid w:val="00BA1887"/>
    <w:rsid w:val="00BA217A"/>
    <w:rsid w:val="00BA2312"/>
    <w:rsid w:val="00BA2496"/>
    <w:rsid w:val="00BA33E2"/>
    <w:rsid w:val="00BA3508"/>
    <w:rsid w:val="00BA366C"/>
    <w:rsid w:val="00BA39E4"/>
    <w:rsid w:val="00BA3C40"/>
    <w:rsid w:val="00BA3C61"/>
    <w:rsid w:val="00BA41B6"/>
    <w:rsid w:val="00BA477F"/>
    <w:rsid w:val="00BA4D2D"/>
    <w:rsid w:val="00BA5081"/>
    <w:rsid w:val="00BA55C8"/>
    <w:rsid w:val="00BA5C8A"/>
    <w:rsid w:val="00BA5E7D"/>
    <w:rsid w:val="00BA6021"/>
    <w:rsid w:val="00BA6489"/>
    <w:rsid w:val="00BA6C02"/>
    <w:rsid w:val="00BA6DD2"/>
    <w:rsid w:val="00BA72A6"/>
    <w:rsid w:val="00BA7676"/>
    <w:rsid w:val="00BA773E"/>
    <w:rsid w:val="00BA7B6C"/>
    <w:rsid w:val="00BA7BA0"/>
    <w:rsid w:val="00BB022D"/>
    <w:rsid w:val="00BB0343"/>
    <w:rsid w:val="00BB0378"/>
    <w:rsid w:val="00BB0515"/>
    <w:rsid w:val="00BB0906"/>
    <w:rsid w:val="00BB0A16"/>
    <w:rsid w:val="00BB0F1D"/>
    <w:rsid w:val="00BB177C"/>
    <w:rsid w:val="00BB194A"/>
    <w:rsid w:val="00BB197B"/>
    <w:rsid w:val="00BB1A64"/>
    <w:rsid w:val="00BB2381"/>
    <w:rsid w:val="00BB248C"/>
    <w:rsid w:val="00BB2A0C"/>
    <w:rsid w:val="00BB30CD"/>
    <w:rsid w:val="00BB30FE"/>
    <w:rsid w:val="00BB328B"/>
    <w:rsid w:val="00BB32DA"/>
    <w:rsid w:val="00BB33A5"/>
    <w:rsid w:val="00BB37D7"/>
    <w:rsid w:val="00BB3A46"/>
    <w:rsid w:val="00BB3C7D"/>
    <w:rsid w:val="00BB3E50"/>
    <w:rsid w:val="00BB4AAB"/>
    <w:rsid w:val="00BB4BB3"/>
    <w:rsid w:val="00BB4D2E"/>
    <w:rsid w:val="00BB50B1"/>
    <w:rsid w:val="00BB5478"/>
    <w:rsid w:val="00BB55CA"/>
    <w:rsid w:val="00BB56E9"/>
    <w:rsid w:val="00BB56EA"/>
    <w:rsid w:val="00BB5720"/>
    <w:rsid w:val="00BB5B1E"/>
    <w:rsid w:val="00BB60E1"/>
    <w:rsid w:val="00BB61AB"/>
    <w:rsid w:val="00BB6FAD"/>
    <w:rsid w:val="00BB7906"/>
    <w:rsid w:val="00BB7E6D"/>
    <w:rsid w:val="00BB7F31"/>
    <w:rsid w:val="00BC0062"/>
    <w:rsid w:val="00BC00F3"/>
    <w:rsid w:val="00BC0106"/>
    <w:rsid w:val="00BC03AA"/>
    <w:rsid w:val="00BC0712"/>
    <w:rsid w:val="00BC0A10"/>
    <w:rsid w:val="00BC0BBD"/>
    <w:rsid w:val="00BC0DE5"/>
    <w:rsid w:val="00BC1261"/>
    <w:rsid w:val="00BC195E"/>
    <w:rsid w:val="00BC19A4"/>
    <w:rsid w:val="00BC2C75"/>
    <w:rsid w:val="00BC3539"/>
    <w:rsid w:val="00BC379A"/>
    <w:rsid w:val="00BC37FC"/>
    <w:rsid w:val="00BC3894"/>
    <w:rsid w:val="00BC3932"/>
    <w:rsid w:val="00BC399A"/>
    <w:rsid w:val="00BC4151"/>
    <w:rsid w:val="00BC425E"/>
    <w:rsid w:val="00BC4698"/>
    <w:rsid w:val="00BC4B84"/>
    <w:rsid w:val="00BC4DC9"/>
    <w:rsid w:val="00BC4E7F"/>
    <w:rsid w:val="00BC4F03"/>
    <w:rsid w:val="00BC5266"/>
    <w:rsid w:val="00BC52A0"/>
    <w:rsid w:val="00BC5670"/>
    <w:rsid w:val="00BC57DF"/>
    <w:rsid w:val="00BC6339"/>
    <w:rsid w:val="00BC7A87"/>
    <w:rsid w:val="00BC7CB4"/>
    <w:rsid w:val="00BC7CC3"/>
    <w:rsid w:val="00BD0B5A"/>
    <w:rsid w:val="00BD1241"/>
    <w:rsid w:val="00BD1270"/>
    <w:rsid w:val="00BD12B7"/>
    <w:rsid w:val="00BD1680"/>
    <w:rsid w:val="00BD176C"/>
    <w:rsid w:val="00BD18E6"/>
    <w:rsid w:val="00BD1C69"/>
    <w:rsid w:val="00BD1CB8"/>
    <w:rsid w:val="00BD1DC0"/>
    <w:rsid w:val="00BD1DC9"/>
    <w:rsid w:val="00BD2C33"/>
    <w:rsid w:val="00BD3B84"/>
    <w:rsid w:val="00BD4820"/>
    <w:rsid w:val="00BD4D99"/>
    <w:rsid w:val="00BD5458"/>
    <w:rsid w:val="00BD5990"/>
    <w:rsid w:val="00BD5DA6"/>
    <w:rsid w:val="00BD5E32"/>
    <w:rsid w:val="00BD5FDE"/>
    <w:rsid w:val="00BD6818"/>
    <w:rsid w:val="00BD6A3E"/>
    <w:rsid w:val="00BD6AA3"/>
    <w:rsid w:val="00BD6D29"/>
    <w:rsid w:val="00BD6D43"/>
    <w:rsid w:val="00BD71C6"/>
    <w:rsid w:val="00BE0172"/>
    <w:rsid w:val="00BE0DF9"/>
    <w:rsid w:val="00BE0E8E"/>
    <w:rsid w:val="00BE1294"/>
    <w:rsid w:val="00BE1304"/>
    <w:rsid w:val="00BE194D"/>
    <w:rsid w:val="00BE1C21"/>
    <w:rsid w:val="00BE2144"/>
    <w:rsid w:val="00BE22DF"/>
    <w:rsid w:val="00BE2339"/>
    <w:rsid w:val="00BE286A"/>
    <w:rsid w:val="00BE2D65"/>
    <w:rsid w:val="00BE2E7B"/>
    <w:rsid w:val="00BE2FD3"/>
    <w:rsid w:val="00BE38B4"/>
    <w:rsid w:val="00BE3931"/>
    <w:rsid w:val="00BE3A41"/>
    <w:rsid w:val="00BE3D40"/>
    <w:rsid w:val="00BE5F68"/>
    <w:rsid w:val="00BE5FAF"/>
    <w:rsid w:val="00BE6529"/>
    <w:rsid w:val="00BE6AFE"/>
    <w:rsid w:val="00BE6C2F"/>
    <w:rsid w:val="00BE7575"/>
    <w:rsid w:val="00BE794B"/>
    <w:rsid w:val="00BE7DAD"/>
    <w:rsid w:val="00BE7EA5"/>
    <w:rsid w:val="00BF0114"/>
    <w:rsid w:val="00BF0729"/>
    <w:rsid w:val="00BF1073"/>
    <w:rsid w:val="00BF1437"/>
    <w:rsid w:val="00BF1F4E"/>
    <w:rsid w:val="00BF2326"/>
    <w:rsid w:val="00BF2346"/>
    <w:rsid w:val="00BF260C"/>
    <w:rsid w:val="00BF27B0"/>
    <w:rsid w:val="00BF289A"/>
    <w:rsid w:val="00BF2AB3"/>
    <w:rsid w:val="00BF3270"/>
    <w:rsid w:val="00BF3851"/>
    <w:rsid w:val="00BF3C1B"/>
    <w:rsid w:val="00BF440C"/>
    <w:rsid w:val="00BF4630"/>
    <w:rsid w:val="00BF486B"/>
    <w:rsid w:val="00BF4B7C"/>
    <w:rsid w:val="00BF50B6"/>
    <w:rsid w:val="00BF512C"/>
    <w:rsid w:val="00BF6310"/>
    <w:rsid w:val="00BF632B"/>
    <w:rsid w:val="00BF6372"/>
    <w:rsid w:val="00BF6A30"/>
    <w:rsid w:val="00BF6AAA"/>
    <w:rsid w:val="00BF6BFB"/>
    <w:rsid w:val="00BF6D4D"/>
    <w:rsid w:val="00BF6EDE"/>
    <w:rsid w:val="00BF6FBA"/>
    <w:rsid w:val="00BF7147"/>
    <w:rsid w:val="00BF71AC"/>
    <w:rsid w:val="00BF7A5D"/>
    <w:rsid w:val="00BF7A9C"/>
    <w:rsid w:val="00BF7FD9"/>
    <w:rsid w:val="00C00729"/>
    <w:rsid w:val="00C01350"/>
    <w:rsid w:val="00C0234C"/>
    <w:rsid w:val="00C02BC1"/>
    <w:rsid w:val="00C02D61"/>
    <w:rsid w:val="00C03123"/>
    <w:rsid w:val="00C038A6"/>
    <w:rsid w:val="00C04783"/>
    <w:rsid w:val="00C04C21"/>
    <w:rsid w:val="00C04F07"/>
    <w:rsid w:val="00C04F56"/>
    <w:rsid w:val="00C04FA0"/>
    <w:rsid w:val="00C0519E"/>
    <w:rsid w:val="00C052E7"/>
    <w:rsid w:val="00C0531D"/>
    <w:rsid w:val="00C053AF"/>
    <w:rsid w:val="00C05725"/>
    <w:rsid w:val="00C05E75"/>
    <w:rsid w:val="00C06450"/>
    <w:rsid w:val="00C06938"/>
    <w:rsid w:val="00C06EC0"/>
    <w:rsid w:val="00C06F00"/>
    <w:rsid w:val="00C07247"/>
    <w:rsid w:val="00C0750B"/>
    <w:rsid w:val="00C0788C"/>
    <w:rsid w:val="00C078C5"/>
    <w:rsid w:val="00C07B5D"/>
    <w:rsid w:val="00C07E1E"/>
    <w:rsid w:val="00C103B9"/>
    <w:rsid w:val="00C10478"/>
    <w:rsid w:val="00C111B3"/>
    <w:rsid w:val="00C11915"/>
    <w:rsid w:val="00C119E0"/>
    <w:rsid w:val="00C11FF4"/>
    <w:rsid w:val="00C128FE"/>
    <w:rsid w:val="00C129C9"/>
    <w:rsid w:val="00C12C5F"/>
    <w:rsid w:val="00C13288"/>
    <w:rsid w:val="00C137C7"/>
    <w:rsid w:val="00C13B7C"/>
    <w:rsid w:val="00C1415F"/>
    <w:rsid w:val="00C14346"/>
    <w:rsid w:val="00C144C7"/>
    <w:rsid w:val="00C14FBC"/>
    <w:rsid w:val="00C15156"/>
    <w:rsid w:val="00C153E0"/>
    <w:rsid w:val="00C154F5"/>
    <w:rsid w:val="00C15758"/>
    <w:rsid w:val="00C15C4D"/>
    <w:rsid w:val="00C15E04"/>
    <w:rsid w:val="00C1611C"/>
    <w:rsid w:val="00C1616D"/>
    <w:rsid w:val="00C165A8"/>
    <w:rsid w:val="00C165B4"/>
    <w:rsid w:val="00C16635"/>
    <w:rsid w:val="00C17178"/>
    <w:rsid w:val="00C17571"/>
    <w:rsid w:val="00C176EB"/>
    <w:rsid w:val="00C17AB0"/>
    <w:rsid w:val="00C20B8C"/>
    <w:rsid w:val="00C20C29"/>
    <w:rsid w:val="00C20CB1"/>
    <w:rsid w:val="00C212A2"/>
    <w:rsid w:val="00C2133C"/>
    <w:rsid w:val="00C213FD"/>
    <w:rsid w:val="00C216B2"/>
    <w:rsid w:val="00C21FEE"/>
    <w:rsid w:val="00C220D3"/>
    <w:rsid w:val="00C22913"/>
    <w:rsid w:val="00C22E23"/>
    <w:rsid w:val="00C23473"/>
    <w:rsid w:val="00C23778"/>
    <w:rsid w:val="00C23873"/>
    <w:rsid w:val="00C23A89"/>
    <w:rsid w:val="00C23B31"/>
    <w:rsid w:val="00C23CFC"/>
    <w:rsid w:val="00C2406D"/>
    <w:rsid w:val="00C246E3"/>
    <w:rsid w:val="00C247CB"/>
    <w:rsid w:val="00C24985"/>
    <w:rsid w:val="00C24AD8"/>
    <w:rsid w:val="00C25517"/>
    <w:rsid w:val="00C25833"/>
    <w:rsid w:val="00C258BD"/>
    <w:rsid w:val="00C25E6C"/>
    <w:rsid w:val="00C2601E"/>
    <w:rsid w:val="00C26020"/>
    <w:rsid w:val="00C26E5C"/>
    <w:rsid w:val="00C26E82"/>
    <w:rsid w:val="00C27102"/>
    <w:rsid w:val="00C271E7"/>
    <w:rsid w:val="00C2726C"/>
    <w:rsid w:val="00C27507"/>
    <w:rsid w:val="00C27822"/>
    <w:rsid w:val="00C27AF1"/>
    <w:rsid w:val="00C27D83"/>
    <w:rsid w:val="00C307CE"/>
    <w:rsid w:val="00C308D3"/>
    <w:rsid w:val="00C30977"/>
    <w:rsid w:val="00C31216"/>
    <w:rsid w:val="00C313D4"/>
    <w:rsid w:val="00C3169C"/>
    <w:rsid w:val="00C32203"/>
    <w:rsid w:val="00C325FC"/>
    <w:rsid w:val="00C32683"/>
    <w:rsid w:val="00C33440"/>
    <w:rsid w:val="00C3364F"/>
    <w:rsid w:val="00C337BD"/>
    <w:rsid w:val="00C33BD5"/>
    <w:rsid w:val="00C348B4"/>
    <w:rsid w:val="00C356DE"/>
    <w:rsid w:val="00C35C48"/>
    <w:rsid w:val="00C35F6B"/>
    <w:rsid w:val="00C360FF"/>
    <w:rsid w:val="00C36B02"/>
    <w:rsid w:val="00C36FEC"/>
    <w:rsid w:val="00C372F0"/>
    <w:rsid w:val="00C373EB"/>
    <w:rsid w:val="00C37B18"/>
    <w:rsid w:val="00C40043"/>
    <w:rsid w:val="00C401F3"/>
    <w:rsid w:val="00C4034A"/>
    <w:rsid w:val="00C40D21"/>
    <w:rsid w:val="00C41445"/>
    <w:rsid w:val="00C414EF"/>
    <w:rsid w:val="00C415D4"/>
    <w:rsid w:val="00C419DB"/>
    <w:rsid w:val="00C41B92"/>
    <w:rsid w:val="00C41D8D"/>
    <w:rsid w:val="00C41F9B"/>
    <w:rsid w:val="00C427A0"/>
    <w:rsid w:val="00C42A2D"/>
    <w:rsid w:val="00C42B7D"/>
    <w:rsid w:val="00C42C48"/>
    <w:rsid w:val="00C43562"/>
    <w:rsid w:val="00C43896"/>
    <w:rsid w:val="00C439F3"/>
    <w:rsid w:val="00C43B57"/>
    <w:rsid w:val="00C43DE1"/>
    <w:rsid w:val="00C4427C"/>
    <w:rsid w:val="00C44C30"/>
    <w:rsid w:val="00C458D8"/>
    <w:rsid w:val="00C45B4D"/>
    <w:rsid w:val="00C45C2D"/>
    <w:rsid w:val="00C45DA3"/>
    <w:rsid w:val="00C45F74"/>
    <w:rsid w:val="00C46640"/>
    <w:rsid w:val="00C46A56"/>
    <w:rsid w:val="00C470E3"/>
    <w:rsid w:val="00C4726E"/>
    <w:rsid w:val="00C47718"/>
    <w:rsid w:val="00C47868"/>
    <w:rsid w:val="00C47A63"/>
    <w:rsid w:val="00C50004"/>
    <w:rsid w:val="00C50880"/>
    <w:rsid w:val="00C50B64"/>
    <w:rsid w:val="00C512F3"/>
    <w:rsid w:val="00C51AD0"/>
    <w:rsid w:val="00C521C3"/>
    <w:rsid w:val="00C52515"/>
    <w:rsid w:val="00C529D8"/>
    <w:rsid w:val="00C52F75"/>
    <w:rsid w:val="00C5368E"/>
    <w:rsid w:val="00C53958"/>
    <w:rsid w:val="00C539C7"/>
    <w:rsid w:val="00C54903"/>
    <w:rsid w:val="00C54958"/>
    <w:rsid w:val="00C55003"/>
    <w:rsid w:val="00C550E5"/>
    <w:rsid w:val="00C55531"/>
    <w:rsid w:val="00C5573C"/>
    <w:rsid w:val="00C55EEC"/>
    <w:rsid w:val="00C5624C"/>
    <w:rsid w:val="00C562CB"/>
    <w:rsid w:val="00C563AE"/>
    <w:rsid w:val="00C56745"/>
    <w:rsid w:val="00C56903"/>
    <w:rsid w:val="00C570BE"/>
    <w:rsid w:val="00C570DF"/>
    <w:rsid w:val="00C57461"/>
    <w:rsid w:val="00C57640"/>
    <w:rsid w:val="00C57BD1"/>
    <w:rsid w:val="00C57ECD"/>
    <w:rsid w:val="00C6012A"/>
    <w:rsid w:val="00C60F8A"/>
    <w:rsid w:val="00C6128F"/>
    <w:rsid w:val="00C6152C"/>
    <w:rsid w:val="00C6155B"/>
    <w:rsid w:val="00C61A41"/>
    <w:rsid w:val="00C61A4E"/>
    <w:rsid w:val="00C61AE5"/>
    <w:rsid w:val="00C6250E"/>
    <w:rsid w:val="00C627B0"/>
    <w:rsid w:val="00C6286E"/>
    <w:rsid w:val="00C62960"/>
    <w:rsid w:val="00C62A02"/>
    <w:rsid w:val="00C62A7C"/>
    <w:rsid w:val="00C62C2A"/>
    <w:rsid w:val="00C62E78"/>
    <w:rsid w:val="00C63692"/>
    <w:rsid w:val="00C63CFF"/>
    <w:rsid w:val="00C6421E"/>
    <w:rsid w:val="00C64CEA"/>
    <w:rsid w:val="00C64FF8"/>
    <w:rsid w:val="00C64FFD"/>
    <w:rsid w:val="00C6524C"/>
    <w:rsid w:val="00C652DC"/>
    <w:rsid w:val="00C65604"/>
    <w:rsid w:val="00C6588A"/>
    <w:rsid w:val="00C65DC3"/>
    <w:rsid w:val="00C65ED4"/>
    <w:rsid w:val="00C6603A"/>
    <w:rsid w:val="00C66184"/>
    <w:rsid w:val="00C6683D"/>
    <w:rsid w:val="00C669B1"/>
    <w:rsid w:val="00C66D0D"/>
    <w:rsid w:val="00C67098"/>
    <w:rsid w:val="00C67349"/>
    <w:rsid w:val="00C67579"/>
    <w:rsid w:val="00C67899"/>
    <w:rsid w:val="00C67E62"/>
    <w:rsid w:val="00C67E79"/>
    <w:rsid w:val="00C70182"/>
    <w:rsid w:val="00C703AD"/>
    <w:rsid w:val="00C7060C"/>
    <w:rsid w:val="00C709D9"/>
    <w:rsid w:val="00C7172E"/>
    <w:rsid w:val="00C71C9C"/>
    <w:rsid w:val="00C721E9"/>
    <w:rsid w:val="00C72300"/>
    <w:rsid w:val="00C72732"/>
    <w:rsid w:val="00C72774"/>
    <w:rsid w:val="00C72B0E"/>
    <w:rsid w:val="00C72EC9"/>
    <w:rsid w:val="00C72FF9"/>
    <w:rsid w:val="00C730C9"/>
    <w:rsid w:val="00C731E7"/>
    <w:rsid w:val="00C734EB"/>
    <w:rsid w:val="00C73BE2"/>
    <w:rsid w:val="00C73D5C"/>
    <w:rsid w:val="00C73DD0"/>
    <w:rsid w:val="00C7417D"/>
    <w:rsid w:val="00C744E8"/>
    <w:rsid w:val="00C74726"/>
    <w:rsid w:val="00C7516A"/>
    <w:rsid w:val="00C755DF"/>
    <w:rsid w:val="00C7571F"/>
    <w:rsid w:val="00C7584B"/>
    <w:rsid w:val="00C75918"/>
    <w:rsid w:val="00C7592D"/>
    <w:rsid w:val="00C75D03"/>
    <w:rsid w:val="00C760DD"/>
    <w:rsid w:val="00C761E2"/>
    <w:rsid w:val="00C76548"/>
    <w:rsid w:val="00C76732"/>
    <w:rsid w:val="00C769CB"/>
    <w:rsid w:val="00C76B03"/>
    <w:rsid w:val="00C76E09"/>
    <w:rsid w:val="00C7712A"/>
    <w:rsid w:val="00C7720E"/>
    <w:rsid w:val="00C77837"/>
    <w:rsid w:val="00C77DD0"/>
    <w:rsid w:val="00C80920"/>
    <w:rsid w:val="00C80921"/>
    <w:rsid w:val="00C80C0D"/>
    <w:rsid w:val="00C80D0C"/>
    <w:rsid w:val="00C80EF0"/>
    <w:rsid w:val="00C813FE"/>
    <w:rsid w:val="00C81830"/>
    <w:rsid w:val="00C818C7"/>
    <w:rsid w:val="00C818D9"/>
    <w:rsid w:val="00C819C5"/>
    <w:rsid w:val="00C81A7D"/>
    <w:rsid w:val="00C81DDC"/>
    <w:rsid w:val="00C81F42"/>
    <w:rsid w:val="00C81F77"/>
    <w:rsid w:val="00C82145"/>
    <w:rsid w:val="00C82848"/>
    <w:rsid w:val="00C82E2D"/>
    <w:rsid w:val="00C83831"/>
    <w:rsid w:val="00C8391A"/>
    <w:rsid w:val="00C83AF0"/>
    <w:rsid w:val="00C846AF"/>
    <w:rsid w:val="00C84920"/>
    <w:rsid w:val="00C8507F"/>
    <w:rsid w:val="00C85208"/>
    <w:rsid w:val="00C8594D"/>
    <w:rsid w:val="00C8597A"/>
    <w:rsid w:val="00C85E9E"/>
    <w:rsid w:val="00C85FCC"/>
    <w:rsid w:val="00C86724"/>
    <w:rsid w:val="00C869E7"/>
    <w:rsid w:val="00C86A08"/>
    <w:rsid w:val="00C86B1C"/>
    <w:rsid w:val="00C86BD7"/>
    <w:rsid w:val="00C86EA3"/>
    <w:rsid w:val="00C874BC"/>
    <w:rsid w:val="00C874CC"/>
    <w:rsid w:val="00C87646"/>
    <w:rsid w:val="00C87AEA"/>
    <w:rsid w:val="00C9036F"/>
    <w:rsid w:val="00C908F0"/>
    <w:rsid w:val="00C909C3"/>
    <w:rsid w:val="00C909E2"/>
    <w:rsid w:val="00C90D95"/>
    <w:rsid w:val="00C91069"/>
    <w:rsid w:val="00C912B0"/>
    <w:rsid w:val="00C91F2E"/>
    <w:rsid w:val="00C92175"/>
    <w:rsid w:val="00C938A4"/>
    <w:rsid w:val="00C94015"/>
    <w:rsid w:val="00C94384"/>
    <w:rsid w:val="00C94520"/>
    <w:rsid w:val="00C94836"/>
    <w:rsid w:val="00C94D67"/>
    <w:rsid w:val="00C95493"/>
    <w:rsid w:val="00C954E9"/>
    <w:rsid w:val="00C9658A"/>
    <w:rsid w:val="00C96872"/>
    <w:rsid w:val="00C96880"/>
    <w:rsid w:val="00C969F2"/>
    <w:rsid w:val="00C969FB"/>
    <w:rsid w:val="00C96C81"/>
    <w:rsid w:val="00C96CDF"/>
    <w:rsid w:val="00C96DF9"/>
    <w:rsid w:val="00C96E2F"/>
    <w:rsid w:val="00C97507"/>
    <w:rsid w:val="00C97754"/>
    <w:rsid w:val="00C977CF"/>
    <w:rsid w:val="00C97D4A"/>
    <w:rsid w:val="00C97F32"/>
    <w:rsid w:val="00CA00C3"/>
    <w:rsid w:val="00CA01E3"/>
    <w:rsid w:val="00CA041B"/>
    <w:rsid w:val="00CA0501"/>
    <w:rsid w:val="00CA0A23"/>
    <w:rsid w:val="00CA0D80"/>
    <w:rsid w:val="00CA1B52"/>
    <w:rsid w:val="00CA1C7C"/>
    <w:rsid w:val="00CA1F8A"/>
    <w:rsid w:val="00CA20AF"/>
    <w:rsid w:val="00CA22B3"/>
    <w:rsid w:val="00CA25D2"/>
    <w:rsid w:val="00CA283B"/>
    <w:rsid w:val="00CA2A76"/>
    <w:rsid w:val="00CA2ABE"/>
    <w:rsid w:val="00CA2C05"/>
    <w:rsid w:val="00CA2CB6"/>
    <w:rsid w:val="00CA3043"/>
    <w:rsid w:val="00CA38EC"/>
    <w:rsid w:val="00CA3B17"/>
    <w:rsid w:val="00CA3DBD"/>
    <w:rsid w:val="00CA3FDA"/>
    <w:rsid w:val="00CA424F"/>
    <w:rsid w:val="00CA4CC4"/>
    <w:rsid w:val="00CA4CEE"/>
    <w:rsid w:val="00CA5587"/>
    <w:rsid w:val="00CA594B"/>
    <w:rsid w:val="00CA5BA7"/>
    <w:rsid w:val="00CA5D1E"/>
    <w:rsid w:val="00CA6223"/>
    <w:rsid w:val="00CA6AC6"/>
    <w:rsid w:val="00CA6D6B"/>
    <w:rsid w:val="00CA6F09"/>
    <w:rsid w:val="00CA738C"/>
    <w:rsid w:val="00CA7840"/>
    <w:rsid w:val="00CA7C51"/>
    <w:rsid w:val="00CA7E7D"/>
    <w:rsid w:val="00CB0155"/>
    <w:rsid w:val="00CB0A1D"/>
    <w:rsid w:val="00CB0B93"/>
    <w:rsid w:val="00CB13C7"/>
    <w:rsid w:val="00CB15AC"/>
    <w:rsid w:val="00CB25B1"/>
    <w:rsid w:val="00CB2C03"/>
    <w:rsid w:val="00CB2F06"/>
    <w:rsid w:val="00CB315C"/>
    <w:rsid w:val="00CB329A"/>
    <w:rsid w:val="00CB3353"/>
    <w:rsid w:val="00CB3C7C"/>
    <w:rsid w:val="00CB42A7"/>
    <w:rsid w:val="00CB45EA"/>
    <w:rsid w:val="00CB4A2D"/>
    <w:rsid w:val="00CB4CCC"/>
    <w:rsid w:val="00CB5506"/>
    <w:rsid w:val="00CB5667"/>
    <w:rsid w:val="00CB5954"/>
    <w:rsid w:val="00CB5959"/>
    <w:rsid w:val="00CB5A03"/>
    <w:rsid w:val="00CB60F1"/>
    <w:rsid w:val="00CB61FC"/>
    <w:rsid w:val="00CB633D"/>
    <w:rsid w:val="00CB637E"/>
    <w:rsid w:val="00CB65F0"/>
    <w:rsid w:val="00CB6B4A"/>
    <w:rsid w:val="00CB7164"/>
    <w:rsid w:val="00CB7CF1"/>
    <w:rsid w:val="00CB7FB9"/>
    <w:rsid w:val="00CC0326"/>
    <w:rsid w:val="00CC05A1"/>
    <w:rsid w:val="00CC0B19"/>
    <w:rsid w:val="00CC0EC3"/>
    <w:rsid w:val="00CC1147"/>
    <w:rsid w:val="00CC15AF"/>
    <w:rsid w:val="00CC1704"/>
    <w:rsid w:val="00CC1F52"/>
    <w:rsid w:val="00CC201C"/>
    <w:rsid w:val="00CC23EC"/>
    <w:rsid w:val="00CC2681"/>
    <w:rsid w:val="00CC2759"/>
    <w:rsid w:val="00CC29D0"/>
    <w:rsid w:val="00CC315E"/>
    <w:rsid w:val="00CC3181"/>
    <w:rsid w:val="00CC33A5"/>
    <w:rsid w:val="00CC367C"/>
    <w:rsid w:val="00CC37FD"/>
    <w:rsid w:val="00CC3DF1"/>
    <w:rsid w:val="00CC412C"/>
    <w:rsid w:val="00CC4449"/>
    <w:rsid w:val="00CC53E2"/>
    <w:rsid w:val="00CC5A24"/>
    <w:rsid w:val="00CC5A3E"/>
    <w:rsid w:val="00CC5BA0"/>
    <w:rsid w:val="00CC5E6B"/>
    <w:rsid w:val="00CC5F4B"/>
    <w:rsid w:val="00CC61F5"/>
    <w:rsid w:val="00CC66A1"/>
    <w:rsid w:val="00CC6AA4"/>
    <w:rsid w:val="00CC6D19"/>
    <w:rsid w:val="00CC6D64"/>
    <w:rsid w:val="00CC6DAF"/>
    <w:rsid w:val="00CC7B5B"/>
    <w:rsid w:val="00CC7F7E"/>
    <w:rsid w:val="00CD0667"/>
    <w:rsid w:val="00CD0840"/>
    <w:rsid w:val="00CD0C24"/>
    <w:rsid w:val="00CD0FD4"/>
    <w:rsid w:val="00CD1211"/>
    <w:rsid w:val="00CD1BDD"/>
    <w:rsid w:val="00CD1E4E"/>
    <w:rsid w:val="00CD24D9"/>
    <w:rsid w:val="00CD30A0"/>
    <w:rsid w:val="00CD38EA"/>
    <w:rsid w:val="00CD4119"/>
    <w:rsid w:val="00CD6132"/>
    <w:rsid w:val="00CD61DE"/>
    <w:rsid w:val="00CD6D50"/>
    <w:rsid w:val="00CD6EFB"/>
    <w:rsid w:val="00CD72B2"/>
    <w:rsid w:val="00CD730E"/>
    <w:rsid w:val="00CD733C"/>
    <w:rsid w:val="00CD774F"/>
    <w:rsid w:val="00CD7899"/>
    <w:rsid w:val="00CD7FA6"/>
    <w:rsid w:val="00CE046E"/>
    <w:rsid w:val="00CE0AA1"/>
    <w:rsid w:val="00CE1BE9"/>
    <w:rsid w:val="00CE2202"/>
    <w:rsid w:val="00CE223A"/>
    <w:rsid w:val="00CE28D6"/>
    <w:rsid w:val="00CE2B06"/>
    <w:rsid w:val="00CE3682"/>
    <w:rsid w:val="00CE3967"/>
    <w:rsid w:val="00CE3A3F"/>
    <w:rsid w:val="00CE3FB9"/>
    <w:rsid w:val="00CE4113"/>
    <w:rsid w:val="00CE45EF"/>
    <w:rsid w:val="00CE47D5"/>
    <w:rsid w:val="00CE480A"/>
    <w:rsid w:val="00CE4C49"/>
    <w:rsid w:val="00CE4C82"/>
    <w:rsid w:val="00CE4D7A"/>
    <w:rsid w:val="00CE58DB"/>
    <w:rsid w:val="00CE5BAC"/>
    <w:rsid w:val="00CE5E47"/>
    <w:rsid w:val="00CE6324"/>
    <w:rsid w:val="00CE67A6"/>
    <w:rsid w:val="00CE68E1"/>
    <w:rsid w:val="00CE793C"/>
    <w:rsid w:val="00CE7AED"/>
    <w:rsid w:val="00CE7AF0"/>
    <w:rsid w:val="00CE7D56"/>
    <w:rsid w:val="00CE7FFD"/>
    <w:rsid w:val="00CF01B2"/>
    <w:rsid w:val="00CF035C"/>
    <w:rsid w:val="00CF037C"/>
    <w:rsid w:val="00CF0400"/>
    <w:rsid w:val="00CF0497"/>
    <w:rsid w:val="00CF075F"/>
    <w:rsid w:val="00CF0999"/>
    <w:rsid w:val="00CF0ED0"/>
    <w:rsid w:val="00CF1696"/>
    <w:rsid w:val="00CF19A2"/>
    <w:rsid w:val="00CF255F"/>
    <w:rsid w:val="00CF291F"/>
    <w:rsid w:val="00CF2939"/>
    <w:rsid w:val="00CF2E40"/>
    <w:rsid w:val="00CF351F"/>
    <w:rsid w:val="00CF37C2"/>
    <w:rsid w:val="00CF3E1A"/>
    <w:rsid w:val="00CF3EE6"/>
    <w:rsid w:val="00CF43AF"/>
    <w:rsid w:val="00CF46C9"/>
    <w:rsid w:val="00CF4CC6"/>
    <w:rsid w:val="00CF4D0E"/>
    <w:rsid w:val="00CF4EC0"/>
    <w:rsid w:val="00CF5F6C"/>
    <w:rsid w:val="00CF6588"/>
    <w:rsid w:val="00CF6C4D"/>
    <w:rsid w:val="00CF6DD6"/>
    <w:rsid w:val="00CF7268"/>
    <w:rsid w:val="00CF7313"/>
    <w:rsid w:val="00CF77F7"/>
    <w:rsid w:val="00CF7948"/>
    <w:rsid w:val="00CF7994"/>
    <w:rsid w:val="00CF7FFE"/>
    <w:rsid w:val="00D00721"/>
    <w:rsid w:val="00D01187"/>
    <w:rsid w:val="00D01864"/>
    <w:rsid w:val="00D01943"/>
    <w:rsid w:val="00D019F8"/>
    <w:rsid w:val="00D01A43"/>
    <w:rsid w:val="00D020ED"/>
    <w:rsid w:val="00D021A3"/>
    <w:rsid w:val="00D0229F"/>
    <w:rsid w:val="00D02892"/>
    <w:rsid w:val="00D02B18"/>
    <w:rsid w:val="00D03327"/>
    <w:rsid w:val="00D0354B"/>
    <w:rsid w:val="00D037D8"/>
    <w:rsid w:val="00D043A8"/>
    <w:rsid w:val="00D045F1"/>
    <w:rsid w:val="00D04691"/>
    <w:rsid w:val="00D04985"/>
    <w:rsid w:val="00D04B75"/>
    <w:rsid w:val="00D04BB1"/>
    <w:rsid w:val="00D04C43"/>
    <w:rsid w:val="00D04F2E"/>
    <w:rsid w:val="00D04F90"/>
    <w:rsid w:val="00D05359"/>
    <w:rsid w:val="00D05479"/>
    <w:rsid w:val="00D054E7"/>
    <w:rsid w:val="00D056D6"/>
    <w:rsid w:val="00D057E6"/>
    <w:rsid w:val="00D05904"/>
    <w:rsid w:val="00D05C53"/>
    <w:rsid w:val="00D06282"/>
    <w:rsid w:val="00D0647E"/>
    <w:rsid w:val="00D0669A"/>
    <w:rsid w:val="00D06EC1"/>
    <w:rsid w:val="00D07558"/>
    <w:rsid w:val="00D07617"/>
    <w:rsid w:val="00D0768B"/>
    <w:rsid w:val="00D07C44"/>
    <w:rsid w:val="00D07E9B"/>
    <w:rsid w:val="00D1028A"/>
    <w:rsid w:val="00D10F86"/>
    <w:rsid w:val="00D11968"/>
    <w:rsid w:val="00D11CF8"/>
    <w:rsid w:val="00D12542"/>
    <w:rsid w:val="00D129BA"/>
    <w:rsid w:val="00D132F6"/>
    <w:rsid w:val="00D135E1"/>
    <w:rsid w:val="00D138E8"/>
    <w:rsid w:val="00D13B49"/>
    <w:rsid w:val="00D13CF9"/>
    <w:rsid w:val="00D14601"/>
    <w:rsid w:val="00D149D5"/>
    <w:rsid w:val="00D14D75"/>
    <w:rsid w:val="00D15B26"/>
    <w:rsid w:val="00D15C0D"/>
    <w:rsid w:val="00D15F6B"/>
    <w:rsid w:val="00D1612F"/>
    <w:rsid w:val="00D16206"/>
    <w:rsid w:val="00D16545"/>
    <w:rsid w:val="00D166CB"/>
    <w:rsid w:val="00D16A8C"/>
    <w:rsid w:val="00D16AD5"/>
    <w:rsid w:val="00D16B6D"/>
    <w:rsid w:val="00D16BB2"/>
    <w:rsid w:val="00D16CBD"/>
    <w:rsid w:val="00D16E04"/>
    <w:rsid w:val="00D16F1C"/>
    <w:rsid w:val="00D172A8"/>
    <w:rsid w:val="00D1758E"/>
    <w:rsid w:val="00D17CB0"/>
    <w:rsid w:val="00D200E7"/>
    <w:rsid w:val="00D2016A"/>
    <w:rsid w:val="00D20670"/>
    <w:rsid w:val="00D209AD"/>
    <w:rsid w:val="00D20B01"/>
    <w:rsid w:val="00D213C8"/>
    <w:rsid w:val="00D21581"/>
    <w:rsid w:val="00D21885"/>
    <w:rsid w:val="00D21B20"/>
    <w:rsid w:val="00D21BB0"/>
    <w:rsid w:val="00D21F8C"/>
    <w:rsid w:val="00D222A8"/>
    <w:rsid w:val="00D22705"/>
    <w:rsid w:val="00D227BF"/>
    <w:rsid w:val="00D22E81"/>
    <w:rsid w:val="00D23059"/>
    <w:rsid w:val="00D23656"/>
    <w:rsid w:val="00D244C6"/>
    <w:rsid w:val="00D244EF"/>
    <w:rsid w:val="00D24787"/>
    <w:rsid w:val="00D24861"/>
    <w:rsid w:val="00D2490A"/>
    <w:rsid w:val="00D249DA"/>
    <w:rsid w:val="00D250EC"/>
    <w:rsid w:val="00D25542"/>
    <w:rsid w:val="00D25882"/>
    <w:rsid w:val="00D25E28"/>
    <w:rsid w:val="00D25EDD"/>
    <w:rsid w:val="00D2648B"/>
    <w:rsid w:val="00D26651"/>
    <w:rsid w:val="00D268AE"/>
    <w:rsid w:val="00D268C2"/>
    <w:rsid w:val="00D268C9"/>
    <w:rsid w:val="00D2717F"/>
    <w:rsid w:val="00D276A7"/>
    <w:rsid w:val="00D27868"/>
    <w:rsid w:val="00D27F06"/>
    <w:rsid w:val="00D300C3"/>
    <w:rsid w:val="00D30121"/>
    <w:rsid w:val="00D30611"/>
    <w:rsid w:val="00D30705"/>
    <w:rsid w:val="00D307FB"/>
    <w:rsid w:val="00D30B76"/>
    <w:rsid w:val="00D30CBC"/>
    <w:rsid w:val="00D30E18"/>
    <w:rsid w:val="00D3112B"/>
    <w:rsid w:val="00D318EF"/>
    <w:rsid w:val="00D32172"/>
    <w:rsid w:val="00D323B1"/>
    <w:rsid w:val="00D328D1"/>
    <w:rsid w:val="00D32AA2"/>
    <w:rsid w:val="00D32EF1"/>
    <w:rsid w:val="00D33353"/>
    <w:rsid w:val="00D3354E"/>
    <w:rsid w:val="00D337D5"/>
    <w:rsid w:val="00D3413C"/>
    <w:rsid w:val="00D3418A"/>
    <w:rsid w:val="00D34446"/>
    <w:rsid w:val="00D34701"/>
    <w:rsid w:val="00D347B2"/>
    <w:rsid w:val="00D34944"/>
    <w:rsid w:val="00D34ED5"/>
    <w:rsid w:val="00D35092"/>
    <w:rsid w:val="00D35397"/>
    <w:rsid w:val="00D3591D"/>
    <w:rsid w:val="00D362D3"/>
    <w:rsid w:val="00D3633D"/>
    <w:rsid w:val="00D3664F"/>
    <w:rsid w:val="00D36874"/>
    <w:rsid w:val="00D368C4"/>
    <w:rsid w:val="00D369C8"/>
    <w:rsid w:val="00D369F3"/>
    <w:rsid w:val="00D36BA7"/>
    <w:rsid w:val="00D37678"/>
    <w:rsid w:val="00D40472"/>
    <w:rsid w:val="00D404D4"/>
    <w:rsid w:val="00D40A1C"/>
    <w:rsid w:val="00D40AB9"/>
    <w:rsid w:val="00D40C43"/>
    <w:rsid w:val="00D4139F"/>
    <w:rsid w:val="00D414E7"/>
    <w:rsid w:val="00D421AF"/>
    <w:rsid w:val="00D42795"/>
    <w:rsid w:val="00D433A5"/>
    <w:rsid w:val="00D438F0"/>
    <w:rsid w:val="00D4402B"/>
    <w:rsid w:val="00D44459"/>
    <w:rsid w:val="00D447EB"/>
    <w:rsid w:val="00D44947"/>
    <w:rsid w:val="00D44D47"/>
    <w:rsid w:val="00D4542B"/>
    <w:rsid w:val="00D4549B"/>
    <w:rsid w:val="00D45641"/>
    <w:rsid w:val="00D457B3"/>
    <w:rsid w:val="00D460F5"/>
    <w:rsid w:val="00D46396"/>
    <w:rsid w:val="00D465C3"/>
    <w:rsid w:val="00D46E18"/>
    <w:rsid w:val="00D46E7C"/>
    <w:rsid w:val="00D471DC"/>
    <w:rsid w:val="00D47A3F"/>
    <w:rsid w:val="00D47A6C"/>
    <w:rsid w:val="00D47E4D"/>
    <w:rsid w:val="00D5028A"/>
    <w:rsid w:val="00D5099D"/>
    <w:rsid w:val="00D50A02"/>
    <w:rsid w:val="00D512E4"/>
    <w:rsid w:val="00D51394"/>
    <w:rsid w:val="00D514A2"/>
    <w:rsid w:val="00D51CBF"/>
    <w:rsid w:val="00D52706"/>
    <w:rsid w:val="00D52CFE"/>
    <w:rsid w:val="00D52DE3"/>
    <w:rsid w:val="00D52EC4"/>
    <w:rsid w:val="00D53003"/>
    <w:rsid w:val="00D533FF"/>
    <w:rsid w:val="00D534D0"/>
    <w:rsid w:val="00D5389D"/>
    <w:rsid w:val="00D53D1A"/>
    <w:rsid w:val="00D53D2F"/>
    <w:rsid w:val="00D54255"/>
    <w:rsid w:val="00D54517"/>
    <w:rsid w:val="00D5460F"/>
    <w:rsid w:val="00D547B1"/>
    <w:rsid w:val="00D547BC"/>
    <w:rsid w:val="00D54F01"/>
    <w:rsid w:val="00D551B1"/>
    <w:rsid w:val="00D5528D"/>
    <w:rsid w:val="00D55B97"/>
    <w:rsid w:val="00D56724"/>
    <w:rsid w:val="00D56852"/>
    <w:rsid w:val="00D56B47"/>
    <w:rsid w:val="00D56ED3"/>
    <w:rsid w:val="00D56F6B"/>
    <w:rsid w:val="00D57116"/>
    <w:rsid w:val="00D57630"/>
    <w:rsid w:val="00D576C4"/>
    <w:rsid w:val="00D57CA3"/>
    <w:rsid w:val="00D57FE3"/>
    <w:rsid w:val="00D6014E"/>
    <w:rsid w:val="00D6027B"/>
    <w:rsid w:val="00D60C35"/>
    <w:rsid w:val="00D61038"/>
    <w:rsid w:val="00D6111F"/>
    <w:rsid w:val="00D619E5"/>
    <w:rsid w:val="00D61B80"/>
    <w:rsid w:val="00D62255"/>
    <w:rsid w:val="00D62259"/>
    <w:rsid w:val="00D6234E"/>
    <w:rsid w:val="00D62BF4"/>
    <w:rsid w:val="00D63279"/>
    <w:rsid w:val="00D632B3"/>
    <w:rsid w:val="00D634BC"/>
    <w:rsid w:val="00D63B59"/>
    <w:rsid w:val="00D63C0A"/>
    <w:rsid w:val="00D63F8A"/>
    <w:rsid w:val="00D646E9"/>
    <w:rsid w:val="00D64766"/>
    <w:rsid w:val="00D64CC6"/>
    <w:rsid w:val="00D64FF1"/>
    <w:rsid w:val="00D651DF"/>
    <w:rsid w:val="00D65314"/>
    <w:rsid w:val="00D6551B"/>
    <w:rsid w:val="00D6555C"/>
    <w:rsid w:val="00D65925"/>
    <w:rsid w:val="00D65D4E"/>
    <w:rsid w:val="00D65DC4"/>
    <w:rsid w:val="00D661B8"/>
    <w:rsid w:val="00D663DF"/>
    <w:rsid w:val="00D664BF"/>
    <w:rsid w:val="00D66BCE"/>
    <w:rsid w:val="00D66F06"/>
    <w:rsid w:val="00D66F0C"/>
    <w:rsid w:val="00D66F3E"/>
    <w:rsid w:val="00D673D5"/>
    <w:rsid w:val="00D677F8"/>
    <w:rsid w:val="00D67908"/>
    <w:rsid w:val="00D67952"/>
    <w:rsid w:val="00D700EB"/>
    <w:rsid w:val="00D702B8"/>
    <w:rsid w:val="00D70926"/>
    <w:rsid w:val="00D70D0A"/>
    <w:rsid w:val="00D70F99"/>
    <w:rsid w:val="00D7105B"/>
    <w:rsid w:val="00D7119A"/>
    <w:rsid w:val="00D7132A"/>
    <w:rsid w:val="00D71433"/>
    <w:rsid w:val="00D71FDC"/>
    <w:rsid w:val="00D720BD"/>
    <w:rsid w:val="00D72152"/>
    <w:rsid w:val="00D7278E"/>
    <w:rsid w:val="00D72BC4"/>
    <w:rsid w:val="00D72DA3"/>
    <w:rsid w:val="00D72E0F"/>
    <w:rsid w:val="00D731F5"/>
    <w:rsid w:val="00D73656"/>
    <w:rsid w:val="00D73C6A"/>
    <w:rsid w:val="00D73C87"/>
    <w:rsid w:val="00D73D6C"/>
    <w:rsid w:val="00D7418A"/>
    <w:rsid w:val="00D74A9E"/>
    <w:rsid w:val="00D74EA0"/>
    <w:rsid w:val="00D74EE2"/>
    <w:rsid w:val="00D750E9"/>
    <w:rsid w:val="00D7511B"/>
    <w:rsid w:val="00D7511C"/>
    <w:rsid w:val="00D75223"/>
    <w:rsid w:val="00D759A6"/>
    <w:rsid w:val="00D75CF8"/>
    <w:rsid w:val="00D76566"/>
    <w:rsid w:val="00D768BD"/>
    <w:rsid w:val="00D76A70"/>
    <w:rsid w:val="00D76AF2"/>
    <w:rsid w:val="00D76BC9"/>
    <w:rsid w:val="00D77381"/>
    <w:rsid w:val="00D77885"/>
    <w:rsid w:val="00D77966"/>
    <w:rsid w:val="00D77967"/>
    <w:rsid w:val="00D7796A"/>
    <w:rsid w:val="00D815C4"/>
    <w:rsid w:val="00D81828"/>
    <w:rsid w:val="00D81A94"/>
    <w:rsid w:val="00D81BDF"/>
    <w:rsid w:val="00D81BF2"/>
    <w:rsid w:val="00D8249A"/>
    <w:rsid w:val="00D82642"/>
    <w:rsid w:val="00D8298D"/>
    <w:rsid w:val="00D82ADC"/>
    <w:rsid w:val="00D8315A"/>
    <w:rsid w:val="00D835EF"/>
    <w:rsid w:val="00D839A7"/>
    <w:rsid w:val="00D83AF8"/>
    <w:rsid w:val="00D83F1F"/>
    <w:rsid w:val="00D843AA"/>
    <w:rsid w:val="00D843BA"/>
    <w:rsid w:val="00D84907"/>
    <w:rsid w:val="00D84BF3"/>
    <w:rsid w:val="00D84C65"/>
    <w:rsid w:val="00D852A2"/>
    <w:rsid w:val="00D859D9"/>
    <w:rsid w:val="00D85E1F"/>
    <w:rsid w:val="00D86044"/>
    <w:rsid w:val="00D86047"/>
    <w:rsid w:val="00D8629E"/>
    <w:rsid w:val="00D867A7"/>
    <w:rsid w:val="00D86B9A"/>
    <w:rsid w:val="00D86C6F"/>
    <w:rsid w:val="00D87759"/>
    <w:rsid w:val="00D87B04"/>
    <w:rsid w:val="00D87D23"/>
    <w:rsid w:val="00D902D6"/>
    <w:rsid w:val="00D903BA"/>
    <w:rsid w:val="00D903E1"/>
    <w:rsid w:val="00D903F6"/>
    <w:rsid w:val="00D9058E"/>
    <w:rsid w:val="00D9073A"/>
    <w:rsid w:val="00D90889"/>
    <w:rsid w:val="00D90917"/>
    <w:rsid w:val="00D9161D"/>
    <w:rsid w:val="00D91826"/>
    <w:rsid w:val="00D91993"/>
    <w:rsid w:val="00D91A18"/>
    <w:rsid w:val="00D91C04"/>
    <w:rsid w:val="00D92110"/>
    <w:rsid w:val="00D92113"/>
    <w:rsid w:val="00D92242"/>
    <w:rsid w:val="00D926A8"/>
    <w:rsid w:val="00D92D80"/>
    <w:rsid w:val="00D93067"/>
    <w:rsid w:val="00D9339A"/>
    <w:rsid w:val="00D933E7"/>
    <w:rsid w:val="00D93672"/>
    <w:rsid w:val="00D93847"/>
    <w:rsid w:val="00D938BF"/>
    <w:rsid w:val="00D93C11"/>
    <w:rsid w:val="00D94337"/>
    <w:rsid w:val="00D94CFE"/>
    <w:rsid w:val="00D95156"/>
    <w:rsid w:val="00D951B2"/>
    <w:rsid w:val="00D9539F"/>
    <w:rsid w:val="00D95D5B"/>
    <w:rsid w:val="00D95E58"/>
    <w:rsid w:val="00D960BF"/>
    <w:rsid w:val="00D96597"/>
    <w:rsid w:val="00D96935"/>
    <w:rsid w:val="00D9713B"/>
    <w:rsid w:val="00D9731A"/>
    <w:rsid w:val="00D9733D"/>
    <w:rsid w:val="00D974AE"/>
    <w:rsid w:val="00D974BB"/>
    <w:rsid w:val="00D9777A"/>
    <w:rsid w:val="00D978A3"/>
    <w:rsid w:val="00D97A4C"/>
    <w:rsid w:val="00D97E99"/>
    <w:rsid w:val="00DA0122"/>
    <w:rsid w:val="00DA07DE"/>
    <w:rsid w:val="00DA0B7B"/>
    <w:rsid w:val="00DA0D37"/>
    <w:rsid w:val="00DA0D7C"/>
    <w:rsid w:val="00DA0FDF"/>
    <w:rsid w:val="00DA13D0"/>
    <w:rsid w:val="00DA157F"/>
    <w:rsid w:val="00DA17F5"/>
    <w:rsid w:val="00DA1816"/>
    <w:rsid w:val="00DA1C5C"/>
    <w:rsid w:val="00DA1CB6"/>
    <w:rsid w:val="00DA2656"/>
    <w:rsid w:val="00DA3486"/>
    <w:rsid w:val="00DA3C1F"/>
    <w:rsid w:val="00DA40BE"/>
    <w:rsid w:val="00DA4BEB"/>
    <w:rsid w:val="00DA4D72"/>
    <w:rsid w:val="00DA50C3"/>
    <w:rsid w:val="00DA5104"/>
    <w:rsid w:val="00DA56D0"/>
    <w:rsid w:val="00DA5A6C"/>
    <w:rsid w:val="00DA5FC4"/>
    <w:rsid w:val="00DA6014"/>
    <w:rsid w:val="00DA6019"/>
    <w:rsid w:val="00DA6185"/>
    <w:rsid w:val="00DA6248"/>
    <w:rsid w:val="00DA62DA"/>
    <w:rsid w:val="00DA643E"/>
    <w:rsid w:val="00DA6802"/>
    <w:rsid w:val="00DA699B"/>
    <w:rsid w:val="00DA7184"/>
    <w:rsid w:val="00DA785E"/>
    <w:rsid w:val="00DB029A"/>
    <w:rsid w:val="00DB062E"/>
    <w:rsid w:val="00DB0659"/>
    <w:rsid w:val="00DB105E"/>
    <w:rsid w:val="00DB14DC"/>
    <w:rsid w:val="00DB15D3"/>
    <w:rsid w:val="00DB1824"/>
    <w:rsid w:val="00DB1A1C"/>
    <w:rsid w:val="00DB1A1F"/>
    <w:rsid w:val="00DB1BCA"/>
    <w:rsid w:val="00DB1D80"/>
    <w:rsid w:val="00DB24AE"/>
    <w:rsid w:val="00DB24DF"/>
    <w:rsid w:val="00DB28B8"/>
    <w:rsid w:val="00DB28FD"/>
    <w:rsid w:val="00DB3355"/>
    <w:rsid w:val="00DB38BE"/>
    <w:rsid w:val="00DB39E9"/>
    <w:rsid w:val="00DB3A03"/>
    <w:rsid w:val="00DB3FC3"/>
    <w:rsid w:val="00DB3FC8"/>
    <w:rsid w:val="00DB45EA"/>
    <w:rsid w:val="00DB4DA9"/>
    <w:rsid w:val="00DB5251"/>
    <w:rsid w:val="00DB5A7F"/>
    <w:rsid w:val="00DB5D37"/>
    <w:rsid w:val="00DB6128"/>
    <w:rsid w:val="00DB615A"/>
    <w:rsid w:val="00DB6DEA"/>
    <w:rsid w:val="00DB71C3"/>
    <w:rsid w:val="00DB755A"/>
    <w:rsid w:val="00DB7825"/>
    <w:rsid w:val="00DB78C0"/>
    <w:rsid w:val="00DB7A94"/>
    <w:rsid w:val="00DB7AF2"/>
    <w:rsid w:val="00DB7D4B"/>
    <w:rsid w:val="00DC0107"/>
    <w:rsid w:val="00DC0326"/>
    <w:rsid w:val="00DC03F2"/>
    <w:rsid w:val="00DC07D3"/>
    <w:rsid w:val="00DC0819"/>
    <w:rsid w:val="00DC09B4"/>
    <w:rsid w:val="00DC0BD9"/>
    <w:rsid w:val="00DC0DFE"/>
    <w:rsid w:val="00DC0E8A"/>
    <w:rsid w:val="00DC1413"/>
    <w:rsid w:val="00DC14AC"/>
    <w:rsid w:val="00DC157A"/>
    <w:rsid w:val="00DC167A"/>
    <w:rsid w:val="00DC1BDC"/>
    <w:rsid w:val="00DC2B48"/>
    <w:rsid w:val="00DC2DFF"/>
    <w:rsid w:val="00DC369E"/>
    <w:rsid w:val="00DC39D5"/>
    <w:rsid w:val="00DC3B76"/>
    <w:rsid w:val="00DC4061"/>
    <w:rsid w:val="00DC4686"/>
    <w:rsid w:val="00DC4827"/>
    <w:rsid w:val="00DC48D4"/>
    <w:rsid w:val="00DC5290"/>
    <w:rsid w:val="00DC5488"/>
    <w:rsid w:val="00DC5519"/>
    <w:rsid w:val="00DC561C"/>
    <w:rsid w:val="00DC5681"/>
    <w:rsid w:val="00DC586A"/>
    <w:rsid w:val="00DC5B3E"/>
    <w:rsid w:val="00DC6248"/>
    <w:rsid w:val="00DC6B5B"/>
    <w:rsid w:val="00DC7264"/>
    <w:rsid w:val="00DC728B"/>
    <w:rsid w:val="00DC757F"/>
    <w:rsid w:val="00DC7843"/>
    <w:rsid w:val="00DC7D08"/>
    <w:rsid w:val="00DD06D2"/>
    <w:rsid w:val="00DD074A"/>
    <w:rsid w:val="00DD0935"/>
    <w:rsid w:val="00DD117D"/>
    <w:rsid w:val="00DD1580"/>
    <w:rsid w:val="00DD1616"/>
    <w:rsid w:val="00DD1F45"/>
    <w:rsid w:val="00DD25D9"/>
    <w:rsid w:val="00DD2ED7"/>
    <w:rsid w:val="00DD2EDD"/>
    <w:rsid w:val="00DD369F"/>
    <w:rsid w:val="00DD3734"/>
    <w:rsid w:val="00DD3862"/>
    <w:rsid w:val="00DD3B6D"/>
    <w:rsid w:val="00DD4255"/>
    <w:rsid w:val="00DD4298"/>
    <w:rsid w:val="00DD4355"/>
    <w:rsid w:val="00DD4554"/>
    <w:rsid w:val="00DD468D"/>
    <w:rsid w:val="00DD4928"/>
    <w:rsid w:val="00DD4F5A"/>
    <w:rsid w:val="00DD51DE"/>
    <w:rsid w:val="00DD57D8"/>
    <w:rsid w:val="00DD59C0"/>
    <w:rsid w:val="00DD5AEB"/>
    <w:rsid w:val="00DD5B1D"/>
    <w:rsid w:val="00DD5CAC"/>
    <w:rsid w:val="00DD61BA"/>
    <w:rsid w:val="00DD6543"/>
    <w:rsid w:val="00DD68A7"/>
    <w:rsid w:val="00DD6A0D"/>
    <w:rsid w:val="00DD6D97"/>
    <w:rsid w:val="00DD710F"/>
    <w:rsid w:val="00DD753A"/>
    <w:rsid w:val="00DE0413"/>
    <w:rsid w:val="00DE079D"/>
    <w:rsid w:val="00DE0A7F"/>
    <w:rsid w:val="00DE0A91"/>
    <w:rsid w:val="00DE0C7B"/>
    <w:rsid w:val="00DE11C5"/>
    <w:rsid w:val="00DE12CD"/>
    <w:rsid w:val="00DE1310"/>
    <w:rsid w:val="00DE134A"/>
    <w:rsid w:val="00DE1A0A"/>
    <w:rsid w:val="00DE1A1F"/>
    <w:rsid w:val="00DE24BC"/>
    <w:rsid w:val="00DE255F"/>
    <w:rsid w:val="00DE2D93"/>
    <w:rsid w:val="00DE359D"/>
    <w:rsid w:val="00DE3E1F"/>
    <w:rsid w:val="00DE40CC"/>
    <w:rsid w:val="00DE46F5"/>
    <w:rsid w:val="00DE4F21"/>
    <w:rsid w:val="00DE4FCC"/>
    <w:rsid w:val="00DE4FDE"/>
    <w:rsid w:val="00DE58ED"/>
    <w:rsid w:val="00DE5B41"/>
    <w:rsid w:val="00DE5EE5"/>
    <w:rsid w:val="00DE63D9"/>
    <w:rsid w:val="00DE6EA0"/>
    <w:rsid w:val="00DE7573"/>
    <w:rsid w:val="00DE7CE1"/>
    <w:rsid w:val="00DF05AA"/>
    <w:rsid w:val="00DF0671"/>
    <w:rsid w:val="00DF0E27"/>
    <w:rsid w:val="00DF1453"/>
    <w:rsid w:val="00DF155D"/>
    <w:rsid w:val="00DF1577"/>
    <w:rsid w:val="00DF16D2"/>
    <w:rsid w:val="00DF1A15"/>
    <w:rsid w:val="00DF1E9B"/>
    <w:rsid w:val="00DF220F"/>
    <w:rsid w:val="00DF2944"/>
    <w:rsid w:val="00DF2C48"/>
    <w:rsid w:val="00DF2D2E"/>
    <w:rsid w:val="00DF3047"/>
    <w:rsid w:val="00DF3086"/>
    <w:rsid w:val="00DF3179"/>
    <w:rsid w:val="00DF3703"/>
    <w:rsid w:val="00DF39A7"/>
    <w:rsid w:val="00DF4217"/>
    <w:rsid w:val="00DF49C4"/>
    <w:rsid w:val="00DF4E2D"/>
    <w:rsid w:val="00DF553F"/>
    <w:rsid w:val="00DF5619"/>
    <w:rsid w:val="00DF5726"/>
    <w:rsid w:val="00DF5734"/>
    <w:rsid w:val="00DF5C80"/>
    <w:rsid w:val="00DF5CD8"/>
    <w:rsid w:val="00DF5F91"/>
    <w:rsid w:val="00DF6299"/>
    <w:rsid w:val="00DF66B8"/>
    <w:rsid w:val="00DF66DD"/>
    <w:rsid w:val="00DF6A8D"/>
    <w:rsid w:val="00DF75EE"/>
    <w:rsid w:val="00DF765C"/>
    <w:rsid w:val="00DF78B1"/>
    <w:rsid w:val="00DF79BD"/>
    <w:rsid w:val="00DF7A98"/>
    <w:rsid w:val="00DF7FD6"/>
    <w:rsid w:val="00DF9026"/>
    <w:rsid w:val="00E00329"/>
    <w:rsid w:val="00E00549"/>
    <w:rsid w:val="00E00591"/>
    <w:rsid w:val="00E008B6"/>
    <w:rsid w:val="00E00C55"/>
    <w:rsid w:val="00E00CF4"/>
    <w:rsid w:val="00E0154A"/>
    <w:rsid w:val="00E0185E"/>
    <w:rsid w:val="00E018A1"/>
    <w:rsid w:val="00E01A08"/>
    <w:rsid w:val="00E0211D"/>
    <w:rsid w:val="00E029F4"/>
    <w:rsid w:val="00E031D4"/>
    <w:rsid w:val="00E03293"/>
    <w:rsid w:val="00E03544"/>
    <w:rsid w:val="00E03821"/>
    <w:rsid w:val="00E03DCC"/>
    <w:rsid w:val="00E03F8F"/>
    <w:rsid w:val="00E0439B"/>
    <w:rsid w:val="00E045D1"/>
    <w:rsid w:val="00E04DD0"/>
    <w:rsid w:val="00E050F7"/>
    <w:rsid w:val="00E05221"/>
    <w:rsid w:val="00E0532B"/>
    <w:rsid w:val="00E0560D"/>
    <w:rsid w:val="00E0563B"/>
    <w:rsid w:val="00E0587F"/>
    <w:rsid w:val="00E05971"/>
    <w:rsid w:val="00E05DB5"/>
    <w:rsid w:val="00E06029"/>
    <w:rsid w:val="00E0608E"/>
    <w:rsid w:val="00E0622E"/>
    <w:rsid w:val="00E0694F"/>
    <w:rsid w:val="00E06969"/>
    <w:rsid w:val="00E06D0E"/>
    <w:rsid w:val="00E0722D"/>
    <w:rsid w:val="00E072E6"/>
    <w:rsid w:val="00E077AA"/>
    <w:rsid w:val="00E10197"/>
    <w:rsid w:val="00E10309"/>
    <w:rsid w:val="00E10CF1"/>
    <w:rsid w:val="00E10D3C"/>
    <w:rsid w:val="00E10DEE"/>
    <w:rsid w:val="00E1130E"/>
    <w:rsid w:val="00E11346"/>
    <w:rsid w:val="00E11706"/>
    <w:rsid w:val="00E11BC1"/>
    <w:rsid w:val="00E11EFC"/>
    <w:rsid w:val="00E1222D"/>
    <w:rsid w:val="00E1276E"/>
    <w:rsid w:val="00E12E49"/>
    <w:rsid w:val="00E12E58"/>
    <w:rsid w:val="00E12EFD"/>
    <w:rsid w:val="00E12F10"/>
    <w:rsid w:val="00E130CB"/>
    <w:rsid w:val="00E132FB"/>
    <w:rsid w:val="00E13890"/>
    <w:rsid w:val="00E13C30"/>
    <w:rsid w:val="00E141B5"/>
    <w:rsid w:val="00E14763"/>
    <w:rsid w:val="00E1494E"/>
    <w:rsid w:val="00E14B19"/>
    <w:rsid w:val="00E14BB9"/>
    <w:rsid w:val="00E1514C"/>
    <w:rsid w:val="00E154C2"/>
    <w:rsid w:val="00E1550C"/>
    <w:rsid w:val="00E1553C"/>
    <w:rsid w:val="00E15D4E"/>
    <w:rsid w:val="00E163EC"/>
    <w:rsid w:val="00E1663F"/>
    <w:rsid w:val="00E16CC5"/>
    <w:rsid w:val="00E16F59"/>
    <w:rsid w:val="00E17111"/>
    <w:rsid w:val="00E172D8"/>
    <w:rsid w:val="00E17B8D"/>
    <w:rsid w:val="00E20317"/>
    <w:rsid w:val="00E20CDC"/>
    <w:rsid w:val="00E213FC"/>
    <w:rsid w:val="00E2160F"/>
    <w:rsid w:val="00E2174C"/>
    <w:rsid w:val="00E21A8E"/>
    <w:rsid w:val="00E21F74"/>
    <w:rsid w:val="00E21F99"/>
    <w:rsid w:val="00E222DD"/>
    <w:rsid w:val="00E224D9"/>
    <w:rsid w:val="00E22B9A"/>
    <w:rsid w:val="00E23189"/>
    <w:rsid w:val="00E232F1"/>
    <w:rsid w:val="00E2354C"/>
    <w:rsid w:val="00E237C1"/>
    <w:rsid w:val="00E24395"/>
    <w:rsid w:val="00E2472A"/>
    <w:rsid w:val="00E24E4D"/>
    <w:rsid w:val="00E251F0"/>
    <w:rsid w:val="00E255D7"/>
    <w:rsid w:val="00E25AEA"/>
    <w:rsid w:val="00E25D8B"/>
    <w:rsid w:val="00E269DF"/>
    <w:rsid w:val="00E26A33"/>
    <w:rsid w:val="00E26A6E"/>
    <w:rsid w:val="00E26CB3"/>
    <w:rsid w:val="00E26F33"/>
    <w:rsid w:val="00E26FF5"/>
    <w:rsid w:val="00E2735D"/>
    <w:rsid w:val="00E27636"/>
    <w:rsid w:val="00E27AFF"/>
    <w:rsid w:val="00E27CCA"/>
    <w:rsid w:val="00E30BBB"/>
    <w:rsid w:val="00E312FC"/>
    <w:rsid w:val="00E31585"/>
    <w:rsid w:val="00E315C5"/>
    <w:rsid w:val="00E31F89"/>
    <w:rsid w:val="00E32153"/>
    <w:rsid w:val="00E324ED"/>
    <w:rsid w:val="00E3251F"/>
    <w:rsid w:val="00E3297E"/>
    <w:rsid w:val="00E32A1B"/>
    <w:rsid w:val="00E32B29"/>
    <w:rsid w:val="00E3341F"/>
    <w:rsid w:val="00E33E68"/>
    <w:rsid w:val="00E33F5A"/>
    <w:rsid w:val="00E34076"/>
    <w:rsid w:val="00E34B23"/>
    <w:rsid w:val="00E34D6E"/>
    <w:rsid w:val="00E34E99"/>
    <w:rsid w:val="00E350E0"/>
    <w:rsid w:val="00E35165"/>
    <w:rsid w:val="00E354EE"/>
    <w:rsid w:val="00E355F2"/>
    <w:rsid w:val="00E35886"/>
    <w:rsid w:val="00E3672A"/>
    <w:rsid w:val="00E36D86"/>
    <w:rsid w:val="00E36ED7"/>
    <w:rsid w:val="00E37490"/>
    <w:rsid w:val="00E37AEB"/>
    <w:rsid w:val="00E37D52"/>
    <w:rsid w:val="00E37DDF"/>
    <w:rsid w:val="00E37EE2"/>
    <w:rsid w:val="00E40428"/>
    <w:rsid w:val="00E40B3E"/>
    <w:rsid w:val="00E414FA"/>
    <w:rsid w:val="00E417A1"/>
    <w:rsid w:val="00E41994"/>
    <w:rsid w:val="00E41AAA"/>
    <w:rsid w:val="00E41D40"/>
    <w:rsid w:val="00E424F5"/>
    <w:rsid w:val="00E42854"/>
    <w:rsid w:val="00E429FD"/>
    <w:rsid w:val="00E42AEA"/>
    <w:rsid w:val="00E42FBD"/>
    <w:rsid w:val="00E43175"/>
    <w:rsid w:val="00E43217"/>
    <w:rsid w:val="00E43248"/>
    <w:rsid w:val="00E43A00"/>
    <w:rsid w:val="00E43D2B"/>
    <w:rsid w:val="00E43EF2"/>
    <w:rsid w:val="00E44353"/>
    <w:rsid w:val="00E44834"/>
    <w:rsid w:val="00E44871"/>
    <w:rsid w:val="00E4498E"/>
    <w:rsid w:val="00E44A65"/>
    <w:rsid w:val="00E45084"/>
    <w:rsid w:val="00E4509B"/>
    <w:rsid w:val="00E45B19"/>
    <w:rsid w:val="00E46397"/>
    <w:rsid w:val="00E46443"/>
    <w:rsid w:val="00E471D8"/>
    <w:rsid w:val="00E472A5"/>
    <w:rsid w:val="00E4760F"/>
    <w:rsid w:val="00E47928"/>
    <w:rsid w:val="00E5046D"/>
    <w:rsid w:val="00E50B4D"/>
    <w:rsid w:val="00E511BA"/>
    <w:rsid w:val="00E5170B"/>
    <w:rsid w:val="00E51754"/>
    <w:rsid w:val="00E5197F"/>
    <w:rsid w:val="00E51A55"/>
    <w:rsid w:val="00E51D63"/>
    <w:rsid w:val="00E52181"/>
    <w:rsid w:val="00E521C9"/>
    <w:rsid w:val="00E52518"/>
    <w:rsid w:val="00E52EFC"/>
    <w:rsid w:val="00E53511"/>
    <w:rsid w:val="00E53600"/>
    <w:rsid w:val="00E537EA"/>
    <w:rsid w:val="00E53EE3"/>
    <w:rsid w:val="00E53EF9"/>
    <w:rsid w:val="00E54623"/>
    <w:rsid w:val="00E546ED"/>
    <w:rsid w:val="00E54CD2"/>
    <w:rsid w:val="00E54DE1"/>
    <w:rsid w:val="00E552E4"/>
    <w:rsid w:val="00E5550F"/>
    <w:rsid w:val="00E5563D"/>
    <w:rsid w:val="00E557E5"/>
    <w:rsid w:val="00E55AED"/>
    <w:rsid w:val="00E564C5"/>
    <w:rsid w:val="00E56D10"/>
    <w:rsid w:val="00E56E7D"/>
    <w:rsid w:val="00E572B4"/>
    <w:rsid w:val="00E573A7"/>
    <w:rsid w:val="00E577D3"/>
    <w:rsid w:val="00E577EA"/>
    <w:rsid w:val="00E57C4C"/>
    <w:rsid w:val="00E602B7"/>
    <w:rsid w:val="00E60643"/>
    <w:rsid w:val="00E608EC"/>
    <w:rsid w:val="00E60BB2"/>
    <w:rsid w:val="00E60BC1"/>
    <w:rsid w:val="00E6141B"/>
    <w:rsid w:val="00E6160E"/>
    <w:rsid w:val="00E6177B"/>
    <w:rsid w:val="00E6189A"/>
    <w:rsid w:val="00E61B9E"/>
    <w:rsid w:val="00E61DE9"/>
    <w:rsid w:val="00E61FD4"/>
    <w:rsid w:val="00E626B9"/>
    <w:rsid w:val="00E62A87"/>
    <w:rsid w:val="00E62C70"/>
    <w:rsid w:val="00E6317E"/>
    <w:rsid w:val="00E632DE"/>
    <w:rsid w:val="00E6353C"/>
    <w:rsid w:val="00E6396F"/>
    <w:rsid w:val="00E6466A"/>
    <w:rsid w:val="00E64684"/>
    <w:rsid w:val="00E647D6"/>
    <w:rsid w:val="00E648B9"/>
    <w:rsid w:val="00E65DA8"/>
    <w:rsid w:val="00E66009"/>
    <w:rsid w:val="00E6600C"/>
    <w:rsid w:val="00E66273"/>
    <w:rsid w:val="00E66436"/>
    <w:rsid w:val="00E668C7"/>
    <w:rsid w:val="00E66A8B"/>
    <w:rsid w:val="00E67777"/>
    <w:rsid w:val="00E67A2B"/>
    <w:rsid w:val="00E67B1A"/>
    <w:rsid w:val="00E7011B"/>
    <w:rsid w:val="00E70491"/>
    <w:rsid w:val="00E7061E"/>
    <w:rsid w:val="00E7069F"/>
    <w:rsid w:val="00E70BD1"/>
    <w:rsid w:val="00E7102D"/>
    <w:rsid w:val="00E71408"/>
    <w:rsid w:val="00E715D7"/>
    <w:rsid w:val="00E7171B"/>
    <w:rsid w:val="00E71B1D"/>
    <w:rsid w:val="00E71E84"/>
    <w:rsid w:val="00E71EBD"/>
    <w:rsid w:val="00E72962"/>
    <w:rsid w:val="00E72CA1"/>
    <w:rsid w:val="00E73014"/>
    <w:rsid w:val="00E7347D"/>
    <w:rsid w:val="00E738CF"/>
    <w:rsid w:val="00E73B79"/>
    <w:rsid w:val="00E73CA1"/>
    <w:rsid w:val="00E73E0A"/>
    <w:rsid w:val="00E73FB7"/>
    <w:rsid w:val="00E74252"/>
    <w:rsid w:val="00E74339"/>
    <w:rsid w:val="00E74720"/>
    <w:rsid w:val="00E749D8"/>
    <w:rsid w:val="00E74D05"/>
    <w:rsid w:val="00E75D8F"/>
    <w:rsid w:val="00E75E51"/>
    <w:rsid w:val="00E76508"/>
    <w:rsid w:val="00E76658"/>
    <w:rsid w:val="00E769A1"/>
    <w:rsid w:val="00E76CE4"/>
    <w:rsid w:val="00E76E6F"/>
    <w:rsid w:val="00E776B8"/>
    <w:rsid w:val="00E77833"/>
    <w:rsid w:val="00E77CB7"/>
    <w:rsid w:val="00E803F1"/>
    <w:rsid w:val="00E807E3"/>
    <w:rsid w:val="00E8090A"/>
    <w:rsid w:val="00E80CA4"/>
    <w:rsid w:val="00E81136"/>
    <w:rsid w:val="00E8114F"/>
    <w:rsid w:val="00E811EE"/>
    <w:rsid w:val="00E8171E"/>
    <w:rsid w:val="00E81746"/>
    <w:rsid w:val="00E81A58"/>
    <w:rsid w:val="00E81ED2"/>
    <w:rsid w:val="00E82182"/>
    <w:rsid w:val="00E82471"/>
    <w:rsid w:val="00E824E4"/>
    <w:rsid w:val="00E82BF3"/>
    <w:rsid w:val="00E82ED5"/>
    <w:rsid w:val="00E83585"/>
    <w:rsid w:val="00E83CA5"/>
    <w:rsid w:val="00E8444B"/>
    <w:rsid w:val="00E84811"/>
    <w:rsid w:val="00E85474"/>
    <w:rsid w:val="00E85E88"/>
    <w:rsid w:val="00E86103"/>
    <w:rsid w:val="00E86368"/>
    <w:rsid w:val="00E8643B"/>
    <w:rsid w:val="00E86DAB"/>
    <w:rsid w:val="00E87086"/>
    <w:rsid w:val="00E9035D"/>
    <w:rsid w:val="00E90420"/>
    <w:rsid w:val="00E90565"/>
    <w:rsid w:val="00E90952"/>
    <w:rsid w:val="00E90D11"/>
    <w:rsid w:val="00E9102E"/>
    <w:rsid w:val="00E9164B"/>
    <w:rsid w:val="00E91919"/>
    <w:rsid w:val="00E91A7E"/>
    <w:rsid w:val="00E91EBB"/>
    <w:rsid w:val="00E91ED3"/>
    <w:rsid w:val="00E92444"/>
    <w:rsid w:val="00E927E6"/>
    <w:rsid w:val="00E9348E"/>
    <w:rsid w:val="00E93627"/>
    <w:rsid w:val="00E937E2"/>
    <w:rsid w:val="00E93A92"/>
    <w:rsid w:val="00E93C19"/>
    <w:rsid w:val="00E93E69"/>
    <w:rsid w:val="00E93ED4"/>
    <w:rsid w:val="00E94BF6"/>
    <w:rsid w:val="00E94E87"/>
    <w:rsid w:val="00E95226"/>
    <w:rsid w:val="00E958FC"/>
    <w:rsid w:val="00E95C17"/>
    <w:rsid w:val="00E95DA1"/>
    <w:rsid w:val="00E960AE"/>
    <w:rsid w:val="00E96794"/>
    <w:rsid w:val="00E96EC9"/>
    <w:rsid w:val="00E9712A"/>
    <w:rsid w:val="00E971CD"/>
    <w:rsid w:val="00E9741B"/>
    <w:rsid w:val="00E97914"/>
    <w:rsid w:val="00E97AAE"/>
    <w:rsid w:val="00EA062A"/>
    <w:rsid w:val="00EA08EA"/>
    <w:rsid w:val="00EA0B4D"/>
    <w:rsid w:val="00EA0CCB"/>
    <w:rsid w:val="00EA0CD8"/>
    <w:rsid w:val="00EA0CE1"/>
    <w:rsid w:val="00EA0FF1"/>
    <w:rsid w:val="00EA1563"/>
    <w:rsid w:val="00EA1891"/>
    <w:rsid w:val="00EA1C46"/>
    <w:rsid w:val="00EA1CF2"/>
    <w:rsid w:val="00EA23D9"/>
    <w:rsid w:val="00EA25F7"/>
    <w:rsid w:val="00EA28CB"/>
    <w:rsid w:val="00EA2EC6"/>
    <w:rsid w:val="00EA2F37"/>
    <w:rsid w:val="00EA3709"/>
    <w:rsid w:val="00EA3AD3"/>
    <w:rsid w:val="00EA3C2C"/>
    <w:rsid w:val="00EA3CAB"/>
    <w:rsid w:val="00EA3F75"/>
    <w:rsid w:val="00EA40DC"/>
    <w:rsid w:val="00EA4444"/>
    <w:rsid w:val="00EA4ABC"/>
    <w:rsid w:val="00EA4C24"/>
    <w:rsid w:val="00EA52A8"/>
    <w:rsid w:val="00EA54A7"/>
    <w:rsid w:val="00EA54C5"/>
    <w:rsid w:val="00EA56FD"/>
    <w:rsid w:val="00EA5798"/>
    <w:rsid w:val="00EA57DD"/>
    <w:rsid w:val="00EA612C"/>
    <w:rsid w:val="00EA631F"/>
    <w:rsid w:val="00EA6A72"/>
    <w:rsid w:val="00EA75F3"/>
    <w:rsid w:val="00EA7B56"/>
    <w:rsid w:val="00EA7C90"/>
    <w:rsid w:val="00EA7C9E"/>
    <w:rsid w:val="00EA7DD1"/>
    <w:rsid w:val="00EA7E88"/>
    <w:rsid w:val="00EA7F57"/>
    <w:rsid w:val="00EB0882"/>
    <w:rsid w:val="00EB0E7F"/>
    <w:rsid w:val="00EB14F8"/>
    <w:rsid w:val="00EB15EB"/>
    <w:rsid w:val="00EB1C0E"/>
    <w:rsid w:val="00EB1F03"/>
    <w:rsid w:val="00EB2081"/>
    <w:rsid w:val="00EB22A9"/>
    <w:rsid w:val="00EB22B1"/>
    <w:rsid w:val="00EB2A7A"/>
    <w:rsid w:val="00EB2D03"/>
    <w:rsid w:val="00EB309A"/>
    <w:rsid w:val="00EB4461"/>
    <w:rsid w:val="00EB4DA0"/>
    <w:rsid w:val="00EB4DA6"/>
    <w:rsid w:val="00EB4FD7"/>
    <w:rsid w:val="00EB5037"/>
    <w:rsid w:val="00EB5115"/>
    <w:rsid w:val="00EB572B"/>
    <w:rsid w:val="00EB57D0"/>
    <w:rsid w:val="00EB5B6C"/>
    <w:rsid w:val="00EB605B"/>
    <w:rsid w:val="00EB64B0"/>
    <w:rsid w:val="00EB673A"/>
    <w:rsid w:val="00EB6A5F"/>
    <w:rsid w:val="00EB6B7C"/>
    <w:rsid w:val="00EB6D1F"/>
    <w:rsid w:val="00EB6F25"/>
    <w:rsid w:val="00EB6FC0"/>
    <w:rsid w:val="00EB74CB"/>
    <w:rsid w:val="00EB7C9A"/>
    <w:rsid w:val="00EBE327"/>
    <w:rsid w:val="00EC0347"/>
    <w:rsid w:val="00EC0472"/>
    <w:rsid w:val="00EC0838"/>
    <w:rsid w:val="00EC0B72"/>
    <w:rsid w:val="00EC1664"/>
    <w:rsid w:val="00EC1820"/>
    <w:rsid w:val="00EC1BEE"/>
    <w:rsid w:val="00EC1E8D"/>
    <w:rsid w:val="00EC1FD3"/>
    <w:rsid w:val="00EC2C58"/>
    <w:rsid w:val="00EC34E2"/>
    <w:rsid w:val="00EC36C6"/>
    <w:rsid w:val="00EC3751"/>
    <w:rsid w:val="00EC3FB1"/>
    <w:rsid w:val="00EC4589"/>
    <w:rsid w:val="00EC4DA5"/>
    <w:rsid w:val="00EC5084"/>
    <w:rsid w:val="00EC5B48"/>
    <w:rsid w:val="00EC5DA2"/>
    <w:rsid w:val="00EC5F24"/>
    <w:rsid w:val="00EC6521"/>
    <w:rsid w:val="00EC669B"/>
    <w:rsid w:val="00EC6D81"/>
    <w:rsid w:val="00EC7048"/>
    <w:rsid w:val="00EC724A"/>
    <w:rsid w:val="00ED046B"/>
    <w:rsid w:val="00ED0D3A"/>
    <w:rsid w:val="00ED0F22"/>
    <w:rsid w:val="00ED0F9C"/>
    <w:rsid w:val="00ED1804"/>
    <w:rsid w:val="00ED186D"/>
    <w:rsid w:val="00ED1927"/>
    <w:rsid w:val="00ED1E74"/>
    <w:rsid w:val="00ED1E8D"/>
    <w:rsid w:val="00ED24BE"/>
    <w:rsid w:val="00ED2A68"/>
    <w:rsid w:val="00ED2A7C"/>
    <w:rsid w:val="00ED2B3D"/>
    <w:rsid w:val="00ED2C20"/>
    <w:rsid w:val="00ED2F35"/>
    <w:rsid w:val="00ED2F90"/>
    <w:rsid w:val="00ED2FB4"/>
    <w:rsid w:val="00ED30F4"/>
    <w:rsid w:val="00ED32DD"/>
    <w:rsid w:val="00ED375F"/>
    <w:rsid w:val="00ED3972"/>
    <w:rsid w:val="00ED3B84"/>
    <w:rsid w:val="00ED3C07"/>
    <w:rsid w:val="00ED493C"/>
    <w:rsid w:val="00ED4A2D"/>
    <w:rsid w:val="00ED4E4D"/>
    <w:rsid w:val="00ED5454"/>
    <w:rsid w:val="00ED568A"/>
    <w:rsid w:val="00ED57C9"/>
    <w:rsid w:val="00ED5F9A"/>
    <w:rsid w:val="00ED67A5"/>
    <w:rsid w:val="00ED6CBF"/>
    <w:rsid w:val="00ED72ED"/>
    <w:rsid w:val="00ED7521"/>
    <w:rsid w:val="00ED77B2"/>
    <w:rsid w:val="00ED794C"/>
    <w:rsid w:val="00ED79AC"/>
    <w:rsid w:val="00ED79D0"/>
    <w:rsid w:val="00ED7C23"/>
    <w:rsid w:val="00ED7D02"/>
    <w:rsid w:val="00ED7D52"/>
    <w:rsid w:val="00EE014E"/>
    <w:rsid w:val="00EE0309"/>
    <w:rsid w:val="00EE04DE"/>
    <w:rsid w:val="00EE0C14"/>
    <w:rsid w:val="00EE0F80"/>
    <w:rsid w:val="00EE1519"/>
    <w:rsid w:val="00EE16FD"/>
    <w:rsid w:val="00EE18C9"/>
    <w:rsid w:val="00EE19EF"/>
    <w:rsid w:val="00EE1C7A"/>
    <w:rsid w:val="00EE1D0B"/>
    <w:rsid w:val="00EE1DD9"/>
    <w:rsid w:val="00EE216C"/>
    <w:rsid w:val="00EE326F"/>
    <w:rsid w:val="00EE391A"/>
    <w:rsid w:val="00EE3B33"/>
    <w:rsid w:val="00EE3BE8"/>
    <w:rsid w:val="00EE3DC4"/>
    <w:rsid w:val="00EE40B1"/>
    <w:rsid w:val="00EE446C"/>
    <w:rsid w:val="00EE448D"/>
    <w:rsid w:val="00EE4D20"/>
    <w:rsid w:val="00EE4E52"/>
    <w:rsid w:val="00EE4E56"/>
    <w:rsid w:val="00EE5964"/>
    <w:rsid w:val="00EE5C83"/>
    <w:rsid w:val="00EE5CF9"/>
    <w:rsid w:val="00EE629D"/>
    <w:rsid w:val="00EE6429"/>
    <w:rsid w:val="00EE6479"/>
    <w:rsid w:val="00EE6637"/>
    <w:rsid w:val="00EE6690"/>
    <w:rsid w:val="00EE67E5"/>
    <w:rsid w:val="00EE6885"/>
    <w:rsid w:val="00EE6936"/>
    <w:rsid w:val="00EE6A31"/>
    <w:rsid w:val="00EE6C6A"/>
    <w:rsid w:val="00EE6EDA"/>
    <w:rsid w:val="00EE6F77"/>
    <w:rsid w:val="00EE7367"/>
    <w:rsid w:val="00EF00FB"/>
    <w:rsid w:val="00EF039A"/>
    <w:rsid w:val="00EF0526"/>
    <w:rsid w:val="00EF0648"/>
    <w:rsid w:val="00EF0FC7"/>
    <w:rsid w:val="00EF100F"/>
    <w:rsid w:val="00EF1460"/>
    <w:rsid w:val="00EF14C8"/>
    <w:rsid w:val="00EF1A96"/>
    <w:rsid w:val="00EF1D29"/>
    <w:rsid w:val="00EF2122"/>
    <w:rsid w:val="00EF24FF"/>
    <w:rsid w:val="00EF28E4"/>
    <w:rsid w:val="00EF3411"/>
    <w:rsid w:val="00EF360D"/>
    <w:rsid w:val="00EF36F4"/>
    <w:rsid w:val="00EF3D22"/>
    <w:rsid w:val="00EF3F59"/>
    <w:rsid w:val="00EF5013"/>
    <w:rsid w:val="00EF5708"/>
    <w:rsid w:val="00EF5BD9"/>
    <w:rsid w:val="00EF5EF1"/>
    <w:rsid w:val="00EF610A"/>
    <w:rsid w:val="00EF62FF"/>
    <w:rsid w:val="00EF66A1"/>
    <w:rsid w:val="00EF673C"/>
    <w:rsid w:val="00EF711E"/>
    <w:rsid w:val="00EF71B9"/>
    <w:rsid w:val="00EF784C"/>
    <w:rsid w:val="00EF7E1D"/>
    <w:rsid w:val="00F000F8"/>
    <w:rsid w:val="00F001B2"/>
    <w:rsid w:val="00F00205"/>
    <w:rsid w:val="00F00292"/>
    <w:rsid w:val="00F006FE"/>
    <w:rsid w:val="00F00898"/>
    <w:rsid w:val="00F00B23"/>
    <w:rsid w:val="00F00D73"/>
    <w:rsid w:val="00F00DF1"/>
    <w:rsid w:val="00F00E69"/>
    <w:rsid w:val="00F00EA5"/>
    <w:rsid w:val="00F00F77"/>
    <w:rsid w:val="00F013EA"/>
    <w:rsid w:val="00F0187E"/>
    <w:rsid w:val="00F01A04"/>
    <w:rsid w:val="00F01C68"/>
    <w:rsid w:val="00F01D20"/>
    <w:rsid w:val="00F02109"/>
    <w:rsid w:val="00F02ACC"/>
    <w:rsid w:val="00F02C0D"/>
    <w:rsid w:val="00F02C33"/>
    <w:rsid w:val="00F03D3C"/>
    <w:rsid w:val="00F03F04"/>
    <w:rsid w:val="00F04706"/>
    <w:rsid w:val="00F048F8"/>
    <w:rsid w:val="00F04BAE"/>
    <w:rsid w:val="00F04CEB"/>
    <w:rsid w:val="00F05314"/>
    <w:rsid w:val="00F05739"/>
    <w:rsid w:val="00F0586C"/>
    <w:rsid w:val="00F05DB4"/>
    <w:rsid w:val="00F06605"/>
    <w:rsid w:val="00F06739"/>
    <w:rsid w:val="00F0694A"/>
    <w:rsid w:val="00F072A4"/>
    <w:rsid w:val="00F0751C"/>
    <w:rsid w:val="00F1001B"/>
    <w:rsid w:val="00F100DA"/>
    <w:rsid w:val="00F10165"/>
    <w:rsid w:val="00F10D29"/>
    <w:rsid w:val="00F10DCB"/>
    <w:rsid w:val="00F1183E"/>
    <w:rsid w:val="00F11B22"/>
    <w:rsid w:val="00F1202A"/>
    <w:rsid w:val="00F120D3"/>
    <w:rsid w:val="00F129F5"/>
    <w:rsid w:val="00F12E09"/>
    <w:rsid w:val="00F12EBE"/>
    <w:rsid w:val="00F137BB"/>
    <w:rsid w:val="00F13BDE"/>
    <w:rsid w:val="00F13D4E"/>
    <w:rsid w:val="00F14765"/>
    <w:rsid w:val="00F14AB5"/>
    <w:rsid w:val="00F14CB0"/>
    <w:rsid w:val="00F1569E"/>
    <w:rsid w:val="00F15724"/>
    <w:rsid w:val="00F15B7B"/>
    <w:rsid w:val="00F15F89"/>
    <w:rsid w:val="00F16351"/>
    <w:rsid w:val="00F165CD"/>
    <w:rsid w:val="00F16C3A"/>
    <w:rsid w:val="00F17460"/>
    <w:rsid w:val="00F1789A"/>
    <w:rsid w:val="00F17A6C"/>
    <w:rsid w:val="00F202D1"/>
    <w:rsid w:val="00F202F9"/>
    <w:rsid w:val="00F20A19"/>
    <w:rsid w:val="00F20FE1"/>
    <w:rsid w:val="00F217CD"/>
    <w:rsid w:val="00F21E8F"/>
    <w:rsid w:val="00F21F5F"/>
    <w:rsid w:val="00F224A3"/>
    <w:rsid w:val="00F22A09"/>
    <w:rsid w:val="00F22B8F"/>
    <w:rsid w:val="00F22E65"/>
    <w:rsid w:val="00F231AB"/>
    <w:rsid w:val="00F23365"/>
    <w:rsid w:val="00F23572"/>
    <w:rsid w:val="00F237E7"/>
    <w:rsid w:val="00F23986"/>
    <w:rsid w:val="00F245B7"/>
    <w:rsid w:val="00F252D5"/>
    <w:rsid w:val="00F2532B"/>
    <w:rsid w:val="00F25BD3"/>
    <w:rsid w:val="00F265C4"/>
    <w:rsid w:val="00F2688E"/>
    <w:rsid w:val="00F26C55"/>
    <w:rsid w:val="00F2726E"/>
    <w:rsid w:val="00F27C7B"/>
    <w:rsid w:val="00F27C91"/>
    <w:rsid w:val="00F3003B"/>
    <w:rsid w:val="00F300F5"/>
    <w:rsid w:val="00F303B5"/>
    <w:rsid w:val="00F3051B"/>
    <w:rsid w:val="00F30623"/>
    <w:rsid w:val="00F30846"/>
    <w:rsid w:val="00F30E5A"/>
    <w:rsid w:val="00F30FCF"/>
    <w:rsid w:val="00F31365"/>
    <w:rsid w:val="00F316C2"/>
    <w:rsid w:val="00F3199C"/>
    <w:rsid w:val="00F31B62"/>
    <w:rsid w:val="00F31E1F"/>
    <w:rsid w:val="00F321B2"/>
    <w:rsid w:val="00F32C14"/>
    <w:rsid w:val="00F3330B"/>
    <w:rsid w:val="00F33636"/>
    <w:rsid w:val="00F3363C"/>
    <w:rsid w:val="00F33E81"/>
    <w:rsid w:val="00F33F33"/>
    <w:rsid w:val="00F341C9"/>
    <w:rsid w:val="00F34EAA"/>
    <w:rsid w:val="00F35466"/>
    <w:rsid w:val="00F35717"/>
    <w:rsid w:val="00F35A0D"/>
    <w:rsid w:val="00F35BAC"/>
    <w:rsid w:val="00F36283"/>
    <w:rsid w:val="00F36AA4"/>
    <w:rsid w:val="00F36BF9"/>
    <w:rsid w:val="00F36D0B"/>
    <w:rsid w:val="00F37413"/>
    <w:rsid w:val="00F3741F"/>
    <w:rsid w:val="00F37857"/>
    <w:rsid w:val="00F37A1D"/>
    <w:rsid w:val="00F403D2"/>
    <w:rsid w:val="00F4067C"/>
    <w:rsid w:val="00F4084F"/>
    <w:rsid w:val="00F40851"/>
    <w:rsid w:val="00F40C3F"/>
    <w:rsid w:val="00F40F93"/>
    <w:rsid w:val="00F4111C"/>
    <w:rsid w:val="00F41164"/>
    <w:rsid w:val="00F413D8"/>
    <w:rsid w:val="00F41460"/>
    <w:rsid w:val="00F417F4"/>
    <w:rsid w:val="00F420C6"/>
    <w:rsid w:val="00F42609"/>
    <w:rsid w:val="00F426AA"/>
    <w:rsid w:val="00F42A45"/>
    <w:rsid w:val="00F430C5"/>
    <w:rsid w:val="00F431DD"/>
    <w:rsid w:val="00F4338C"/>
    <w:rsid w:val="00F43CD1"/>
    <w:rsid w:val="00F43FD2"/>
    <w:rsid w:val="00F44056"/>
    <w:rsid w:val="00F4421C"/>
    <w:rsid w:val="00F44296"/>
    <w:rsid w:val="00F44499"/>
    <w:rsid w:val="00F446F7"/>
    <w:rsid w:val="00F452DD"/>
    <w:rsid w:val="00F45595"/>
    <w:rsid w:val="00F4575D"/>
    <w:rsid w:val="00F45BB1"/>
    <w:rsid w:val="00F45C71"/>
    <w:rsid w:val="00F45E67"/>
    <w:rsid w:val="00F45F51"/>
    <w:rsid w:val="00F461E9"/>
    <w:rsid w:val="00F4675F"/>
    <w:rsid w:val="00F46A98"/>
    <w:rsid w:val="00F46EC5"/>
    <w:rsid w:val="00F47230"/>
    <w:rsid w:val="00F4744D"/>
    <w:rsid w:val="00F47723"/>
    <w:rsid w:val="00F47EB7"/>
    <w:rsid w:val="00F50090"/>
    <w:rsid w:val="00F503A9"/>
    <w:rsid w:val="00F50805"/>
    <w:rsid w:val="00F509E4"/>
    <w:rsid w:val="00F50BF4"/>
    <w:rsid w:val="00F50EEF"/>
    <w:rsid w:val="00F5109D"/>
    <w:rsid w:val="00F5223C"/>
    <w:rsid w:val="00F52259"/>
    <w:rsid w:val="00F5226B"/>
    <w:rsid w:val="00F5232A"/>
    <w:rsid w:val="00F5233D"/>
    <w:rsid w:val="00F525D8"/>
    <w:rsid w:val="00F52671"/>
    <w:rsid w:val="00F52B66"/>
    <w:rsid w:val="00F530CD"/>
    <w:rsid w:val="00F530D8"/>
    <w:rsid w:val="00F531F5"/>
    <w:rsid w:val="00F53548"/>
    <w:rsid w:val="00F536C2"/>
    <w:rsid w:val="00F53833"/>
    <w:rsid w:val="00F53B3A"/>
    <w:rsid w:val="00F53C4B"/>
    <w:rsid w:val="00F54312"/>
    <w:rsid w:val="00F545CD"/>
    <w:rsid w:val="00F5475C"/>
    <w:rsid w:val="00F54AA5"/>
    <w:rsid w:val="00F54AAC"/>
    <w:rsid w:val="00F54E88"/>
    <w:rsid w:val="00F552F9"/>
    <w:rsid w:val="00F5549A"/>
    <w:rsid w:val="00F55B64"/>
    <w:rsid w:val="00F55DFD"/>
    <w:rsid w:val="00F560ED"/>
    <w:rsid w:val="00F562DD"/>
    <w:rsid w:val="00F563D3"/>
    <w:rsid w:val="00F56687"/>
    <w:rsid w:val="00F56EF1"/>
    <w:rsid w:val="00F57010"/>
    <w:rsid w:val="00F5726F"/>
    <w:rsid w:val="00F5729D"/>
    <w:rsid w:val="00F572AC"/>
    <w:rsid w:val="00F57321"/>
    <w:rsid w:val="00F577AB"/>
    <w:rsid w:val="00F57998"/>
    <w:rsid w:val="00F57EC6"/>
    <w:rsid w:val="00F60220"/>
    <w:rsid w:val="00F60300"/>
    <w:rsid w:val="00F60922"/>
    <w:rsid w:val="00F60BD8"/>
    <w:rsid w:val="00F61036"/>
    <w:rsid w:val="00F61044"/>
    <w:rsid w:val="00F61317"/>
    <w:rsid w:val="00F616F3"/>
    <w:rsid w:val="00F618D3"/>
    <w:rsid w:val="00F61AAD"/>
    <w:rsid w:val="00F62664"/>
    <w:rsid w:val="00F630EB"/>
    <w:rsid w:val="00F631E1"/>
    <w:rsid w:val="00F632AC"/>
    <w:rsid w:val="00F63528"/>
    <w:rsid w:val="00F638B4"/>
    <w:rsid w:val="00F63C33"/>
    <w:rsid w:val="00F64063"/>
    <w:rsid w:val="00F640E6"/>
    <w:rsid w:val="00F64840"/>
    <w:rsid w:val="00F6485A"/>
    <w:rsid w:val="00F64906"/>
    <w:rsid w:val="00F64E0A"/>
    <w:rsid w:val="00F6544D"/>
    <w:rsid w:val="00F6573B"/>
    <w:rsid w:val="00F65B55"/>
    <w:rsid w:val="00F65E40"/>
    <w:rsid w:val="00F65F0F"/>
    <w:rsid w:val="00F6640D"/>
    <w:rsid w:val="00F667D7"/>
    <w:rsid w:val="00F66B5C"/>
    <w:rsid w:val="00F66F0C"/>
    <w:rsid w:val="00F6701F"/>
    <w:rsid w:val="00F671BD"/>
    <w:rsid w:val="00F6750C"/>
    <w:rsid w:val="00F67E10"/>
    <w:rsid w:val="00F701D3"/>
    <w:rsid w:val="00F70356"/>
    <w:rsid w:val="00F704B9"/>
    <w:rsid w:val="00F70B67"/>
    <w:rsid w:val="00F70E2A"/>
    <w:rsid w:val="00F70FA9"/>
    <w:rsid w:val="00F71B12"/>
    <w:rsid w:val="00F71CBE"/>
    <w:rsid w:val="00F72290"/>
    <w:rsid w:val="00F722C9"/>
    <w:rsid w:val="00F72457"/>
    <w:rsid w:val="00F72A04"/>
    <w:rsid w:val="00F72ACC"/>
    <w:rsid w:val="00F72E01"/>
    <w:rsid w:val="00F73585"/>
    <w:rsid w:val="00F73B32"/>
    <w:rsid w:val="00F73B63"/>
    <w:rsid w:val="00F74146"/>
    <w:rsid w:val="00F7486C"/>
    <w:rsid w:val="00F74EC9"/>
    <w:rsid w:val="00F7568F"/>
    <w:rsid w:val="00F75A8D"/>
    <w:rsid w:val="00F75ADB"/>
    <w:rsid w:val="00F75C12"/>
    <w:rsid w:val="00F75C4A"/>
    <w:rsid w:val="00F76054"/>
    <w:rsid w:val="00F7668F"/>
    <w:rsid w:val="00F766AD"/>
    <w:rsid w:val="00F768D4"/>
    <w:rsid w:val="00F76A3A"/>
    <w:rsid w:val="00F76B6A"/>
    <w:rsid w:val="00F76BE2"/>
    <w:rsid w:val="00F76C86"/>
    <w:rsid w:val="00F76CEE"/>
    <w:rsid w:val="00F7774A"/>
    <w:rsid w:val="00F77839"/>
    <w:rsid w:val="00F80336"/>
    <w:rsid w:val="00F8044A"/>
    <w:rsid w:val="00F80952"/>
    <w:rsid w:val="00F80E24"/>
    <w:rsid w:val="00F80F86"/>
    <w:rsid w:val="00F81ABA"/>
    <w:rsid w:val="00F81EB1"/>
    <w:rsid w:val="00F81FC3"/>
    <w:rsid w:val="00F8207E"/>
    <w:rsid w:val="00F82278"/>
    <w:rsid w:val="00F823DD"/>
    <w:rsid w:val="00F8245E"/>
    <w:rsid w:val="00F8250A"/>
    <w:rsid w:val="00F82939"/>
    <w:rsid w:val="00F82F14"/>
    <w:rsid w:val="00F8331A"/>
    <w:rsid w:val="00F83613"/>
    <w:rsid w:val="00F836D1"/>
    <w:rsid w:val="00F83F56"/>
    <w:rsid w:val="00F83F72"/>
    <w:rsid w:val="00F84266"/>
    <w:rsid w:val="00F8477F"/>
    <w:rsid w:val="00F84A24"/>
    <w:rsid w:val="00F84A61"/>
    <w:rsid w:val="00F84E8C"/>
    <w:rsid w:val="00F84FDF"/>
    <w:rsid w:val="00F85279"/>
    <w:rsid w:val="00F8564C"/>
    <w:rsid w:val="00F85838"/>
    <w:rsid w:val="00F85E23"/>
    <w:rsid w:val="00F865A1"/>
    <w:rsid w:val="00F875CB"/>
    <w:rsid w:val="00F87623"/>
    <w:rsid w:val="00F8769F"/>
    <w:rsid w:val="00F90261"/>
    <w:rsid w:val="00F90345"/>
    <w:rsid w:val="00F904D2"/>
    <w:rsid w:val="00F90557"/>
    <w:rsid w:val="00F905D1"/>
    <w:rsid w:val="00F907C5"/>
    <w:rsid w:val="00F909D5"/>
    <w:rsid w:val="00F90A70"/>
    <w:rsid w:val="00F90DA3"/>
    <w:rsid w:val="00F9109E"/>
    <w:rsid w:val="00F911CB"/>
    <w:rsid w:val="00F91382"/>
    <w:rsid w:val="00F92762"/>
    <w:rsid w:val="00F929CF"/>
    <w:rsid w:val="00F930BD"/>
    <w:rsid w:val="00F9390C"/>
    <w:rsid w:val="00F93DB7"/>
    <w:rsid w:val="00F94216"/>
    <w:rsid w:val="00F94A52"/>
    <w:rsid w:val="00F94AEA"/>
    <w:rsid w:val="00F94ED9"/>
    <w:rsid w:val="00F94FBE"/>
    <w:rsid w:val="00F95042"/>
    <w:rsid w:val="00F95298"/>
    <w:rsid w:val="00F95599"/>
    <w:rsid w:val="00F958B8"/>
    <w:rsid w:val="00F9645B"/>
    <w:rsid w:val="00F96826"/>
    <w:rsid w:val="00F96853"/>
    <w:rsid w:val="00F96D2E"/>
    <w:rsid w:val="00F96EA9"/>
    <w:rsid w:val="00F96F6B"/>
    <w:rsid w:val="00F9716C"/>
    <w:rsid w:val="00F97477"/>
    <w:rsid w:val="00F9764C"/>
    <w:rsid w:val="00F97926"/>
    <w:rsid w:val="00F97B0B"/>
    <w:rsid w:val="00F97E63"/>
    <w:rsid w:val="00F97F31"/>
    <w:rsid w:val="00FA0DC3"/>
    <w:rsid w:val="00FA107B"/>
    <w:rsid w:val="00FA15A8"/>
    <w:rsid w:val="00FA178E"/>
    <w:rsid w:val="00FA1A1B"/>
    <w:rsid w:val="00FA1B90"/>
    <w:rsid w:val="00FA21C7"/>
    <w:rsid w:val="00FA225F"/>
    <w:rsid w:val="00FA2440"/>
    <w:rsid w:val="00FA26A9"/>
    <w:rsid w:val="00FA2752"/>
    <w:rsid w:val="00FA29AF"/>
    <w:rsid w:val="00FA3530"/>
    <w:rsid w:val="00FA35E5"/>
    <w:rsid w:val="00FA38A2"/>
    <w:rsid w:val="00FA39BC"/>
    <w:rsid w:val="00FA3DCF"/>
    <w:rsid w:val="00FA3E31"/>
    <w:rsid w:val="00FA3EDC"/>
    <w:rsid w:val="00FA401E"/>
    <w:rsid w:val="00FA4216"/>
    <w:rsid w:val="00FA45C7"/>
    <w:rsid w:val="00FA4620"/>
    <w:rsid w:val="00FA4838"/>
    <w:rsid w:val="00FA485D"/>
    <w:rsid w:val="00FA48E3"/>
    <w:rsid w:val="00FA4E1C"/>
    <w:rsid w:val="00FA4EA1"/>
    <w:rsid w:val="00FA52CE"/>
    <w:rsid w:val="00FA5CDB"/>
    <w:rsid w:val="00FA5F05"/>
    <w:rsid w:val="00FA6465"/>
    <w:rsid w:val="00FA6AFA"/>
    <w:rsid w:val="00FA6B31"/>
    <w:rsid w:val="00FA713B"/>
    <w:rsid w:val="00FA72DB"/>
    <w:rsid w:val="00FA7830"/>
    <w:rsid w:val="00FA7A04"/>
    <w:rsid w:val="00FA7F5F"/>
    <w:rsid w:val="00FB0077"/>
    <w:rsid w:val="00FB0590"/>
    <w:rsid w:val="00FB0F03"/>
    <w:rsid w:val="00FB11F5"/>
    <w:rsid w:val="00FB11FE"/>
    <w:rsid w:val="00FB1241"/>
    <w:rsid w:val="00FB1A24"/>
    <w:rsid w:val="00FB1C5C"/>
    <w:rsid w:val="00FB1C62"/>
    <w:rsid w:val="00FB2707"/>
    <w:rsid w:val="00FB2840"/>
    <w:rsid w:val="00FB2B53"/>
    <w:rsid w:val="00FB2FF9"/>
    <w:rsid w:val="00FB3171"/>
    <w:rsid w:val="00FB32F1"/>
    <w:rsid w:val="00FB340F"/>
    <w:rsid w:val="00FB37C9"/>
    <w:rsid w:val="00FB3885"/>
    <w:rsid w:val="00FB38E2"/>
    <w:rsid w:val="00FB3A79"/>
    <w:rsid w:val="00FB3B0A"/>
    <w:rsid w:val="00FB4192"/>
    <w:rsid w:val="00FB4B28"/>
    <w:rsid w:val="00FB5374"/>
    <w:rsid w:val="00FB53DA"/>
    <w:rsid w:val="00FB5781"/>
    <w:rsid w:val="00FB6990"/>
    <w:rsid w:val="00FB6E87"/>
    <w:rsid w:val="00FB6F52"/>
    <w:rsid w:val="00FB6FDB"/>
    <w:rsid w:val="00FB711E"/>
    <w:rsid w:val="00FB72E2"/>
    <w:rsid w:val="00FB7D1C"/>
    <w:rsid w:val="00FB7D48"/>
    <w:rsid w:val="00FB7E43"/>
    <w:rsid w:val="00FC0134"/>
    <w:rsid w:val="00FC0279"/>
    <w:rsid w:val="00FC0F06"/>
    <w:rsid w:val="00FC1165"/>
    <w:rsid w:val="00FC11D9"/>
    <w:rsid w:val="00FC13C1"/>
    <w:rsid w:val="00FC16E7"/>
    <w:rsid w:val="00FC1A4E"/>
    <w:rsid w:val="00FC2355"/>
    <w:rsid w:val="00FC2AA8"/>
    <w:rsid w:val="00FC2D01"/>
    <w:rsid w:val="00FC2D59"/>
    <w:rsid w:val="00FC30DE"/>
    <w:rsid w:val="00FC3107"/>
    <w:rsid w:val="00FC32F3"/>
    <w:rsid w:val="00FC33F6"/>
    <w:rsid w:val="00FC376F"/>
    <w:rsid w:val="00FC3A38"/>
    <w:rsid w:val="00FC3F01"/>
    <w:rsid w:val="00FC3F5F"/>
    <w:rsid w:val="00FC4062"/>
    <w:rsid w:val="00FC4CE7"/>
    <w:rsid w:val="00FC5001"/>
    <w:rsid w:val="00FC510A"/>
    <w:rsid w:val="00FC5342"/>
    <w:rsid w:val="00FC5463"/>
    <w:rsid w:val="00FC563B"/>
    <w:rsid w:val="00FC5794"/>
    <w:rsid w:val="00FC5B31"/>
    <w:rsid w:val="00FC5F4E"/>
    <w:rsid w:val="00FC7623"/>
    <w:rsid w:val="00FC777B"/>
    <w:rsid w:val="00FC791F"/>
    <w:rsid w:val="00FC7FF0"/>
    <w:rsid w:val="00FD06FC"/>
    <w:rsid w:val="00FD0B9E"/>
    <w:rsid w:val="00FD0E68"/>
    <w:rsid w:val="00FD0F15"/>
    <w:rsid w:val="00FD0FAB"/>
    <w:rsid w:val="00FD17CB"/>
    <w:rsid w:val="00FD229E"/>
    <w:rsid w:val="00FD237F"/>
    <w:rsid w:val="00FD2CD1"/>
    <w:rsid w:val="00FD2CF3"/>
    <w:rsid w:val="00FD2D22"/>
    <w:rsid w:val="00FD2F74"/>
    <w:rsid w:val="00FD3398"/>
    <w:rsid w:val="00FD3955"/>
    <w:rsid w:val="00FD3963"/>
    <w:rsid w:val="00FD39E4"/>
    <w:rsid w:val="00FD41B4"/>
    <w:rsid w:val="00FD47C2"/>
    <w:rsid w:val="00FD4893"/>
    <w:rsid w:val="00FD4BE8"/>
    <w:rsid w:val="00FD4E24"/>
    <w:rsid w:val="00FD4EB9"/>
    <w:rsid w:val="00FD502F"/>
    <w:rsid w:val="00FD5363"/>
    <w:rsid w:val="00FD580A"/>
    <w:rsid w:val="00FD5D9A"/>
    <w:rsid w:val="00FD5D9C"/>
    <w:rsid w:val="00FD5EF3"/>
    <w:rsid w:val="00FD60B1"/>
    <w:rsid w:val="00FD6BD4"/>
    <w:rsid w:val="00FD715A"/>
    <w:rsid w:val="00FD75C2"/>
    <w:rsid w:val="00FD7F1A"/>
    <w:rsid w:val="00FE0C32"/>
    <w:rsid w:val="00FE0FB2"/>
    <w:rsid w:val="00FE12F7"/>
    <w:rsid w:val="00FE1510"/>
    <w:rsid w:val="00FE16A2"/>
    <w:rsid w:val="00FE1F58"/>
    <w:rsid w:val="00FE20A1"/>
    <w:rsid w:val="00FE274A"/>
    <w:rsid w:val="00FE2810"/>
    <w:rsid w:val="00FE2ACE"/>
    <w:rsid w:val="00FE2BFA"/>
    <w:rsid w:val="00FE2F7E"/>
    <w:rsid w:val="00FE31C8"/>
    <w:rsid w:val="00FE3580"/>
    <w:rsid w:val="00FE4198"/>
    <w:rsid w:val="00FE4918"/>
    <w:rsid w:val="00FE4A2C"/>
    <w:rsid w:val="00FE4C28"/>
    <w:rsid w:val="00FE4DE5"/>
    <w:rsid w:val="00FE55F8"/>
    <w:rsid w:val="00FE578A"/>
    <w:rsid w:val="00FE580E"/>
    <w:rsid w:val="00FE607A"/>
    <w:rsid w:val="00FE66E3"/>
    <w:rsid w:val="00FE6839"/>
    <w:rsid w:val="00FE68A4"/>
    <w:rsid w:val="00FE6947"/>
    <w:rsid w:val="00FE733F"/>
    <w:rsid w:val="00FE7574"/>
    <w:rsid w:val="00FE7627"/>
    <w:rsid w:val="00FE7686"/>
    <w:rsid w:val="00FE772A"/>
    <w:rsid w:val="00FE7CC9"/>
    <w:rsid w:val="00FE7D49"/>
    <w:rsid w:val="00FF0CA7"/>
    <w:rsid w:val="00FF173B"/>
    <w:rsid w:val="00FF193B"/>
    <w:rsid w:val="00FF1B90"/>
    <w:rsid w:val="00FF1F56"/>
    <w:rsid w:val="00FF20B5"/>
    <w:rsid w:val="00FF21CC"/>
    <w:rsid w:val="00FF24B2"/>
    <w:rsid w:val="00FF2C92"/>
    <w:rsid w:val="00FF2F63"/>
    <w:rsid w:val="00FF30B5"/>
    <w:rsid w:val="00FF3E1C"/>
    <w:rsid w:val="00FF42F2"/>
    <w:rsid w:val="00FF47DB"/>
    <w:rsid w:val="00FF488E"/>
    <w:rsid w:val="00FF4AFD"/>
    <w:rsid w:val="00FF55A3"/>
    <w:rsid w:val="00FF588C"/>
    <w:rsid w:val="00FF5F87"/>
    <w:rsid w:val="00FF66FD"/>
    <w:rsid w:val="00FF69FB"/>
    <w:rsid w:val="00FF6E09"/>
    <w:rsid w:val="00FF6E35"/>
    <w:rsid w:val="00FF71D9"/>
    <w:rsid w:val="00FF722A"/>
    <w:rsid w:val="00FF74F9"/>
    <w:rsid w:val="00FF7838"/>
    <w:rsid w:val="00FF7DD7"/>
    <w:rsid w:val="00FF7E94"/>
    <w:rsid w:val="01187D11"/>
    <w:rsid w:val="011AF8BD"/>
    <w:rsid w:val="014ABF84"/>
    <w:rsid w:val="01EE1314"/>
    <w:rsid w:val="02259155"/>
    <w:rsid w:val="0245FDA2"/>
    <w:rsid w:val="0246B303"/>
    <w:rsid w:val="0278C927"/>
    <w:rsid w:val="02AEBCBD"/>
    <w:rsid w:val="036E4A74"/>
    <w:rsid w:val="03BC6F97"/>
    <w:rsid w:val="03DA4BA4"/>
    <w:rsid w:val="03E40A19"/>
    <w:rsid w:val="042DDE2F"/>
    <w:rsid w:val="0458DDA0"/>
    <w:rsid w:val="04609862"/>
    <w:rsid w:val="047F5EAA"/>
    <w:rsid w:val="04F6E788"/>
    <w:rsid w:val="04FDCBE3"/>
    <w:rsid w:val="05705346"/>
    <w:rsid w:val="058D7578"/>
    <w:rsid w:val="05B84A7E"/>
    <w:rsid w:val="061FD61B"/>
    <w:rsid w:val="0627F2FC"/>
    <w:rsid w:val="06B5C0CE"/>
    <w:rsid w:val="06F34982"/>
    <w:rsid w:val="072B7A47"/>
    <w:rsid w:val="0742F669"/>
    <w:rsid w:val="07432941"/>
    <w:rsid w:val="078E34A5"/>
    <w:rsid w:val="07D2BE67"/>
    <w:rsid w:val="07EA2B43"/>
    <w:rsid w:val="080E8763"/>
    <w:rsid w:val="083C10CC"/>
    <w:rsid w:val="083CE4C7"/>
    <w:rsid w:val="084B4D8F"/>
    <w:rsid w:val="08607DB8"/>
    <w:rsid w:val="08BD4721"/>
    <w:rsid w:val="08D61FC1"/>
    <w:rsid w:val="08FAB7A8"/>
    <w:rsid w:val="0902FF94"/>
    <w:rsid w:val="091125BF"/>
    <w:rsid w:val="091AF2C6"/>
    <w:rsid w:val="09AF6D0A"/>
    <w:rsid w:val="09EC3E38"/>
    <w:rsid w:val="09F5783E"/>
    <w:rsid w:val="0A23179B"/>
    <w:rsid w:val="0A62E4D0"/>
    <w:rsid w:val="0A7F3C33"/>
    <w:rsid w:val="0A9207B2"/>
    <w:rsid w:val="0AA9347F"/>
    <w:rsid w:val="0ABFFAB4"/>
    <w:rsid w:val="0AC8E276"/>
    <w:rsid w:val="0AE0E723"/>
    <w:rsid w:val="0B068F18"/>
    <w:rsid w:val="0B17DE14"/>
    <w:rsid w:val="0B1DF7E0"/>
    <w:rsid w:val="0B34D871"/>
    <w:rsid w:val="0B652084"/>
    <w:rsid w:val="0B7144F4"/>
    <w:rsid w:val="0B746BF6"/>
    <w:rsid w:val="0B794390"/>
    <w:rsid w:val="0B818819"/>
    <w:rsid w:val="0B9DA557"/>
    <w:rsid w:val="0B9F8318"/>
    <w:rsid w:val="0BBA5A1D"/>
    <w:rsid w:val="0BBDF113"/>
    <w:rsid w:val="0BE7765F"/>
    <w:rsid w:val="0C528E70"/>
    <w:rsid w:val="0C990771"/>
    <w:rsid w:val="0CB568E9"/>
    <w:rsid w:val="0CD79D69"/>
    <w:rsid w:val="0CDD8101"/>
    <w:rsid w:val="0D623070"/>
    <w:rsid w:val="0D6E41A6"/>
    <w:rsid w:val="0D72B677"/>
    <w:rsid w:val="0D9ED0D0"/>
    <w:rsid w:val="0DD3FC2B"/>
    <w:rsid w:val="0DD8C7A4"/>
    <w:rsid w:val="0E327806"/>
    <w:rsid w:val="0E48C11D"/>
    <w:rsid w:val="0E65F820"/>
    <w:rsid w:val="0E680CC1"/>
    <w:rsid w:val="0E8D7BB8"/>
    <w:rsid w:val="0EA7965F"/>
    <w:rsid w:val="0EA8D715"/>
    <w:rsid w:val="0F0307C6"/>
    <w:rsid w:val="0F875488"/>
    <w:rsid w:val="0F92FC4A"/>
    <w:rsid w:val="0FA1DFF7"/>
    <w:rsid w:val="0FAE6100"/>
    <w:rsid w:val="0FC141DC"/>
    <w:rsid w:val="0FFF4A64"/>
    <w:rsid w:val="106623A3"/>
    <w:rsid w:val="10E1CF9C"/>
    <w:rsid w:val="10F0EBFE"/>
    <w:rsid w:val="11123450"/>
    <w:rsid w:val="11425C99"/>
    <w:rsid w:val="1158A342"/>
    <w:rsid w:val="1162EDAD"/>
    <w:rsid w:val="119FA80F"/>
    <w:rsid w:val="11AEFC24"/>
    <w:rsid w:val="11E2E04C"/>
    <w:rsid w:val="11E3083F"/>
    <w:rsid w:val="120A41BB"/>
    <w:rsid w:val="121BCC92"/>
    <w:rsid w:val="12586216"/>
    <w:rsid w:val="128D3BAA"/>
    <w:rsid w:val="1322C227"/>
    <w:rsid w:val="1358820E"/>
    <w:rsid w:val="1361EFE1"/>
    <w:rsid w:val="137C2C6F"/>
    <w:rsid w:val="1386B0FE"/>
    <w:rsid w:val="13B813DF"/>
    <w:rsid w:val="13C59D98"/>
    <w:rsid w:val="14070542"/>
    <w:rsid w:val="14238ADC"/>
    <w:rsid w:val="143753A1"/>
    <w:rsid w:val="1443BCE1"/>
    <w:rsid w:val="15ADBB36"/>
    <w:rsid w:val="15D92A50"/>
    <w:rsid w:val="15DFC441"/>
    <w:rsid w:val="15F92532"/>
    <w:rsid w:val="16067A0E"/>
    <w:rsid w:val="1649F29C"/>
    <w:rsid w:val="165430D7"/>
    <w:rsid w:val="167F9907"/>
    <w:rsid w:val="168CDB21"/>
    <w:rsid w:val="1738A90E"/>
    <w:rsid w:val="17498B97"/>
    <w:rsid w:val="1749BFA1"/>
    <w:rsid w:val="17547876"/>
    <w:rsid w:val="176117E8"/>
    <w:rsid w:val="17BB69A1"/>
    <w:rsid w:val="17DEDE0B"/>
    <w:rsid w:val="17F8C0F9"/>
    <w:rsid w:val="1800B4B0"/>
    <w:rsid w:val="18674495"/>
    <w:rsid w:val="188DA7F4"/>
    <w:rsid w:val="18ACD72D"/>
    <w:rsid w:val="18C9C228"/>
    <w:rsid w:val="18D5609E"/>
    <w:rsid w:val="18E55BF8"/>
    <w:rsid w:val="19252A25"/>
    <w:rsid w:val="199C3162"/>
    <w:rsid w:val="199E73AF"/>
    <w:rsid w:val="19C6E6D0"/>
    <w:rsid w:val="1A0274DB"/>
    <w:rsid w:val="1A05FAA3"/>
    <w:rsid w:val="1A21F17D"/>
    <w:rsid w:val="1A95BBED"/>
    <w:rsid w:val="1AC27B24"/>
    <w:rsid w:val="1ACBD0CD"/>
    <w:rsid w:val="1ADC2A24"/>
    <w:rsid w:val="1AE89D96"/>
    <w:rsid w:val="1AFE69C6"/>
    <w:rsid w:val="1B206EFC"/>
    <w:rsid w:val="1B3F67E6"/>
    <w:rsid w:val="1B80C5BB"/>
    <w:rsid w:val="1BBF70F6"/>
    <w:rsid w:val="1C216256"/>
    <w:rsid w:val="1C4FC6EF"/>
    <w:rsid w:val="1C7A54F8"/>
    <w:rsid w:val="1C7BBBA2"/>
    <w:rsid w:val="1CFBCC4B"/>
    <w:rsid w:val="1D979489"/>
    <w:rsid w:val="1DA795A0"/>
    <w:rsid w:val="1DE6BDE3"/>
    <w:rsid w:val="1E458A47"/>
    <w:rsid w:val="1E54040B"/>
    <w:rsid w:val="1E59F3DC"/>
    <w:rsid w:val="1E713720"/>
    <w:rsid w:val="1F492DB0"/>
    <w:rsid w:val="1F548B01"/>
    <w:rsid w:val="1F7596E1"/>
    <w:rsid w:val="1FCC6264"/>
    <w:rsid w:val="2010A6F9"/>
    <w:rsid w:val="2051B66F"/>
    <w:rsid w:val="20638774"/>
    <w:rsid w:val="207DAF23"/>
    <w:rsid w:val="207E0649"/>
    <w:rsid w:val="2082C573"/>
    <w:rsid w:val="20A9D367"/>
    <w:rsid w:val="21207051"/>
    <w:rsid w:val="219231E4"/>
    <w:rsid w:val="21A5193C"/>
    <w:rsid w:val="21C8A8D7"/>
    <w:rsid w:val="21E81B26"/>
    <w:rsid w:val="21ED86D0"/>
    <w:rsid w:val="220FFE1F"/>
    <w:rsid w:val="221FF682"/>
    <w:rsid w:val="223FD8F0"/>
    <w:rsid w:val="225DF1FF"/>
    <w:rsid w:val="2309E0E7"/>
    <w:rsid w:val="230DD07A"/>
    <w:rsid w:val="23154CE1"/>
    <w:rsid w:val="2318D9B4"/>
    <w:rsid w:val="2326F854"/>
    <w:rsid w:val="233A4DD5"/>
    <w:rsid w:val="235602C6"/>
    <w:rsid w:val="23897CB2"/>
    <w:rsid w:val="23FA3271"/>
    <w:rsid w:val="2404C1D8"/>
    <w:rsid w:val="242FFE70"/>
    <w:rsid w:val="2458C38A"/>
    <w:rsid w:val="246695D0"/>
    <w:rsid w:val="25193A68"/>
    <w:rsid w:val="254B94D6"/>
    <w:rsid w:val="259F1D6A"/>
    <w:rsid w:val="263F0B57"/>
    <w:rsid w:val="2640F47C"/>
    <w:rsid w:val="2652E6F2"/>
    <w:rsid w:val="26556836"/>
    <w:rsid w:val="26638634"/>
    <w:rsid w:val="268A84E9"/>
    <w:rsid w:val="26FCE897"/>
    <w:rsid w:val="26FCF512"/>
    <w:rsid w:val="2727326C"/>
    <w:rsid w:val="272EC2C6"/>
    <w:rsid w:val="27413867"/>
    <w:rsid w:val="2760EB9E"/>
    <w:rsid w:val="2774A651"/>
    <w:rsid w:val="27B97569"/>
    <w:rsid w:val="27D944F2"/>
    <w:rsid w:val="27EB4169"/>
    <w:rsid w:val="27F03BD9"/>
    <w:rsid w:val="28775DEA"/>
    <w:rsid w:val="28B32EED"/>
    <w:rsid w:val="291ED840"/>
    <w:rsid w:val="293D8617"/>
    <w:rsid w:val="299007D9"/>
    <w:rsid w:val="299EAAED"/>
    <w:rsid w:val="29BFC856"/>
    <w:rsid w:val="29DF7058"/>
    <w:rsid w:val="29FCBAB0"/>
    <w:rsid w:val="2A5FADA5"/>
    <w:rsid w:val="2A97089B"/>
    <w:rsid w:val="2A97EA14"/>
    <w:rsid w:val="2A98F9B3"/>
    <w:rsid w:val="2ABA25FF"/>
    <w:rsid w:val="2ACBBB92"/>
    <w:rsid w:val="2ADAD2C0"/>
    <w:rsid w:val="2AF0A7C7"/>
    <w:rsid w:val="2AF452CE"/>
    <w:rsid w:val="2B3376F0"/>
    <w:rsid w:val="2B7C3CD8"/>
    <w:rsid w:val="2B7F6FC6"/>
    <w:rsid w:val="2B80BEDA"/>
    <w:rsid w:val="2B97219F"/>
    <w:rsid w:val="2BA69148"/>
    <w:rsid w:val="2BE128E2"/>
    <w:rsid w:val="2C41EA79"/>
    <w:rsid w:val="2CF91F14"/>
    <w:rsid w:val="2D945929"/>
    <w:rsid w:val="2E37A08C"/>
    <w:rsid w:val="2E37D98C"/>
    <w:rsid w:val="2E4F7546"/>
    <w:rsid w:val="2E6FCCFB"/>
    <w:rsid w:val="2E7BBF64"/>
    <w:rsid w:val="2ED24887"/>
    <w:rsid w:val="2EEC9226"/>
    <w:rsid w:val="2EF02850"/>
    <w:rsid w:val="2EFEFB33"/>
    <w:rsid w:val="2F13F3D2"/>
    <w:rsid w:val="2F148823"/>
    <w:rsid w:val="2F1B98E5"/>
    <w:rsid w:val="2F1DCB38"/>
    <w:rsid w:val="2F235979"/>
    <w:rsid w:val="2F32181E"/>
    <w:rsid w:val="2F81D610"/>
    <w:rsid w:val="2FE32E38"/>
    <w:rsid w:val="2FF274EB"/>
    <w:rsid w:val="30075BDB"/>
    <w:rsid w:val="30889F3A"/>
    <w:rsid w:val="30B6044A"/>
    <w:rsid w:val="30BD7CDD"/>
    <w:rsid w:val="30D8DE7B"/>
    <w:rsid w:val="30E27E08"/>
    <w:rsid w:val="30EA3AA1"/>
    <w:rsid w:val="31242C85"/>
    <w:rsid w:val="31335BFF"/>
    <w:rsid w:val="31449B65"/>
    <w:rsid w:val="31625AB1"/>
    <w:rsid w:val="316FC8DD"/>
    <w:rsid w:val="31B7A476"/>
    <w:rsid w:val="31C92F79"/>
    <w:rsid w:val="31D3B036"/>
    <w:rsid w:val="3278DFAC"/>
    <w:rsid w:val="327CEF6E"/>
    <w:rsid w:val="329C2C52"/>
    <w:rsid w:val="32AE401E"/>
    <w:rsid w:val="32CCEF2F"/>
    <w:rsid w:val="32D1335D"/>
    <w:rsid w:val="32E14EC2"/>
    <w:rsid w:val="32ED2DBD"/>
    <w:rsid w:val="33236641"/>
    <w:rsid w:val="332D661A"/>
    <w:rsid w:val="335BE869"/>
    <w:rsid w:val="33632D7C"/>
    <w:rsid w:val="33890B27"/>
    <w:rsid w:val="338E748D"/>
    <w:rsid w:val="33A364FC"/>
    <w:rsid w:val="33BA4B90"/>
    <w:rsid w:val="33C61A18"/>
    <w:rsid w:val="33ED67B2"/>
    <w:rsid w:val="343F73A8"/>
    <w:rsid w:val="34B25392"/>
    <w:rsid w:val="34B63670"/>
    <w:rsid w:val="34E1EC44"/>
    <w:rsid w:val="35185B03"/>
    <w:rsid w:val="35450F62"/>
    <w:rsid w:val="355A82F3"/>
    <w:rsid w:val="355F370A"/>
    <w:rsid w:val="356C5848"/>
    <w:rsid w:val="357DD14D"/>
    <w:rsid w:val="35878635"/>
    <w:rsid w:val="359E7268"/>
    <w:rsid w:val="35E654CA"/>
    <w:rsid w:val="3615E5F2"/>
    <w:rsid w:val="362018EB"/>
    <w:rsid w:val="363019E4"/>
    <w:rsid w:val="3641DEA6"/>
    <w:rsid w:val="365F8615"/>
    <w:rsid w:val="3666EA78"/>
    <w:rsid w:val="3668356B"/>
    <w:rsid w:val="36701255"/>
    <w:rsid w:val="3677E693"/>
    <w:rsid w:val="368827D3"/>
    <w:rsid w:val="36AE5AD8"/>
    <w:rsid w:val="36C8DEAD"/>
    <w:rsid w:val="36F334F4"/>
    <w:rsid w:val="36F9F2D5"/>
    <w:rsid w:val="3750DCFA"/>
    <w:rsid w:val="376F4444"/>
    <w:rsid w:val="37BB1248"/>
    <w:rsid w:val="3854C3DF"/>
    <w:rsid w:val="38A6EADF"/>
    <w:rsid w:val="38C02DC4"/>
    <w:rsid w:val="39001644"/>
    <w:rsid w:val="39657868"/>
    <w:rsid w:val="399E7DA1"/>
    <w:rsid w:val="39C3BD68"/>
    <w:rsid w:val="3A1408F1"/>
    <w:rsid w:val="3A175019"/>
    <w:rsid w:val="3A29D016"/>
    <w:rsid w:val="3A4931B9"/>
    <w:rsid w:val="3A6711B4"/>
    <w:rsid w:val="3AB1C6B5"/>
    <w:rsid w:val="3AC2DCB7"/>
    <w:rsid w:val="3AD7B590"/>
    <w:rsid w:val="3BC0342D"/>
    <w:rsid w:val="3BC54ABD"/>
    <w:rsid w:val="3BCA50FB"/>
    <w:rsid w:val="3BCE7B61"/>
    <w:rsid w:val="3C0AE499"/>
    <w:rsid w:val="3C8209CF"/>
    <w:rsid w:val="3C95E5A8"/>
    <w:rsid w:val="3C971410"/>
    <w:rsid w:val="3CCCE429"/>
    <w:rsid w:val="3D2D68D2"/>
    <w:rsid w:val="3D742FE7"/>
    <w:rsid w:val="3DB0B6DB"/>
    <w:rsid w:val="3DC1F52F"/>
    <w:rsid w:val="3DD1C5A4"/>
    <w:rsid w:val="3DD3C91C"/>
    <w:rsid w:val="3E454344"/>
    <w:rsid w:val="3ED8B273"/>
    <w:rsid w:val="3EFCEB7F"/>
    <w:rsid w:val="3F21BDD1"/>
    <w:rsid w:val="3F36AC3A"/>
    <w:rsid w:val="3F473DB1"/>
    <w:rsid w:val="3F541CD1"/>
    <w:rsid w:val="3F694400"/>
    <w:rsid w:val="3FA75876"/>
    <w:rsid w:val="3FDE74EF"/>
    <w:rsid w:val="4062B506"/>
    <w:rsid w:val="407548EE"/>
    <w:rsid w:val="40D4275B"/>
    <w:rsid w:val="40D9FE5A"/>
    <w:rsid w:val="4100EC31"/>
    <w:rsid w:val="41030FE7"/>
    <w:rsid w:val="413025EF"/>
    <w:rsid w:val="4134F867"/>
    <w:rsid w:val="41406C5B"/>
    <w:rsid w:val="422BE8E1"/>
    <w:rsid w:val="423B058B"/>
    <w:rsid w:val="4264CE64"/>
    <w:rsid w:val="4285E507"/>
    <w:rsid w:val="42A55AB3"/>
    <w:rsid w:val="42A64A9D"/>
    <w:rsid w:val="42CBF650"/>
    <w:rsid w:val="42DC3CBC"/>
    <w:rsid w:val="43293661"/>
    <w:rsid w:val="434F9B2B"/>
    <w:rsid w:val="43539EC1"/>
    <w:rsid w:val="437A60EC"/>
    <w:rsid w:val="4385742C"/>
    <w:rsid w:val="4392BC95"/>
    <w:rsid w:val="4398808A"/>
    <w:rsid w:val="43A7C71E"/>
    <w:rsid w:val="43B455D8"/>
    <w:rsid w:val="43D0FB6D"/>
    <w:rsid w:val="44213C2B"/>
    <w:rsid w:val="442D7B47"/>
    <w:rsid w:val="44635C13"/>
    <w:rsid w:val="44A387C7"/>
    <w:rsid w:val="44AB9C1C"/>
    <w:rsid w:val="44C3C291"/>
    <w:rsid w:val="44EDC318"/>
    <w:rsid w:val="451738A2"/>
    <w:rsid w:val="458530C1"/>
    <w:rsid w:val="458D929B"/>
    <w:rsid w:val="45BD0C8C"/>
    <w:rsid w:val="45BD7E29"/>
    <w:rsid w:val="45E47D65"/>
    <w:rsid w:val="46098B5F"/>
    <w:rsid w:val="4613DD7E"/>
    <w:rsid w:val="463BE0C0"/>
    <w:rsid w:val="46843A0E"/>
    <w:rsid w:val="46B87C16"/>
    <w:rsid w:val="46E75225"/>
    <w:rsid w:val="4700B005"/>
    <w:rsid w:val="471B2E7A"/>
    <w:rsid w:val="474BB8DF"/>
    <w:rsid w:val="4760B4F8"/>
    <w:rsid w:val="47C7C855"/>
    <w:rsid w:val="47DA5B46"/>
    <w:rsid w:val="47EAA4F2"/>
    <w:rsid w:val="48389D40"/>
    <w:rsid w:val="485AC931"/>
    <w:rsid w:val="489C8066"/>
    <w:rsid w:val="49126635"/>
    <w:rsid w:val="497F46CC"/>
    <w:rsid w:val="49B0F933"/>
    <w:rsid w:val="49BE6B8A"/>
    <w:rsid w:val="49CA5705"/>
    <w:rsid w:val="49D9A821"/>
    <w:rsid w:val="4A4EE886"/>
    <w:rsid w:val="4A529A0D"/>
    <w:rsid w:val="4A7D75A1"/>
    <w:rsid w:val="4B4817EA"/>
    <w:rsid w:val="4B5302CC"/>
    <w:rsid w:val="4B9162C4"/>
    <w:rsid w:val="4BFC5934"/>
    <w:rsid w:val="4C3B0008"/>
    <w:rsid w:val="4CE6C418"/>
    <w:rsid w:val="4CEDD809"/>
    <w:rsid w:val="4D01EA5C"/>
    <w:rsid w:val="4D20358B"/>
    <w:rsid w:val="4D698F98"/>
    <w:rsid w:val="4D7514E0"/>
    <w:rsid w:val="4D76E1F5"/>
    <w:rsid w:val="4D9E0CFB"/>
    <w:rsid w:val="4E18FDBA"/>
    <w:rsid w:val="4E4A9152"/>
    <w:rsid w:val="4E775974"/>
    <w:rsid w:val="4E9816C4"/>
    <w:rsid w:val="4E9A5B4E"/>
    <w:rsid w:val="4ED2D487"/>
    <w:rsid w:val="4EE8F26B"/>
    <w:rsid w:val="4F0DB5B2"/>
    <w:rsid w:val="4F9C1B3A"/>
    <w:rsid w:val="4FF2CAF1"/>
    <w:rsid w:val="501AB7DD"/>
    <w:rsid w:val="505765B8"/>
    <w:rsid w:val="508994C1"/>
    <w:rsid w:val="50EB705F"/>
    <w:rsid w:val="50F1F1CF"/>
    <w:rsid w:val="50FBF089"/>
    <w:rsid w:val="515EC9C5"/>
    <w:rsid w:val="516E059E"/>
    <w:rsid w:val="51897A40"/>
    <w:rsid w:val="51ACEDFE"/>
    <w:rsid w:val="51EF577C"/>
    <w:rsid w:val="5225BC42"/>
    <w:rsid w:val="522CDBDF"/>
    <w:rsid w:val="52359455"/>
    <w:rsid w:val="524F51D3"/>
    <w:rsid w:val="5271ED4D"/>
    <w:rsid w:val="52A97BBF"/>
    <w:rsid w:val="52D8F540"/>
    <w:rsid w:val="53254AA1"/>
    <w:rsid w:val="532B94A0"/>
    <w:rsid w:val="532FA0F8"/>
    <w:rsid w:val="5340DC84"/>
    <w:rsid w:val="534E6AEE"/>
    <w:rsid w:val="5356615E"/>
    <w:rsid w:val="535A02A2"/>
    <w:rsid w:val="538333CC"/>
    <w:rsid w:val="54062283"/>
    <w:rsid w:val="540679AE"/>
    <w:rsid w:val="5418D464"/>
    <w:rsid w:val="541F30BF"/>
    <w:rsid w:val="542155D9"/>
    <w:rsid w:val="5428EF59"/>
    <w:rsid w:val="543CD26F"/>
    <w:rsid w:val="545673FA"/>
    <w:rsid w:val="545BAE46"/>
    <w:rsid w:val="546A3DB7"/>
    <w:rsid w:val="547889F6"/>
    <w:rsid w:val="549121C9"/>
    <w:rsid w:val="549CD170"/>
    <w:rsid w:val="550BD468"/>
    <w:rsid w:val="553FE845"/>
    <w:rsid w:val="557A8657"/>
    <w:rsid w:val="55981CFD"/>
    <w:rsid w:val="559874B6"/>
    <w:rsid w:val="55A18D31"/>
    <w:rsid w:val="55A410C2"/>
    <w:rsid w:val="55D31C5F"/>
    <w:rsid w:val="55FEC816"/>
    <w:rsid w:val="5676FAF0"/>
    <w:rsid w:val="56929BC9"/>
    <w:rsid w:val="56CF5C7C"/>
    <w:rsid w:val="576C0827"/>
    <w:rsid w:val="57AC5065"/>
    <w:rsid w:val="57C424F2"/>
    <w:rsid w:val="57C95454"/>
    <w:rsid w:val="57C987A6"/>
    <w:rsid w:val="57D3FBA1"/>
    <w:rsid w:val="582CC756"/>
    <w:rsid w:val="5843752A"/>
    <w:rsid w:val="58A57F11"/>
    <w:rsid w:val="58ABB20B"/>
    <w:rsid w:val="58D0B53C"/>
    <w:rsid w:val="591E71CC"/>
    <w:rsid w:val="59228A65"/>
    <w:rsid w:val="5973370C"/>
    <w:rsid w:val="597A50B2"/>
    <w:rsid w:val="59A478DE"/>
    <w:rsid w:val="59BB7715"/>
    <w:rsid w:val="59C8DE5D"/>
    <w:rsid w:val="5A45D210"/>
    <w:rsid w:val="5AB76792"/>
    <w:rsid w:val="5ABBAB6F"/>
    <w:rsid w:val="5AC40A66"/>
    <w:rsid w:val="5AED620B"/>
    <w:rsid w:val="5B018D3E"/>
    <w:rsid w:val="5B079A9A"/>
    <w:rsid w:val="5B305C86"/>
    <w:rsid w:val="5B319A2E"/>
    <w:rsid w:val="5B6F1C83"/>
    <w:rsid w:val="5B75536F"/>
    <w:rsid w:val="5BEED658"/>
    <w:rsid w:val="5BFD3A71"/>
    <w:rsid w:val="5BFFD346"/>
    <w:rsid w:val="5C3FCA63"/>
    <w:rsid w:val="5C492EF4"/>
    <w:rsid w:val="5C9C056C"/>
    <w:rsid w:val="5CAAF1FD"/>
    <w:rsid w:val="5CCC2CE7"/>
    <w:rsid w:val="5CD3E288"/>
    <w:rsid w:val="5CD3F990"/>
    <w:rsid w:val="5CF51751"/>
    <w:rsid w:val="5D29D54F"/>
    <w:rsid w:val="5D53006E"/>
    <w:rsid w:val="5D7B5636"/>
    <w:rsid w:val="5D85B5DA"/>
    <w:rsid w:val="5D94E352"/>
    <w:rsid w:val="5D9DA7BB"/>
    <w:rsid w:val="5DE376C9"/>
    <w:rsid w:val="5DEBEA26"/>
    <w:rsid w:val="5EC3E0B3"/>
    <w:rsid w:val="5F2244AC"/>
    <w:rsid w:val="5F441212"/>
    <w:rsid w:val="5F68D7C5"/>
    <w:rsid w:val="5F93F3DF"/>
    <w:rsid w:val="5F955265"/>
    <w:rsid w:val="5F96E4DA"/>
    <w:rsid w:val="5F988353"/>
    <w:rsid w:val="6018A7B5"/>
    <w:rsid w:val="60879AE2"/>
    <w:rsid w:val="6107ED2B"/>
    <w:rsid w:val="6155B5D5"/>
    <w:rsid w:val="618A156B"/>
    <w:rsid w:val="619EE830"/>
    <w:rsid w:val="61B1B4CB"/>
    <w:rsid w:val="61ED5248"/>
    <w:rsid w:val="620F8A4D"/>
    <w:rsid w:val="625EF40A"/>
    <w:rsid w:val="627CC52D"/>
    <w:rsid w:val="62A07887"/>
    <w:rsid w:val="62B0842E"/>
    <w:rsid w:val="62C6C53A"/>
    <w:rsid w:val="6353B3CF"/>
    <w:rsid w:val="63B02721"/>
    <w:rsid w:val="63C6C145"/>
    <w:rsid w:val="63CA67A8"/>
    <w:rsid w:val="640CC959"/>
    <w:rsid w:val="6436182D"/>
    <w:rsid w:val="644E701D"/>
    <w:rsid w:val="64811F05"/>
    <w:rsid w:val="648F1984"/>
    <w:rsid w:val="64CD5A64"/>
    <w:rsid w:val="64F33012"/>
    <w:rsid w:val="65413347"/>
    <w:rsid w:val="654BCA7A"/>
    <w:rsid w:val="655FDB65"/>
    <w:rsid w:val="657E10E5"/>
    <w:rsid w:val="658FA9B6"/>
    <w:rsid w:val="65F0288E"/>
    <w:rsid w:val="6648D56B"/>
    <w:rsid w:val="6677426D"/>
    <w:rsid w:val="667ED4C2"/>
    <w:rsid w:val="66ADA1D5"/>
    <w:rsid w:val="66C8D6A7"/>
    <w:rsid w:val="66CB05AC"/>
    <w:rsid w:val="66E52019"/>
    <w:rsid w:val="66EB9EE2"/>
    <w:rsid w:val="66EF774C"/>
    <w:rsid w:val="670188B9"/>
    <w:rsid w:val="672CD30B"/>
    <w:rsid w:val="67681FCF"/>
    <w:rsid w:val="679C2D6B"/>
    <w:rsid w:val="67A31374"/>
    <w:rsid w:val="67D498F1"/>
    <w:rsid w:val="681118D8"/>
    <w:rsid w:val="681C2C47"/>
    <w:rsid w:val="68217C29"/>
    <w:rsid w:val="68629F7D"/>
    <w:rsid w:val="6863EFB6"/>
    <w:rsid w:val="68678CD0"/>
    <w:rsid w:val="68A5E8D3"/>
    <w:rsid w:val="68DFBF0B"/>
    <w:rsid w:val="68EEBCA0"/>
    <w:rsid w:val="6901A9FD"/>
    <w:rsid w:val="691E0DE3"/>
    <w:rsid w:val="698348BB"/>
    <w:rsid w:val="6A035094"/>
    <w:rsid w:val="6A1E4B28"/>
    <w:rsid w:val="6A29B0F3"/>
    <w:rsid w:val="6A50B640"/>
    <w:rsid w:val="6A876CD7"/>
    <w:rsid w:val="6AAE6AD2"/>
    <w:rsid w:val="6ACCF16A"/>
    <w:rsid w:val="6B78301D"/>
    <w:rsid w:val="6BB4D724"/>
    <w:rsid w:val="6BC2188D"/>
    <w:rsid w:val="6BF13D58"/>
    <w:rsid w:val="6C0463BF"/>
    <w:rsid w:val="6C221493"/>
    <w:rsid w:val="6C79FFA9"/>
    <w:rsid w:val="6C8EA0E2"/>
    <w:rsid w:val="6CA6C8D4"/>
    <w:rsid w:val="6CC27339"/>
    <w:rsid w:val="6D3088E0"/>
    <w:rsid w:val="6DB9C92C"/>
    <w:rsid w:val="6DD8E0C3"/>
    <w:rsid w:val="6E11A850"/>
    <w:rsid w:val="6E308369"/>
    <w:rsid w:val="6E90B386"/>
    <w:rsid w:val="6EB61B95"/>
    <w:rsid w:val="6EB7D163"/>
    <w:rsid w:val="6F9A07BC"/>
    <w:rsid w:val="6FA771F6"/>
    <w:rsid w:val="6FC6EC36"/>
    <w:rsid w:val="703FDE65"/>
    <w:rsid w:val="70E72DB7"/>
    <w:rsid w:val="7130B82D"/>
    <w:rsid w:val="7171EAEE"/>
    <w:rsid w:val="71EF5568"/>
    <w:rsid w:val="72094E4B"/>
    <w:rsid w:val="7242C90B"/>
    <w:rsid w:val="725B775F"/>
    <w:rsid w:val="72A9E2AE"/>
    <w:rsid w:val="72B2B951"/>
    <w:rsid w:val="72E28BEC"/>
    <w:rsid w:val="72EB3504"/>
    <w:rsid w:val="72FD492F"/>
    <w:rsid w:val="730376F5"/>
    <w:rsid w:val="731FF449"/>
    <w:rsid w:val="733A909D"/>
    <w:rsid w:val="7367C69D"/>
    <w:rsid w:val="74099875"/>
    <w:rsid w:val="740FF5B8"/>
    <w:rsid w:val="74ACB667"/>
    <w:rsid w:val="751D1DE6"/>
    <w:rsid w:val="75292ED1"/>
    <w:rsid w:val="75445530"/>
    <w:rsid w:val="7559405A"/>
    <w:rsid w:val="757CF36F"/>
    <w:rsid w:val="759FC860"/>
    <w:rsid w:val="75D5CC41"/>
    <w:rsid w:val="75F9CFB4"/>
    <w:rsid w:val="7612B692"/>
    <w:rsid w:val="762F3B60"/>
    <w:rsid w:val="7665F319"/>
    <w:rsid w:val="766692A5"/>
    <w:rsid w:val="7675A0AC"/>
    <w:rsid w:val="767820B2"/>
    <w:rsid w:val="767DD300"/>
    <w:rsid w:val="7687B264"/>
    <w:rsid w:val="76A9B6BB"/>
    <w:rsid w:val="770A8106"/>
    <w:rsid w:val="7735F00F"/>
    <w:rsid w:val="77A49ACD"/>
    <w:rsid w:val="77A760A8"/>
    <w:rsid w:val="77DC30DD"/>
    <w:rsid w:val="77DD9EC8"/>
    <w:rsid w:val="77E26F72"/>
    <w:rsid w:val="78134D2C"/>
    <w:rsid w:val="7825A37F"/>
    <w:rsid w:val="782D15A8"/>
    <w:rsid w:val="78606DCC"/>
    <w:rsid w:val="78B6A732"/>
    <w:rsid w:val="78B91798"/>
    <w:rsid w:val="78D7C735"/>
    <w:rsid w:val="78D9F0B3"/>
    <w:rsid w:val="7962E75A"/>
    <w:rsid w:val="796DD673"/>
    <w:rsid w:val="7971E745"/>
    <w:rsid w:val="799EB224"/>
    <w:rsid w:val="79B309BC"/>
    <w:rsid w:val="79D51EFC"/>
    <w:rsid w:val="7A1BBF1B"/>
    <w:rsid w:val="7A350154"/>
    <w:rsid w:val="7A37B56A"/>
    <w:rsid w:val="7A3CE52A"/>
    <w:rsid w:val="7A9E63A7"/>
    <w:rsid w:val="7AB35D6A"/>
    <w:rsid w:val="7B0C3D64"/>
    <w:rsid w:val="7B1A9D2B"/>
    <w:rsid w:val="7B865F89"/>
    <w:rsid w:val="7BB17BBF"/>
    <w:rsid w:val="7BD6EBE9"/>
    <w:rsid w:val="7BE46636"/>
    <w:rsid w:val="7C0EF611"/>
    <w:rsid w:val="7C159539"/>
    <w:rsid w:val="7CC0A3A0"/>
    <w:rsid w:val="7CC51F3E"/>
    <w:rsid w:val="7CE2BC48"/>
    <w:rsid w:val="7D4BF460"/>
    <w:rsid w:val="7D544C6A"/>
    <w:rsid w:val="7D6F8A03"/>
    <w:rsid w:val="7D75BB09"/>
    <w:rsid w:val="7DE8E2B4"/>
    <w:rsid w:val="7E28D63B"/>
    <w:rsid w:val="7E38EEF1"/>
    <w:rsid w:val="7F05C5E5"/>
    <w:rsid w:val="7F1988DC"/>
    <w:rsid w:val="7F285F39"/>
    <w:rsid w:val="7F603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761A1"/>
  <w15:docId w15:val="{48CBDC81-0C52-4171-9F1D-240C240B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839"/>
  </w:style>
  <w:style w:type="paragraph" w:styleId="Heading1">
    <w:name w:val="heading 1"/>
    <w:basedOn w:val="Normal"/>
    <w:next w:val="Normal"/>
    <w:link w:val="Heading1Char"/>
    <w:qFormat/>
    <w:rsid w:val="006A67BF"/>
    <w:pPr>
      <w:jc w:val="center"/>
      <w:outlineLvl w:val="0"/>
    </w:pPr>
    <w:rPr>
      <w:b/>
      <w:sz w:val="30"/>
      <w:u w:val="double"/>
      <w:lang w:eastAsia="ja-JP"/>
    </w:rPr>
  </w:style>
  <w:style w:type="paragraph" w:styleId="Heading3">
    <w:name w:val="heading 3"/>
    <w:basedOn w:val="Normal"/>
    <w:next w:val="Normal"/>
    <w:link w:val="Heading3Char"/>
    <w:semiHidden/>
    <w:unhideWhenUsed/>
    <w:qFormat/>
    <w:rsid w:val="00A267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75F1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link w:val="z-TopofFormChar"/>
    <w:rsid w:val="00B573CD"/>
    <w:rPr>
      <w:sz w:val="24"/>
    </w:rPr>
  </w:style>
  <w:style w:type="character" w:customStyle="1" w:styleId="z-BottomofForm1">
    <w:name w:val="z-Bottom of Form1"/>
    <w:rsid w:val="00B573CD"/>
  </w:style>
  <w:style w:type="paragraph" w:styleId="NormalWeb">
    <w:name w:val="Normal (Web)"/>
    <w:basedOn w:val="Normal"/>
    <w:uiPriority w:val="99"/>
    <w:rsid w:val="00B573CD"/>
    <w:pPr>
      <w:ind w:left="1440"/>
    </w:pPr>
  </w:style>
  <w:style w:type="paragraph" w:customStyle="1" w:styleId="HTMLAcronym1">
    <w:name w:val="HTML Acronym1"/>
    <w:basedOn w:val="Normal"/>
    <w:rsid w:val="00B573CD"/>
    <w:pPr>
      <w:ind w:left="2160"/>
    </w:pPr>
  </w:style>
  <w:style w:type="paragraph" w:styleId="HTMLAddress">
    <w:name w:val="HTML Address"/>
    <w:basedOn w:val="Normal"/>
    <w:link w:val="HTMLAddressChar"/>
    <w:rsid w:val="00B573CD"/>
    <w:pPr>
      <w:ind w:left="2880"/>
    </w:pPr>
  </w:style>
  <w:style w:type="paragraph" w:customStyle="1" w:styleId="HTMLCite1">
    <w:name w:val="HTML Cite1"/>
    <w:basedOn w:val="Normal"/>
    <w:rsid w:val="00B573CD"/>
    <w:pPr>
      <w:ind w:left="720"/>
    </w:pPr>
  </w:style>
  <w:style w:type="paragraph" w:customStyle="1" w:styleId="HTMLCode1">
    <w:name w:val="HTML Code1"/>
    <w:basedOn w:val="Normal"/>
    <w:rsid w:val="00B573CD"/>
    <w:pPr>
      <w:ind w:left="3600"/>
    </w:pPr>
  </w:style>
  <w:style w:type="paragraph" w:customStyle="1" w:styleId="HTMLDefinition1">
    <w:name w:val="HTML Definition1"/>
    <w:basedOn w:val="Normal"/>
    <w:rsid w:val="00B573CD"/>
    <w:pPr>
      <w:ind w:left="720"/>
    </w:pPr>
  </w:style>
  <w:style w:type="character" w:styleId="HTMLKeyboard">
    <w:name w:val="HTML Keyboard"/>
    <w:rsid w:val="00B573CD"/>
  </w:style>
  <w:style w:type="character" w:customStyle="1" w:styleId="HTMLPreformatted1">
    <w:name w:val="HTML Preformatted1"/>
    <w:rsid w:val="00B573CD"/>
  </w:style>
  <w:style w:type="paragraph" w:customStyle="1" w:styleId="HTMLSample1">
    <w:name w:val="HTML Sample1"/>
    <w:basedOn w:val="Normal"/>
    <w:rsid w:val="00B573CD"/>
    <w:pPr>
      <w:ind w:left="720"/>
    </w:pPr>
  </w:style>
  <w:style w:type="paragraph" w:customStyle="1" w:styleId="HTMLTypewriter1">
    <w:name w:val="HTML Typewriter1"/>
    <w:basedOn w:val="Normal"/>
    <w:rsid w:val="00B573CD"/>
    <w:pPr>
      <w:ind w:left="720"/>
    </w:pPr>
  </w:style>
  <w:style w:type="paragraph" w:customStyle="1" w:styleId="HTMLVariable1">
    <w:name w:val="HTML Variable1"/>
    <w:basedOn w:val="Normal"/>
    <w:rsid w:val="00B573CD"/>
    <w:pPr>
      <w:ind w:left="720"/>
    </w:pPr>
  </w:style>
  <w:style w:type="paragraph" w:styleId="Header">
    <w:name w:val="header"/>
    <w:basedOn w:val="Normal"/>
    <w:link w:val="HeaderChar"/>
    <w:rsid w:val="009C410A"/>
    <w:pPr>
      <w:tabs>
        <w:tab w:val="center" w:pos="4320"/>
        <w:tab w:val="right" w:pos="8640"/>
      </w:tabs>
    </w:pPr>
  </w:style>
  <w:style w:type="paragraph" w:styleId="CommentSubject">
    <w:name w:val="annotation subject"/>
    <w:basedOn w:val="Normal"/>
    <w:link w:val="CommentSubjectChar"/>
    <w:semiHidden/>
    <w:rsid w:val="00B573CD"/>
    <w:pPr>
      <w:ind w:left="720"/>
    </w:pPr>
  </w:style>
  <w:style w:type="paragraph" w:customStyle="1" w:styleId="NoList1">
    <w:name w:val="No List1"/>
    <w:basedOn w:val="Normal"/>
    <w:semiHidden/>
    <w:rsid w:val="00B573CD"/>
    <w:pPr>
      <w:ind w:left="4320"/>
    </w:pPr>
  </w:style>
  <w:style w:type="paragraph" w:customStyle="1" w:styleId="1ai1">
    <w:name w:val="1 / a / i1"/>
    <w:basedOn w:val="Normal"/>
    <w:rsid w:val="00B573CD"/>
    <w:pPr>
      <w:ind w:left="5040"/>
    </w:pPr>
  </w:style>
  <w:style w:type="paragraph" w:customStyle="1" w:styleId="1111111">
    <w:name w:val="1 / 1.1 / 1.1.11"/>
    <w:basedOn w:val="Normal"/>
    <w:rsid w:val="00B573CD"/>
    <w:pPr>
      <w:ind w:left="5760"/>
    </w:pPr>
  </w:style>
  <w:style w:type="paragraph" w:styleId="Footer">
    <w:name w:val="footer"/>
    <w:basedOn w:val="Normal"/>
    <w:link w:val="FooterChar"/>
    <w:rsid w:val="009C410A"/>
    <w:pPr>
      <w:tabs>
        <w:tab w:val="center" w:pos="4320"/>
        <w:tab w:val="right" w:pos="8640"/>
      </w:tabs>
    </w:pPr>
  </w:style>
  <w:style w:type="paragraph" w:styleId="FootnoteText">
    <w:name w:val="footnote text"/>
    <w:basedOn w:val="Normal"/>
    <w:link w:val="FootnoteTextChar"/>
    <w:uiPriority w:val="99"/>
    <w:rsid w:val="007A5C90"/>
  </w:style>
  <w:style w:type="character" w:styleId="FootnoteReference">
    <w:name w:val="footnote reference"/>
    <w:basedOn w:val="DefaultParagraphFont"/>
    <w:uiPriority w:val="99"/>
    <w:rsid w:val="007A5C90"/>
    <w:rPr>
      <w:vertAlign w:val="superscript"/>
    </w:rPr>
  </w:style>
  <w:style w:type="paragraph" w:styleId="EndnoteText">
    <w:name w:val="endnote text"/>
    <w:basedOn w:val="Normal"/>
    <w:link w:val="EndnoteTextChar"/>
    <w:uiPriority w:val="99"/>
    <w:semiHidden/>
    <w:rsid w:val="00E31585"/>
    <w:rPr>
      <w:rFonts w:ascii="Arial" w:hAnsi="Arial"/>
    </w:rPr>
  </w:style>
  <w:style w:type="character" w:styleId="EndnoteReference">
    <w:name w:val="endnote reference"/>
    <w:basedOn w:val="DefaultParagraphFont"/>
    <w:semiHidden/>
    <w:rsid w:val="00E31585"/>
    <w:rPr>
      <w:vertAlign w:val="superscript"/>
    </w:rPr>
  </w:style>
  <w:style w:type="character" w:customStyle="1" w:styleId="footnoteref">
    <w:name w:val="footnote ref"/>
    <w:rsid w:val="00E31585"/>
  </w:style>
  <w:style w:type="character" w:styleId="CommentReference">
    <w:name w:val="annotation reference"/>
    <w:basedOn w:val="DefaultParagraphFont"/>
    <w:uiPriority w:val="99"/>
    <w:rsid w:val="007C6C72"/>
    <w:rPr>
      <w:sz w:val="16"/>
      <w:szCs w:val="16"/>
    </w:rPr>
  </w:style>
  <w:style w:type="paragraph" w:styleId="CommentText">
    <w:name w:val="annotation text"/>
    <w:basedOn w:val="Normal"/>
    <w:link w:val="CommentTextChar"/>
    <w:uiPriority w:val="99"/>
    <w:rsid w:val="007C6C72"/>
  </w:style>
  <w:style w:type="paragraph" w:styleId="BalloonText">
    <w:name w:val="Balloon Text"/>
    <w:basedOn w:val="Normal"/>
    <w:link w:val="BalloonTextChar"/>
    <w:semiHidden/>
    <w:rsid w:val="007C6C72"/>
    <w:rPr>
      <w:rFonts w:ascii="Arial" w:hAnsi="Arial" w:cs="Arial"/>
      <w:sz w:val="16"/>
      <w:szCs w:val="16"/>
    </w:rPr>
  </w:style>
  <w:style w:type="character" w:styleId="Hyperlink">
    <w:name w:val="Hyperlink"/>
    <w:basedOn w:val="DefaultParagraphFont"/>
    <w:uiPriority w:val="99"/>
    <w:rsid w:val="00D7105B"/>
    <w:rPr>
      <w:color w:val="0000FF"/>
      <w:u w:val="single"/>
    </w:rPr>
  </w:style>
  <w:style w:type="table" w:styleId="TableGrid">
    <w:name w:val="Table Grid"/>
    <w:basedOn w:val="TableNormal"/>
    <w:rsid w:val="002773C9"/>
    <w:tblPr>
      <w:tblInd w:w="0" w:type="nil"/>
      <w:tblCellMar>
        <w:left w:w="0" w:type="dxa"/>
        <w:right w:w="0" w:type="dxa"/>
      </w:tblCellMar>
    </w:tblPr>
  </w:style>
  <w:style w:type="character" w:styleId="PageNumber">
    <w:name w:val="page number"/>
    <w:basedOn w:val="DefaultParagraphFont"/>
    <w:rsid w:val="00451EEC"/>
  </w:style>
  <w:style w:type="paragraph" w:styleId="DocumentMap">
    <w:name w:val="Document Map"/>
    <w:basedOn w:val="Normal"/>
    <w:link w:val="DocumentMapChar"/>
    <w:semiHidden/>
    <w:rsid w:val="00CB0B93"/>
    <w:pPr>
      <w:shd w:val="clear" w:color="auto" w:fill="000080"/>
    </w:pPr>
    <w:rPr>
      <w:rFonts w:ascii="Arial" w:hAnsi="Arial" w:cs="Arial"/>
    </w:rPr>
  </w:style>
  <w:style w:type="paragraph" w:customStyle="1" w:styleId="CM61">
    <w:name w:val="CM61"/>
    <w:basedOn w:val="Normal"/>
    <w:next w:val="Normal"/>
    <w:rsid w:val="000C0D5C"/>
    <w:pPr>
      <w:autoSpaceDE w:val="0"/>
      <w:autoSpaceDN w:val="0"/>
      <w:adjustRightInd w:val="0"/>
      <w:spacing w:after="510"/>
    </w:pPr>
    <w:rPr>
      <w:rFonts w:ascii="DKJJH I+ Century" w:hAnsi="DKJJH I+ Century"/>
      <w:sz w:val="24"/>
      <w:szCs w:val="24"/>
    </w:rPr>
  </w:style>
  <w:style w:type="character" w:customStyle="1" w:styleId="hit">
    <w:name w:val="hit"/>
    <w:basedOn w:val="DefaultParagraphFont"/>
    <w:rsid w:val="00375DE4"/>
    <w:rPr>
      <w:b/>
      <w:bCs/>
      <w:shd w:val="clear" w:color="auto" w:fill="FCE128"/>
    </w:rPr>
  </w:style>
  <w:style w:type="paragraph" w:customStyle="1" w:styleId="Default">
    <w:name w:val="Default"/>
    <w:rsid w:val="00E74D05"/>
    <w:pPr>
      <w:autoSpaceDE w:val="0"/>
      <w:autoSpaceDN w:val="0"/>
      <w:adjustRightInd w:val="0"/>
    </w:pPr>
    <w:rPr>
      <w:rFonts w:ascii="DKJJI I+ Century" w:hAnsi="DKJJI I+ Century" w:cs="DKJJI I+ Century"/>
      <w:color w:val="000000"/>
      <w:sz w:val="24"/>
      <w:szCs w:val="24"/>
    </w:rPr>
  </w:style>
  <w:style w:type="paragraph" w:customStyle="1" w:styleId="CM57">
    <w:name w:val="CM57"/>
    <w:basedOn w:val="Default"/>
    <w:next w:val="Default"/>
    <w:uiPriority w:val="99"/>
    <w:rsid w:val="00E74D05"/>
    <w:rPr>
      <w:rFonts w:cs="Times New Roman"/>
      <w:color w:val="auto"/>
    </w:rPr>
  </w:style>
  <w:style w:type="paragraph" w:styleId="ListParagraph">
    <w:name w:val="List Paragraph"/>
    <w:basedOn w:val="Normal"/>
    <w:uiPriority w:val="34"/>
    <w:qFormat/>
    <w:rsid w:val="00E0587F"/>
    <w:pPr>
      <w:ind w:left="720"/>
    </w:pPr>
  </w:style>
  <w:style w:type="character" w:styleId="FollowedHyperlink">
    <w:name w:val="FollowedHyperlink"/>
    <w:basedOn w:val="DefaultParagraphFont"/>
    <w:rsid w:val="00C563AE"/>
    <w:rPr>
      <w:color w:val="800080"/>
      <w:u w:val="single"/>
    </w:rPr>
  </w:style>
  <w:style w:type="character" w:customStyle="1" w:styleId="FootnoteTextChar">
    <w:name w:val="Footnote Text Char"/>
    <w:basedOn w:val="DefaultParagraphFont"/>
    <w:link w:val="FootnoteText"/>
    <w:uiPriority w:val="99"/>
    <w:rsid w:val="0045572C"/>
  </w:style>
  <w:style w:type="character" w:customStyle="1" w:styleId="p1">
    <w:name w:val="p1"/>
    <w:basedOn w:val="DefaultParagraphFont"/>
    <w:rsid w:val="0045572C"/>
    <w:rPr>
      <w:rFonts w:ascii="Arial" w:hAnsi="Arial" w:cs="Arial" w:hint="default"/>
      <w:b w:val="0"/>
      <w:bCs w:val="0"/>
      <w:color w:val="003159"/>
    </w:rPr>
  </w:style>
  <w:style w:type="paragraph" w:customStyle="1" w:styleId="CM3">
    <w:name w:val="CM3"/>
    <w:basedOn w:val="Default"/>
    <w:next w:val="Default"/>
    <w:rsid w:val="00EA25F7"/>
    <w:pPr>
      <w:widowControl w:val="0"/>
    </w:pPr>
    <w:rPr>
      <w:rFonts w:ascii="MHNAGD+TimesNewRoman,BoldItalic" w:hAnsi="MHNAGD+TimesNewRoman,BoldItalic" w:cs="MHNAGD+TimesNewRoman,BoldItalic"/>
      <w:color w:val="auto"/>
    </w:rPr>
  </w:style>
  <w:style w:type="character" w:customStyle="1" w:styleId="CommentTextChar">
    <w:name w:val="Comment Text Char"/>
    <w:basedOn w:val="DefaultParagraphFont"/>
    <w:link w:val="CommentText"/>
    <w:uiPriority w:val="99"/>
    <w:rsid w:val="003C6676"/>
  </w:style>
  <w:style w:type="paragraph" w:styleId="Revision">
    <w:name w:val="Revision"/>
    <w:hidden/>
    <w:uiPriority w:val="99"/>
    <w:semiHidden/>
    <w:rsid w:val="00B70E08"/>
  </w:style>
  <w:style w:type="character" w:customStyle="1" w:styleId="permalink1">
    <w:name w:val="permalink1"/>
    <w:basedOn w:val="DefaultParagraphFont"/>
    <w:rsid w:val="00290464"/>
    <w:rPr>
      <w:vanish/>
      <w:webHidden w:val="0"/>
      <w:specVanish w:val="0"/>
    </w:rPr>
  </w:style>
  <w:style w:type="paragraph" w:styleId="BodyText">
    <w:name w:val="Body Text"/>
    <w:basedOn w:val="Normal"/>
    <w:link w:val="BodyTextChar"/>
    <w:rsid w:val="00030D7B"/>
    <w:rPr>
      <w:sz w:val="24"/>
    </w:rPr>
  </w:style>
  <w:style w:type="character" w:customStyle="1" w:styleId="BodyTextChar">
    <w:name w:val="Body Text Char"/>
    <w:basedOn w:val="DefaultParagraphFont"/>
    <w:link w:val="BodyText"/>
    <w:rsid w:val="00030D7B"/>
    <w:rPr>
      <w:sz w:val="24"/>
    </w:rPr>
  </w:style>
  <w:style w:type="character" w:customStyle="1" w:styleId="Heading1Char">
    <w:name w:val="Heading 1 Char"/>
    <w:basedOn w:val="DefaultParagraphFont"/>
    <w:link w:val="Heading1"/>
    <w:rsid w:val="006A67BF"/>
    <w:rPr>
      <w:b/>
      <w:sz w:val="30"/>
      <w:u w:val="double"/>
      <w:lang w:eastAsia="ja-JP"/>
    </w:rPr>
  </w:style>
  <w:style w:type="paragraph" w:styleId="Subtitle">
    <w:name w:val="Subtitle"/>
    <w:basedOn w:val="Normal"/>
    <w:next w:val="Normal"/>
    <w:link w:val="SubtitleChar"/>
    <w:qFormat/>
    <w:rsid w:val="00DE359D"/>
    <w:pPr>
      <w:shd w:val="clear" w:color="auto" w:fill="A6A6A6"/>
      <w:jc w:val="center"/>
      <w:outlineLvl w:val="1"/>
    </w:pPr>
    <w:rPr>
      <w:b/>
      <w:sz w:val="28"/>
      <w:lang w:eastAsia="ja-JP"/>
    </w:rPr>
  </w:style>
  <w:style w:type="character" w:customStyle="1" w:styleId="SubtitleChar">
    <w:name w:val="Subtitle Char"/>
    <w:basedOn w:val="DefaultParagraphFont"/>
    <w:link w:val="Subtitle"/>
    <w:rsid w:val="00DE359D"/>
    <w:rPr>
      <w:b/>
      <w:sz w:val="28"/>
      <w:shd w:val="clear" w:color="auto" w:fill="A6A6A6"/>
      <w:lang w:eastAsia="ja-JP"/>
    </w:rPr>
  </w:style>
  <w:style w:type="paragraph" w:styleId="Title">
    <w:name w:val="Title"/>
    <w:basedOn w:val="Normal"/>
    <w:next w:val="Normal"/>
    <w:link w:val="TitleChar"/>
    <w:qFormat/>
    <w:rsid w:val="00DE359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b/>
      <w:sz w:val="28"/>
      <w:szCs w:val="28"/>
      <w:lang w:eastAsia="ja-JP"/>
    </w:rPr>
  </w:style>
  <w:style w:type="character" w:customStyle="1" w:styleId="TitleChar">
    <w:name w:val="Title Char"/>
    <w:basedOn w:val="DefaultParagraphFont"/>
    <w:link w:val="Title"/>
    <w:rsid w:val="00DE359D"/>
    <w:rPr>
      <w:b/>
      <w:sz w:val="28"/>
      <w:szCs w:val="28"/>
      <w:lang w:eastAsia="ja-JP"/>
    </w:rPr>
  </w:style>
  <w:style w:type="paragraph" w:styleId="TOCHeading">
    <w:name w:val="TOC Heading"/>
    <w:basedOn w:val="Heading1"/>
    <w:next w:val="Normal"/>
    <w:uiPriority w:val="39"/>
    <w:semiHidden/>
    <w:unhideWhenUsed/>
    <w:qFormat/>
    <w:rsid w:val="0049323D"/>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u w:val="none"/>
    </w:rPr>
  </w:style>
  <w:style w:type="paragraph" w:styleId="TOC1">
    <w:name w:val="toc 1"/>
    <w:basedOn w:val="Normal"/>
    <w:next w:val="Normal"/>
    <w:autoRedefine/>
    <w:uiPriority w:val="39"/>
    <w:rsid w:val="0049323D"/>
    <w:pPr>
      <w:spacing w:after="100"/>
    </w:pPr>
  </w:style>
  <w:style w:type="paragraph" w:styleId="TOC2">
    <w:name w:val="toc 2"/>
    <w:basedOn w:val="Normal"/>
    <w:next w:val="Normal"/>
    <w:autoRedefine/>
    <w:uiPriority w:val="39"/>
    <w:rsid w:val="0049323D"/>
    <w:pPr>
      <w:spacing w:after="100"/>
      <w:ind w:left="200"/>
    </w:pPr>
  </w:style>
  <w:style w:type="paragraph" w:styleId="TOC3">
    <w:name w:val="toc 3"/>
    <w:basedOn w:val="Normal"/>
    <w:next w:val="Normal"/>
    <w:autoRedefine/>
    <w:uiPriority w:val="39"/>
    <w:rsid w:val="00A307A0"/>
    <w:pPr>
      <w:tabs>
        <w:tab w:val="right" w:leader="dot" w:pos="9926"/>
      </w:tabs>
      <w:spacing w:after="100"/>
      <w:ind w:left="400"/>
    </w:pPr>
    <w:rPr>
      <w:noProof/>
      <w:lang w:eastAsia="ja-JP"/>
    </w:rPr>
  </w:style>
  <w:style w:type="character" w:customStyle="1" w:styleId="caps">
    <w:name w:val="caps"/>
    <w:basedOn w:val="DefaultParagraphFont"/>
    <w:rsid w:val="0049323D"/>
  </w:style>
  <w:style w:type="paragraph" w:customStyle="1" w:styleId="CM1">
    <w:name w:val="CM1"/>
    <w:basedOn w:val="Default"/>
    <w:next w:val="Default"/>
    <w:rsid w:val="003C73C7"/>
    <w:pPr>
      <w:widowControl w:val="0"/>
    </w:pPr>
    <w:rPr>
      <w:rFonts w:ascii="ELJAMA+TimesNewRoman,Bold" w:hAnsi="ELJAMA+TimesNewRoman,Bold" w:cs="Times New Roman"/>
      <w:color w:val="auto"/>
    </w:rPr>
  </w:style>
  <w:style w:type="paragraph" w:customStyle="1" w:styleId="CM24">
    <w:name w:val="CM24"/>
    <w:basedOn w:val="Default"/>
    <w:next w:val="Default"/>
    <w:rsid w:val="003C73C7"/>
    <w:pPr>
      <w:widowControl w:val="0"/>
      <w:spacing w:after="228"/>
    </w:pPr>
    <w:rPr>
      <w:rFonts w:ascii="ELJAMA+TimesNewRoman,Bold" w:hAnsi="ELJAMA+TimesNewRoman,Bold" w:cs="Times New Roman"/>
      <w:color w:val="auto"/>
    </w:rPr>
  </w:style>
  <w:style w:type="paragraph" w:customStyle="1" w:styleId="CM25">
    <w:name w:val="CM25"/>
    <w:basedOn w:val="Default"/>
    <w:next w:val="Default"/>
    <w:rsid w:val="003C73C7"/>
    <w:pPr>
      <w:widowControl w:val="0"/>
      <w:spacing w:after="455"/>
    </w:pPr>
    <w:rPr>
      <w:rFonts w:ascii="ELJAMA+TimesNewRoman,Bold" w:hAnsi="ELJAMA+TimesNewRoman,Bold" w:cs="Times New Roman"/>
      <w:color w:val="auto"/>
    </w:rPr>
  </w:style>
  <w:style w:type="paragraph" w:customStyle="1" w:styleId="CM2">
    <w:name w:val="CM2"/>
    <w:basedOn w:val="Default"/>
    <w:next w:val="Default"/>
    <w:rsid w:val="003C73C7"/>
    <w:pPr>
      <w:widowControl w:val="0"/>
      <w:spacing w:line="276" w:lineRule="atLeast"/>
    </w:pPr>
    <w:rPr>
      <w:rFonts w:ascii="ELJAMA+TimesNewRoman,Bold" w:hAnsi="ELJAMA+TimesNewRoman,Bold" w:cs="Times New Roman"/>
      <w:color w:val="auto"/>
    </w:rPr>
  </w:style>
  <w:style w:type="paragraph" w:customStyle="1" w:styleId="CM26">
    <w:name w:val="CM26"/>
    <w:basedOn w:val="Default"/>
    <w:next w:val="Default"/>
    <w:rsid w:val="003C73C7"/>
    <w:pPr>
      <w:widowControl w:val="0"/>
      <w:spacing w:after="275"/>
    </w:pPr>
    <w:rPr>
      <w:rFonts w:ascii="ELJAMA+TimesNewRoman,Bold" w:hAnsi="ELJAMA+TimesNewRoman,Bold" w:cs="Times New Roman"/>
      <w:color w:val="auto"/>
    </w:rPr>
  </w:style>
  <w:style w:type="paragraph" w:customStyle="1" w:styleId="CM4">
    <w:name w:val="CM4"/>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5">
    <w:name w:val="CM5"/>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6">
    <w:name w:val="CM6"/>
    <w:basedOn w:val="Default"/>
    <w:next w:val="Default"/>
    <w:rsid w:val="003C73C7"/>
    <w:pPr>
      <w:widowControl w:val="0"/>
      <w:spacing w:line="460" w:lineRule="atLeast"/>
    </w:pPr>
    <w:rPr>
      <w:rFonts w:ascii="ELJAMA+TimesNewRoman,Bold" w:hAnsi="ELJAMA+TimesNewRoman,Bold" w:cs="Times New Roman"/>
      <w:color w:val="auto"/>
    </w:rPr>
  </w:style>
  <w:style w:type="paragraph" w:customStyle="1" w:styleId="CM27">
    <w:name w:val="CM27"/>
    <w:basedOn w:val="Default"/>
    <w:next w:val="Default"/>
    <w:rsid w:val="003C73C7"/>
    <w:pPr>
      <w:widowControl w:val="0"/>
      <w:spacing w:after="688"/>
    </w:pPr>
    <w:rPr>
      <w:rFonts w:ascii="ELJAMA+TimesNewRoman,Bold" w:hAnsi="ELJAMA+TimesNewRoman,Bold" w:cs="Times New Roman"/>
      <w:color w:val="auto"/>
    </w:rPr>
  </w:style>
  <w:style w:type="paragraph" w:customStyle="1" w:styleId="CM7">
    <w:name w:val="CM7"/>
    <w:basedOn w:val="Default"/>
    <w:next w:val="Default"/>
    <w:rsid w:val="003C73C7"/>
    <w:pPr>
      <w:widowControl w:val="0"/>
      <w:spacing w:line="691" w:lineRule="atLeast"/>
    </w:pPr>
    <w:rPr>
      <w:rFonts w:ascii="ELJAMA+TimesNewRoman,Bold" w:hAnsi="ELJAMA+TimesNewRoman,Bold" w:cs="Times New Roman"/>
      <w:color w:val="auto"/>
    </w:rPr>
  </w:style>
  <w:style w:type="paragraph" w:customStyle="1" w:styleId="CM28">
    <w:name w:val="CM28"/>
    <w:basedOn w:val="Default"/>
    <w:next w:val="Default"/>
    <w:rsid w:val="003C73C7"/>
    <w:pPr>
      <w:widowControl w:val="0"/>
      <w:spacing w:after="230"/>
    </w:pPr>
    <w:rPr>
      <w:rFonts w:ascii="ELJAMA+TimesNewRoman,Bold" w:hAnsi="ELJAMA+TimesNewRoman,Bold" w:cs="Times New Roman"/>
      <w:color w:val="auto"/>
    </w:rPr>
  </w:style>
  <w:style w:type="paragraph" w:customStyle="1" w:styleId="CM8">
    <w:name w:val="CM8"/>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9">
    <w:name w:val="CM9"/>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10">
    <w:name w:val="CM10"/>
    <w:basedOn w:val="Default"/>
    <w:next w:val="Default"/>
    <w:rsid w:val="003C73C7"/>
    <w:pPr>
      <w:widowControl w:val="0"/>
      <w:spacing w:line="460" w:lineRule="atLeast"/>
    </w:pPr>
    <w:rPr>
      <w:rFonts w:ascii="ELJAMA+TimesNewRoman,Bold" w:hAnsi="ELJAMA+TimesNewRoman,Bold" w:cs="Times New Roman"/>
      <w:color w:val="auto"/>
    </w:rPr>
  </w:style>
  <w:style w:type="paragraph" w:customStyle="1" w:styleId="CM11">
    <w:name w:val="CM11"/>
    <w:basedOn w:val="Default"/>
    <w:next w:val="Default"/>
    <w:rsid w:val="003C73C7"/>
    <w:pPr>
      <w:widowControl w:val="0"/>
      <w:spacing w:line="460" w:lineRule="atLeast"/>
    </w:pPr>
    <w:rPr>
      <w:rFonts w:ascii="ELJAMA+TimesNewRoman,Bold" w:hAnsi="ELJAMA+TimesNewRoman,Bold" w:cs="Times New Roman"/>
      <w:color w:val="auto"/>
    </w:rPr>
  </w:style>
  <w:style w:type="paragraph" w:customStyle="1" w:styleId="CM12">
    <w:name w:val="CM12"/>
    <w:basedOn w:val="Default"/>
    <w:next w:val="Default"/>
    <w:rsid w:val="003C73C7"/>
    <w:pPr>
      <w:widowControl w:val="0"/>
    </w:pPr>
    <w:rPr>
      <w:rFonts w:ascii="ELJAMA+TimesNewRoman,Bold" w:hAnsi="ELJAMA+TimesNewRoman,Bold" w:cs="Times New Roman"/>
      <w:color w:val="auto"/>
    </w:rPr>
  </w:style>
  <w:style w:type="paragraph" w:customStyle="1" w:styleId="CM13">
    <w:name w:val="CM13"/>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14">
    <w:name w:val="CM14"/>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15">
    <w:name w:val="CM15"/>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30">
    <w:name w:val="CM30"/>
    <w:basedOn w:val="Default"/>
    <w:next w:val="Default"/>
    <w:rsid w:val="003C73C7"/>
    <w:pPr>
      <w:widowControl w:val="0"/>
      <w:spacing w:after="580"/>
    </w:pPr>
    <w:rPr>
      <w:rFonts w:ascii="ELJAMA+TimesNewRoman,Bold" w:hAnsi="ELJAMA+TimesNewRoman,Bold" w:cs="Times New Roman"/>
      <w:color w:val="auto"/>
    </w:rPr>
  </w:style>
  <w:style w:type="paragraph" w:customStyle="1" w:styleId="CM16">
    <w:name w:val="CM16"/>
    <w:basedOn w:val="Default"/>
    <w:next w:val="Default"/>
    <w:rsid w:val="003C73C7"/>
    <w:pPr>
      <w:widowControl w:val="0"/>
      <w:spacing w:line="460" w:lineRule="atLeast"/>
    </w:pPr>
    <w:rPr>
      <w:rFonts w:ascii="ELJAMA+TimesNewRoman,Bold" w:hAnsi="ELJAMA+TimesNewRoman,Bold" w:cs="Times New Roman"/>
      <w:color w:val="auto"/>
    </w:rPr>
  </w:style>
  <w:style w:type="paragraph" w:customStyle="1" w:styleId="CM17">
    <w:name w:val="CM17"/>
    <w:basedOn w:val="Default"/>
    <w:next w:val="Default"/>
    <w:rsid w:val="003C73C7"/>
    <w:pPr>
      <w:widowControl w:val="0"/>
    </w:pPr>
    <w:rPr>
      <w:rFonts w:ascii="ELJAMA+TimesNewRoman,Bold" w:hAnsi="ELJAMA+TimesNewRoman,Bold" w:cs="Times New Roman"/>
      <w:color w:val="auto"/>
    </w:rPr>
  </w:style>
  <w:style w:type="paragraph" w:customStyle="1" w:styleId="CM18">
    <w:name w:val="CM18"/>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19">
    <w:name w:val="CM19"/>
    <w:basedOn w:val="Default"/>
    <w:next w:val="Default"/>
    <w:rsid w:val="003C73C7"/>
    <w:pPr>
      <w:widowControl w:val="0"/>
    </w:pPr>
    <w:rPr>
      <w:rFonts w:ascii="ELJAMA+TimesNewRoman,Bold" w:hAnsi="ELJAMA+TimesNewRoman,Bold" w:cs="Times New Roman"/>
      <w:color w:val="auto"/>
    </w:rPr>
  </w:style>
  <w:style w:type="paragraph" w:customStyle="1" w:styleId="CM20">
    <w:name w:val="CM20"/>
    <w:basedOn w:val="Default"/>
    <w:next w:val="Default"/>
    <w:rsid w:val="003C73C7"/>
    <w:pPr>
      <w:widowControl w:val="0"/>
      <w:spacing w:line="403" w:lineRule="atLeast"/>
    </w:pPr>
    <w:rPr>
      <w:rFonts w:ascii="ELJAMA+TimesNewRoman,Bold" w:hAnsi="ELJAMA+TimesNewRoman,Bold" w:cs="Times New Roman"/>
      <w:color w:val="auto"/>
    </w:rPr>
  </w:style>
  <w:style w:type="paragraph" w:customStyle="1" w:styleId="CM33">
    <w:name w:val="CM33"/>
    <w:basedOn w:val="Default"/>
    <w:next w:val="Default"/>
    <w:rsid w:val="003C73C7"/>
    <w:pPr>
      <w:widowControl w:val="0"/>
      <w:spacing w:after="115"/>
    </w:pPr>
    <w:rPr>
      <w:rFonts w:ascii="ELJAMA+TimesNewRoman,Bold" w:hAnsi="ELJAMA+TimesNewRoman,Bold" w:cs="Times New Roman"/>
      <w:color w:val="auto"/>
    </w:rPr>
  </w:style>
  <w:style w:type="paragraph" w:customStyle="1" w:styleId="CM34">
    <w:name w:val="CM34"/>
    <w:basedOn w:val="Default"/>
    <w:next w:val="Default"/>
    <w:rsid w:val="003C73C7"/>
    <w:pPr>
      <w:widowControl w:val="0"/>
      <w:spacing w:after="58"/>
    </w:pPr>
    <w:rPr>
      <w:rFonts w:ascii="ELJAMA+TimesNewRoman,Bold" w:hAnsi="ELJAMA+TimesNewRoman,Bold" w:cs="Times New Roman"/>
      <w:color w:val="auto"/>
    </w:rPr>
  </w:style>
  <w:style w:type="paragraph" w:customStyle="1" w:styleId="CM21">
    <w:name w:val="CM21"/>
    <w:basedOn w:val="Default"/>
    <w:next w:val="Default"/>
    <w:rsid w:val="003C73C7"/>
    <w:pPr>
      <w:widowControl w:val="0"/>
      <w:spacing w:line="460" w:lineRule="atLeast"/>
    </w:pPr>
    <w:rPr>
      <w:rFonts w:ascii="ELJAMA+TimesNewRoman,Bold" w:hAnsi="ELJAMA+TimesNewRoman,Bold" w:cs="Times New Roman"/>
      <w:color w:val="auto"/>
    </w:rPr>
  </w:style>
  <w:style w:type="paragraph" w:customStyle="1" w:styleId="CM22">
    <w:name w:val="CM22"/>
    <w:basedOn w:val="Default"/>
    <w:next w:val="Default"/>
    <w:rsid w:val="003C73C7"/>
    <w:pPr>
      <w:widowControl w:val="0"/>
      <w:spacing w:line="231" w:lineRule="atLeast"/>
    </w:pPr>
    <w:rPr>
      <w:rFonts w:ascii="ELJAMA+TimesNewRoman,Bold" w:hAnsi="ELJAMA+TimesNewRoman,Bold" w:cs="Times New Roman"/>
      <w:color w:val="auto"/>
    </w:rPr>
  </w:style>
  <w:style w:type="paragraph" w:customStyle="1" w:styleId="CM23">
    <w:name w:val="CM23"/>
    <w:basedOn w:val="Default"/>
    <w:next w:val="Default"/>
    <w:rsid w:val="003C73C7"/>
    <w:pPr>
      <w:widowControl w:val="0"/>
      <w:spacing w:line="231" w:lineRule="atLeast"/>
    </w:pPr>
    <w:rPr>
      <w:rFonts w:ascii="ELJAMA+TimesNewRoman,Bold" w:hAnsi="ELJAMA+TimesNewRoman,Bold" w:cs="Times New Roman"/>
      <w:color w:val="auto"/>
    </w:rPr>
  </w:style>
  <w:style w:type="character" w:customStyle="1" w:styleId="HeaderChar">
    <w:name w:val="Header Char"/>
    <w:basedOn w:val="DefaultParagraphFont"/>
    <w:link w:val="Header"/>
    <w:rsid w:val="003C73C7"/>
  </w:style>
  <w:style w:type="character" w:customStyle="1" w:styleId="FooterChar">
    <w:name w:val="Footer Char"/>
    <w:basedOn w:val="DefaultParagraphFont"/>
    <w:link w:val="Footer"/>
    <w:rsid w:val="003C73C7"/>
  </w:style>
  <w:style w:type="character" w:customStyle="1" w:styleId="BalloonTextChar">
    <w:name w:val="Balloon Text Char"/>
    <w:basedOn w:val="DefaultParagraphFont"/>
    <w:link w:val="BalloonText"/>
    <w:semiHidden/>
    <w:rsid w:val="003C73C7"/>
    <w:rPr>
      <w:rFonts w:ascii="Arial" w:hAnsi="Arial" w:cs="Arial"/>
      <w:sz w:val="16"/>
      <w:szCs w:val="16"/>
    </w:rPr>
  </w:style>
  <w:style w:type="character" w:customStyle="1" w:styleId="CommentSubjectChar">
    <w:name w:val="Comment Subject Char"/>
    <w:basedOn w:val="CommentTextChar"/>
    <w:link w:val="CommentSubject"/>
    <w:semiHidden/>
    <w:rsid w:val="00D56852"/>
  </w:style>
  <w:style w:type="character" w:customStyle="1" w:styleId="z-TopofFormChar">
    <w:name w:val="z-Top of Form Char"/>
    <w:basedOn w:val="DefaultParagraphFont"/>
    <w:link w:val="z-TopofForm"/>
    <w:rsid w:val="001278A4"/>
    <w:rPr>
      <w:sz w:val="24"/>
    </w:rPr>
  </w:style>
  <w:style w:type="character" w:customStyle="1" w:styleId="HTMLAddressChar">
    <w:name w:val="HTML Address Char"/>
    <w:basedOn w:val="DefaultParagraphFont"/>
    <w:link w:val="HTMLAddress"/>
    <w:rsid w:val="001278A4"/>
  </w:style>
  <w:style w:type="character" w:customStyle="1" w:styleId="EndnoteTextChar">
    <w:name w:val="Endnote Text Char"/>
    <w:basedOn w:val="DefaultParagraphFont"/>
    <w:link w:val="EndnoteText"/>
    <w:uiPriority w:val="99"/>
    <w:semiHidden/>
    <w:rsid w:val="001278A4"/>
    <w:rPr>
      <w:rFonts w:ascii="Arial" w:hAnsi="Arial"/>
    </w:rPr>
  </w:style>
  <w:style w:type="character" w:customStyle="1" w:styleId="DocumentMapChar">
    <w:name w:val="Document Map Char"/>
    <w:basedOn w:val="DefaultParagraphFont"/>
    <w:link w:val="DocumentMap"/>
    <w:semiHidden/>
    <w:rsid w:val="001278A4"/>
    <w:rPr>
      <w:rFonts w:ascii="Arial" w:hAnsi="Arial" w:cs="Arial"/>
      <w:shd w:val="clear" w:color="auto" w:fill="000080"/>
    </w:rPr>
  </w:style>
  <w:style w:type="character" w:customStyle="1" w:styleId="Heading3Char">
    <w:name w:val="Heading 3 Char"/>
    <w:basedOn w:val="DefaultParagraphFont"/>
    <w:link w:val="Heading3"/>
    <w:semiHidden/>
    <w:rsid w:val="00A2679F"/>
    <w:rPr>
      <w:rFonts w:asciiTheme="majorHAnsi" w:eastAsiaTheme="majorEastAsia" w:hAnsiTheme="majorHAnsi" w:cstheme="majorBidi"/>
      <w:b/>
      <w:bCs/>
      <w:color w:val="4F81BD" w:themeColor="accent1"/>
    </w:rPr>
  </w:style>
  <w:style w:type="character" w:customStyle="1" w:styleId="Mention1">
    <w:name w:val="Mention1"/>
    <w:basedOn w:val="DefaultParagraphFont"/>
    <w:uiPriority w:val="99"/>
    <w:unhideWhenUsed/>
    <w:rPr>
      <w:color w:val="2B579A"/>
      <w:shd w:val="clear" w:color="auto" w:fill="E6E6E6"/>
    </w:rPr>
  </w:style>
  <w:style w:type="character" w:customStyle="1" w:styleId="Heading4Char">
    <w:name w:val="Heading 4 Char"/>
    <w:basedOn w:val="DefaultParagraphFont"/>
    <w:link w:val="Heading4"/>
    <w:semiHidden/>
    <w:rsid w:val="00775F1E"/>
    <w:rPr>
      <w:rFonts w:asciiTheme="majorHAnsi" w:eastAsiaTheme="majorEastAsia" w:hAnsiTheme="majorHAnsi" w:cstheme="majorBidi"/>
      <w:i/>
      <w:iCs/>
      <w:color w:val="365F91" w:themeColor="accent1" w:themeShade="BF"/>
    </w:rPr>
  </w:style>
  <w:style w:type="character" w:customStyle="1" w:styleId="normaltextrun">
    <w:name w:val="normaltextrun"/>
    <w:basedOn w:val="DefaultParagraphFont"/>
    <w:rsid w:val="00775F1E"/>
  </w:style>
  <w:style w:type="character" w:customStyle="1" w:styleId="spellingerror">
    <w:name w:val="spellingerror"/>
    <w:basedOn w:val="DefaultParagraphFont"/>
    <w:rsid w:val="00775F1E"/>
  </w:style>
  <w:style w:type="character" w:customStyle="1" w:styleId="UnresolvedMention1">
    <w:name w:val="Unresolved Mention1"/>
    <w:basedOn w:val="DefaultParagraphFont"/>
    <w:uiPriority w:val="99"/>
    <w:unhideWhenUsed/>
    <w:rsid w:val="00EE5CF9"/>
    <w:rPr>
      <w:color w:val="605E5C"/>
      <w:shd w:val="clear" w:color="auto" w:fill="E1DFDD"/>
    </w:rPr>
  </w:style>
  <w:style w:type="character" w:customStyle="1" w:styleId="Mention2">
    <w:name w:val="Mention2"/>
    <w:basedOn w:val="DefaultParagraphFont"/>
    <w:uiPriority w:val="99"/>
    <w:unhideWhenUsed/>
    <w:rsid w:val="000D71DC"/>
    <w:rPr>
      <w:color w:val="2B579A"/>
      <w:shd w:val="clear" w:color="auto" w:fill="E6E6E6"/>
    </w:rPr>
  </w:style>
  <w:style w:type="character" w:customStyle="1" w:styleId="Mention3">
    <w:name w:val="Mention3"/>
    <w:basedOn w:val="DefaultParagraphFont"/>
    <w:uiPriority w:val="99"/>
    <w:unhideWhenUsed/>
    <w:rsid w:val="004A66FE"/>
    <w:rPr>
      <w:color w:val="2B579A"/>
      <w:shd w:val="clear" w:color="auto" w:fill="E6E6E6"/>
    </w:rPr>
  </w:style>
  <w:style w:type="character" w:customStyle="1" w:styleId="UnresolvedMention2">
    <w:name w:val="Unresolved Mention2"/>
    <w:basedOn w:val="DefaultParagraphFont"/>
    <w:uiPriority w:val="99"/>
    <w:unhideWhenUsed/>
    <w:rsid w:val="00D6014E"/>
    <w:rPr>
      <w:color w:val="605E5C"/>
      <w:shd w:val="clear" w:color="auto" w:fill="E1DFDD"/>
    </w:rPr>
  </w:style>
  <w:style w:type="character" w:customStyle="1" w:styleId="Mention4">
    <w:name w:val="Mention4"/>
    <w:basedOn w:val="DefaultParagraphFont"/>
    <w:uiPriority w:val="99"/>
    <w:unhideWhenUsed/>
    <w:rsid w:val="00D6014E"/>
    <w:rPr>
      <w:color w:val="2B579A"/>
      <w:shd w:val="clear" w:color="auto" w:fill="E1DFDD"/>
    </w:rPr>
  </w:style>
  <w:style w:type="character" w:customStyle="1" w:styleId="UnresolvedMention20">
    <w:name w:val="Unresolved Mention20"/>
    <w:basedOn w:val="DefaultParagraphFont"/>
    <w:uiPriority w:val="99"/>
    <w:unhideWhenUsed/>
    <w:rsid w:val="00D6014E"/>
    <w:rPr>
      <w:color w:val="605E5C"/>
      <w:shd w:val="clear" w:color="auto" w:fill="E1DFDD"/>
    </w:rPr>
  </w:style>
  <w:style w:type="character" w:customStyle="1" w:styleId="Mention40">
    <w:name w:val="Mention40"/>
    <w:basedOn w:val="DefaultParagraphFont"/>
    <w:uiPriority w:val="99"/>
    <w:unhideWhenUsed/>
    <w:rsid w:val="00D6014E"/>
    <w:rPr>
      <w:color w:val="2B579A"/>
      <w:shd w:val="clear" w:color="auto" w:fill="E1DFDD"/>
    </w:rPr>
  </w:style>
  <w:style w:type="character" w:customStyle="1" w:styleId="Mention5">
    <w:name w:val="Mention5"/>
    <w:basedOn w:val="DefaultParagraphFont"/>
    <w:uiPriority w:val="99"/>
    <w:unhideWhenUsed/>
    <w:rsid w:val="00D6014E"/>
    <w:rPr>
      <w:color w:val="2B579A"/>
      <w:shd w:val="clear" w:color="auto" w:fill="E6E6E6"/>
    </w:rPr>
  </w:style>
  <w:style w:type="character" w:customStyle="1" w:styleId="Mention6">
    <w:name w:val="Mention6"/>
    <w:basedOn w:val="DefaultParagraphFont"/>
    <w:uiPriority w:val="99"/>
    <w:unhideWhenUsed/>
    <w:rsid w:val="001B1D03"/>
    <w:rPr>
      <w:color w:val="2B579A"/>
      <w:shd w:val="clear" w:color="auto" w:fill="E6E6E6"/>
    </w:rPr>
  </w:style>
  <w:style w:type="character" w:customStyle="1" w:styleId="Mention7">
    <w:name w:val="Mention7"/>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AC57A3"/>
    <w:rPr>
      <w:color w:val="605E5C"/>
      <w:shd w:val="clear" w:color="auto" w:fill="E1DFDD"/>
    </w:rPr>
  </w:style>
  <w:style w:type="character" w:customStyle="1" w:styleId="Mention8">
    <w:name w:val="Mention8"/>
    <w:basedOn w:val="DefaultParagraphFont"/>
    <w:uiPriority w:val="99"/>
    <w:unhideWhenUsed/>
    <w:rsid w:val="00AC57A3"/>
    <w:rPr>
      <w:color w:val="2B579A"/>
      <w:shd w:val="clear" w:color="auto" w:fill="E1DFDD"/>
    </w:rPr>
  </w:style>
  <w:style w:type="character" w:customStyle="1" w:styleId="ui-provider">
    <w:name w:val="ui-provider"/>
    <w:basedOn w:val="DefaultParagraphFont"/>
    <w:rsid w:val="005D411F"/>
  </w:style>
  <w:style w:type="character" w:styleId="Emphasis">
    <w:name w:val="Emphasis"/>
    <w:basedOn w:val="DefaultParagraphFont"/>
    <w:qFormat/>
    <w:rsid w:val="00971C5E"/>
    <w:rPr>
      <w:i/>
      <w:iCs/>
    </w:rPr>
  </w:style>
  <w:style w:type="character" w:styleId="UnresolvedMention">
    <w:name w:val="Unresolved Mention"/>
    <w:basedOn w:val="DefaultParagraphFont"/>
    <w:uiPriority w:val="99"/>
    <w:semiHidden/>
    <w:unhideWhenUsed/>
    <w:rsid w:val="00CC5BA0"/>
    <w:rPr>
      <w:color w:val="605E5C"/>
      <w:shd w:val="clear" w:color="auto" w:fill="E1DFDD"/>
    </w:rPr>
  </w:style>
  <w:style w:type="character" w:styleId="Mention">
    <w:name w:val="Mention"/>
    <w:basedOn w:val="DefaultParagraphFont"/>
    <w:uiPriority w:val="99"/>
    <w:unhideWhenUsed/>
    <w:rsid w:val="00EB5115"/>
    <w:rPr>
      <w:color w:val="2B579A"/>
      <w:shd w:val="clear" w:color="auto" w:fill="E1DFDD"/>
    </w:rPr>
  </w:style>
  <w:style w:type="paragraph" w:customStyle="1" w:styleId="pf0">
    <w:name w:val="pf0"/>
    <w:basedOn w:val="Normal"/>
    <w:rsid w:val="00A523ED"/>
    <w:pPr>
      <w:spacing w:before="100" w:beforeAutospacing="1" w:after="100" w:afterAutospacing="1"/>
    </w:pPr>
    <w:rPr>
      <w:sz w:val="24"/>
      <w:szCs w:val="24"/>
    </w:rPr>
  </w:style>
  <w:style w:type="character" w:customStyle="1" w:styleId="cf01">
    <w:name w:val="cf01"/>
    <w:basedOn w:val="DefaultParagraphFont"/>
    <w:rsid w:val="00A523ED"/>
    <w:rPr>
      <w:rFonts w:ascii="Segoe UI" w:hAnsi="Segoe UI" w:cs="Segoe UI" w:hint="default"/>
      <w:b/>
      <w:bCs/>
      <w:color w:val="FF0000"/>
      <w:sz w:val="18"/>
      <w:szCs w:val="18"/>
    </w:rPr>
  </w:style>
  <w:style w:type="character" w:customStyle="1" w:styleId="cf21">
    <w:name w:val="cf21"/>
    <w:basedOn w:val="DefaultParagraphFont"/>
    <w:rsid w:val="00A523ED"/>
    <w:rPr>
      <w:rFonts w:ascii="Segoe UI" w:hAnsi="Segoe UI" w:cs="Segoe UI" w:hint="default"/>
      <w:b/>
      <w:bCs/>
      <w:sz w:val="18"/>
      <w:szCs w:val="18"/>
    </w:rPr>
  </w:style>
  <w:style w:type="character" w:customStyle="1" w:styleId="cf31">
    <w:name w:val="cf31"/>
    <w:basedOn w:val="DefaultParagraphFont"/>
    <w:rsid w:val="00A523ED"/>
    <w:rPr>
      <w:rFonts w:ascii="Segoe UI" w:hAnsi="Segoe UI" w:cs="Segoe UI" w:hint="default"/>
      <w:b/>
      <w:bCs/>
      <w:color w:val="FF0000"/>
      <w:sz w:val="18"/>
      <w:szCs w:val="18"/>
      <w:u w:val="single"/>
    </w:rPr>
  </w:style>
  <w:style w:type="character" w:customStyle="1" w:styleId="cf41">
    <w:name w:val="cf41"/>
    <w:basedOn w:val="DefaultParagraphFont"/>
    <w:rsid w:val="00A523ED"/>
    <w:rPr>
      <w:rFonts w:ascii="Segoe UI" w:hAnsi="Segoe UI" w:cs="Segoe UI" w:hint="default"/>
      <w:b/>
      <w:bCs/>
      <w:i/>
      <w:iCs/>
      <w:color w:val="FF0000"/>
      <w:sz w:val="18"/>
      <w:szCs w:val="18"/>
    </w:rPr>
  </w:style>
  <w:style w:type="paragraph" w:customStyle="1" w:styleId="TableParagraph">
    <w:name w:val="Table Paragraph"/>
    <w:basedOn w:val="Normal"/>
    <w:uiPriority w:val="1"/>
    <w:qFormat/>
    <w:rsid w:val="00543E62"/>
    <w:pPr>
      <w:widowControl w:val="0"/>
      <w:autoSpaceDE w:val="0"/>
      <w:autoSpaceDN w:val="0"/>
      <w:adjustRightInd w:val="0"/>
      <w:ind w:left="107"/>
    </w:pPr>
    <w:rPr>
      <w:rFonts w:eastAsiaTheme="minorEastAsia"/>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356">
      <w:bodyDiv w:val="1"/>
      <w:marLeft w:val="0"/>
      <w:marRight w:val="0"/>
      <w:marTop w:val="0"/>
      <w:marBottom w:val="0"/>
      <w:divBdr>
        <w:top w:val="none" w:sz="0" w:space="0" w:color="auto"/>
        <w:left w:val="none" w:sz="0" w:space="0" w:color="auto"/>
        <w:bottom w:val="none" w:sz="0" w:space="0" w:color="auto"/>
        <w:right w:val="none" w:sz="0" w:space="0" w:color="auto"/>
      </w:divBdr>
    </w:div>
    <w:div w:id="141118538">
      <w:bodyDiv w:val="1"/>
      <w:marLeft w:val="0"/>
      <w:marRight w:val="0"/>
      <w:marTop w:val="0"/>
      <w:marBottom w:val="0"/>
      <w:divBdr>
        <w:top w:val="none" w:sz="0" w:space="0" w:color="auto"/>
        <w:left w:val="none" w:sz="0" w:space="0" w:color="auto"/>
        <w:bottom w:val="none" w:sz="0" w:space="0" w:color="auto"/>
        <w:right w:val="none" w:sz="0" w:space="0" w:color="auto"/>
      </w:divBdr>
    </w:div>
    <w:div w:id="181822316">
      <w:bodyDiv w:val="1"/>
      <w:marLeft w:val="0"/>
      <w:marRight w:val="0"/>
      <w:marTop w:val="0"/>
      <w:marBottom w:val="0"/>
      <w:divBdr>
        <w:top w:val="none" w:sz="0" w:space="0" w:color="auto"/>
        <w:left w:val="none" w:sz="0" w:space="0" w:color="auto"/>
        <w:bottom w:val="none" w:sz="0" w:space="0" w:color="auto"/>
        <w:right w:val="none" w:sz="0" w:space="0" w:color="auto"/>
      </w:divBdr>
    </w:div>
    <w:div w:id="184246338">
      <w:bodyDiv w:val="1"/>
      <w:marLeft w:val="0"/>
      <w:marRight w:val="0"/>
      <w:marTop w:val="0"/>
      <w:marBottom w:val="0"/>
      <w:divBdr>
        <w:top w:val="none" w:sz="0" w:space="0" w:color="auto"/>
        <w:left w:val="none" w:sz="0" w:space="0" w:color="auto"/>
        <w:bottom w:val="none" w:sz="0" w:space="0" w:color="auto"/>
        <w:right w:val="none" w:sz="0" w:space="0" w:color="auto"/>
      </w:divBdr>
      <w:divsChild>
        <w:div w:id="110372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044556">
      <w:bodyDiv w:val="1"/>
      <w:marLeft w:val="0"/>
      <w:marRight w:val="0"/>
      <w:marTop w:val="0"/>
      <w:marBottom w:val="0"/>
      <w:divBdr>
        <w:top w:val="none" w:sz="0" w:space="0" w:color="auto"/>
        <w:left w:val="none" w:sz="0" w:space="0" w:color="auto"/>
        <w:bottom w:val="none" w:sz="0" w:space="0" w:color="auto"/>
        <w:right w:val="none" w:sz="0" w:space="0" w:color="auto"/>
      </w:divBdr>
    </w:div>
    <w:div w:id="232854235">
      <w:bodyDiv w:val="1"/>
      <w:marLeft w:val="0"/>
      <w:marRight w:val="0"/>
      <w:marTop w:val="0"/>
      <w:marBottom w:val="0"/>
      <w:divBdr>
        <w:top w:val="none" w:sz="0" w:space="0" w:color="auto"/>
        <w:left w:val="none" w:sz="0" w:space="0" w:color="auto"/>
        <w:bottom w:val="none" w:sz="0" w:space="0" w:color="auto"/>
        <w:right w:val="none" w:sz="0" w:space="0" w:color="auto"/>
      </w:divBdr>
      <w:divsChild>
        <w:div w:id="738331442">
          <w:marLeft w:val="0"/>
          <w:marRight w:val="0"/>
          <w:marTop w:val="0"/>
          <w:marBottom w:val="0"/>
          <w:divBdr>
            <w:top w:val="none" w:sz="0" w:space="0" w:color="auto"/>
            <w:left w:val="none" w:sz="0" w:space="0" w:color="auto"/>
            <w:bottom w:val="none" w:sz="0" w:space="0" w:color="auto"/>
            <w:right w:val="none" w:sz="0" w:space="0" w:color="auto"/>
          </w:divBdr>
        </w:div>
      </w:divsChild>
    </w:div>
    <w:div w:id="241454745">
      <w:bodyDiv w:val="1"/>
      <w:marLeft w:val="0"/>
      <w:marRight w:val="0"/>
      <w:marTop w:val="0"/>
      <w:marBottom w:val="0"/>
      <w:divBdr>
        <w:top w:val="none" w:sz="0" w:space="0" w:color="auto"/>
        <w:left w:val="none" w:sz="0" w:space="0" w:color="auto"/>
        <w:bottom w:val="none" w:sz="0" w:space="0" w:color="auto"/>
        <w:right w:val="none" w:sz="0" w:space="0" w:color="auto"/>
      </w:divBdr>
      <w:divsChild>
        <w:div w:id="24254586">
          <w:marLeft w:val="0"/>
          <w:marRight w:val="0"/>
          <w:marTop w:val="0"/>
          <w:marBottom w:val="0"/>
          <w:divBdr>
            <w:top w:val="none" w:sz="0" w:space="0" w:color="auto"/>
            <w:left w:val="none" w:sz="0" w:space="0" w:color="auto"/>
            <w:bottom w:val="none" w:sz="0" w:space="0" w:color="auto"/>
            <w:right w:val="none" w:sz="0" w:space="0" w:color="auto"/>
          </w:divBdr>
          <w:divsChild>
            <w:div w:id="839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39785">
      <w:bodyDiv w:val="1"/>
      <w:marLeft w:val="0"/>
      <w:marRight w:val="0"/>
      <w:marTop w:val="0"/>
      <w:marBottom w:val="0"/>
      <w:divBdr>
        <w:top w:val="none" w:sz="0" w:space="0" w:color="auto"/>
        <w:left w:val="none" w:sz="0" w:space="0" w:color="auto"/>
        <w:bottom w:val="none" w:sz="0" w:space="0" w:color="auto"/>
        <w:right w:val="none" w:sz="0" w:space="0" w:color="auto"/>
      </w:divBdr>
    </w:div>
    <w:div w:id="300379889">
      <w:bodyDiv w:val="1"/>
      <w:marLeft w:val="0"/>
      <w:marRight w:val="0"/>
      <w:marTop w:val="0"/>
      <w:marBottom w:val="0"/>
      <w:divBdr>
        <w:top w:val="none" w:sz="0" w:space="0" w:color="auto"/>
        <w:left w:val="none" w:sz="0" w:space="0" w:color="auto"/>
        <w:bottom w:val="none" w:sz="0" w:space="0" w:color="auto"/>
        <w:right w:val="none" w:sz="0" w:space="0" w:color="auto"/>
      </w:divBdr>
    </w:div>
    <w:div w:id="314455540">
      <w:bodyDiv w:val="1"/>
      <w:marLeft w:val="0"/>
      <w:marRight w:val="0"/>
      <w:marTop w:val="0"/>
      <w:marBottom w:val="0"/>
      <w:divBdr>
        <w:top w:val="none" w:sz="0" w:space="0" w:color="auto"/>
        <w:left w:val="none" w:sz="0" w:space="0" w:color="auto"/>
        <w:bottom w:val="none" w:sz="0" w:space="0" w:color="auto"/>
        <w:right w:val="none" w:sz="0" w:space="0" w:color="auto"/>
      </w:divBdr>
    </w:div>
    <w:div w:id="317924882">
      <w:bodyDiv w:val="1"/>
      <w:marLeft w:val="0"/>
      <w:marRight w:val="0"/>
      <w:marTop w:val="0"/>
      <w:marBottom w:val="0"/>
      <w:divBdr>
        <w:top w:val="none" w:sz="0" w:space="0" w:color="auto"/>
        <w:left w:val="none" w:sz="0" w:space="0" w:color="auto"/>
        <w:bottom w:val="none" w:sz="0" w:space="0" w:color="auto"/>
        <w:right w:val="none" w:sz="0" w:space="0" w:color="auto"/>
      </w:divBdr>
      <w:divsChild>
        <w:div w:id="913127075">
          <w:marLeft w:val="0"/>
          <w:marRight w:val="0"/>
          <w:marTop w:val="0"/>
          <w:marBottom w:val="0"/>
          <w:divBdr>
            <w:top w:val="none" w:sz="0" w:space="0" w:color="auto"/>
            <w:left w:val="none" w:sz="0" w:space="0" w:color="auto"/>
            <w:bottom w:val="none" w:sz="0" w:space="0" w:color="auto"/>
            <w:right w:val="none" w:sz="0" w:space="0" w:color="auto"/>
          </w:divBdr>
        </w:div>
      </w:divsChild>
    </w:div>
    <w:div w:id="347753965">
      <w:bodyDiv w:val="1"/>
      <w:marLeft w:val="0"/>
      <w:marRight w:val="0"/>
      <w:marTop w:val="0"/>
      <w:marBottom w:val="0"/>
      <w:divBdr>
        <w:top w:val="none" w:sz="0" w:space="0" w:color="auto"/>
        <w:left w:val="none" w:sz="0" w:space="0" w:color="auto"/>
        <w:bottom w:val="none" w:sz="0" w:space="0" w:color="auto"/>
        <w:right w:val="none" w:sz="0" w:space="0" w:color="auto"/>
      </w:divBdr>
    </w:div>
    <w:div w:id="420762346">
      <w:bodyDiv w:val="1"/>
      <w:marLeft w:val="0"/>
      <w:marRight w:val="0"/>
      <w:marTop w:val="0"/>
      <w:marBottom w:val="0"/>
      <w:divBdr>
        <w:top w:val="none" w:sz="0" w:space="0" w:color="auto"/>
        <w:left w:val="none" w:sz="0" w:space="0" w:color="auto"/>
        <w:bottom w:val="none" w:sz="0" w:space="0" w:color="auto"/>
        <w:right w:val="none" w:sz="0" w:space="0" w:color="auto"/>
      </w:divBdr>
    </w:div>
    <w:div w:id="440682858">
      <w:bodyDiv w:val="1"/>
      <w:marLeft w:val="0"/>
      <w:marRight w:val="0"/>
      <w:marTop w:val="0"/>
      <w:marBottom w:val="0"/>
      <w:divBdr>
        <w:top w:val="none" w:sz="0" w:space="0" w:color="auto"/>
        <w:left w:val="none" w:sz="0" w:space="0" w:color="auto"/>
        <w:bottom w:val="none" w:sz="0" w:space="0" w:color="auto"/>
        <w:right w:val="none" w:sz="0" w:space="0" w:color="auto"/>
      </w:divBdr>
    </w:div>
    <w:div w:id="462305868">
      <w:bodyDiv w:val="1"/>
      <w:marLeft w:val="0"/>
      <w:marRight w:val="0"/>
      <w:marTop w:val="0"/>
      <w:marBottom w:val="0"/>
      <w:divBdr>
        <w:top w:val="none" w:sz="0" w:space="0" w:color="auto"/>
        <w:left w:val="none" w:sz="0" w:space="0" w:color="auto"/>
        <w:bottom w:val="none" w:sz="0" w:space="0" w:color="auto"/>
        <w:right w:val="none" w:sz="0" w:space="0" w:color="auto"/>
      </w:divBdr>
      <w:divsChild>
        <w:div w:id="1865706524">
          <w:marLeft w:val="0"/>
          <w:marRight w:val="0"/>
          <w:marTop w:val="0"/>
          <w:marBottom w:val="0"/>
          <w:divBdr>
            <w:top w:val="none" w:sz="0" w:space="0" w:color="auto"/>
            <w:left w:val="none" w:sz="0" w:space="0" w:color="auto"/>
            <w:bottom w:val="none" w:sz="0" w:space="0" w:color="auto"/>
            <w:right w:val="none" w:sz="0" w:space="0" w:color="auto"/>
          </w:divBdr>
          <w:divsChild>
            <w:div w:id="46138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1460">
      <w:bodyDiv w:val="1"/>
      <w:marLeft w:val="0"/>
      <w:marRight w:val="0"/>
      <w:marTop w:val="0"/>
      <w:marBottom w:val="0"/>
      <w:divBdr>
        <w:top w:val="none" w:sz="0" w:space="0" w:color="auto"/>
        <w:left w:val="none" w:sz="0" w:space="0" w:color="auto"/>
        <w:bottom w:val="none" w:sz="0" w:space="0" w:color="auto"/>
        <w:right w:val="none" w:sz="0" w:space="0" w:color="auto"/>
      </w:divBdr>
    </w:div>
    <w:div w:id="579483898">
      <w:bodyDiv w:val="1"/>
      <w:marLeft w:val="0"/>
      <w:marRight w:val="0"/>
      <w:marTop w:val="0"/>
      <w:marBottom w:val="0"/>
      <w:divBdr>
        <w:top w:val="none" w:sz="0" w:space="0" w:color="auto"/>
        <w:left w:val="none" w:sz="0" w:space="0" w:color="auto"/>
        <w:bottom w:val="none" w:sz="0" w:space="0" w:color="auto"/>
        <w:right w:val="none" w:sz="0" w:space="0" w:color="auto"/>
      </w:divBdr>
    </w:div>
    <w:div w:id="595405482">
      <w:bodyDiv w:val="1"/>
      <w:marLeft w:val="0"/>
      <w:marRight w:val="0"/>
      <w:marTop w:val="0"/>
      <w:marBottom w:val="0"/>
      <w:divBdr>
        <w:top w:val="none" w:sz="0" w:space="0" w:color="auto"/>
        <w:left w:val="none" w:sz="0" w:space="0" w:color="auto"/>
        <w:bottom w:val="none" w:sz="0" w:space="0" w:color="auto"/>
        <w:right w:val="none" w:sz="0" w:space="0" w:color="auto"/>
      </w:divBdr>
    </w:div>
    <w:div w:id="630330333">
      <w:bodyDiv w:val="1"/>
      <w:marLeft w:val="0"/>
      <w:marRight w:val="0"/>
      <w:marTop w:val="0"/>
      <w:marBottom w:val="0"/>
      <w:divBdr>
        <w:top w:val="none" w:sz="0" w:space="0" w:color="auto"/>
        <w:left w:val="none" w:sz="0" w:space="0" w:color="auto"/>
        <w:bottom w:val="none" w:sz="0" w:space="0" w:color="auto"/>
        <w:right w:val="none" w:sz="0" w:space="0" w:color="auto"/>
      </w:divBdr>
    </w:div>
    <w:div w:id="653487768">
      <w:bodyDiv w:val="1"/>
      <w:marLeft w:val="0"/>
      <w:marRight w:val="0"/>
      <w:marTop w:val="0"/>
      <w:marBottom w:val="0"/>
      <w:divBdr>
        <w:top w:val="none" w:sz="0" w:space="0" w:color="auto"/>
        <w:left w:val="none" w:sz="0" w:space="0" w:color="auto"/>
        <w:bottom w:val="none" w:sz="0" w:space="0" w:color="auto"/>
        <w:right w:val="none" w:sz="0" w:space="0" w:color="auto"/>
      </w:divBdr>
    </w:div>
    <w:div w:id="658584974">
      <w:bodyDiv w:val="1"/>
      <w:marLeft w:val="0"/>
      <w:marRight w:val="0"/>
      <w:marTop w:val="0"/>
      <w:marBottom w:val="0"/>
      <w:divBdr>
        <w:top w:val="none" w:sz="0" w:space="0" w:color="auto"/>
        <w:left w:val="none" w:sz="0" w:space="0" w:color="auto"/>
        <w:bottom w:val="none" w:sz="0" w:space="0" w:color="auto"/>
        <w:right w:val="none" w:sz="0" w:space="0" w:color="auto"/>
      </w:divBdr>
    </w:div>
    <w:div w:id="680623899">
      <w:bodyDiv w:val="1"/>
      <w:marLeft w:val="0"/>
      <w:marRight w:val="0"/>
      <w:marTop w:val="0"/>
      <w:marBottom w:val="0"/>
      <w:divBdr>
        <w:top w:val="none" w:sz="0" w:space="0" w:color="auto"/>
        <w:left w:val="none" w:sz="0" w:space="0" w:color="auto"/>
        <w:bottom w:val="none" w:sz="0" w:space="0" w:color="auto"/>
        <w:right w:val="none" w:sz="0" w:space="0" w:color="auto"/>
      </w:divBdr>
    </w:div>
    <w:div w:id="720831947">
      <w:bodyDiv w:val="1"/>
      <w:marLeft w:val="0"/>
      <w:marRight w:val="0"/>
      <w:marTop w:val="0"/>
      <w:marBottom w:val="0"/>
      <w:divBdr>
        <w:top w:val="none" w:sz="0" w:space="0" w:color="auto"/>
        <w:left w:val="none" w:sz="0" w:space="0" w:color="auto"/>
        <w:bottom w:val="none" w:sz="0" w:space="0" w:color="auto"/>
        <w:right w:val="none" w:sz="0" w:space="0" w:color="auto"/>
      </w:divBdr>
      <w:divsChild>
        <w:div w:id="1620448408">
          <w:marLeft w:val="0"/>
          <w:marRight w:val="0"/>
          <w:marTop w:val="0"/>
          <w:marBottom w:val="0"/>
          <w:divBdr>
            <w:top w:val="none" w:sz="0" w:space="0" w:color="auto"/>
            <w:left w:val="none" w:sz="0" w:space="0" w:color="auto"/>
            <w:bottom w:val="none" w:sz="0" w:space="0" w:color="auto"/>
            <w:right w:val="none" w:sz="0" w:space="0" w:color="auto"/>
          </w:divBdr>
          <w:divsChild>
            <w:div w:id="7962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2416">
      <w:bodyDiv w:val="1"/>
      <w:marLeft w:val="0"/>
      <w:marRight w:val="0"/>
      <w:marTop w:val="0"/>
      <w:marBottom w:val="0"/>
      <w:divBdr>
        <w:top w:val="none" w:sz="0" w:space="0" w:color="auto"/>
        <w:left w:val="none" w:sz="0" w:space="0" w:color="auto"/>
        <w:bottom w:val="none" w:sz="0" w:space="0" w:color="auto"/>
        <w:right w:val="none" w:sz="0" w:space="0" w:color="auto"/>
      </w:divBdr>
    </w:div>
    <w:div w:id="755713766">
      <w:bodyDiv w:val="1"/>
      <w:marLeft w:val="0"/>
      <w:marRight w:val="0"/>
      <w:marTop w:val="0"/>
      <w:marBottom w:val="0"/>
      <w:divBdr>
        <w:top w:val="none" w:sz="0" w:space="0" w:color="auto"/>
        <w:left w:val="none" w:sz="0" w:space="0" w:color="auto"/>
        <w:bottom w:val="none" w:sz="0" w:space="0" w:color="auto"/>
        <w:right w:val="none" w:sz="0" w:space="0" w:color="auto"/>
      </w:divBdr>
    </w:div>
    <w:div w:id="775905750">
      <w:bodyDiv w:val="1"/>
      <w:marLeft w:val="0"/>
      <w:marRight w:val="0"/>
      <w:marTop w:val="0"/>
      <w:marBottom w:val="0"/>
      <w:divBdr>
        <w:top w:val="none" w:sz="0" w:space="0" w:color="auto"/>
        <w:left w:val="none" w:sz="0" w:space="0" w:color="auto"/>
        <w:bottom w:val="none" w:sz="0" w:space="0" w:color="auto"/>
        <w:right w:val="none" w:sz="0" w:space="0" w:color="auto"/>
      </w:divBdr>
    </w:div>
    <w:div w:id="829323224">
      <w:bodyDiv w:val="1"/>
      <w:marLeft w:val="0"/>
      <w:marRight w:val="0"/>
      <w:marTop w:val="0"/>
      <w:marBottom w:val="0"/>
      <w:divBdr>
        <w:top w:val="none" w:sz="0" w:space="0" w:color="auto"/>
        <w:left w:val="none" w:sz="0" w:space="0" w:color="auto"/>
        <w:bottom w:val="none" w:sz="0" w:space="0" w:color="auto"/>
        <w:right w:val="none" w:sz="0" w:space="0" w:color="auto"/>
      </w:divBdr>
    </w:div>
    <w:div w:id="842743638">
      <w:bodyDiv w:val="1"/>
      <w:marLeft w:val="0"/>
      <w:marRight w:val="0"/>
      <w:marTop w:val="0"/>
      <w:marBottom w:val="0"/>
      <w:divBdr>
        <w:top w:val="none" w:sz="0" w:space="0" w:color="auto"/>
        <w:left w:val="none" w:sz="0" w:space="0" w:color="auto"/>
        <w:bottom w:val="none" w:sz="0" w:space="0" w:color="auto"/>
        <w:right w:val="none" w:sz="0" w:space="0" w:color="auto"/>
      </w:divBdr>
    </w:div>
    <w:div w:id="862132817">
      <w:bodyDiv w:val="1"/>
      <w:marLeft w:val="0"/>
      <w:marRight w:val="0"/>
      <w:marTop w:val="0"/>
      <w:marBottom w:val="0"/>
      <w:divBdr>
        <w:top w:val="none" w:sz="0" w:space="0" w:color="auto"/>
        <w:left w:val="none" w:sz="0" w:space="0" w:color="auto"/>
        <w:bottom w:val="none" w:sz="0" w:space="0" w:color="auto"/>
        <w:right w:val="none" w:sz="0" w:space="0" w:color="auto"/>
      </w:divBdr>
    </w:div>
    <w:div w:id="862405223">
      <w:bodyDiv w:val="1"/>
      <w:marLeft w:val="0"/>
      <w:marRight w:val="0"/>
      <w:marTop w:val="0"/>
      <w:marBottom w:val="0"/>
      <w:divBdr>
        <w:top w:val="none" w:sz="0" w:space="0" w:color="auto"/>
        <w:left w:val="none" w:sz="0" w:space="0" w:color="auto"/>
        <w:bottom w:val="none" w:sz="0" w:space="0" w:color="auto"/>
        <w:right w:val="none" w:sz="0" w:space="0" w:color="auto"/>
      </w:divBdr>
    </w:div>
    <w:div w:id="869807164">
      <w:bodyDiv w:val="1"/>
      <w:marLeft w:val="0"/>
      <w:marRight w:val="0"/>
      <w:marTop w:val="0"/>
      <w:marBottom w:val="0"/>
      <w:divBdr>
        <w:top w:val="none" w:sz="0" w:space="0" w:color="auto"/>
        <w:left w:val="none" w:sz="0" w:space="0" w:color="auto"/>
        <w:bottom w:val="none" w:sz="0" w:space="0" w:color="auto"/>
        <w:right w:val="none" w:sz="0" w:space="0" w:color="auto"/>
      </w:divBdr>
    </w:div>
    <w:div w:id="914973058">
      <w:bodyDiv w:val="1"/>
      <w:marLeft w:val="0"/>
      <w:marRight w:val="0"/>
      <w:marTop w:val="0"/>
      <w:marBottom w:val="0"/>
      <w:divBdr>
        <w:top w:val="none" w:sz="0" w:space="0" w:color="auto"/>
        <w:left w:val="none" w:sz="0" w:space="0" w:color="auto"/>
        <w:bottom w:val="none" w:sz="0" w:space="0" w:color="auto"/>
        <w:right w:val="none" w:sz="0" w:space="0" w:color="auto"/>
      </w:divBdr>
    </w:div>
    <w:div w:id="953560498">
      <w:bodyDiv w:val="1"/>
      <w:marLeft w:val="0"/>
      <w:marRight w:val="0"/>
      <w:marTop w:val="0"/>
      <w:marBottom w:val="0"/>
      <w:divBdr>
        <w:top w:val="none" w:sz="0" w:space="0" w:color="auto"/>
        <w:left w:val="none" w:sz="0" w:space="0" w:color="auto"/>
        <w:bottom w:val="none" w:sz="0" w:space="0" w:color="auto"/>
        <w:right w:val="none" w:sz="0" w:space="0" w:color="auto"/>
      </w:divBdr>
    </w:div>
    <w:div w:id="966163875">
      <w:bodyDiv w:val="1"/>
      <w:marLeft w:val="0"/>
      <w:marRight w:val="0"/>
      <w:marTop w:val="0"/>
      <w:marBottom w:val="0"/>
      <w:divBdr>
        <w:top w:val="none" w:sz="0" w:space="0" w:color="auto"/>
        <w:left w:val="none" w:sz="0" w:space="0" w:color="auto"/>
        <w:bottom w:val="none" w:sz="0" w:space="0" w:color="auto"/>
        <w:right w:val="none" w:sz="0" w:space="0" w:color="auto"/>
      </w:divBdr>
    </w:div>
    <w:div w:id="1044253222">
      <w:bodyDiv w:val="1"/>
      <w:marLeft w:val="0"/>
      <w:marRight w:val="0"/>
      <w:marTop w:val="0"/>
      <w:marBottom w:val="0"/>
      <w:divBdr>
        <w:top w:val="none" w:sz="0" w:space="0" w:color="auto"/>
        <w:left w:val="none" w:sz="0" w:space="0" w:color="auto"/>
        <w:bottom w:val="none" w:sz="0" w:space="0" w:color="auto"/>
        <w:right w:val="none" w:sz="0" w:space="0" w:color="auto"/>
      </w:divBdr>
    </w:div>
    <w:div w:id="1044792965">
      <w:bodyDiv w:val="1"/>
      <w:marLeft w:val="0"/>
      <w:marRight w:val="0"/>
      <w:marTop w:val="0"/>
      <w:marBottom w:val="0"/>
      <w:divBdr>
        <w:top w:val="none" w:sz="0" w:space="0" w:color="auto"/>
        <w:left w:val="none" w:sz="0" w:space="0" w:color="auto"/>
        <w:bottom w:val="none" w:sz="0" w:space="0" w:color="auto"/>
        <w:right w:val="none" w:sz="0" w:space="0" w:color="auto"/>
      </w:divBdr>
    </w:div>
    <w:div w:id="1091699465">
      <w:bodyDiv w:val="1"/>
      <w:marLeft w:val="0"/>
      <w:marRight w:val="0"/>
      <w:marTop w:val="0"/>
      <w:marBottom w:val="0"/>
      <w:divBdr>
        <w:top w:val="none" w:sz="0" w:space="0" w:color="auto"/>
        <w:left w:val="none" w:sz="0" w:space="0" w:color="auto"/>
        <w:bottom w:val="none" w:sz="0" w:space="0" w:color="auto"/>
        <w:right w:val="none" w:sz="0" w:space="0" w:color="auto"/>
      </w:divBdr>
    </w:div>
    <w:div w:id="1097944752">
      <w:bodyDiv w:val="1"/>
      <w:marLeft w:val="0"/>
      <w:marRight w:val="0"/>
      <w:marTop w:val="0"/>
      <w:marBottom w:val="0"/>
      <w:divBdr>
        <w:top w:val="none" w:sz="0" w:space="0" w:color="auto"/>
        <w:left w:val="none" w:sz="0" w:space="0" w:color="auto"/>
        <w:bottom w:val="none" w:sz="0" w:space="0" w:color="auto"/>
        <w:right w:val="none" w:sz="0" w:space="0" w:color="auto"/>
      </w:divBdr>
      <w:divsChild>
        <w:div w:id="644969628">
          <w:marLeft w:val="0"/>
          <w:marRight w:val="0"/>
          <w:marTop w:val="0"/>
          <w:marBottom w:val="0"/>
          <w:divBdr>
            <w:top w:val="none" w:sz="0" w:space="0" w:color="auto"/>
            <w:left w:val="none" w:sz="0" w:space="0" w:color="auto"/>
            <w:bottom w:val="none" w:sz="0" w:space="0" w:color="auto"/>
            <w:right w:val="none" w:sz="0" w:space="0" w:color="auto"/>
          </w:divBdr>
        </w:div>
      </w:divsChild>
    </w:div>
    <w:div w:id="1107308656">
      <w:bodyDiv w:val="1"/>
      <w:marLeft w:val="0"/>
      <w:marRight w:val="0"/>
      <w:marTop w:val="0"/>
      <w:marBottom w:val="0"/>
      <w:divBdr>
        <w:top w:val="none" w:sz="0" w:space="0" w:color="auto"/>
        <w:left w:val="none" w:sz="0" w:space="0" w:color="auto"/>
        <w:bottom w:val="none" w:sz="0" w:space="0" w:color="auto"/>
        <w:right w:val="none" w:sz="0" w:space="0" w:color="auto"/>
      </w:divBdr>
    </w:div>
    <w:div w:id="1149790026">
      <w:bodyDiv w:val="1"/>
      <w:marLeft w:val="0"/>
      <w:marRight w:val="0"/>
      <w:marTop w:val="0"/>
      <w:marBottom w:val="0"/>
      <w:divBdr>
        <w:top w:val="none" w:sz="0" w:space="0" w:color="auto"/>
        <w:left w:val="none" w:sz="0" w:space="0" w:color="auto"/>
        <w:bottom w:val="none" w:sz="0" w:space="0" w:color="auto"/>
        <w:right w:val="none" w:sz="0" w:space="0" w:color="auto"/>
      </w:divBdr>
      <w:divsChild>
        <w:div w:id="996808767">
          <w:marLeft w:val="0"/>
          <w:marRight w:val="0"/>
          <w:marTop w:val="0"/>
          <w:marBottom w:val="0"/>
          <w:divBdr>
            <w:top w:val="none" w:sz="0" w:space="0" w:color="auto"/>
            <w:left w:val="none" w:sz="0" w:space="0" w:color="auto"/>
            <w:bottom w:val="none" w:sz="0" w:space="0" w:color="auto"/>
            <w:right w:val="none" w:sz="0" w:space="0" w:color="auto"/>
          </w:divBdr>
          <w:divsChild>
            <w:div w:id="1902448155">
              <w:marLeft w:val="0"/>
              <w:marRight w:val="0"/>
              <w:marTop w:val="0"/>
              <w:marBottom w:val="0"/>
              <w:divBdr>
                <w:top w:val="none" w:sz="0" w:space="0" w:color="auto"/>
                <w:left w:val="none" w:sz="0" w:space="0" w:color="auto"/>
                <w:bottom w:val="none" w:sz="0" w:space="0" w:color="auto"/>
                <w:right w:val="none" w:sz="0" w:space="0" w:color="auto"/>
              </w:divBdr>
              <w:divsChild>
                <w:div w:id="438066052">
                  <w:marLeft w:val="0"/>
                  <w:marRight w:val="0"/>
                  <w:marTop w:val="0"/>
                  <w:marBottom w:val="0"/>
                  <w:divBdr>
                    <w:top w:val="none" w:sz="0" w:space="0" w:color="auto"/>
                    <w:left w:val="none" w:sz="0" w:space="0" w:color="auto"/>
                    <w:bottom w:val="none" w:sz="0" w:space="0" w:color="auto"/>
                    <w:right w:val="none" w:sz="0" w:space="0" w:color="auto"/>
                  </w:divBdr>
                  <w:divsChild>
                    <w:div w:id="1772317461">
                      <w:marLeft w:val="0"/>
                      <w:marRight w:val="0"/>
                      <w:marTop w:val="0"/>
                      <w:marBottom w:val="0"/>
                      <w:divBdr>
                        <w:top w:val="none" w:sz="0" w:space="0" w:color="auto"/>
                        <w:left w:val="none" w:sz="0" w:space="0" w:color="auto"/>
                        <w:bottom w:val="none" w:sz="0" w:space="0" w:color="auto"/>
                        <w:right w:val="none" w:sz="0" w:space="0" w:color="auto"/>
                      </w:divBdr>
                      <w:divsChild>
                        <w:div w:id="1579560676">
                          <w:marLeft w:val="0"/>
                          <w:marRight w:val="0"/>
                          <w:marTop w:val="0"/>
                          <w:marBottom w:val="0"/>
                          <w:divBdr>
                            <w:top w:val="none" w:sz="0" w:space="0" w:color="auto"/>
                            <w:left w:val="none" w:sz="0" w:space="0" w:color="auto"/>
                            <w:bottom w:val="none" w:sz="0" w:space="0" w:color="auto"/>
                            <w:right w:val="none" w:sz="0" w:space="0" w:color="auto"/>
                          </w:divBdr>
                          <w:divsChild>
                            <w:div w:id="1373728515">
                              <w:marLeft w:val="0"/>
                              <w:marRight w:val="0"/>
                              <w:marTop w:val="0"/>
                              <w:marBottom w:val="0"/>
                              <w:divBdr>
                                <w:top w:val="none" w:sz="0" w:space="0" w:color="auto"/>
                                <w:left w:val="none" w:sz="0" w:space="0" w:color="auto"/>
                                <w:bottom w:val="none" w:sz="0" w:space="0" w:color="auto"/>
                                <w:right w:val="none" w:sz="0" w:space="0" w:color="auto"/>
                              </w:divBdr>
                              <w:divsChild>
                                <w:div w:id="2031831784">
                                  <w:marLeft w:val="0"/>
                                  <w:marRight w:val="0"/>
                                  <w:marTop w:val="0"/>
                                  <w:marBottom w:val="0"/>
                                  <w:divBdr>
                                    <w:top w:val="none" w:sz="0" w:space="0" w:color="auto"/>
                                    <w:left w:val="none" w:sz="0" w:space="0" w:color="auto"/>
                                    <w:bottom w:val="none" w:sz="0" w:space="0" w:color="auto"/>
                                    <w:right w:val="none" w:sz="0" w:space="0" w:color="auto"/>
                                  </w:divBdr>
                                  <w:divsChild>
                                    <w:div w:id="245263030">
                                      <w:marLeft w:val="0"/>
                                      <w:marRight w:val="0"/>
                                      <w:marTop w:val="0"/>
                                      <w:marBottom w:val="0"/>
                                      <w:divBdr>
                                        <w:top w:val="none" w:sz="0" w:space="0" w:color="auto"/>
                                        <w:left w:val="none" w:sz="0" w:space="0" w:color="auto"/>
                                        <w:bottom w:val="none" w:sz="0" w:space="0" w:color="auto"/>
                                        <w:right w:val="none" w:sz="0" w:space="0" w:color="auto"/>
                                      </w:divBdr>
                                      <w:divsChild>
                                        <w:div w:id="1684624964">
                                          <w:marLeft w:val="0"/>
                                          <w:marRight w:val="0"/>
                                          <w:marTop w:val="0"/>
                                          <w:marBottom w:val="0"/>
                                          <w:divBdr>
                                            <w:top w:val="none" w:sz="0" w:space="0" w:color="auto"/>
                                            <w:left w:val="none" w:sz="0" w:space="0" w:color="auto"/>
                                            <w:bottom w:val="none" w:sz="0" w:space="0" w:color="auto"/>
                                            <w:right w:val="none" w:sz="0" w:space="0" w:color="auto"/>
                                          </w:divBdr>
                                          <w:divsChild>
                                            <w:div w:id="1341471180">
                                              <w:marLeft w:val="0"/>
                                              <w:marRight w:val="0"/>
                                              <w:marTop w:val="0"/>
                                              <w:marBottom w:val="0"/>
                                              <w:divBdr>
                                                <w:top w:val="none" w:sz="0" w:space="0" w:color="auto"/>
                                                <w:left w:val="none" w:sz="0" w:space="0" w:color="auto"/>
                                                <w:bottom w:val="none" w:sz="0" w:space="0" w:color="auto"/>
                                                <w:right w:val="none" w:sz="0" w:space="0" w:color="auto"/>
                                              </w:divBdr>
                                              <w:divsChild>
                                                <w:div w:id="1461191939">
                                                  <w:marLeft w:val="0"/>
                                                  <w:marRight w:val="0"/>
                                                  <w:marTop w:val="0"/>
                                                  <w:marBottom w:val="0"/>
                                                  <w:divBdr>
                                                    <w:top w:val="none" w:sz="0" w:space="0" w:color="auto"/>
                                                    <w:left w:val="none" w:sz="0" w:space="0" w:color="auto"/>
                                                    <w:bottom w:val="none" w:sz="0" w:space="0" w:color="auto"/>
                                                    <w:right w:val="none" w:sz="0" w:space="0" w:color="auto"/>
                                                  </w:divBdr>
                                                  <w:divsChild>
                                                    <w:div w:id="603878490">
                                                      <w:marLeft w:val="0"/>
                                                      <w:marRight w:val="0"/>
                                                      <w:marTop w:val="0"/>
                                                      <w:marBottom w:val="0"/>
                                                      <w:divBdr>
                                                        <w:top w:val="none" w:sz="0" w:space="0" w:color="auto"/>
                                                        <w:left w:val="none" w:sz="0" w:space="0" w:color="auto"/>
                                                        <w:bottom w:val="none" w:sz="0" w:space="0" w:color="auto"/>
                                                        <w:right w:val="none" w:sz="0" w:space="0" w:color="auto"/>
                                                      </w:divBdr>
                                                      <w:divsChild>
                                                        <w:div w:id="1749381599">
                                                          <w:marLeft w:val="0"/>
                                                          <w:marRight w:val="0"/>
                                                          <w:marTop w:val="0"/>
                                                          <w:marBottom w:val="0"/>
                                                          <w:divBdr>
                                                            <w:top w:val="none" w:sz="0" w:space="0" w:color="auto"/>
                                                            <w:left w:val="none" w:sz="0" w:space="0" w:color="auto"/>
                                                            <w:bottom w:val="none" w:sz="0" w:space="0" w:color="auto"/>
                                                            <w:right w:val="none" w:sz="0" w:space="0" w:color="auto"/>
                                                          </w:divBdr>
                                                          <w:divsChild>
                                                            <w:div w:id="619803192">
                                                              <w:marLeft w:val="0"/>
                                                              <w:marRight w:val="150"/>
                                                              <w:marTop w:val="0"/>
                                                              <w:marBottom w:val="150"/>
                                                              <w:divBdr>
                                                                <w:top w:val="none" w:sz="0" w:space="0" w:color="auto"/>
                                                                <w:left w:val="none" w:sz="0" w:space="0" w:color="auto"/>
                                                                <w:bottom w:val="none" w:sz="0" w:space="0" w:color="auto"/>
                                                                <w:right w:val="none" w:sz="0" w:space="0" w:color="auto"/>
                                                              </w:divBdr>
                                                              <w:divsChild>
                                                                <w:div w:id="2060392424">
                                                                  <w:marLeft w:val="0"/>
                                                                  <w:marRight w:val="0"/>
                                                                  <w:marTop w:val="0"/>
                                                                  <w:marBottom w:val="0"/>
                                                                  <w:divBdr>
                                                                    <w:top w:val="none" w:sz="0" w:space="0" w:color="auto"/>
                                                                    <w:left w:val="none" w:sz="0" w:space="0" w:color="auto"/>
                                                                    <w:bottom w:val="none" w:sz="0" w:space="0" w:color="auto"/>
                                                                    <w:right w:val="none" w:sz="0" w:space="0" w:color="auto"/>
                                                                  </w:divBdr>
                                                                  <w:divsChild>
                                                                    <w:div w:id="1549564966">
                                                                      <w:marLeft w:val="0"/>
                                                                      <w:marRight w:val="0"/>
                                                                      <w:marTop w:val="0"/>
                                                                      <w:marBottom w:val="0"/>
                                                                      <w:divBdr>
                                                                        <w:top w:val="none" w:sz="0" w:space="0" w:color="auto"/>
                                                                        <w:left w:val="none" w:sz="0" w:space="0" w:color="auto"/>
                                                                        <w:bottom w:val="none" w:sz="0" w:space="0" w:color="auto"/>
                                                                        <w:right w:val="none" w:sz="0" w:space="0" w:color="auto"/>
                                                                      </w:divBdr>
                                                                      <w:divsChild>
                                                                        <w:div w:id="1213082156">
                                                                          <w:marLeft w:val="0"/>
                                                                          <w:marRight w:val="0"/>
                                                                          <w:marTop w:val="0"/>
                                                                          <w:marBottom w:val="0"/>
                                                                          <w:divBdr>
                                                                            <w:top w:val="none" w:sz="0" w:space="0" w:color="auto"/>
                                                                            <w:left w:val="none" w:sz="0" w:space="0" w:color="auto"/>
                                                                            <w:bottom w:val="none" w:sz="0" w:space="0" w:color="auto"/>
                                                                            <w:right w:val="none" w:sz="0" w:space="0" w:color="auto"/>
                                                                          </w:divBdr>
                                                                          <w:divsChild>
                                                                            <w:div w:id="1584756696">
                                                                              <w:marLeft w:val="0"/>
                                                                              <w:marRight w:val="0"/>
                                                                              <w:marTop w:val="0"/>
                                                                              <w:marBottom w:val="0"/>
                                                                              <w:divBdr>
                                                                                <w:top w:val="none" w:sz="0" w:space="0" w:color="auto"/>
                                                                                <w:left w:val="none" w:sz="0" w:space="0" w:color="auto"/>
                                                                                <w:bottom w:val="none" w:sz="0" w:space="0" w:color="auto"/>
                                                                                <w:right w:val="none" w:sz="0" w:space="0" w:color="auto"/>
                                                                              </w:divBdr>
                                                                              <w:divsChild>
                                                                                <w:div w:id="169831511">
                                                                                  <w:marLeft w:val="0"/>
                                                                                  <w:marRight w:val="0"/>
                                                                                  <w:marTop w:val="0"/>
                                                                                  <w:marBottom w:val="0"/>
                                                                                  <w:divBdr>
                                                                                    <w:top w:val="none" w:sz="0" w:space="0" w:color="auto"/>
                                                                                    <w:left w:val="none" w:sz="0" w:space="0" w:color="auto"/>
                                                                                    <w:bottom w:val="none" w:sz="0" w:space="0" w:color="auto"/>
                                                                                    <w:right w:val="none" w:sz="0" w:space="0" w:color="auto"/>
                                                                                  </w:divBdr>
                                                                                  <w:divsChild>
                                                                                    <w:div w:id="123542847">
                                                                                      <w:marLeft w:val="1440"/>
                                                                                      <w:marRight w:val="0"/>
                                                                                      <w:marTop w:val="0"/>
                                                                                      <w:marBottom w:val="0"/>
                                                                                      <w:divBdr>
                                                                                        <w:top w:val="none" w:sz="0" w:space="0" w:color="auto"/>
                                                                                        <w:left w:val="none" w:sz="0" w:space="0" w:color="auto"/>
                                                                                        <w:bottom w:val="none" w:sz="0" w:space="0" w:color="auto"/>
                                                                                        <w:right w:val="none" w:sz="0" w:space="0" w:color="auto"/>
                                                                                      </w:divBdr>
                                                                                    </w:div>
                                                                                    <w:div w:id="997466865">
                                                                                      <w:marLeft w:val="270"/>
                                                                                      <w:marRight w:val="0"/>
                                                                                      <w:marTop w:val="0"/>
                                                                                      <w:marBottom w:val="0"/>
                                                                                      <w:divBdr>
                                                                                        <w:top w:val="none" w:sz="0" w:space="0" w:color="auto"/>
                                                                                        <w:left w:val="none" w:sz="0" w:space="0" w:color="auto"/>
                                                                                        <w:bottom w:val="none" w:sz="0" w:space="0" w:color="auto"/>
                                                                                        <w:right w:val="none" w:sz="0" w:space="0" w:color="auto"/>
                                                                                      </w:divBdr>
                                                                                    </w:div>
                                                                                    <w:div w:id="145837989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534427">
      <w:bodyDiv w:val="1"/>
      <w:marLeft w:val="0"/>
      <w:marRight w:val="0"/>
      <w:marTop w:val="0"/>
      <w:marBottom w:val="0"/>
      <w:divBdr>
        <w:top w:val="none" w:sz="0" w:space="0" w:color="auto"/>
        <w:left w:val="none" w:sz="0" w:space="0" w:color="auto"/>
        <w:bottom w:val="none" w:sz="0" w:space="0" w:color="auto"/>
        <w:right w:val="none" w:sz="0" w:space="0" w:color="auto"/>
      </w:divBdr>
    </w:div>
    <w:div w:id="1262370992">
      <w:bodyDiv w:val="1"/>
      <w:marLeft w:val="0"/>
      <w:marRight w:val="0"/>
      <w:marTop w:val="0"/>
      <w:marBottom w:val="0"/>
      <w:divBdr>
        <w:top w:val="none" w:sz="0" w:space="0" w:color="auto"/>
        <w:left w:val="none" w:sz="0" w:space="0" w:color="auto"/>
        <w:bottom w:val="none" w:sz="0" w:space="0" w:color="auto"/>
        <w:right w:val="none" w:sz="0" w:space="0" w:color="auto"/>
      </w:divBdr>
    </w:div>
    <w:div w:id="1304386725">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10597015">
      <w:bodyDiv w:val="1"/>
      <w:marLeft w:val="0"/>
      <w:marRight w:val="0"/>
      <w:marTop w:val="0"/>
      <w:marBottom w:val="0"/>
      <w:divBdr>
        <w:top w:val="none" w:sz="0" w:space="0" w:color="auto"/>
        <w:left w:val="none" w:sz="0" w:space="0" w:color="auto"/>
        <w:bottom w:val="none" w:sz="0" w:space="0" w:color="auto"/>
        <w:right w:val="none" w:sz="0" w:space="0" w:color="auto"/>
      </w:divBdr>
      <w:divsChild>
        <w:div w:id="953512486">
          <w:marLeft w:val="0"/>
          <w:marRight w:val="0"/>
          <w:marTop w:val="0"/>
          <w:marBottom w:val="0"/>
          <w:divBdr>
            <w:top w:val="none" w:sz="0" w:space="0" w:color="auto"/>
            <w:left w:val="none" w:sz="0" w:space="0" w:color="auto"/>
            <w:bottom w:val="none" w:sz="0" w:space="0" w:color="auto"/>
            <w:right w:val="none" w:sz="0" w:space="0" w:color="auto"/>
          </w:divBdr>
          <w:divsChild>
            <w:div w:id="750540541">
              <w:marLeft w:val="0"/>
              <w:marRight w:val="0"/>
              <w:marTop w:val="0"/>
              <w:marBottom w:val="0"/>
              <w:divBdr>
                <w:top w:val="none" w:sz="0" w:space="0" w:color="auto"/>
                <w:left w:val="none" w:sz="0" w:space="0" w:color="auto"/>
                <w:bottom w:val="none" w:sz="0" w:space="0" w:color="auto"/>
                <w:right w:val="none" w:sz="0" w:space="0" w:color="auto"/>
              </w:divBdr>
              <w:divsChild>
                <w:div w:id="664939984">
                  <w:marLeft w:val="0"/>
                  <w:marRight w:val="0"/>
                  <w:marTop w:val="0"/>
                  <w:marBottom w:val="0"/>
                  <w:divBdr>
                    <w:top w:val="none" w:sz="0" w:space="0" w:color="auto"/>
                    <w:left w:val="none" w:sz="0" w:space="0" w:color="auto"/>
                    <w:bottom w:val="none" w:sz="0" w:space="0" w:color="auto"/>
                    <w:right w:val="none" w:sz="0" w:space="0" w:color="auto"/>
                  </w:divBdr>
                  <w:divsChild>
                    <w:div w:id="1673945016">
                      <w:marLeft w:val="0"/>
                      <w:marRight w:val="0"/>
                      <w:marTop w:val="0"/>
                      <w:marBottom w:val="0"/>
                      <w:divBdr>
                        <w:top w:val="none" w:sz="0" w:space="0" w:color="auto"/>
                        <w:left w:val="none" w:sz="0" w:space="0" w:color="auto"/>
                        <w:bottom w:val="none" w:sz="0" w:space="0" w:color="auto"/>
                        <w:right w:val="none" w:sz="0" w:space="0" w:color="auto"/>
                      </w:divBdr>
                      <w:divsChild>
                        <w:div w:id="135838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988326">
      <w:bodyDiv w:val="1"/>
      <w:marLeft w:val="0"/>
      <w:marRight w:val="0"/>
      <w:marTop w:val="0"/>
      <w:marBottom w:val="0"/>
      <w:divBdr>
        <w:top w:val="none" w:sz="0" w:space="0" w:color="auto"/>
        <w:left w:val="none" w:sz="0" w:space="0" w:color="auto"/>
        <w:bottom w:val="none" w:sz="0" w:space="0" w:color="auto"/>
        <w:right w:val="none" w:sz="0" w:space="0" w:color="auto"/>
      </w:divBdr>
    </w:div>
    <w:div w:id="1354573109">
      <w:bodyDiv w:val="1"/>
      <w:marLeft w:val="0"/>
      <w:marRight w:val="0"/>
      <w:marTop w:val="0"/>
      <w:marBottom w:val="0"/>
      <w:divBdr>
        <w:top w:val="none" w:sz="0" w:space="0" w:color="auto"/>
        <w:left w:val="none" w:sz="0" w:space="0" w:color="auto"/>
        <w:bottom w:val="none" w:sz="0" w:space="0" w:color="auto"/>
        <w:right w:val="none" w:sz="0" w:space="0" w:color="auto"/>
      </w:divBdr>
    </w:div>
    <w:div w:id="1364133499">
      <w:bodyDiv w:val="1"/>
      <w:marLeft w:val="0"/>
      <w:marRight w:val="0"/>
      <w:marTop w:val="0"/>
      <w:marBottom w:val="0"/>
      <w:divBdr>
        <w:top w:val="none" w:sz="0" w:space="0" w:color="auto"/>
        <w:left w:val="none" w:sz="0" w:space="0" w:color="auto"/>
        <w:bottom w:val="none" w:sz="0" w:space="0" w:color="auto"/>
        <w:right w:val="none" w:sz="0" w:space="0" w:color="auto"/>
      </w:divBdr>
    </w:div>
    <w:div w:id="1421218326">
      <w:bodyDiv w:val="1"/>
      <w:marLeft w:val="0"/>
      <w:marRight w:val="0"/>
      <w:marTop w:val="0"/>
      <w:marBottom w:val="0"/>
      <w:divBdr>
        <w:top w:val="none" w:sz="0" w:space="0" w:color="auto"/>
        <w:left w:val="none" w:sz="0" w:space="0" w:color="auto"/>
        <w:bottom w:val="none" w:sz="0" w:space="0" w:color="auto"/>
        <w:right w:val="none" w:sz="0" w:space="0" w:color="auto"/>
      </w:divBdr>
    </w:div>
    <w:div w:id="1482384666">
      <w:bodyDiv w:val="1"/>
      <w:marLeft w:val="0"/>
      <w:marRight w:val="0"/>
      <w:marTop w:val="0"/>
      <w:marBottom w:val="0"/>
      <w:divBdr>
        <w:top w:val="none" w:sz="0" w:space="0" w:color="auto"/>
        <w:left w:val="none" w:sz="0" w:space="0" w:color="auto"/>
        <w:bottom w:val="none" w:sz="0" w:space="0" w:color="auto"/>
        <w:right w:val="none" w:sz="0" w:space="0" w:color="auto"/>
      </w:divBdr>
      <w:divsChild>
        <w:div w:id="1628202761">
          <w:marLeft w:val="0"/>
          <w:marRight w:val="0"/>
          <w:marTop w:val="0"/>
          <w:marBottom w:val="0"/>
          <w:divBdr>
            <w:top w:val="none" w:sz="0" w:space="0" w:color="auto"/>
            <w:left w:val="none" w:sz="0" w:space="0" w:color="auto"/>
            <w:bottom w:val="none" w:sz="0" w:space="0" w:color="auto"/>
            <w:right w:val="none" w:sz="0" w:space="0" w:color="auto"/>
          </w:divBdr>
          <w:divsChild>
            <w:div w:id="876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88964">
      <w:bodyDiv w:val="1"/>
      <w:marLeft w:val="0"/>
      <w:marRight w:val="0"/>
      <w:marTop w:val="0"/>
      <w:marBottom w:val="0"/>
      <w:divBdr>
        <w:top w:val="none" w:sz="0" w:space="0" w:color="auto"/>
        <w:left w:val="none" w:sz="0" w:space="0" w:color="auto"/>
        <w:bottom w:val="none" w:sz="0" w:space="0" w:color="auto"/>
        <w:right w:val="none" w:sz="0" w:space="0" w:color="auto"/>
      </w:divBdr>
    </w:div>
    <w:div w:id="1520849464">
      <w:bodyDiv w:val="1"/>
      <w:marLeft w:val="0"/>
      <w:marRight w:val="0"/>
      <w:marTop w:val="0"/>
      <w:marBottom w:val="0"/>
      <w:divBdr>
        <w:top w:val="none" w:sz="0" w:space="0" w:color="auto"/>
        <w:left w:val="none" w:sz="0" w:space="0" w:color="auto"/>
        <w:bottom w:val="none" w:sz="0" w:space="0" w:color="auto"/>
        <w:right w:val="none" w:sz="0" w:space="0" w:color="auto"/>
      </w:divBdr>
    </w:div>
    <w:div w:id="1525710080">
      <w:bodyDiv w:val="1"/>
      <w:marLeft w:val="0"/>
      <w:marRight w:val="0"/>
      <w:marTop w:val="0"/>
      <w:marBottom w:val="0"/>
      <w:divBdr>
        <w:top w:val="none" w:sz="0" w:space="0" w:color="auto"/>
        <w:left w:val="none" w:sz="0" w:space="0" w:color="auto"/>
        <w:bottom w:val="none" w:sz="0" w:space="0" w:color="auto"/>
        <w:right w:val="none" w:sz="0" w:space="0" w:color="auto"/>
      </w:divBdr>
    </w:div>
    <w:div w:id="1531335323">
      <w:bodyDiv w:val="1"/>
      <w:marLeft w:val="0"/>
      <w:marRight w:val="0"/>
      <w:marTop w:val="0"/>
      <w:marBottom w:val="0"/>
      <w:divBdr>
        <w:top w:val="none" w:sz="0" w:space="0" w:color="auto"/>
        <w:left w:val="none" w:sz="0" w:space="0" w:color="auto"/>
        <w:bottom w:val="none" w:sz="0" w:space="0" w:color="auto"/>
        <w:right w:val="none" w:sz="0" w:space="0" w:color="auto"/>
      </w:divBdr>
    </w:div>
    <w:div w:id="1540900855">
      <w:bodyDiv w:val="1"/>
      <w:marLeft w:val="0"/>
      <w:marRight w:val="0"/>
      <w:marTop w:val="0"/>
      <w:marBottom w:val="0"/>
      <w:divBdr>
        <w:top w:val="none" w:sz="0" w:space="0" w:color="auto"/>
        <w:left w:val="none" w:sz="0" w:space="0" w:color="auto"/>
        <w:bottom w:val="none" w:sz="0" w:space="0" w:color="auto"/>
        <w:right w:val="none" w:sz="0" w:space="0" w:color="auto"/>
      </w:divBdr>
      <w:divsChild>
        <w:div w:id="1508059435">
          <w:marLeft w:val="0"/>
          <w:marRight w:val="0"/>
          <w:marTop w:val="0"/>
          <w:marBottom w:val="0"/>
          <w:divBdr>
            <w:top w:val="none" w:sz="0" w:space="0" w:color="auto"/>
            <w:left w:val="none" w:sz="0" w:space="0" w:color="auto"/>
            <w:bottom w:val="none" w:sz="0" w:space="0" w:color="auto"/>
            <w:right w:val="none" w:sz="0" w:space="0" w:color="auto"/>
          </w:divBdr>
        </w:div>
      </w:divsChild>
    </w:div>
    <w:div w:id="1563754922">
      <w:bodyDiv w:val="1"/>
      <w:marLeft w:val="0"/>
      <w:marRight w:val="0"/>
      <w:marTop w:val="0"/>
      <w:marBottom w:val="0"/>
      <w:divBdr>
        <w:top w:val="none" w:sz="0" w:space="0" w:color="auto"/>
        <w:left w:val="none" w:sz="0" w:space="0" w:color="auto"/>
        <w:bottom w:val="none" w:sz="0" w:space="0" w:color="auto"/>
        <w:right w:val="none" w:sz="0" w:space="0" w:color="auto"/>
      </w:divBdr>
    </w:div>
    <w:div w:id="1626962323">
      <w:bodyDiv w:val="1"/>
      <w:marLeft w:val="0"/>
      <w:marRight w:val="0"/>
      <w:marTop w:val="0"/>
      <w:marBottom w:val="0"/>
      <w:divBdr>
        <w:top w:val="none" w:sz="0" w:space="0" w:color="auto"/>
        <w:left w:val="none" w:sz="0" w:space="0" w:color="auto"/>
        <w:bottom w:val="none" w:sz="0" w:space="0" w:color="auto"/>
        <w:right w:val="none" w:sz="0" w:space="0" w:color="auto"/>
      </w:divBdr>
    </w:div>
    <w:div w:id="1656447671">
      <w:bodyDiv w:val="1"/>
      <w:marLeft w:val="0"/>
      <w:marRight w:val="0"/>
      <w:marTop w:val="0"/>
      <w:marBottom w:val="0"/>
      <w:divBdr>
        <w:top w:val="none" w:sz="0" w:space="0" w:color="auto"/>
        <w:left w:val="none" w:sz="0" w:space="0" w:color="auto"/>
        <w:bottom w:val="none" w:sz="0" w:space="0" w:color="auto"/>
        <w:right w:val="none" w:sz="0" w:space="0" w:color="auto"/>
      </w:divBdr>
    </w:div>
    <w:div w:id="1673294329">
      <w:bodyDiv w:val="1"/>
      <w:marLeft w:val="0"/>
      <w:marRight w:val="0"/>
      <w:marTop w:val="0"/>
      <w:marBottom w:val="0"/>
      <w:divBdr>
        <w:top w:val="none" w:sz="0" w:space="0" w:color="auto"/>
        <w:left w:val="none" w:sz="0" w:space="0" w:color="auto"/>
        <w:bottom w:val="none" w:sz="0" w:space="0" w:color="auto"/>
        <w:right w:val="none" w:sz="0" w:space="0" w:color="auto"/>
      </w:divBdr>
    </w:div>
    <w:div w:id="1728607524">
      <w:bodyDiv w:val="1"/>
      <w:marLeft w:val="0"/>
      <w:marRight w:val="0"/>
      <w:marTop w:val="0"/>
      <w:marBottom w:val="0"/>
      <w:divBdr>
        <w:top w:val="none" w:sz="0" w:space="0" w:color="auto"/>
        <w:left w:val="none" w:sz="0" w:space="0" w:color="auto"/>
        <w:bottom w:val="none" w:sz="0" w:space="0" w:color="auto"/>
        <w:right w:val="none" w:sz="0" w:space="0" w:color="auto"/>
      </w:divBdr>
      <w:divsChild>
        <w:div w:id="1466117830">
          <w:marLeft w:val="0"/>
          <w:marRight w:val="0"/>
          <w:marTop w:val="0"/>
          <w:marBottom w:val="0"/>
          <w:divBdr>
            <w:top w:val="none" w:sz="0" w:space="0" w:color="auto"/>
            <w:left w:val="none" w:sz="0" w:space="0" w:color="auto"/>
            <w:bottom w:val="none" w:sz="0" w:space="0" w:color="auto"/>
            <w:right w:val="none" w:sz="0" w:space="0" w:color="auto"/>
          </w:divBdr>
          <w:divsChild>
            <w:div w:id="1984499145">
              <w:marLeft w:val="0"/>
              <w:marRight w:val="0"/>
              <w:marTop w:val="0"/>
              <w:marBottom w:val="0"/>
              <w:divBdr>
                <w:top w:val="none" w:sz="0" w:space="0" w:color="auto"/>
                <w:left w:val="none" w:sz="0" w:space="0" w:color="auto"/>
                <w:bottom w:val="none" w:sz="0" w:space="0" w:color="auto"/>
                <w:right w:val="none" w:sz="0" w:space="0" w:color="auto"/>
              </w:divBdr>
              <w:divsChild>
                <w:div w:id="730617892">
                  <w:marLeft w:val="0"/>
                  <w:marRight w:val="0"/>
                  <w:marTop w:val="0"/>
                  <w:marBottom w:val="0"/>
                  <w:divBdr>
                    <w:top w:val="none" w:sz="0" w:space="0" w:color="auto"/>
                    <w:left w:val="none" w:sz="0" w:space="0" w:color="auto"/>
                    <w:bottom w:val="none" w:sz="0" w:space="0" w:color="auto"/>
                    <w:right w:val="none" w:sz="0" w:space="0" w:color="auto"/>
                  </w:divBdr>
                  <w:divsChild>
                    <w:div w:id="519975463">
                      <w:marLeft w:val="0"/>
                      <w:marRight w:val="0"/>
                      <w:marTop w:val="0"/>
                      <w:marBottom w:val="0"/>
                      <w:divBdr>
                        <w:top w:val="none" w:sz="0" w:space="0" w:color="auto"/>
                        <w:left w:val="none" w:sz="0" w:space="0" w:color="auto"/>
                        <w:bottom w:val="none" w:sz="0" w:space="0" w:color="auto"/>
                        <w:right w:val="none" w:sz="0" w:space="0" w:color="auto"/>
                      </w:divBdr>
                      <w:divsChild>
                        <w:div w:id="192433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017498">
      <w:bodyDiv w:val="1"/>
      <w:marLeft w:val="0"/>
      <w:marRight w:val="0"/>
      <w:marTop w:val="0"/>
      <w:marBottom w:val="0"/>
      <w:divBdr>
        <w:top w:val="none" w:sz="0" w:space="0" w:color="auto"/>
        <w:left w:val="none" w:sz="0" w:space="0" w:color="auto"/>
        <w:bottom w:val="none" w:sz="0" w:space="0" w:color="auto"/>
        <w:right w:val="none" w:sz="0" w:space="0" w:color="auto"/>
      </w:divBdr>
    </w:div>
    <w:div w:id="1799105609">
      <w:bodyDiv w:val="1"/>
      <w:marLeft w:val="0"/>
      <w:marRight w:val="0"/>
      <w:marTop w:val="0"/>
      <w:marBottom w:val="0"/>
      <w:divBdr>
        <w:top w:val="none" w:sz="0" w:space="0" w:color="auto"/>
        <w:left w:val="none" w:sz="0" w:space="0" w:color="auto"/>
        <w:bottom w:val="none" w:sz="0" w:space="0" w:color="auto"/>
        <w:right w:val="none" w:sz="0" w:space="0" w:color="auto"/>
      </w:divBdr>
    </w:div>
    <w:div w:id="1816751782">
      <w:bodyDiv w:val="1"/>
      <w:marLeft w:val="0"/>
      <w:marRight w:val="0"/>
      <w:marTop w:val="0"/>
      <w:marBottom w:val="0"/>
      <w:divBdr>
        <w:top w:val="none" w:sz="0" w:space="0" w:color="auto"/>
        <w:left w:val="none" w:sz="0" w:space="0" w:color="auto"/>
        <w:bottom w:val="none" w:sz="0" w:space="0" w:color="auto"/>
        <w:right w:val="none" w:sz="0" w:space="0" w:color="auto"/>
      </w:divBdr>
      <w:divsChild>
        <w:div w:id="1096169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8429">
      <w:bodyDiv w:val="1"/>
      <w:marLeft w:val="0"/>
      <w:marRight w:val="0"/>
      <w:marTop w:val="0"/>
      <w:marBottom w:val="0"/>
      <w:divBdr>
        <w:top w:val="none" w:sz="0" w:space="0" w:color="auto"/>
        <w:left w:val="none" w:sz="0" w:space="0" w:color="auto"/>
        <w:bottom w:val="none" w:sz="0" w:space="0" w:color="auto"/>
        <w:right w:val="none" w:sz="0" w:space="0" w:color="auto"/>
      </w:divBdr>
    </w:div>
    <w:div w:id="1973517230">
      <w:bodyDiv w:val="1"/>
      <w:marLeft w:val="0"/>
      <w:marRight w:val="0"/>
      <w:marTop w:val="0"/>
      <w:marBottom w:val="0"/>
      <w:divBdr>
        <w:top w:val="none" w:sz="0" w:space="0" w:color="auto"/>
        <w:left w:val="none" w:sz="0" w:space="0" w:color="auto"/>
        <w:bottom w:val="none" w:sz="0" w:space="0" w:color="auto"/>
        <w:right w:val="none" w:sz="0" w:space="0" w:color="auto"/>
      </w:divBdr>
    </w:div>
    <w:div w:id="2019505196">
      <w:bodyDiv w:val="1"/>
      <w:marLeft w:val="0"/>
      <w:marRight w:val="0"/>
      <w:marTop w:val="0"/>
      <w:marBottom w:val="0"/>
      <w:divBdr>
        <w:top w:val="none" w:sz="0" w:space="0" w:color="auto"/>
        <w:left w:val="none" w:sz="0" w:space="0" w:color="auto"/>
        <w:bottom w:val="none" w:sz="0" w:space="0" w:color="auto"/>
        <w:right w:val="none" w:sz="0" w:space="0" w:color="auto"/>
      </w:divBdr>
      <w:divsChild>
        <w:div w:id="1490635647">
          <w:marLeft w:val="0"/>
          <w:marRight w:val="0"/>
          <w:marTop w:val="0"/>
          <w:marBottom w:val="0"/>
          <w:divBdr>
            <w:top w:val="none" w:sz="0" w:space="0" w:color="auto"/>
            <w:left w:val="none" w:sz="0" w:space="0" w:color="auto"/>
            <w:bottom w:val="none" w:sz="0" w:space="0" w:color="auto"/>
            <w:right w:val="none" w:sz="0" w:space="0" w:color="auto"/>
          </w:divBdr>
          <w:divsChild>
            <w:div w:id="1551266056">
              <w:marLeft w:val="0"/>
              <w:marRight w:val="0"/>
              <w:marTop w:val="0"/>
              <w:marBottom w:val="0"/>
              <w:divBdr>
                <w:top w:val="none" w:sz="0" w:space="0" w:color="auto"/>
                <w:left w:val="none" w:sz="0" w:space="0" w:color="auto"/>
                <w:bottom w:val="none" w:sz="0" w:space="0" w:color="auto"/>
                <w:right w:val="none" w:sz="0" w:space="0" w:color="auto"/>
              </w:divBdr>
              <w:divsChild>
                <w:div w:id="2063210493">
                  <w:marLeft w:val="0"/>
                  <w:marRight w:val="0"/>
                  <w:marTop w:val="0"/>
                  <w:marBottom w:val="0"/>
                  <w:divBdr>
                    <w:top w:val="none" w:sz="0" w:space="0" w:color="auto"/>
                    <w:left w:val="none" w:sz="0" w:space="0" w:color="auto"/>
                    <w:bottom w:val="none" w:sz="0" w:space="0" w:color="auto"/>
                    <w:right w:val="none" w:sz="0" w:space="0" w:color="auto"/>
                  </w:divBdr>
                  <w:divsChild>
                    <w:div w:id="1786343298">
                      <w:marLeft w:val="0"/>
                      <w:marRight w:val="0"/>
                      <w:marTop w:val="0"/>
                      <w:marBottom w:val="0"/>
                      <w:divBdr>
                        <w:top w:val="none" w:sz="0" w:space="0" w:color="auto"/>
                        <w:left w:val="none" w:sz="0" w:space="0" w:color="auto"/>
                        <w:bottom w:val="none" w:sz="0" w:space="0" w:color="auto"/>
                        <w:right w:val="none" w:sz="0" w:space="0" w:color="auto"/>
                      </w:divBdr>
                      <w:divsChild>
                        <w:div w:id="8289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812136">
      <w:bodyDiv w:val="1"/>
      <w:marLeft w:val="0"/>
      <w:marRight w:val="0"/>
      <w:marTop w:val="0"/>
      <w:marBottom w:val="0"/>
      <w:divBdr>
        <w:top w:val="none" w:sz="0" w:space="0" w:color="auto"/>
        <w:left w:val="none" w:sz="0" w:space="0" w:color="auto"/>
        <w:bottom w:val="none" w:sz="0" w:space="0" w:color="auto"/>
        <w:right w:val="none" w:sz="0" w:space="0" w:color="auto"/>
      </w:divBdr>
      <w:divsChild>
        <w:div w:id="25817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32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hioauditor.gov/publications/bulletins/technical-bulletins.html" TargetMode="External"/><Relationship Id="rId117" Type="http://schemas.openxmlformats.org/officeDocument/2006/relationships/hyperlink" Target="http://codes.ohio.gov/orc/3313.25" TargetMode="External"/><Relationship Id="rId21" Type="http://schemas.openxmlformats.org/officeDocument/2006/relationships/hyperlink" Target="mailto:ipareport@ohioauditor.gov" TargetMode="External"/><Relationship Id="rId42" Type="http://schemas.openxmlformats.org/officeDocument/2006/relationships/hyperlink" Target="https://ohioauditor.gov/resources/federal_general.html" TargetMode="External"/><Relationship Id="rId47" Type="http://schemas.openxmlformats.org/officeDocument/2006/relationships/header" Target="header16.xml"/><Relationship Id="rId63" Type="http://schemas.openxmlformats.org/officeDocument/2006/relationships/hyperlink" Target="https://codes.ohio.gov/ohio-revised-code/section-955.12" TargetMode="External"/><Relationship Id="rId68" Type="http://schemas.openxmlformats.org/officeDocument/2006/relationships/hyperlink" Target="http://codes.ohio.gov/orc/2303.02" TargetMode="External"/><Relationship Id="rId84" Type="http://schemas.openxmlformats.org/officeDocument/2006/relationships/hyperlink" Target="http://codes.ohio.gov/orc/2152.42" TargetMode="External"/><Relationship Id="rId89" Type="http://schemas.openxmlformats.org/officeDocument/2006/relationships/hyperlink" Target="http://codes.ohio.gov/orc/3375.36" TargetMode="External"/><Relationship Id="rId112" Type="http://schemas.openxmlformats.org/officeDocument/2006/relationships/hyperlink" Target="http://codes.ohio.gov/orc/705.60" TargetMode="External"/><Relationship Id="rId133" Type="http://schemas.openxmlformats.org/officeDocument/2006/relationships/hyperlink" Target="http://codes.ohio.gov/orc/1907.20" TargetMode="External"/><Relationship Id="rId138" Type="http://schemas.openxmlformats.org/officeDocument/2006/relationships/hyperlink" Target="http://codes.ohio.gov/orc/505.03v1" TargetMode="External"/><Relationship Id="rId154" Type="http://schemas.openxmlformats.org/officeDocument/2006/relationships/header" Target="header20.xml"/><Relationship Id="rId159" Type="http://schemas.openxmlformats.org/officeDocument/2006/relationships/header" Target="header22.xml"/><Relationship Id="rId16" Type="http://schemas.openxmlformats.org/officeDocument/2006/relationships/header" Target="header5.xml"/><Relationship Id="rId107" Type="http://schemas.openxmlformats.org/officeDocument/2006/relationships/hyperlink" Target="http://codes.ohio.gov/orc/507.02v1" TargetMode="External"/><Relationship Id="rId11" Type="http://schemas.openxmlformats.org/officeDocument/2006/relationships/header" Target="header1.xml"/><Relationship Id="rId32" Type="http://schemas.openxmlformats.org/officeDocument/2006/relationships/header" Target="header9.xml"/><Relationship Id="rId37" Type="http://schemas.openxmlformats.org/officeDocument/2006/relationships/hyperlink" Target="http://www.ohioauditor.gov/" TargetMode="External"/><Relationship Id="rId53" Type="http://schemas.openxmlformats.org/officeDocument/2006/relationships/hyperlink" Target="http://codes.ohio.gov/orc/1545.05" TargetMode="External"/><Relationship Id="rId58" Type="http://schemas.openxmlformats.org/officeDocument/2006/relationships/hyperlink" Target="https://codes.ohio.gov/ohio-revised-code/section-325.071" TargetMode="External"/><Relationship Id="rId74" Type="http://schemas.openxmlformats.org/officeDocument/2006/relationships/hyperlink" Target="http://codes.ohio.gov/orc/509.02" TargetMode="External"/><Relationship Id="rId79" Type="http://schemas.openxmlformats.org/officeDocument/2006/relationships/hyperlink" Target="http://codes.ohio.gov/orc/1901.32" TargetMode="External"/><Relationship Id="rId102" Type="http://schemas.openxmlformats.org/officeDocument/2006/relationships/hyperlink" Target="http://codes.ohio.gov/orc/321.02" TargetMode="External"/><Relationship Id="rId123" Type="http://schemas.openxmlformats.org/officeDocument/2006/relationships/hyperlink" Target="http://codes.ohio.gov/orc/306.42" TargetMode="External"/><Relationship Id="rId128" Type="http://schemas.openxmlformats.org/officeDocument/2006/relationships/hyperlink" Target="http://codes.ohio.gov/orc/345.10" TargetMode="External"/><Relationship Id="rId144" Type="http://schemas.openxmlformats.org/officeDocument/2006/relationships/hyperlink" Target="http://codes.ohio.gov/orc/1901.311" TargetMode="External"/><Relationship Id="rId149" Type="http://schemas.openxmlformats.org/officeDocument/2006/relationships/header" Target="header18.xml"/><Relationship Id="rId5" Type="http://schemas.openxmlformats.org/officeDocument/2006/relationships/numbering" Target="numbering.xml"/><Relationship Id="rId90" Type="http://schemas.openxmlformats.org/officeDocument/2006/relationships/hyperlink" Target="http://codes.ohio.gov/orc/3358.06" TargetMode="External"/><Relationship Id="rId95" Type="http://schemas.openxmlformats.org/officeDocument/2006/relationships/hyperlink" Target="http://codes.ohio.gov/orc/505.372v1" TargetMode="External"/><Relationship Id="rId160" Type="http://schemas.openxmlformats.org/officeDocument/2006/relationships/hyperlink" Target="https://ohioauditor.gov/references/compliancemanuals.html" TargetMode="External"/><Relationship Id="rId165" Type="http://schemas.openxmlformats.org/officeDocument/2006/relationships/theme" Target="theme/theme1.xml"/><Relationship Id="rId22" Type="http://schemas.openxmlformats.org/officeDocument/2006/relationships/hyperlink" Target="http://www.ohioauditor.gov/publications/bulletins/technical-bulletins.html" TargetMode="External"/><Relationship Id="rId27" Type="http://schemas.openxmlformats.org/officeDocument/2006/relationships/hyperlink" Target="mailto:ipareport@ohioauditor.gov" TargetMode="External"/><Relationship Id="rId43" Type="http://schemas.openxmlformats.org/officeDocument/2006/relationships/header" Target="header12.xml"/><Relationship Id="rId48" Type="http://schemas.openxmlformats.org/officeDocument/2006/relationships/header" Target="header17.xml"/><Relationship Id="rId64" Type="http://schemas.openxmlformats.org/officeDocument/2006/relationships/hyperlink" Target="http://codes.ohio.gov/orc/1907.20" TargetMode="External"/><Relationship Id="rId69" Type="http://schemas.openxmlformats.org/officeDocument/2006/relationships/hyperlink" Target="http://codes.ohio.gov/orc/5153.13" TargetMode="External"/><Relationship Id="rId113" Type="http://schemas.openxmlformats.org/officeDocument/2006/relationships/hyperlink" Target="http://codes.ohio.gov/orc/733.65" TargetMode="External"/><Relationship Id="rId118" Type="http://schemas.openxmlformats.org/officeDocument/2006/relationships/hyperlink" Target="http://codes.ohio.gov/orc/3319.05" TargetMode="External"/><Relationship Id="rId134" Type="http://schemas.openxmlformats.org/officeDocument/2006/relationships/hyperlink" Target="http://codes.ohio.gov/orc/1907.20" TargetMode="External"/><Relationship Id="rId139" Type="http://schemas.openxmlformats.org/officeDocument/2006/relationships/hyperlink" Target="http://codes.ohio.gov/orc/507.021v1" TargetMode="External"/><Relationship Id="rId80" Type="http://schemas.openxmlformats.org/officeDocument/2006/relationships/hyperlink" Target="http://codes.ohio.gov/orc/1901.32" TargetMode="External"/><Relationship Id="rId85" Type="http://schemas.openxmlformats.org/officeDocument/2006/relationships/hyperlink" Target="http://codes.ohio.gov/orc/308.12" TargetMode="External"/><Relationship Id="rId150" Type="http://schemas.openxmlformats.org/officeDocument/2006/relationships/header" Target="header19.xml"/><Relationship Id="rId155" Type="http://schemas.openxmlformats.org/officeDocument/2006/relationships/hyperlink" Target="https://ohioauditor.gov/references/compliancemanuals.html" TargetMode="External"/><Relationship Id="rId12" Type="http://schemas.openxmlformats.org/officeDocument/2006/relationships/footer" Target="footer1.xml"/><Relationship Id="rId17" Type="http://schemas.openxmlformats.org/officeDocument/2006/relationships/hyperlink" Target="http://www.ohioauditor.gov/publications/bulletins/technical-bulletins.html" TargetMode="External"/><Relationship Id="rId33" Type="http://schemas.openxmlformats.org/officeDocument/2006/relationships/hyperlink" Target="https://ohioauditor.gov/financial.html" TargetMode="External"/><Relationship Id="rId38" Type="http://schemas.openxmlformats.org/officeDocument/2006/relationships/header" Target="header11.xml"/><Relationship Id="rId59" Type="http://schemas.openxmlformats.org/officeDocument/2006/relationships/hyperlink" Target="http://codes.ohio.gov/orc/313.03" TargetMode="External"/><Relationship Id="rId103" Type="http://schemas.openxmlformats.org/officeDocument/2006/relationships/hyperlink" Target="http://codes.ohio.gov/orc/329.01" TargetMode="External"/><Relationship Id="rId108" Type="http://schemas.openxmlformats.org/officeDocument/2006/relationships/hyperlink" Target="http://codes.ohio.gov/orc/511.232" TargetMode="External"/><Relationship Id="rId124" Type="http://schemas.openxmlformats.org/officeDocument/2006/relationships/hyperlink" Target="http://codes.ohio.gov/orc/3375.92" TargetMode="External"/><Relationship Id="rId129" Type="http://schemas.openxmlformats.org/officeDocument/2006/relationships/hyperlink" Target="http://codes.ohio.gov/orc/759.06" TargetMode="External"/><Relationship Id="rId54" Type="http://schemas.openxmlformats.org/officeDocument/2006/relationships/hyperlink" Target="http://codes.ohio.gov/orc/305.04" TargetMode="External"/><Relationship Id="rId70" Type="http://schemas.openxmlformats.org/officeDocument/2006/relationships/hyperlink" Target="http://codes.ohio.gov/orc/5593.05" TargetMode="External"/><Relationship Id="rId75" Type="http://schemas.openxmlformats.org/officeDocument/2006/relationships/hyperlink" Target="http://codes.ohio.gov/orc/519.161" TargetMode="External"/><Relationship Id="rId91" Type="http://schemas.openxmlformats.org/officeDocument/2006/relationships/hyperlink" Target="https://codes.ohio.gov/ohio-revised-code/section-3345.04" TargetMode="External"/><Relationship Id="rId96" Type="http://schemas.openxmlformats.org/officeDocument/2006/relationships/hyperlink" Target="http://codes.ohio.gov/orc/505.375v1" TargetMode="External"/><Relationship Id="rId140" Type="http://schemas.openxmlformats.org/officeDocument/2006/relationships/hyperlink" Target="http://codes.ohio.gov/orc/733.69" TargetMode="External"/><Relationship Id="rId145" Type="http://schemas.openxmlformats.org/officeDocument/2006/relationships/hyperlink" Target="http://codes.ohio.gov/orc/705.27" TargetMode="External"/><Relationship Id="rId161" Type="http://schemas.openxmlformats.org/officeDocument/2006/relationships/header" Target="header23.xml"/><Relationship Id="rId16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yperlink" Target="http://www.ohioauditor.gov/publications/bulletins/technical-bulletins.html" TargetMode="External"/><Relationship Id="rId28" Type="http://schemas.openxmlformats.org/officeDocument/2006/relationships/hyperlink" Target="mailto:ipareport@ohioauditor.gov" TargetMode="External"/><Relationship Id="rId36" Type="http://schemas.openxmlformats.org/officeDocument/2006/relationships/header" Target="header10.xml"/><Relationship Id="rId49" Type="http://schemas.openxmlformats.org/officeDocument/2006/relationships/hyperlink" Target="https://ohioauditor.gov/ocs/2022/ORC_3.061_Dishonesty_and_faithful_performance_of_duty_policy_FAQs_2021.pdf" TargetMode="External"/><Relationship Id="rId57" Type="http://schemas.openxmlformats.org/officeDocument/2006/relationships/hyperlink" Target="http://codes.ohio.gov/orc/311.02" TargetMode="External"/><Relationship Id="rId106" Type="http://schemas.openxmlformats.org/officeDocument/2006/relationships/hyperlink" Target="http://codes.ohio.gov/orc/5155.04" TargetMode="External"/><Relationship Id="rId114" Type="http://schemas.openxmlformats.org/officeDocument/2006/relationships/hyperlink" Target="http://codes.ohio.gov/orc/739.02" TargetMode="External"/><Relationship Id="rId119" Type="http://schemas.openxmlformats.org/officeDocument/2006/relationships/hyperlink" Target="http://codes.ohio.gov/orc/3327.10" TargetMode="External"/><Relationship Id="rId127" Type="http://schemas.openxmlformats.org/officeDocument/2006/relationships/hyperlink" Target="http://codes.ohio.gov/orc/6105.10" TargetMode="External"/><Relationship Id="rId10" Type="http://schemas.openxmlformats.org/officeDocument/2006/relationships/endnotes" Target="endnotes.xml"/><Relationship Id="rId31" Type="http://schemas.openxmlformats.org/officeDocument/2006/relationships/header" Target="header8.xml"/><Relationship Id="rId44" Type="http://schemas.openxmlformats.org/officeDocument/2006/relationships/header" Target="header13.xml"/><Relationship Id="rId52" Type="http://schemas.openxmlformats.org/officeDocument/2006/relationships/hyperlink" Target="http://codes.ohio.gov/orc/755.23" TargetMode="External"/><Relationship Id="rId60" Type="http://schemas.openxmlformats.org/officeDocument/2006/relationships/hyperlink" Target="http://codes.ohio.gov/orc/315.03" TargetMode="External"/><Relationship Id="rId65" Type="http://schemas.openxmlformats.org/officeDocument/2006/relationships/hyperlink" Target="http://codes.ohio.gov/orc/2101.03" TargetMode="External"/><Relationship Id="rId73" Type="http://schemas.openxmlformats.org/officeDocument/2006/relationships/hyperlink" Target="http://codes.ohio.gov/orc/507.03" TargetMode="External"/><Relationship Id="rId78" Type="http://schemas.openxmlformats.org/officeDocument/2006/relationships/hyperlink" Target="http://codes.ohio.gov/orc/755.23" TargetMode="External"/><Relationship Id="rId81" Type="http://schemas.openxmlformats.org/officeDocument/2006/relationships/hyperlink" Target="http://codes.ohio.gov/orc/1901.31v1" TargetMode="External"/><Relationship Id="rId86" Type="http://schemas.openxmlformats.org/officeDocument/2006/relationships/hyperlink" Target="http://codes.ohio.gov/orc/940.05" TargetMode="External"/><Relationship Id="rId94" Type="http://schemas.openxmlformats.org/officeDocument/2006/relationships/hyperlink" Target="http://codes.ohio.gov/orc/505.71" TargetMode="External"/><Relationship Id="rId99" Type="http://schemas.openxmlformats.org/officeDocument/2006/relationships/hyperlink" Target="http://codes.ohio.gov/orc/4582.15" TargetMode="External"/><Relationship Id="rId101" Type="http://schemas.openxmlformats.org/officeDocument/2006/relationships/hyperlink" Target="http://codes.ohio.gov/orc/153.24" TargetMode="External"/><Relationship Id="rId122" Type="http://schemas.openxmlformats.org/officeDocument/2006/relationships/hyperlink" Target="http://codes.ohio.gov/orc/5153.41" TargetMode="External"/><Relationship Id="rId130" Type="http://schemas.openxmlformats.org/officeDocument/2006/relationships/hyperlink" Target="http://codes.ohio.gov/orc/6101.12" TargetMode="External"/><Relationship Id="rId135" Type="http://schemas.openxmlformats.org/officeDocument/2006/relationships/hyperlink" Target="http://codes.ohio.gov/orc/2101.06v1" TargetMode="External"/><Relationship Id="rId143" Type="http://schemas.openxmlformats.org/officeDocument/2006/relationships/hyperlink" Target="http://codes.ohio.gov/orc/1901.31v1" TargetMode="External"/><Relationship Id="rId148" Type="http://schemas.openxmlformats.org/officeDocument/2006/relationships/hyperlink" Target="http://codes.ohio.gov/orc/gp3.06" TargetMode="External"/><Relationship Id="rId151" Type="http://schemas.openxmlformats.org/officeDocument/2006/relationships/hyperlink" Target="https://ohioauditor.gov/publications/bulletins/2019/2019-001-rev.pdf" TargetMode="External"/><Relationship Id="rId156" Type="http://schemas.openxmlformats.org/officeDocument/2006/relationships/header" Target="header21.xml"/><Relationship Id="rId16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hyperlink" Target="http://www.ohioauditor.gov/publications/bulletins/technical-bulletins.html" TargetMode="External"/><Relationship Id="rId109" Type="http://schemas.openxmlformats.org/officeDocument/2006/relationships/hyperlink" Target="http://codes.ohio.gov/orc/705.27" TargetMode="External"/><Relationship Id="rId34" Type="http://schemas.openxmlformats.org/officeDocument/2006/relationships/hyperlink" Target="mailto:IPAreport@ohioauditor.gov" TargetMode="External"/><Relationship Id="rId50" Type="http://schemas.openxmlformats.org/officeDocument/2006/relationships/hyperlink" Target="http://codes.ohio.gov/orc/759.36v1" TargetMode="External"/><Relationship Id="rId55" Type="http://schemas.openxmlformats.org/officeDocument/2006/relationships/hyperlink" Target="http://codes.ohio.gov/orc/309.03" TargetMode="External"/><Relationship Id="rId76" Type="http://schemas.openxmlformats.org/officeDocument/2006/relationships/hyperlink" Target="http://codes.ohio.gov/orc/5571.04" TargetMode="External"/><Relationship Id="rId97" Type="http://schemas.openxmlformats.org/officeDocument/2006/relationships/hyperlink" Target="http://codes.ohio.gov/orc/505.484v1" TargetMode="External"/><Relationship Id="rId104" Type="http://schemas.openxmlformats.org/officeDocument/2006/relationships/hyperlink" Target="http://codes.ohio.gov/orc/2151.12" TargetMode="External"/><Relationship Id="rId120" Type="http://schemas.openxmlformats.org/officeDocument/2006/relationships/hyperlink" Target="http://codes.ohio.gov/orc/3314.011" TargetMode="External"/><Relationship Id="rId125" Type="http://schemas.openxmlformats.org/officeDocument/2006/relationships/hyperlink" Target="http://codes.ohio.gov/orc/6115.51" TargetMode="External"/><Relationship Id="rId141" Type="http://schemas.openxmlformats.org/officeDocument/2006/relationships/hyperlink" Target="http://codes.ohio.gov/orc/705.27" TargetMode="External"/><Relationship Id="rId146" Type="http://schemas.openxmlformats.org/officeDocument/2006/relationships/hyperlink" Target="http://codes.ohio.gov/orc/733.69" TargetMode="External"/><Relationship Id="rId167" Type="http://schemas.microsoft.com/office/2020/10/relationships/intelligence" Target="intelligence2.xml"/><Relationship Id="rId7" Type="http://schemas.openxmlformats.org/officeDocument/2006/relationships/settings" Target="settings.xml"/><Relationship Id="rId71" Type="http://schemas.openxmlformats.org/officeDocument/2006/relationships/hyperlink" Target="http://codes.ohio.gov/orc/6115.57" TargetMode="External"/><Relationship Id="rId92" Type="http://schemas.openxmlformats.org/officeDocument/2006/relationships/hyperlink" Target="https://codes.ohio.gov/ohio-revised-code/section-3345.04" TargetMode="External"/><Relationship Id="rId162" Type="http://schemas.openxmlformats.org/officeDocument/2006/relationships/hyperlink" Target="https://ohioauditor.gov/contact/inquiry.aspx"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s://ohauditor.sharepoint.com/sites/Intranet/Shared%20Documents/Forms/AllItems.aspx?csf=1&amp;web=1&amp;e=fu8fQM&amp;clickparams=eyAiWC1BcHBOYW1lIiA6ICJNaWNyb3NvZnQgT3V0bG9vayIsICJYLUFwcFZlcnNpb24iIDogIjE2LjAuMTc5MjguMjAyMTYiLCAiT1MiIDogIldpbmRvd3MiIH0%3D&amp;CID=17c963a1%2D8094%2D6000%2Df45e%2Da1e31c4f431c&amp;cidOR=SPO&amp;FolderCTID=0x0120002FFBFB1F4A3C3F47AE37C7A44E1C1EDE&amp;id=%2Fsites%2FIntranet%2FShared%20Documents%2FAudit%5FResources%2FOhio%5FCompliance%5FSupplement" TargetMode="External"/><Relationship Id="rId40" Type="http://schemas.openxmlformats.org/officeDocument/2006/relationships/hyperlink" Target="https://www.ohioauditor.gov/publications/bulletins/technical-bulletins.html" TargetMode="External"/><Relationship Id="rId45" Type="http://schemas.openxmlformats.org/officeDocument/2006/relationships/header" Target="header14.xml"/><Relationship Id="rId66" Type="http://schemas.openxmlformats.org/officeDocument/2006/relationships/hyperlink" Target="http://codes.ohio.gov/orc/2153.10v1" TargetMode="External"/><Relationship Id="rId87" Type="http://schemas.openxmlformats.org/officeDocument/2006/relationships/hyperlink" Target="http://codes.ohio.gov/orc/6101.58v1" TargetMode="External"/><Relationship Id="rId110" Type="http://schemas.openxmlformats.org/officeDocument/2006/relationships/hyperlink" Target="http://codes.ohio.gov/orc/739.02" TargetMode="External"/><Relationship Id="rId115" Type="http://schemas.openxmlformats.org/officeDocument/2006/relationships/hyperlink" Target="https://codes.ohio.gov/ohio-revised-code/section-747.01" TargetMode="External"/><Relationship Id="rId131" Type="http://schemas.openxmlformats.org/officeDocument/2006/relationships/hyperlink" Target="http://codes.ohio.gov/orc/329.01" TargetMode="External"/><Relationship Id="rId136" Type="http://schemas.openxmlformats.org/officeDocument/2006/relationships/hyperlink" Target="http://codes.ohio.gov/orc/2101.11v1" TargetMode="External"/><Relationship Id="rId157" Type="http://schemas.openxmlformats.org/officeDocument/2006/relationships/footer" Target="footer2.xml"/><Relationship Id="rId61" Type="http://schemas.openxmlformats.org/officeDocument/2006/relationships/hyperlink" Target="http://codes.ohio.gov/orc/317.02" TargetMode="External"/><Relationship Id="rId82" Type="http://schemas.openxmlformats.org/officeDocument/2006/relationships/hyperlink" Target="http://codes.ohio.gov/orc/349.04" TargetMode="External"/><Relationship Id="rId152" Type="http://schemas.openxmlformats.org/officeDocument/2006/relationships/hyperlink" Target="https://www.ohioauditor.gov/publications.html" TargetMode="External"/><Relationship Id="rId19" Type="http://schemas.openxmlformats.org/officeDocument/2006/relationships/hyperlink" Target="http://www.ohioauditor.gov/publications/bulletins/technical-bulletins.html" TargetMode="External"/><Relationship Id="rId14" Type="http://schemas.openxmlformats.org/officeDocument/2006/relationships/header" Target="header3.xml"/><Relationship Id="rId30" Type="http://schemas.openxmlformats.org/officeDocument/2006/relationships/hyperlink" Target="https://www.ohioauditor.gov/publications/bulletins/technical-bulletins.html" TargetMode="External"/><Relationship Id="rId35" Type="http://schemas.openxmlformats.org/officeDocument/2006/relationships/hyperlink" Target="mailto:IPAreport@ohioauditor.gov" TargetMode="External"/><Relationship Id="rId56" Type="http://schemas.openxmlformats.org/officeDocument/2006/relationships/hyperlink" Target="http://codes.ohio.gov/orc/325.12" TargetMode="External"/><Relationship Id="rId77" Type="http://schemas.openxmlformats.org/officeDocument/2006/relationships/hyperlink" Target="http://codes.ohio.gov/orc/749.22" TargetMode="External"/><Relationship Id="rId100" Type="http://schemas.openxmlformats.org/officeDocument/2006/relationships/hyperlink" Target="http://codes.ohio.gov/orc/4582.41v1" TargetMode="External"/><Relationship Id="rId105" Type="http://schemas.openxmlformats.org/officeDocument/2006/relationships/hyperlink" Target="http://codes.ohio.gov/orc/2301.12v1" TargetMode="External"/><Relationship Id="rId126" Type="http://schemas.openxmlformats.org/officeDocument/2006/relationships/hyperlink" Target="http://codes.ohio.gov/orc/3381.10" TargetMode="External"/><Relationship Id="rId147" Type="http://schemas.openxmlformats.org/officeDocument/2006/relationships/hyperlink" Target="http://codes.ohio.gov/orc/353.03" TargetMode="External"/><Relationship Id="rId8" Type="http://schemas.openxmlformats.org/officeDocument/2006/relationships/webSettings" Target="webSettings.xml"/><Relationship Id="rId51" Type="http://schemas.openxmlformats.org/officeDocument/2006/relationships/hyperlink" Target="http://codes.ohio.gov/orc/3709.31" TargetMode="External"/><Relationship Id="rId72" Type="http://schemas.openxmlformats.org/officeDocument/2006/relationships/hyperlink" Target="http://codes.ohio.gov/orc/505.02" TargetMode="External"/><Relationship Id="rId93" Type="http://schemas.openxmlformats.org/officeDocument/2006/relationships/hyperlink" Target="https://codes.ohio.gov/ohio-revised-code/section-3345.04" TargetMode="External"/><Relationship Id="rId98" Type="http://schemas.openxmlformats.org/officeDocument/2006/relationships/hyperlink" Target="http://codes.ohio.gov/orc/1545.13" TargetMode="External"/><Relationship Id="rId121" Type="http://schemas.openxmlformats.org/officeDocument/2006/relationships/hyperlink" Target="https://codes.ohio.gov/ohio-revised-code/section-3326.21" TargetMode="External"/><Relationship Id="rId142" Type="http://schemas.openxmlformats.org/officeDocument/2006/relationships/hyperlink" Target="http://codes.ohio.gov/orc/735.03" TargetMode="External"/><Relationship Id="rId163" Type="http://schemas.openxmlformats.org/officeDocument/2006/relationships/header" Target="header24.xml"/><Relationship Id="rId3" Type="http://schemas.openxmlformats.org/officeDocument/2006/relationships/customXml" Target="../customXml/item3.xml"/><Relationship Id="rId25" Type="http://schemas.openxmlformats.org/officeDocument/2006/relationships/hyperlink" Target="https://ohioauditor.gov/ocs/2024/FFR_Repayment_Template.docx" TargetMode="External"/><Relationship Id="rId46" Type="http://schemas.openxmlformats.org/officeDocument/2006/relationships/header" Target="header15.xml"/><Relationship Id="rId67" Type="http://schemas.openxmlformats.org/officeDocument/2006/relationships/hyperlink" Target="http://codes.ohio.gov/orc/2301.16" TargetMode="External"/><Relationship Id="rId116" Type="http://schemas.openxmlformats.org/officeDocument/2006/relationships/hyperlink" Target="http://codes.ohio.gov/orc/5593.05" TargetMode="External"/><Relationship Id="rId137" Type="http://schemas.openxmlformats.org/officeDocument/2006/relationships/hyperlink" Target="http://codes.ohio.gov/orc/2151.13v1" TargetMode="External"/><Relationship Id="rId158" Type="http://schemas.openxmlformats.org/officeDocument/2006/relationships/footer" Target="footer3.xml"/><Relationship Id="rId20" Type="http://schemas.openxmlformats.org/officeDocument/2006/relationships/hyperlink" Target="mailto:ipareport@ohioauditor.gov" TargetMode="External"/><Relationship Id="rId41" Type="http://schemas.openxmlformats.org/officeDocument/2006/relationships/hyperlink" Target="https://ohioauditor.gov/resources/covid19_faqs.html" TargetMode="External"/><Relationship Id="rId62" Type="http://schemas.openxmlformats.org/officeDocument/2006/relationships/hyperlink" Target="https://codes.ohio.gov/ohio-revised-code/section-319.02" TargetMode="External"/><Relationship Id="rId83" Type="http://schemas.openxmlformats.org/officeDocument/2006/relationships/hyperlink" Target="http://codes.ohio.gov/orc/2151.70" TargetMode="External"/><Relationship Id="rId88" Type="http://schemas.openxmlformats.org/officeDocument/2006/relationships/hyperlink" Target="http://codes.ohio.gov/orc/3375.32" TargetMode="External"/><Relationship Id="rId111" Type="http://schemas.openxmlformats.org/officeDocument/2006/relationships/hyperlink" Target="http://codes.ohio.gov/orc/705.27" TargetMode="External"/><Relationship Id="rId132" Type="http://schemas.openxmlformats.org/officeDocument/2006/relationships/hyperlink" Target="http://codes.ohio.gov/orc/1907.20" TargetMode="External"/><Relationship Id="rId153" Type="http://schemas.openxmlformats.org/officeDocument/2006/relationships/hyperlink" Target="https://resources.ohiotownships.org/compensation-chart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ohio.gov/divisions-and-programs/industrial-compliance/competitive-bidding-threshold/competitive-bidding-threshold" TargetMode="External"/><Relationship Id="rId2" Type="http://schemas.openxmlformats.org/officeDocument/2006/relationships/hyperlink" Target="http://www.ohioauditor.gov/publications/bulletins/technical-bulletins.html" TargetMode="External"/><Relationship Id="rId1" Type="http://schemas.openxmlformats.org/officeDocument/2006/relationships/hyperlink" Target="http://www.ohioauditor.gov/references/practiceaids/faccrs.html" TargetMode="External"/><Relationship Id="rId4" Type="http://schemas.openxmlformats.org/officeDocument/2006/relationships/hyperlink" Target="https://mcusercontent.com/1f5c0866c294fa6f8d5669b2e/files/4674cb49-70e2-1ec3-0828-e8b6e684c192/ISSUED_2025_019_BELMONT_COUNTY_PROSECUTING_ATTORNEY.pdf" TargetMode="External"/></Relationships>
</file>

<file path=word/documenttasks/documenttasks1.xml><?xml version="1.0" encoding="utf-8"?>
<t:Tasks xmlns:t="http://schemas.microsoft.com/office/tasks/2019/documenttasks" xmlns:oel="http://schemas.microsoft.com/office/2019/extlst">
  <t:Task id="{E1887B1D-C992-40AF-B60B-7EB1EBC9CD79}">
    <t:Anchor>
      <t:Comment id="347614534"/>
    </t:Anchor>
    <t:History>
      <t:Event id="{6370661C-804B-48C8-9998-F4DD2FBCEAE6}" time="2021-03-09T13:44:01.414Z">
        <t:Attribution userId="S::jmcarroll@ohioauditor.gov::fee12c06-7fe5-4119-8dff-e7f8f8cd8552" userProvider="AD" userName="Jesse M. Carroll"/>
        <t:Anchor>
          <t:Comment id="775333172"/>
        </t:Anchor>
        <t:Create/>
      </t:Event>
      <t:Event id="{43D2643E-8D50-4E99-ABF2-DFFCAEE471A2}" time="2021-03-09T13:44:01.414Z">
        <t:Attribution userId="S::jmcarroll@ohioauditor.gov::fee12c06-7fe5-4119-8dff-e7f8f8cd8552" userProvider="AD" userName="Jesse M. Carroll"/>
        <t:Anchor>
          <t:Comment id="775333172"/>
        </t:Anchor>
        <t:Assign userId="S::CYoxtheimer@ohioauditor.gov::c121efb2-f206-484c-b5f7-c2399f4b1a78" userProvider="AD" userName="Celena Yoxtheimer"/>
      </t:Event>
      <t:Event id="{9F0BF7DB-4ECF-42BE-BDFC-66F6C9C56BD3}" time="2021-03-09T13:44:01.414Z">
        <t:Attribution userId="S::jmcarroll@ohioauditor.gov::fee12c06-7fe5-4119-8dff-e7f8f8cd8552" userProvider="AD" userName="Jesse M. Carroll"/>
        <t:Anchor>
          <t:Comment id="775333172"/>
        </t:Anchor>
        <t:SetTitle title="@Celena Yoxtheimer - want to review this HB 444 analysis?"/>
      </t:Event>
    </t:History>
  </t:Task>
  <t:Task id="{F5A89410-3B44-4553-84E4-21ABB1642666}">
    <t:Anchor>
      <t:Comment id="1257250290"/>
    </t:Anchor>
    <t:History>
      <t:Event id="{FBF0D380-9E4C-4DEF-9B52-E6AEDD8D43A7}" time="2021-09-13T15:13:57.277Z">
        <t:Attribution userId="S::mafredrickson@ohioauditor.gov::2fb9ef1e-b418-4f7e-a705-41145c70e8ae" userProvider="AD" userName="Marnie A. Fredrickson"/>
        <t:Anchor>
          <t:Comment id="264177220"/>
        </t:Anchor>
        <t:Create/>
      </t:Event>
      <t:Event id="{467C9E80-FE68-420F-B0C2-EEF37A210682}" time="2021-09-13T15:13:57.277Z">
        <t:Attribution userId="S::mafredrickson@ohioauditor.gov::2fb9ef1e-b418-4f7e-a705-41145c70e8ae" userProvider="AD" userName="Marnie A. Fredrickson"/>
        <t:Anchor>
          <t:Comment id="264177220"/>
        </t:Anchor>
        <t:Assign userId="S::JJMcCarroll@ohioauditor.gov::061a5f3b-88a5-42d6-a8a2-cc0ae4fda989" userProvider="AD" userName="Joshua J. McCarroll"/>
      </t:Event>
      <t:Event id="{EE003D58-844F-495B-9A3B-FE10A1CB1562}" time="2021-09-13T15:13:57.277Z">
        <t:Attribution userId="S::mafredrickson@ohioauditor.gov::2fb9ef1e-b418-4f7e-a705-41145c70e8ae" userProvider="AD" userName="Marnie A. Fredrickson"/>
        <t:Anchor>
          <t:Comment id="264177220"/>
        </t:Anchor>
        <t:SetTitle title="@Joshua J. McCarroll Yes, I'd prefer we stay away from an example that involves two finance officers serving in two different terms if we can. I think this example could generate a lot of consternation among locals, losing the value of the point we are …"/>
      </t:Event>
      <t:Event id="{30A0C458-4899-4C1D-8781-714163A8A4C5}" time="2021-09-14T11:28:17.453Z">
        <t:Attribution userId="S::mafredrickson@ohioauditor.gov::2fb9ef1e-b418-4f7e-a705-41145c70e8ae" userProvider="AD" userName="Marnie A. Fredrickson"/>
        <t:Anchor>
          <t:Comment id="2054330287"/>
        </t:Anchor>
        <t:UnassignAll/>
      </t:Event>
      <t:Event id="{C92313AE-CAC9-4D5D-BF47-A7FCA86A1DCC}" time="2021-09-14T11:28:17.453Z">
        <t:Attribution userId="S::mafredrickson@ohioauditor.gov::2fb9ef1e-b418-4f7e-a705-41145c70e8ae" userProvider="AD" userName="Marnie A. Fredrickson"/>
        <t:Anchor>
          <t:Comment id="2054330287"/>
        </t:Anchor>
        <t:Assign userId="S::KMBerger-Davis@ohioauditor.gov::3e5ebca9-4da2-43da-91d2-fba11ceb7c71" userProvider="AD" userName="Kelly M. Berger-Davis"/>
      </t:Event>
    </t:History>
  </t:Task>
  <t:Task id="{137C9E4A-5A9C-4F4C-8011-319447EB8228}">
    <t:Anchor>
      <t:Comment id="517957704"/>
    </t:Anchor>
    <t:History>
      <t:Event id="{831736E6-B8DF-49B8-B321-BB00B45912F3}" time="2022-10-10T21:28:45.298Z">
        <t:Attribution userId="S::castanton@ohioauditor.gov::c0db7e0a-2149-4212-bc47-1757ea184cf5" userProvider="AD" userName="Cody A. Stanton"/>
        <t:Anchor>
          <t:Comment id="1799637150"/>
        </t:Anchor>
        <t:Create/>
      </t:Event>
      <t:Event id="{987D8C69-73F7-46C7-A647-E9F495F9C98E}" time="2022-10-10T21:28:45.298Z">
        <t:Attribution userId="S::castanton@ohioauditor.gov::c0db7e0a-2149-4212-bc47-1757ea184cf5" userProvider="AD" userName="Cody A. Stanton"/>
        <t:Anchor>
          <t:Comment id="1799637150"/>
        </t:Anchor>
        <t:Assign userId="S::VRPulley@ohioauditor.gov::74fb3296-a0ea-4f45-b80b-706511453ecf" userProvider="AD" userName="Vance R. Pulley"/>
      </t:Event>
      <t:Event id="{363AA8DF-0D3A-47B7-B5F8-0782FEEAE992}" time="2022-10-10T21:28:45.298Z">
        <t:Attribution userId="S::castanton@ohioauditor.gov::c0db7e0a-2149-4212-bc47-1757ea184cf5" userProvider="AD" userName="Cody A. Stanton"/>
        <t:Anchor>
          <t:Comment id="1799637150"/>
        </t:Anchor>
        <t:SetTitle title="@Kelly M. Berger-Davis @Vance R. Pulley @Nadia J. Wenrick Legal has finished reviewing FNs 11 and 19 (see track changes). However, legal proposes that FN 11 be moved to the place where FN 19 is presently located and the present FN 19 should b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f04397-e7a5-49eb-a9e8-495cd916d6f8">
      <Terms xmlns="http://schemas.microsoft.com/office/infopath/2007/PartnerControls"/>
    </lcf76f155ced4ddcb4097134ff3c332f>
    <TaxCatchAll xmlns="d6a7d252-17c7-4c20-b74a-c0e992ea0dd2" xsi:nil="true"/>
    <SharedWithUsers xmlns="d6a7d252-17c7-4c20-b74a-c0e992ea0dd2">
      <UserInfo>
        <DisplayName>Robin D. Lee</DisplayName>
        <AccountId>44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2911360aada22254628adc7c69f681c5">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1e6fa4007777d172f5cbf3803e8c6d8e"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5B01F-D18E-4A9A-818E-59FA0D78A20C}">
  <ds:schemaRefs>
    <ds:schemaRef ds:uri="http://schemas.microsoft.com/office/2006/metadata/properties"/>
    <ds:schemaRef ds:uri="http://schemas.microsoft.com/office/infopath/2007/PartnerControls"/>
    <ds:schemaRef ds:uri="46f04397-e7a5-49eb-a9e8-495cd916d6f8"/>
    <ds:schemaRef ds:uri="d6a7d252-17c7-4c20-b74a-c0e992ea0dd2"/>
  </ds:schemaRefs>
</ds:datastoreItem>
</file>

<file path=customXml/itemProps2.xml><?xml version="1.0" encoding="utf-8"?>
<ds:datastoreItem xmlns:ds="http://schemas.openxmlformats.org/officeDocument/2006/customXml" ds:itemID="{E7AC68F6-CA94-4E87-9B90-501EF239086D}">
  <ds:schemaRefs>
    <ds:schemaRef ds:uri="http://schemas.openxmlformats.org/officeDocument/2006/bibliography"/>
  </ds:schemaRefs>
</ds:datastoreItem>
</file>

<file path=customXml/itemProps3.xml><?xml version="1.0" encoding="utf-8"?>
<ds:datastoreItem xmlns:ds="http://schemas.openxmlformats.org/officeDocument/2006/customXml" ds:itemID="{4CC220CB-868B-4440-B627-C1475B097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8B5D7-20F9-48CF-B16B-543EE1525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3193</TotalTime>
  <Pages>93</Pages>
  <Words>34575</Words>
  <Characters>197079</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LEGAL COMPLIANCE AUDITING IN OHIO</vt:lpstr>
    </vt:vector>
  </TitlesOfParts>
  <Company>Auditor of State of Ohio</Company>
  <LinksUpToDate>false</LinksUpToDate>
  <CharactersWithSpaces>231192</CharactersWithSpaces>
  <SharedDoc>false</SharedDoc>
  <HLinks>
    <vt:vector size="978" baseType="variant">
      <vt:variant>
        <vt:i4>1048661</vt:i4>
      </vt:variant>
      <vt:variant>
        <vt:i4>600</vt:i4>
      </vt:variant>
      <vt:variant>
        <vt:i4>0</vt:i4>
      </vt:variant>
      <vt:variant>
        <vt:i4>5</vt:i4>
      </vt:variant>
      <vt:variant>
        <vt:lpwstr>https://ohioauditor.gov/contact/inquiry.aspx</vt:lpwstr>
      </vt:variant>
      <vt:variant>
        <vt:lpwstr/>
      </vt:variant>
      <vt:variant>
        <vt:i4>655433</vt:i4>
      </vt:variant>
      <vt:variant>
        <vt:i4>597</vt:i4>
      </vt:variant>
      <vt:variant>
        <vt:i4>0</vt:i4>
      </vt:variant>
      <vt:variant>
        <vt:i4>5</vt:i4>
      </vt:variant>
      <vt:variant>
        <vt:lpwstr>https://ohioauditor.gov/references/compliancemanuals.html</vt:lpwstr>
      </vt:variant>
      <vt:variant>
        <vt:lpwstr/>
      </vt:variant>
      <vt:variant>
        <vt:i4>655433</vt:i4>
      </vt:variant>
      <vt:variant>
        <vt:i4>594</vt:i4>
      </vt:variant>
      <vt:variant>
        <vt:i4>0</vt:i4>
      </vt:variant>
      <vt:variant>
        <vt:i4>5</vt:i4>
      </vt:variant>
      <vt:variant>
        <vt:lpwstr>https://ohioauditor.gov/references/compliancemanuals.html</vt:lpwstr>
      </vt:variant>
      <vt:variant>
        <vt:lpwstr/>
      </vt:variant>
      <vt:variant>
        <vt:i4>3014772</vt:i4>
      </vt:variant>
      <vt:variant>
        <vt:i4>591</vt:i4>
      </vt:variant>
      <vt:variant>
        <vt:i4>0</vt:i4>
      </vt:variant>
      <vt:variant>
        <vt:i4>5</vt:i4>
      </vt:variant>
      <vt:variant>
        <vt:lpwstr>https://resources.ohiotownships.org/compensation-charts</vt:lpwstr>
      </vt:variant>
      <vt:variant>
        <vt:lpwstr/>
      </vt:variant>
      <vt:variant>
        <vt:i4>4522003</vt:i4>
      </vt:variant>
      <vt:variant>
        <vt:i4>588</vt:i4>
      </vt:variant>
      <vt:variant>
        <vt:i4>0</vt:i4>
      </vt:variant>
      <vt:variant>
        <vt:i4>5</vt:i4>
      </vt:variant>
      <vt:variant>
        <vt:lpwstr>https://www.ohioauditor.gov/publications.html</vt:lpwstr>
      </vt:variant>
      <vt:variant>
        <vt:lpwstr/>
      </vt:variant>
      <vt:variant>
        <vt:i4>6160479</vt:i4>
      </vt:variant>
      <vt:variant>
        <vt:i4>582</vt:i4>
      </vt:variant>
      <vt:variant>
        <vt:i4>0</vt:i4>
      </vt:variant>
      <vt:variant>
        <vt:i4>5</vt:i4>
      </vt:variant>
      <vt:variant>
        <vt:lpwstr>https://ohioauditor.gov/publications/bulletins/2019/2019-001-rev.pdf</vt:lpwstr>
      </vt:variant>
      <vt:variant>
        <vt:lpwstr/>
      </vt:variant>
      <vt:variant>
        <vt:i4>131155</vt:i4>
      </vt:variant>
      <vt:variant>
        <vt:i4>579</vt:i4>
      </vt:variant>
      <vt:variant>
        <vt:i4>0</vt:i4>
      </vt:variant>
      <vt:variant>
        <vt:i4>5</vt:i4>
      </vt:variant>
      <vt:variant>
        <vt:lpwstr>http://codes.ohio.gov/orc/gp3.06</vt:lpwstr>
      </vt:variant>
      <vt:variant>
        <vt:lpwstr/>
      </vt:variant>
      <vt:variant>
        <vt:i4>4325383</vt:i4>
      </vt:variant>
      <vt:variant>
        <vt:i4>576</vt:i4>
      </vt:variant>
      <vt:variant>
        <vt:i4>0</vt:i4>
      </vt:variant>
      <vt:variant>
        <vt:i4>5</vt:i4>
      </vt:variant>
      <vt:variant>
        <vt:lpwstr>http://codes.ohio.gov/orc/353.03</vt:lpwstr>
      </vt:variant>
      <vt:variant>
        <vt:lpwstr/>
      </vt:variant>
      <vt:variant>
        <vt:i4>5111813</vt:i4>
      </vt:variant>
      <vt:variant>
        <vt:i4>573</vt:i4>
      </vt:variant>
      <vt:variant>
        <vt:i4>0</vt:i4>
      </vt:variant>
      <vt:variant>
        <vt:i4>5</vt:i4>
      </vt:variant>
      <vt:variant>
        <vt:lpwstr>http://codes.ohio.gov/orc/733.69</vt:lpwstr>
      </vt:variant>
      <vt:variant>
        <vt:lpwstr/>
      </vt:variant>
      <vt:variant>
        <vt:i4>4390919</vt:i4>
      </vt:variant>
      <vt:variant>
        <vt:i4>570</vt:i4>
      </vt:variant>
      <vt:variant>
        <vt:i4>0</vt:i4>
      </vt:variant>
      <vt:variant>
        <vt:i4>5</vt:i4>
      </vt:variant>
      <vt:variant>
        <vt:lpwstr>http://codes.ohio.gov/orc/705.27</vt:lpwstr>
      </vt:variant>
      <vt:variant>
        <vt:lpwstr/>
      </vt:variant>
      <vt:variant>
        <vt:i4>6291497</vt:i4>
      </vt:variant>
      <vt:variant>
        <vt:i4>567</vt:i4>
      </vt:variant>
      <vt:variant>
        <vt:i4>0</vt:i4>
      </vt:variant>
      <vt:variant>
        <vt:i4>5</vt:i4>
      </vt:variant>
      <vt:variant>
        <vt:lpwstr>http://codes.ohio.gov/orc/1901.311</vt:lpwstr>
      </vt:variant>
      <vt:variant>
        <vt:lpwstr/>
      </vt:variant>
      <vt:variant>
        <vt:i4>2555945</vt:i4>
      </vt:variant>
      <vt:variant>
        <vt:i4>564</vt:i4>
      </vt:variant>
      <vt:variant>
        <vt:i4>0</vt:i4>
      </vt:variant>
      <vt:variant>
        <vt:i4>5</vt:i4>
      </vt:variant>
      <vt:variant>
        <vt:lpwstr>http://codes.ohio.gov/orc/1901.31v1</vt:lpwstr>
      </vt:variant>
      <vt:variant>
        <vt:lpwstr/>
      </vt:variant>
      <vt:variant>
        <vt:i4>4456453</vt:i4>
      </vt:variant>
      <vt:variant>
        <vt:i4>561</vt:i4>
      </vt:variant>
      <vt:variant>
        <vt:i4>0</vt:i4>
      </vt:variant>
      <vt:variant>
        <vt:i4>5</vt:i4>
      </vt:variant>
      <vt:variant>
        <vt:lpwstr>http://codes.ohio.gov/orc/735.03</vt:lpwstr>
      </vt:variant>
      <vt:variant>
        <vt:lpwstr/>
      </vt:variant>
      <vt:variant>
        <vt:i4>4390919</vt:i4>
      </vt:variant>
      <vt:variant>
        <vt:i4>558</vt:i4>
      </vt:variant>
      <vt:variant>
        <vt:i4>0</vt:i4>
      </vt:variant>
      <vt:variant>
        <vt:i4>5</vt:i4>
      </vt:variant>
      <vt:variant>
        <vt:lpwstr>http://codes.ohio.gov/orc/705.27</vt:lpwstr>
      </vt:variant>
      <vt:variant>
        <vt:lpwstr/>
      </vt:variant>
      <vt:variant>
        <vt:i4>5111813</vt:i4>
      </vt:variant>
      <vt:variant>
        <vt:i4>555</vt:i4>
      </vt:variant>
      <vt:variant>
        <vt:i4>0</vt:i4>
      </vt:variant>
      <vt:variant>
        <vt:i4>5</vt:i4>
      </vt:variant>
      <vt:variant>
        <vt:lpwstr>http://codes.ohio.gov/orc/733.69</vt:lpwstr>
      </vt:variant>
      <vt:variant>
        <vt:lpwstr/>
      </vt:variant>
      <vt:variant>
        <vt:i4>3145780</vt:i4>
      </vt:variant>
      <vt:variant>
        <vt:i4>552</vt:i4>
      </vt:variant>
      <vt:variant>
        <vt:i4>0</vt:i4>
      </vt:variant>
      <vt:variant>
        <vt:i4>5</vt:i4>
      </vt:variant>
      <vt:variant>
        <vt:lpwstr>http://codes.ohio.gov/orc/507.021v1</vt:lpwstr>
      </vt:variant>
      <vt:variant>
        <vt:lpwstr/>
      </vt:variant>
      <vt:variant>
        <vt:i4>7733361</vt:i4>
      </vt:variant>
      <vt:variant>
        <vt:i4>549</vt:i4>
      </vt:variant>
      <vt:variant>
        <vt:i4>0</vt:i4>
      </vt:variant>
      <vt:variant>
        <vt:i4>5</vt:i4>
      </vt:variant>
      <vt:variant>
        <vt:lpwstr>http://codes.ohio.gov/orc/505.03v1</vt:lpwstr>
      </vt:variant>
      <vt:variant>
        <vt:lpwstr/>
      </vt:variant>
      <vt:variant>
        <vt:i4>2949165</vt:i4>
      </vt:variant>
      <vt:variant>
        <vt:i4>546</vt:i4>
      </vt:variant>
      <vt:variant>
        <vt:i4>0</vt:i4>
      </vt:variant>
      <vt:variant>
        <vt:i4>5</vt:i4>
      </vt:variant>
      <vt:variant>
        <vt:lpwstr>http://codes.ohio.gov/orc/2151.13v1</vt:lpwstr>
      </vt:variant>
      <vt:variant>
        <vt:lpwstr/>
      </vt:variant>
      <vt:variant>
        <vt:i4>2949162</vt:i4>
      </vt:variant>
      <vt:variant>
        <vt:i4>543</vt:i4>
      </vt:variant>
      <vt:variant>
        <vt:i4>0</vt:i4>
      </vt:variant>
      <vt:variant>
        <vt:i4>5</vt:i4>
      </vt:variant>
      <vt:variant>
        <vt:lpwstr>http://codes.ohio.gov/orc/2101.11v1</vt:lpwstr>
      </vt:variant>
      <vt:variant>
        <vt:lpwstr/>
      </vt:variant>
      <vt:variant>
        <vt:i4>2883629</vt:i4>
      </vt:variant>
      <vt:variant>
        <vt:i4>540</vt:i4>
      </vt:variant>
      <vt:variant>
        <vt:i4>0</vt:i4>
      </vt:variant>
      <vt:variant>
        <vt:i4>5</vt:i4>
      </vt:variant>
      <vt:variant>
        <vt:lpwstr>http://codes.ohio.gov/orc/2101.06v1</vt:lpwstr>
      </vt:variant>
      <vt:variant>
        <vt:lpwstr/>
      </vt:variant>
      <vt:variant>
        <vt:i4>5636120</vt:i4>
      </vt:variant>
      <vt:variant>
        <vt:i4>537</vt:i4>
      </vt:variant>
      <vt:variant>
        <vt:i4>0</vt:i4>
      </vt:variant>
      <vt:variant>
        <vt:i4>5</vt:i4>
      </vt:variant>
      <vt:variant>
        <vt:lpwstr>http://codes.ohio.gov/orc/1907.20</vt:lpwstr>
      </vt:variant>
      <vt:variant>
        <vt:lpwstr/>
      </vt:variant>
      <vt:variant>
        <vt:i4>5636120</vt:i4>
      </vt:variant>
      <vt:variant>
        <vt:i4>534</vt:i4>
      </vt:variant>
      <vt:variant>
        <vt:i4>0</vt:i4>
      </vt:variant>
      <vt:variant>
        <vt:i4>5</vt:i4>
      </vt:variant>
      <vt:variant>
        <vt:lpwstr>http://codes.ohio.gov/orc/1907.20</vt:lpwstr>
      </vt:variant>
      <vt:variant>
        <vt:lpwstr/>
      </vt:variant>
      <vt:variant>
        <vt:i4>5636120</vt:i4>
      </vt:variant>
      <vt:variant>
        <vt:i4>531</vt:i4>
      </vt:variant>
      <vt:variant>
        <vt:i4>0</vt:i4>
      </vt:variant>
      <vt:variant>
        <vt:i4>5</vt:i4>
      </vt:variant>
      <vt:variant>
        <vt:lpwstr>http://codes.ohio.gov/orc/1907.20</vt:lpwstr>
      </vt:variant>
      <vt:variant>
        <vt:lpwstr/>
      </vt:variant>
      <vt:variant>
        <vt:i4>4653069</vt:i4>
      </vt:variant>
      <vt:variant>
        <vt:i4>528</vt:i4>
      </vt:variant>
      <vt:variant>
        <vt:i4>0</vt:i4>
      </vt:variant>
      <vt:variant>
        <vt:i4>5</vt:i4>
      </vt:variant>
      <vt:variant>
        <vt:lpwstr>http://codes.ohio.gov/orc/329.01</vt:lpwstr>
      </vt:variant>
      <vt:variant>
        <vt:lpwstr/>
      </vt:variant>
      <vt:variant>
        <vt:i4>5963807</vt:i4>
      </vt:variant>
      <vt:variant>
        <vt:i4>525</vt:i4>
      </vt:variant>
      <vt:variant>
        <vt:i4>0</vt:i4>
      </vt:variant>
      <vt:variant>
        <vt:i4>5</vt:i4>
      </vt:variant>
      <vt:variant>
        <vt:lpwstr>http://codes.ohio.gov/orc/6101.12</vt:lpwstr>
      </vt:variant>
      <vt:variant>
        <vt:lpwstr/>
      </vt:variant>
      <vt:variant>
        <vt:i4>4653065</vt:i4>
      </vt:variant>
      <vt:variant>
        <vt:i4>522</vt:i4>
      </vt:variant>
      <vt:variant>
        <vt:i4>0</vt:i4>
      </vt:variant>
      <vt:variant>
        <vt:i4>5</vt:i4>
      </vt:variant>
      <vt:variant>
        <vt:lpwstr>http://codes.ohio.gov/orc/759.06</vt:lpwstr>
      </vt:variant>
      <vt:variant>
        <vt:lpwstr/>
      </vt:variant>
      <vt:variant>
        <vt:i4>4194304</vt:i4>
      </vt:variant>
      <vt:variant>
        <vt:i4>519</vt:i4>
      </vt:variant>
      <vt:variant>
        <vt:i4>0</vt:i4>
      </vt:variant>
      <vt:variant>
        <vt:i4>5</vt:i4>
      </vt:variant>
      <vt:variant>
        <vt:lpwstr>http://codes.ohio.gov/orc/345.10</vt:lpwstr>
      </vt:variant>
      <vt:variant>
        <vt:lpwstr/>
      </vt:variant>
      <vt:variant>
        <vt:i4>6225951</vt:i4>
      </vt:variant>
      <vt:variant>
        <vt:i4>516</vt:i4>
      </vt:variant>
      <vt:variant>
        <vt:i4>0</vt:i4>
      </vt:variant>
      <vt:variant>
        <vt:i4>5</vt:i4>
      </vt:variant>
      <vt:variant>
        <vt:lpwstr>http://codes.ohio.gov/orc/6105.10</vt:lpwstr>
      </vt:variant>
      <vt:variant>
        <vt:lpwstr/>
      </vt:variant>
      <vt:variant>
        <vt:i4>5832722</vt:i4>
      </vt:variant>
      <vt:variant>
        <vt:i4>513</vt:i4>
      </vt:variant>
      <vt:variant>
        <vt:i4>0</vt:i4>
      </vt:variant>
      <vt:variant>
        <vt:i4>5</vt:i4>
      </vt:variant>
      <vt:variant>
        <vt:lpwstr>http://codes.ohio.gov/orc/3381.10</vt:lpwstr>
      </vt:variant>
      <vt:variant>
        <vt:lpwstr/>
      </vt:variant>
      <vt:variant>
        <vt:i4>5963806</vt:i4>
      </vt:variant>
      <vt:variant>
        <vt:i4>510</vt:i4>
      </vt:variant>
      <vt:variant>
        <vt:i4>0</vt:i4>
      </vt:variant>
      <vt:variant>
        <vt:i4>5</vt:i4>
      </vt:variant>
      <vt:variant>
        <vt:lpwstr>http://codes.ohio.gov/orc/6115.51</vt:lpwstr>
      </vt:variant>
      <vt:variant>
        <vt:lpwstr/>
      </vt:variant>
      <vt:variant>
        <vt:i4>5570589</vt:i4>
      </vt:variant>
      <vt:variant>
        <vt:i4>507</vt:i4>
      </vt:variant>
      <vt:variant>
        <vt:i4>0</vt:i4>
      </vt:variant>
      <vt:variant>
        <vt:i4>5</vt:i4>
      </vt:variant>
      <vt:variant>
        <vt:lpwstr>http://codes.ohio.gov/orc/3375.92</vt:lpwstr>
      </vt:variant>
      <vt:variant>
        <vt:lpwstr/>
      </vt:variant>
      <vt:variant>
        <vt:i4>4587526</vt:i4>
      </vt:variant>
      <vt:variant>
        <vt:i4>504</vt:i4>
      </vt:variant>
      <vt:variant>
        <vt:i4>0</vt:i4>
      </vt:variant>
      <vt:variant>
        <vt:i4>5</vt:i4>
      </vt:variant>
      <vt:variant>
        <vt:lpwstr>http://codes.ohio.gov/orc/306.42</vt:lpwstr>
      </vt:variant>
      <vt:variant>
        <vt:lpwstr/>
      </vt:variant>
      <vt:variant>
        <vt:i4>6029337</vt:i4>
      </vt:variant>
      <vt:variant>
        <vt:i4>501</vt:i4>
      </vt:variant>
      <vt:variant>
        <vt:i4>0</vt:i4>
      </vt:variant>
      <vt:variant>
        <vt:i4>5</vt:i4>
      </vt:variant>
      <vt:variant>
        <vt:lpwstr>http://codes.ohio.gov/orc/5153.41</vt:lpwstr>
      </vt:variant>
      <vt:variant>
        <vt:lpwstr/>
      </vt:variant>
      <vt:variant>
        <vt:i4>5177348</vt:i4>
      </vt:variant>
      <vt:variant>
        <vt:i4>498</vt:i4>
      </vt:variant>
      <vt:variant>
        <vt:i4>0</vt:i4>
      </vt:variant>
      <vt:variant>
        <vt:i4>5</vt:i4>
      </vt:variant>
      <vt:variant>
        <vt:lpwstr>https://codes.ohio.gov/ohio-revised-code/section-3326.21</vt:lpwstr>
      </vt:variant>
      <vt:variant>
        <vt:lpwstr/>
      </vt:variant>
      <vt:variant>
        <vt:i4>7077930</vt:i4>
      </vt:variant>
      <vt:variant>
        <vt:i4>495</vt:i4>
      </vt:variant>
      <vt:variant>
        <vt:i4>0</vt:i4>
      </vt:variant>
      <vt:variant>
        <vt:i4>5</vt:i4>
      </vt:variant>
      <vt:variant>
        <vt:lpwstr>http://codes.ohio.gov/orc/3314.011</vt:lpwstr>
      </vt:variant>
      <vt:variant>
        <vt:lpwstr/>
      </vt:variant>
      <vt:variant>
        <vt:i4>6225944</vt:i4>
      </vt:variant>
      <vt:variant>
        <vt:i4>492</vt:i4>
      </vt:variant>
      <vt:variant>
        <vt:i4>0</vt:i4>
      </vt:variant>
      <vt:variant>
        <vt:i4>5</vt:i4>
      </vt:variant>
      <vt:variant>
        <vt:lpwstr>http://codes.ohio.gov/orc/3327.10</vt:lpwstr>
      </vt:variant>
      <vt:variant>
        <vt:lpwstr/>
      </vt:variant>
      <vt:variant>
        <vt:i4>5242907</vt:i4>
      </vt:variant>
      <vt:variant>
        <vt:i4>489</vt:i4>
      </vt:variant>
      <vt:variant>
        <vt:i4>0</vt:i4>
      </vt:variant>
      <vt:variant>
        <vt:i4>5</vt:i4>
      </vt:variant>
      <vt:variant>
        <vt:lpwstr>http://codes.ohio.gov/orc/3319.05</vt:lpwstr>
      </vt:variant>
      <vt:variant>
        <vt:lpwstr/>
      </vt:variant>
      <vt:variant>
        <vt:i4>5767195</vt:i4>
      </vt:variant>
      <vt:variant>
        <vt:i4>486</vt:i4>
      </vt:variant>
      <vt:variant>
        <vt:i4>0</vt:i4>
      </vt:variant>
      <vt:variant>
        <vt:i4>5</vt:i4>
      </vt:variant>
      <vt:variant>
        <vt:lpwstr>http://codes.ohio.gov/orc/3313.25</vt:lpwstr>
      </vt:variant>
      <vt:variant>
        <vt:lpwstr/>
      </vt:variant>
      <vt:variant>
        <vt:i4>6029333</vt:i4>
      </vt:variant>
      <vt:variant>
        <vt:i4>483</vt:i4>
      </vt:variant>
      <vt:variant>
        <vt:i4>0</vt:i4>
      </vt:variant>
      <vt:variant>
        <vt:i4>5</vt:i4>
      </vt:variant>
      <vt:variant>
        <vt:lpwstr>http://codes.ohio.gov/orc/5593.05</vt:lpwstr>
      </vt:variant>
      <vt:variant>
        <vt:lpwstr/>
      </vt:variant>
      <vt:variant>
        <vt:i4>6357033</vt:i4>
      </vt:variant>
      <vt:variant>
        <vt:i4>480</vt:i4>
      </vt:variant>
      <vt:variant>
        <vt:i4>0</vt:i4>
      </vt:variant>
      <vt:variant>
        <vt:i4>5</vt:i4>
      </vt:variant>
      <vt:variant>
        <vt:lpwstr>https://codes.ohio.gov/ohio-revised-code/section-747.01</vt:lpwstr>
      </vt:variant>
      <vt:variant>
        <vt:lpwstr/>
      </vt:variant>
      <vt:variant>
        <vt:i4>4521993</vt:i4>
      </vt:variant>
      <vt:variant>
        <vt:i4>477</vt:i4>
      </vt:variant>
      <vt:variant>
        <vt:i4>0</vt:i4>
      </vt:variant>
      <vt:variant>
        <vt:i4>5</vt:i4>
      </vt:variant>
      <vt:variant>
        <vt:lpwstr>http://codes.ohio.gov/orc/739.02</vt:lpwstr>
      </vt:variant>
      <vt:variant>
        <vt:lpwstr/>
      </vt:variant>
      <vt:variant>
        <vt:i4>4325381</vt:i4>
      </vt:variant>
      <vt:variant>
        <vt:i4>474</vt:i4>
      </vt:variant>
      <vt:variant>
        <vt:i4>0</vt:i4>
      </vt:variant>
      <vt:variant>
        <vt:i4>5</vt:i4>
      </vt:variant>
      <vt:variant>
        <vt:lpwstr>http://codes.ohio.gov/orc/733.65</vt:lpwstr>
      </vt:variant>
      <vt:variant>
        <vt:lpwstr/>
      </vt:variant>
      <vt:variant>
        <vt:i4>4456451</vt:i4>
      </vt:variant>
      <vt:variant>
        <vt:i4>471</vt:i4>
      </vt:variant>
      <vt:variant>
        <vt:i4>0</vt:i4>
      </vt:variant>
      <vt:variant>
        <vt:i4>5</vt:i4>
      </vt:variant>
      <vt:variant>
        <vt:lpwstr>http://codes.ohio.gov/orc/705.60</vt:lpwstr>
      </vt:variant>
      <vt:variant>
        <vt:lpwstr/>
      </vt:variant>
      <vt:variant>
        <vt:i4>4390919</vt:i4>
      </vt:variant>
      <vt:variant>
        <vt:i4>468</vt:i4>
      </vt:variant>
      <vt:variant>
        <vt:i4>0</vt:i4>
      </vt:variant>
      <vt:variant>
        <vt:i4>5</vt:i4>
      </vt:variant>
      <vt:variant>
        <vt:lpwstr>http://codes.ohio.gov/orc/705.27</vt:lpwstr>
      </vt:variant>
      <vt:variant>
        <vt:lpwstr/>
      </vt:variant>
      <vt:variant>
        <vt:i4>4521993</vt:i4>
      </vt:variant>
      <vt:variant>
        <vt:i4>465</vt:i4>
      </vt:variant>
      <vt:variant>
        <vt:i4>0</vt:i4>
      </vt:variant>
      <vt:variant>
        <vt:i4>5</vt:i4>
      </vt:variant>
      <vt:variant>
        <vt:lpwstr>http://codes.ohio.gov/orc/739.02</vt:lpwstr>
      </vt:variant>
      <vt:variant>
        <vt:lpwstr/>
      </vt:variant>
      <vt:variant>
        <vt:i4>4390919</vt:i4>
      </vt:variant>
      <vt:variant>
        <vt:i4>462</vt:i4>
      </vt:variant>
      <vt:variant>
        <vt:i4>0</vt:i4>
      </vt:variant>
      <vt:variant>
        <vt:i4>5</vt:i4>
      </vt:variant>
      <vt:variant>
        <vt:lpwstr>http://codes.ohio.gov/orc/705.27</vt:lpwstr>
      </vt:variant>
      <vt:variant>
        <vt:lpwstr/>
      </vt:variant>
      <vt:variant>
        <vt:i4>4587521</vt:i4>
      </vt:variant>
      <vt:variant>
        <vt:i4>459</vt:i4>
      </vt:variant>
      <vt:variant>
        <vt:i4>0</vt:i4>
      </vt:variant>
      <vt:variant>
        <vt:i4>5</vt:i4>
      </vt:variant>
      <vt:variant>
        <vt:lpwstr>http://codes.ohio.gov/orc/511.232</vt:lpwstr>
      </vt:variant>
      <vt:variant>
        <vt:lpwstr/>
      </vt:variant>
      <vt:variant>
        <vt:i4>7798899</vt:i4>
      </vt:variant>
      <vt:variant>
        <vt:i4>456</vt:i4>
      </vt:variant>
      <vt:variant>
        <vt:i4>0</vt:i4>
      </vt:variant>
      <vt:variant>
        <vt:i4>5</vt:i4>
      </vt:variant>
      <vt:variant>
        <vt:lpwstr>http://codes.ohio.gov/orc/507.02v1</vt:lpwstr>
      </vt:variant>
      <vt:variant>
        <vt:lpwstr/>
      </vt:variant>
      <vt:variant>
        <vt:i4>6160409</vt:i4>
      </vt:variant>
      <vt:variant>
        <vt:i4>453</vt:i4>
      </vt:variant>
      <vt:variant>
        <vt:i4>0</vt:i4>
      </vt:variant>
      <vt:variant>
        <vt:i4>5</vt:i4>
      </vt:variant>
      <vt:variant>
        <vt:lpwstr>http://codes.ohio.gov/orc/5155.04</vt:lpwstr>
      </vt:variant>
      <vt:variant>
        <vt:lpwstr/>
      </vt:variant>
      <vt:variant>
        <vt:i4>3080233</vt:i4>
      </vt:variant>
      <vt:variant>
        <vt:i4>450</vt:i4>
      </vt:variant>
      <vt:variant>
        <vt:i4>0</vt:i4>
      </vt:variant>
      <vt:variant>
        <vt:i4>5</vt:i4>
      </vt:variant>
      <vt:variant>
        <vt:lpwstr>http://codes.ohio.gov/orc/2301.12v1</vt:lpwstr>
      </vt:variant>
      <vt:variant>
        <vt:lpwstr/>
      </vt:variant>
      <vt:variant>
        <vt:i4>5963806</vt:i4>
      </vt:variant>
      <vt:variant>
        <vt:i4>447</vt:i4>
      </vt:variant>
      <vt:variant>
        <vt:i4>0</vt:i4>
      </vt:variant>
      <vt:variant>
        <vt:i4>5</vt:i4>
      </vt:variant>
      <vt:variant>
        <vt:lpwstr>http://codes.ohio.gov/orc/2151.12</vt:lpwstr>
      </vt:variant>
      <vt:variant>
        <vt:lpwstr/>
      </vt:variant>
      <vt:variant>
        <vt:i4>4653069</vt:i4>
      </vt:variant>
      <vt:variant>
        <vt:i4>444</vt:i4>
      </vt:variant>
      <vt:variant>
        <vt:i4>0</vt:i4>
      </vt:variant>
      <vt:variant>
        <vt:i4>5</vt:i4>
      </vt:variant>
      <vt:variant>
        <vt:lpwstr>http://codes.ohio.gov/orc/329.01</vt:lpwstr>
      </vt:variant>
      <vt:variant>
        <vt:lpwstr/>
      </vt:variant>
      <vt:variant>
        <vt:i4>4456453</vt:i4>
      </vt:variant>
      <vt:variant>
        <vt:i4>441</vt:i4>
      </vt:variant>
      <vt:variant>
        <vt:i4>0</vt:i4>
      </vt:variant>
      <vt:variant>
        <vt:i4>5</vt:i4>
      </vt:variant>
      <vt:variant>
        <vt:lpwstr>http://codes.ohio.gov/orc/321.02</vt:lpwstr>
      </vt:variant>
      <vt:variant>
        <vt:lpwstr/>
      </vt:variant>
      <vt:variant>
        <vt:i4>4521991</vt:i4>
      </vt:variant>
      <vt:variant>
        <vt:i4>438</vt:i4>
      </vt:variant>
      <vt:variant>
        <vt:i4>0</vt:i4>
      </vt:variant>
      <vt:variant>
        <vt:i4>5</vt:i4>
      </vt:variant>
      <vt:variant>
        <vt:lpwstr>http://codes.ohio.gov/orc/153.24</vt:lpwstr>
      </vt:variant>
      <vt:variant>
        <vt:lpwstr/>
      </vt:variant>
      <vt:variant>
        <vt:i4>3080228</vt:i4>
      </vt:variant>
      <vt:variant>
        <vt:i4>435</vt:i4>
      </vt:variant>
      <vt:variant>
        <vt:i4>0</vt:i4>
      </vt:variant>
      <vt:variant>
        <vt:i4>5</vt:i4>
      </vt:variant>
      <vt:variant>
        <vt:lpwstr>http://codes.ohio.gov/orc/4582.41v1</vt:lpwstr>
      </vt:variant>
      <vt:variant>
        <vt:lpwstr/>
      </vt:variant>
      <vt:variant>
        <vt:i4>6029333</vt:i4>
      </vt:variant>
      <vt:variant>
        <vt:i4>432</vt:i4>
      </vt:variant>
      <vt:variant>
        <vt:i4>0</vt:i4>
      </vt:variant>
      <vt:variant>
        <vt:i4>5</vt:i4>
      </vt:variant>
      <vt:variant>
        <vt:lpwstr>http://codes.ohio.gov/orc/4582.15</vt:lpwstr>
      </vt:variant>
      <vt:variant>
        <vt:lpwstr/>
      </vt:variant>
      <vt:variant>
        <vt:i4>5963804</vt:i4>
      </vt:variant>
      <vt:variant>
        <vt:i4>429</vt:i4>
      </vt:variant>
      <vt:variant>
        <vt:i4>0</vt:i4>
      </vt:variant>
      <vt:variant>
        <vt:i4>5</vt:i4>
      </vt:variant>
      <vt:variant>
        <vt:lpwstr>http://codes.ohio.gov/orc/1545.13</vt:lpwstr>
      </vt:variant>
      <vt:variant>
        <vt:lpwstr/>
      </vt:variant>
      <vt:variant>
        <vt:i4>3801143</vt:i4>
      </vt:variant>
      <vt:variant>
        <vt:i4>426</vt:i4>
      </vt:variant>
      <vt:variant>
        <vt:i4>0</vt:i4>
      </vt:variant>
      <vt:variant>
        <vt:i4>5</vt:i4>
      </vt:variant>
      <vt:variant>
        <vt:lpwstr>http://codes.ohio.gov/orc/505.484v1</vt:lpwstr>
      </vt:variant>
      <vt:variant>
        <vt:lpwstr/>
      </vt:variant>
      <vt:variant>
        <vt:i4>3473457</vt:i4>
      </vt:variant>
      <vt:variant>
        <vt:i4>423</vt:i4>
      </vt:variant>
      <vt:variant>
        <vt:i4>0</vt:i4>
      </vt:variant>
      <vt:variant>
        <vt:i4>5</vt:i4>
      </vt:variant>
      <vt:variant>
        <vt:lpwstr>http://codes.ohio.gov/orc/505.375v1</vt:lpwstr>
      </vt:variant>
      <vt:variant>
        <vt:lpwstr/>
      </vt:variant>
      <vt:variant>
        <vt:i4>3473462</vt:i4>
      </vt:variant>
      <vt:variant>
        <vt:i4>420</vt:i4>
      </vt:variant>
      <vt:variant>
        <vt:i4>0</vt:i4>
      </vt:variant>
      <vt:variant>
        <vt:i4>5</vt:i4>
      </vt:variant>
      <vt:variant>
        <vt:lpwstr>http://codes.ohio.gov/orc/505.372v1</vt:lpwstr>
      </vt:variant>
      <vt:variant>
        <vt:lpwstr/>
      </vt:variant>
      <vt:variant>
        <vt:i4>4521984</vt:i4>
      </vt:variant>
      <vt:variant>
        <vt:i4>417</vt:i4>
      </vt:variant>
      <vt:variant>
        <vt:i4>0</vt:i4>
      </vt:variant>
      <vt:variant>
        <vt:i4>5</vt:i4>
      </vt:variant>
      <vt:variant>
        <vt:lpwstr>http://codes.ohio.gov/orc/505.71</vt:lpwstr>
      </vt:variant>
      <vt:variant>
        <vt:lpwstr/>
      </vt:variant>
      <vt:variant>
        <vt:i4>4980741</vt:i4>
      </vt:variant>
      <vt:variant>
        <vt:i4>414</vt:i4>
      </vt:variant>
      <vt:variant>
        <vt:i4>0</vt:i4>
      </vt:variant>
      <vt:variant>
        <vt:i4>5</vt:i4>
      </vt:variant>
      <vt:variant>
        <vt:lpwstr>https://codes.ohio.gov/ohio-revised-code/section-3345.04</vt:lpwstr>
      </vt:variant>
      <vt:variant>
        <vt:lpwstr/>
      </vt:variant>
      <vt:variant>
        <vt:i4>4980741</vt:i4>
      </vt:variant>
      <vt:variant>
        <vt:i4>411</vt:i4>
      </vt:variant>
      <vt:variant>
        <vt:i4>0</vt:i4>
      </vt:variant>
      <vt:variant>
        <vt:i4>5</vt:i4>
      </vt:variant>
      <vt:variant>
        <vt:lpwstr>https://codes.ohio.gov/ohio-revised-code/section-3345.04</vt:lpwstr>
      </vt:variant>
      <vt:variant>
        <vt:lpwstr/>
      </vt:variant>
      <vt:variant>
        <vt:i4>4980741</vt:i4>
      </vt:variant>
      <vt:variant>
        <vt:i4>408</vt:i4>
      </vt:variant>
      <vt:variant>
        <vt:i4>0</vt:i4>
      </vt:variant>
      <vt:variant>
        <vt:i4>5</vt:i4>
      </vt:variant>
      <vt:variant>
        <vt:lpwstr>https://codes.ohio.gov/ohio-revised-code/section-3345.04</vt:lpwstr>
      </vt:variant>
      <vt:variant>
        <vt:lpwstr/>
      </vt:variant>
      <vt:variant>
        <vt:i4>5308447</vt:i4>
      </vt:variant>
      <vt:variant>
        <vt:i4>405</vt:i4>
      </vt:variant>
      <vt:variant>
        <vt:i4>0</vt:i4>
      </vt:variant>
      <vt:variant>
        <vt:i4>5</vt:i4>
      </vt:variant>
      <vt:variant>
        <vt:lpwstr>http://codes.ohio.gov/orc/3358.06</vt:lpwstr>
      </vt:variant>
      <vt:variant>
        <vt:lpwstr/>
      </vt:variant>
      <vt:variant>
        <vt:i4>6225949</vt:i4>
      </vt:variant>
      <vt:variant>
        <vt:i4>402</vt:i4>
      </vt:variant>
      <vt:variant>
        <vt:i4>0</vt:i4>
      </vt:variant>
      <vt:variant>
        <vt:i4>5</vt:i4>
      </vt:variant>
      <vt:variant>
        <vt:lpwstr>http://codes.ohio.gov/orc/3375.36</vt:lpwstr>
      </vt:variant>
      <vt:variant>
        <vt:lpwstr/>
      </vt:variant>
      <vt:variant>
        <vt:i4>6225949</vt:i4>
      </vt:variant>
      <vt:variant>
        <vt:i4>399</vt:i4>
      </vt:variant>
      <vt:variant>
        <vt:i4>0</vt:i4>
      </vt:variant>
      <vt:variant>
        <vt:i4>5</vt:i4>
      </vt:variant>
      <vt:variant>
        <vt:lpwstr>http://codes.ohio.gov/orc/3375.32</vt:lpwstr>
      </vt:variant>
      <vt:variant>
        <vt:lpwstr/>
      </vt:variant>
      <vt:variant>
        <vt:i4>2687015</vt:i4>
      </vt:variant>
      <vt:variant>
        <vt:i4>396</vt:i4>
      </vt:variant>
      <vt:variant>
        <vt:i4>0</vt:i4>
      </vt:variant>
      <vt:variant>
        <vt:i4>5</vt:i4>
      </vt:variant>
      <vt:variant>
        <vt:lpwstr>http://codes.ohio.gov/orc/6101.58v1</vt:lpwstr>
      </vt:variant>
      <vt:variant>
        <vt:lpwstr/>
      </vt:variant>
      <vt:variant>
        <vt:i4>4521998</vt:i4>
      </vt:variant>
      <vt:variant>
        <vt:i4>393</vt:i4>
      </vt:variant>
      <vt:variant>
        <vt:i4>0</vt:i4>
      </vt:variant>
      <vt:variant>
        <vt:i4>5</vt:i4>
      </vt:variant>
      <vt:variant>
        <vt:lpwstr>http://codes.ohio.gov/orc/940.05</vt:lpwstr>
      </vt:variant>
      <vt:variant>
        <vt:lpwstr/>
      </vt:variant>
      <vt:variant>
        <vt:i4>4587533</vt:i4>
      </vt:variant>
      <vt:variant>
        <vt:i4>390</vt:i4>
      </vt:variant>
      <vt:variant>
        <vt:i4>0</vt:i4>
      </vt:variant>
      <vt:variant>
        <vt:i4>5</vt:i4>
      </vt:variant>
      <vt:variant>
        <vt:lpwstr>http://codes.ohio.gov/orc/308.12</vt:lpwstr>
      </vt:variant>
      <vt:variant>
        <vt:lpwstr/>
      </vt:variant>
      <vt:variant>
        <vt:i4>6094878</vt:i4>
      </vt:variant>
      <vt:variant>
        <vt:i4>387</vt:i4>
      </vt:variant>
      <vt:variant>
        <vt:i4>0</vt:i4>
      </vt:variant>
      <vt:variant>
        <vt:i4>5</vt:i4>
      </vt:variant>
      <vt:variant>
        <vt:lpwstr>http://codes.ohio.gov/orc/2152.42</vt:lpwstr>
      </vt:variant>
      <vt:variant>
        <vt:lpwstr/>
      </vt:variant>
      <vt:variant>
        <vt:i4>6094878</vt:i4>
      </vt:variant>
      <vt:variant>
        <vt:i4>384</vt:i4>
      </vt:variant>
      <vt:variant>
        <vt:i4>0</vt:i4>
      </vt:variant>
      <vt:variant>
        <vt:i4>5</vt:i4>
      </vt:variant>
      <vt:variant>
        <vt:lpwstr>http://codes.ohio.gov/orc/2151.70</vt:lpwstr>
      </vt:variant>
      <vt:variant>
        <vt:lpwstr/>
      </vt:variant>
      <vt:variant>
        <vt:i4>4456461</vt:i4>
      </vt:variant>
      <vt:variant>
        <vt:i4>381</vt:i4>
      </vt:variant>
      <vt:variant>
        <vt:i4>0</vt:i4>
      </vt:variant>
      <vt:variant>
        <vt:i4>5</vt:i4>
      </vt:variant>
      <vt:variant>
        <vt:lpwstr>http://codes.ohio.gov/orc/349.04</vt:lpwstr>
      </vt:variant>
      <vt:variant>
        <vt:lpwstr/>
      </vt:variant>
      <vt:variant>
        <vt:i4>2555945</vt:i4>
      </vt:variant>
      <vt:variant>
        <vt:i4>378</vt:i4>
      </vt:variant>
      <vt:variant>
        <vt:i4>0</vt:i4>
      </vt:variant>
      <vt:variant>
        <vt:i4>5</vt:i4>
      </vt:variant>
      <vt:variant>
        <vt:lpwstr>http://codes.ohio.gov/orc/1901.31v1</vt:lpwstr>
      </vt:variant>
      <vt:variant>
        <vt:lpwstr/>
      </vt:variant>
      <vt:variant>
        <vt:i4>5308440</vt:i4>
      </vt:variant>
      <vt:variant>
        <vt:i4>375</vt:i4>
      </vt:variant>
      <vt:variant>
        <vt:i4>0</vt:i4>
      </vt:variant>
      <vt:variant>
        <vt:i4>5</vt:i4>
      </vt:variant>
      <vt:variant>
        <vt:lpwstr>http://codes.ohio.gov/orc/1901.32</vt:lpwstr>
      </vt:variant>
      <vt:variant>
        <vt:lpwstr/>
      </vt:variant>
      <vt:variant>
        <vt:i4>5308440</vt:i4>
      </vt:variant>
      <vt:variant>
        <vt:i4>372</vt:i4>
      </vt:variant>
      <vt:variant>
        <vt:i4>0</vt:i4>
      </vt:variant>
      <vt:variant>
        <vt:i4>5</vt:i4>
      </vt:variant>
      <vt:variant>
        <vt:lpwstr>http://codes.ohio.gov/orc/1901.32</vt:lpwstr>
      </vt:variant>
      <vt:variant>
        <vt:lpwstr/>
      </vt:variant>
      <vt:variant>
        <vt:i4>4325383</vt:i4>
      </vt:variant>
      <vt:variant>
        <vt:i4>369</vt:i4>
      </vt:variant>
      <vt:variant>
        <vt:i4>0</vt:i4>
      </vt:variant>
      <vt:variant>
        <vt:i4>5</vt:i4>
      </vt:variant>
      <vt:variant>
        <vt:lpwstr>http://codes.ohio.gov/orc/755.23</vt:lpwstr>
      </vt:variant>
      <vt:variant>
        <vt:lpwstr/>
      </vt:variant>
      <vt:variant>
        <vt:i4>4325387</vt:i4>
      </vt:variant>
      <vt:variant>
        <vt:i4>366</vt:i4>
      </vt:variant>
      <vt:variant>
        <vt:i4>0</vt:i4>
      </vt:variant>
      <vt:variant>
        <vt:i4>5</vt:i4>
      </vt:variant>
      <vt:variant>
        <vt:lpwstr>http://codes.ohio.gov/orc/749.22</vt:lpwstr>
      </vt:variant>
      <vt:variant>
        <vt:lpwstr/>
      </vt:variant>
      <vt:variant>
        <vt:i4>6160411</vt:i4>
      </vt:variant>
      <vt:variant>
        <vt:i4>363</vt:i4>
      </vt:variant>
      <vt:variant>
        <vt:i4>0</vt:i4>
      </vt:variant>
      <vt:variant>
        <vt:i4>5</vt:i4>
      </vt:variant>
      <vt:variant>
        <vt:lpwstr>http://codes.ohio.gov/orc/5571.04</vt:lpwstr>
      </vt:variant>
      <vt:variant>
        <vt:lpwstr/>
      </vt:variant>
      <vt:variant>
        <vt:i4>4390922</vt:i4>
      </vt:variant>
      <vt:variant>
        <vt:i4>360</vt:i4>
      </vt:variant>
      <vt:variant>
        <vt:i4>0</vt:i4>
      </vt:variant>
      <vt:variant>
        <vt:i4>5</vt:i4>
      </vt:variant>
      <vt:variant>
        <vt:lpwstr>http://codes.ohio.gov/orc/519.161</vt:lpwstr>
      </vt:variant>
      <vt:variant>
        <vt:lpwstr/>
      </vt:variant>
      <vt:variant>
        <vt:i4>4587531</vt:i4>
      </vt:variant>
      <vt:variant>
        <vt:i4>357</vt:i4>
      </vt:variant>
      <vt:variant>
        <vt:i4>0</vt:i4>
      </vt:variant>
      <vt:variant>
        <vt:i4>5</vt:i4>
      </vt:variant>
      <vt:variant>
        <vt:lpwstr>http://codes.ohio.gov/orc/509.02</vt:lpwstr>
      </vt:variant>
      <vt:variant>
        <vt:lpwstr/>
      </vt:variant>
      <vt:variant>
        <vt:i4>4653061</vt:i4>
      </vt:variant>
      <vt:variant>
        <vt:i4>354</vt:i4>
      </vt:variant>
      <vt:variant>
        <vt:i4>0</vt:i4>
      </vt:variant>
      <vt:variant>
        <vt:i4>5</vt:i4>
      </vt:variant>
      <vt:variant>
        <vt:lpwstr>http://codes.ohio.gov/orc/507.03</vt:lpwstr>
      </vt:variant>
      <vt:variant>
        <vt:lpwstr/>
      </vt:variant>
      <vt:variant>
        <vt:i4>4587527</vt:i4>
      </vt:variant>
      <vt:variant>
        <vt:i4>351</vt:i4>
      </vt:variant>
      <vt:variant>
        <vt:i4>0</vt:i4>
      </vt:variant>
      <vt:variant>
        <vt:i4>5</vt:i4>
      </vt:variant>
      <vt:variant>
        <vt:lpwstr>http://codes.ohio.gov/orc/505.02</vt:lpwstr>
      </vt:variant>
      <vt:variant>
        <vt:lpwstr/>
      </vt:variant>
      <vt:variant>
        <vt:i4>5963806</vt:i4>
      </vt:variant>
      <vt:variant>
        <vt:i4>348</vt:i4>
      </vt:variant>
      <vt:variant>
        <vt:i4>0</vt:i4>
      </vt:variant>
      <vt:variant>
        <vt:i4>5</vt:i4>
      </vt:variant>
      <vt:variant>
        <vt:lpwstr>http://codes.ohio.gov/orc/6115.57</vt:lpwstr>
      </vt:variant>
      <vt:variant>
        <vt:lpwstr/>
      </vt:variant>
      <vt:variant>
        <vt:i4>6029333</vt:i4>
      </vt:variant>
      <vt:variant>
        <vt:i4>345</vt:i4>
      </vt:variant>
      <vt:variant>
        <vt:i4>0</vt:i4>
      </vt:variant>
      <vt:variant>
        <vt:i4>5</vt:i4>
      </vt:variant>
      <vt:variant>
        <vt:lpwstr>http://codes.ohio.gov/orc/5593.05</vt:lpwstr>
      </vt:variant>
      <vt:variant>
        <vt:lpwstr/>
      </vt:variant>
      <vt:variant>
        <vt:i4>5832729</vt:i4>
      </vt:variant>
      <vt:variant>
        <vt:i4>342</vt:i4>
      </vt:variant>
      <vt:variant>
        <vt:i4>0</vt:i4>
      </vt:variant>
      <vt:variant>
        <vt:i4>5</vt:i4>
      </vt:variant>
      <vt:variant>
        <vt:lpwstr>http://codes.ohio.gov/orc/5153.13</vt:lpwstr>
      </vt:variant>
      <vt:variant>
        <vt:lpwstr/>
      </vt:variant>
      <vt:variant>
        <vt:i4>5898267</vt:i4>
      </vt:variant>
      <vt:variant>
        <vt:i4>339</vt:i4>
      </vt:variant>
      <vt:variant>
        <vt:i4>0</vt:i4>
      </vt:variant>
      <vt:variant>
        <vt:i4>5</vt:i4>
      </vt:variant>
      <vt:variant>
        <vt:lpwstr>http://codes.ohio.gov/orc/2303.02</vt:lpwstr>
      </vt:variant>
      <vt:variant>
        <vt:lpwstr/>
      </vt:variant>
      <vt:variant>
        <vt:i4>5832731</vt:i4>
      </vt:variant>
      <vt:variant>
        <vt:i4>336</vt:i4>
      </vt:variant>
      <vt:variant>
        <vt:i4>0</vt:i4>
      </vt:variant>
      <vt:variant>
        <vt:i4>5</vt:i4>
      </vt:variant>
      <vt:variant>
        <vt:lpwstr>http://codes.ohio.gov/orc/2301.16</vt:lpwstr>
      </vt:variant>
      <vt:variant>
        <vt:lpwstr/>
      </vt:variant>
      <vt:variant>
        <vt:i4>3080238</vt:i4>
      </vt:variant>
      <vt:variant>
        <vt:i4>333</vt:i4>
      </vt:variant>
      <vt:variant>
        <vt:i4>0</vt:i4>
      </vt:variant>
      <vt:variant>
        <vt:i4>5</vt:i4>
      </vt:variant>
      <vt:variant>
        <vt:lpwstr>http://codes.ohio.gov/orc/2153.10v1</vt:lpwstr>
      </vt:variant>
      <vt:variant>
        <vt:lpwstr/>
      </vt:variant>
      <vt:variant>
        <vt:i4>5898267</vt:i4>
      </vt:variant>
      <vt:variant>
        <vt:i4>330</vt:i4>
      </vt:variant>
      <vt:variant>
        <vt:i4>0</vt:i4>
      </vt:variant>
      <vt:variant>
        <vt:i4>5</vt:i4>
      </vt:variant>
      <vt:variant>
        <vt:lpwstr>http://codes.ohio.gov/orc/2101.03</vt:lpwstr>
      </vt:variant>
      <vt:variant>
        <vt:lpwstr/>
      </vt:variant>
      <vt:variant>
        <vt:i4>5636120</vt:i4>
      </vt:variant>
      <vt:variant>
        <vt:i4>327</vt:i4>
      </vt:variant>
      <vt:variant>
        <vt:i4>0</vt:i4>
      </vt:variant>
      <vt:variant>
        <vt:i4>5</vt:i4>
      </vt:variant>
      <vt:variant>
        <vt:lpwstr>http://codes.ohio.gov/orc/1907.20</vt:lpwstr>
      </vt:variant>
      <vt:variant>
        <vt:lpwstr/>
      </vt:variant>
      <vt:variant>
        <vt:i4>7077928</vt:i4>
      </vt:variant>
      <vt:variant>
        <vt:i4>324</vt:i4>
      </vt:variant>
      <vt:variant>
        <vt:i4>0</vt:i4>
      </vt:variant>
      <vt:variant>
        <vt:i4>5</vt:i4>
      </vt:variant>
      <vt:variant>
        <vt:lpwstr>https://codes.ohio.gov/ohio-revised-code/section-955.12</vt:lpwstr>
      </vt:variant>
      <vt:variant>
        <vt:lpwstr/>
      </vt:variant>
      <vt:variant>
        <vt:i4>7012396</vt:i4>
      </vt:variant>
      <vt:variant>
        <vt:i4>321</vt:i4>
      </vt:variant>
      <vt:variant>
        <vt:i4>0</vt:i4>
      </vt:variant>
      <vt:variant>
        <vt:i4>5</vt:i4>
      </vt:variant>
      <vt:variant>
        <vt:lpwstr>https://codes.ohio.gov/ohio-revised-code/section-319.02</vt:lpwstr>
      </vt:variant>
      <vt:variant>
        <vt:lpwstr/>
      </vt:variant>
      <vt:variant>
        <vt:i4>4653059</vt:i4>
      </vt:variant>
      <vt:variant>
        <vt:i4>318</vt:i4>
      </vt:variant>
      <vt:variant>
        <vt:i4>0</vt:i4>
      </vt:variant>
      <vt:variant>
        <vt:i4>5</vt:i4>
      </vt:variant>
      <vt:variant>
        <vt:lpwstr>http://codes.ohio.gov/orc/317.02</vt:lpwstr>
      </vt:variant>
      <vt:variant>
        <vt:lpwstr/>
      </vt:variant>
      <vt:variant>
        <vt:i4>4587521</vt:i4>
      </vt:variant>
      <vt:variant>
        <vt:i4>315</vt:i4>
      </vt:variant>
      <vt:variant>
        <vt:i4>0</vt:i4>
      </vt:variant>
      <vt:variant>
        <vt:i4>5</vt:i4>
      </vt:variant>
      <vt:variant>
        <vt:lpwstr>http://codes.ohio.gov/orc/315.03</vt:lpwstr>
      </vt:variant>
      <vt:variant>
        <vt:lpwstr/>
      </vt:variant>
      <vt:variant>
        <vt:i4>4587527</vt:i4>
      </vt:variant>
      <vt:variant>
        <vt:i4>312</vt:i4>
      </vt:variant>
      <vt:variant>
        <vt:i4>0</vt:i4>
      </vt:variant>
      <vt:variant>
        <vt:i4>5</vt:i4>
      </vt:variant>
      <vt:variant>
        <vt:lpwstr>http://codes.ohio.gov/orc/313.03</vt:lpwstr>
      </vt:variant>
      <vt:variant>
        <vt:lpwstr/>
      </vt:variant>
      <vt:variant>
        <vt:i4>5636120</vt:i4>
      </vt:variant>
      <vt:variant>
        <vt:i4>309</vt:i4>
      </vt:variant>
      <vt:variant>
        <vt:i4>0</vt:i4>
      </vt:variant>
      <vt:variant>
        <vt:i4>5</vt:i4>
      </vt:variant>
      <vt:variant>
        <vt:lpwstr>https://codes.ohio.gov/ohio-revised-code/section-325.071</vt:lpwstr>
      </vt:variant>
      <vt:variant>
        <vt:lpwstr/>
      </vt:variant>
      <vt:variant>
        <vt:i4>4653061</vt:i4>
      </vt:variant>
      <vt:variant>
        <vt:i4>306</vt:i4>
      </vt:variant>
      <vt:variant>
        <vt:i4>0</vt:i4>
      </vt:variant>
      <vt:variant>
        <vt:i4>5</vt:i4>
      </vt:variant>
      <vt:variant>
        <vt:lpwstr>http://codes.ohio.gov/orc/311.02</vt:lpwstr>
      </vt:variant>
      <vt:variant>
        <vt:lpwstr/>
      </vt:variant>
      <vt:variant>
        <vt:i4>4456448</vt:i4>
      </vt:variant>
      <vt:variant>
        <vt:i4>303</vt:i4>
      </vt:variant>
      <vt:variant>
        <vt:i4>0</vt:i4>
      </vt:variant>
      <vt:variant>
        <vt:i4>5</vt:i4>
      </vt:variant>
      <vt:variant>
        <vt:lpwstr>http://codes.ohio.gov/orc/325.12</vt:lpwstr>
      </vt:variant>
      <vt:variant>
        <vt:lpwstr/>
      </vt:variant>
      <vt:variant>
        <vt:i4>4653069</vt:i4>
      </vt:variant>
      <vt:variant>
        <vt:i4>300</vt:i4>
      </vt:variant>
      <vt:variant>
        <vt:i4>0</vt:i4>
      </vt:variant>
      <vt:variant>
        <vt:i4>5</vt:i4>
      </vt:variant>
      <vt:variant>
        <vt:lpwstr>http://codes.ohio.gov/orc/309.03</vt:lpwstr>
      </vt:variant>
      <vt:variant>
        <vt:lpwstr/>
      </vt:variant>
      <vt:variant>
        <vt:i4>4194305</vt:i4>
      </vt:variant>
      <vt:variant>
        <vt:i4>297</vt:i4>
      </vt:variant>
      <vt:variant>
        <vt:i4>0</vt:i4>
      </vt:variant>
      <vt:variant>
        <vt:i4>5</vt:i4>
      </vt:variant>
      <vt:variant>
        <vt:lpwstr>http://codes.ohio.gov/orc/305.04</vt:lpwstr>
      </vt:variant>
      <vt:variant>
        <vt:lpwstr/>
      </vt:variant>
      <vt:variant>
        <vt:i4>5898268</vt:i4>
      </vt:variant>
      <vt:variant>
        <vt:i4>294</vt:i4>
      </vt:variant>
      <vt:variant>
        <vt:i4>0</vt:i4>
      </vt:variant>
      <vt:variant>
        <vt:i4>5</vt:i4>
      </vt:variant>
      <vt:variant>
        <vt:lpwstr>http://codes.ohio.gov/orc/1545.05</vt:lpwstr>
      </vt:variant>
      <vt:variant>
        <vt:lpwstr/>
      </vt:variant>
      <vt:variant>
        <vt:i4>4325383</vt:i4>
      </vt:variant>
      <vt:variant>
        <vt:i4>291</vt:i4>
      </vt:variant>
      <vt:variant>
        <vt:i4>0</vt:i4>
      </vt:variant>
      <vt:variant>
        <vt:i4>5</vt:i4>
      </vt:variant>
      <vt:variant>
        <vt:lpwstr>http://codes.ohio.gov/orc/755.23</vt:lpwstr>
      </vt:variant>
      <vt:variant>
        <vt:lpwstr/>
      </vt:variant>
      <vt:variant>
        <vt:i4>5701658</vt:i4>
      </vt:variant>
      <vt:variant>
        <vt:i4>288</vt:i4>
      </vt:variant>
      <vt:variant>
        <vt:i4>0</vt:i4>
      </vt:variant>
      <vt:variant>
        <vt:i4>5</vt:i4>
      </vt:variant>
      <vt:variant>
        <vt:lpwstr>http://codes.ohio.gov/orc/3709.31</vt:lpwstr>
      </vt:variant>
      <vt:variant>
        <vt:lpwstr/>
      </vt:variant>
      <vt:variant>
        <vt:i4>7733372</vt:i4>
      </vt:variant>
      <vt:variant>
        <vt:i4>285</vt:i4>
      </vt:variant>
      <vt:variant>
        <vt:i4>0</vt:i4>
      </vt:variant>
      <vt:variant>
        <vt:i4>5</vt:i4>
      </vt:variant>
      <vt:variant>
        <vt:lpwstr>http://codes.ohio.gov/orc/759.36v1</vt:lpwstr>
      </vt:variant>
      <vt:variant>
        <vt:lpwstr/>
      </vt:variant>
      <vt:variant>
        <vt:i4>2883683</vt:i4>
      </vt:variant>
      <vt:variant>
        <vt:i4>282</vt:i4>
      </vt:variant>
      <vt:variant>
        <vt:i4>0</vt:i4>
      </vt:variant>
      <vt:variant>
        <vt:i4>5</vt:i4>
      </vt:variant>
      <vt:variant>
        <vt:lpwstr>https://ohioauditor.gov/ocs/2022/ORC_3.061_Dishonesty_and_faithful_performance_of_duty_policy_FAQs_2021.pdf</vt:lpwstr>
      </vt:variant>
      <vt:variant>
        <vt:lpwstr/>
      </vt:variant>
      <vt:variant>
        <vt:i4>5242942</vt:i4>
      </vt:variant>
      <vt:variant>
        <vt:i4>279</vt:i4>
      </vt:variant>
      <vt:variant>
        <vt:i4>0</vt:i4>
      </vt:variant>
      <vt:variant>
        <vt:i4>5</vt:i4>
      </vt:variant>
      <vt:variant>
        <vt:lpwstr>https://ohioauditor.gov/resources/federal_general.html</vt:lpwstr>
      </vt:variant>
      <vt:variant>
        <vt:lpwstr/>
      </vt:variant>
      <vt:variant>
        <vt:i4>4587573</vt:i4>
      </vt:variant>
      <vt:variant>
        <vt:i4>276</vt:i4>
      </vt:variant>
      <vt:variant>
        <vt:i4>0</vt:i4>
      </vt:variant>
      <vt:variant>
        <vt:i4>5</vt:i4>
      </vt:variant>
      <vt:variant>
        <vt:lpwstr>https://ohioauditor.gov/resources/covid19_faqs.html</vt:lpwstr>
      </vt:variant>
      <vt:variant>
        <vt:lpwstr/>
      </vt:variant>
      <vt:variant>
        <vt:i4>3342395</vt:i4>
      </vt:variant>
      <vt:variant>
        <vt:i4>273</vt:i4>
      </vt:variant>
      <vt:variant>
        <vt:i4>0</vt:i4>
      </vt:variant>
      <vt:variant>
        <vt:i4>5</vt:i4>
      </vt:variant>
      <vt:variant>
        <vt:lpwstr>https://www.ohioauditor.gov/publications/bulletins/technical-bulletins.html</vt:lpwstr>
      </vt:variant>
      <vt:variant>
        <vt:lpwstr/>
      </vt:variant>
      <vt:variant>
        <vt:i4>3932203</vt:i4>
      </vt:variant>
      <vt:variant>
        <vt:i4>270</vt:i4>
      </vt:variant>
      <vt:variant>
        <vt:i4>0</vt:i4>
      </vt:variant>
      <vt:variant>
        <vt:i4>5</vt:i4>
      </vt:variant>
      <vt:variant>
        <vt:lpwstr>http://www.ohioauditor.gov/publications/bulletins/technical-bulletins.html</vt:lpwstr>
      </vt:variant>
      <vt:variant>
        <vt:lpwstr/>
      </vt:variant>
      <vt:variant>
        <vt:i4>4128869</vt:i4>
      </vt:variant>
      <vt:variant>
        <vt:i4>267</vt:i4>
      </vt:variant>
      <vt:variant>
        <vt:i4>0</vt:i4>
      </vt:variant>
      <vt:variant>
        <vt:i4>5</vt:i4>
      </vt:variant>
      <vt:variant>
        <vt:lpwstr>http://www.ohioauditor.gov/</vt:lpwstr>
      </vt:variant>
      <vt:variant>
        <vt:lpwstr/>
      </vt:variant>
      <vt:variant>
        <vt:i4>63</vt:i4>
      </vt:variant>
      <vt:variant>
        <vt:i4>264</vt:i4>
      </vt:variant>
      <vt:variant>
        <vt:i4>0</vt:i4>
      </vt:variant>
      <vt:variant>
        <vt:i4>5</vt:i4>
      </vt:variant>
      <vt:variant>
        <vt:lpwstr>mailto:IPAreport@ohioauditor.gov</vt:lpwstr>
      </vt:variant>
      <vt:variant>
        <vt:lpwstr/>
      </vt:variant>
      <vt:variant>
        <vt:i4>63</vt:i4>
      </vt:variant>
      <vt:variant>
        <vt:i4>261</vt:i4>
      </vt:variant>
      <vt:variant>
        <vt:i4>0</vt:i4>
      </vt:variant>
      <vt:variant>
        <vt:i4>5</vt:i4>
      </vt:variant>
      <vt:variant>
        <vt:lpwstr>mailto:IPAreport@ohioauditor.gov</vt:lpwstr>
      </vt:variant>
      <vt:variant>
        <vt:lpwstr/>
      </vt:variant>
      <vt:variant>
        <vt:i4>3604530</vt:i4>
      </vt:variant>
      <vt:variant>
        <vt:i4>258</vt:i4>
      </vt:variant>
      <vt:variant>
        <vt:i4>0</vt:i4>
      </vt:variant>
      <vt:variant>
        <vt:i4>5</vt:i4>
      </vt:variant>
      <vt:variant>
        <vt:lpwstr>https://ohioauditor.gov/financial.html</vt:lpwstr>
      </vt:variant>
      <vt:variant>
        <vt:lpwstr/>
      </vt:variant>
      <vt:variant>
        <vt:i4>3342395</vt:i4>
      </vt:variant>
      <vt:variant>
        <vt:i4>252</vt:i4>
      </vt:variant>
      <vt:variant>
        <vt:i4>0</vt:i4>
      </vt:variant>
      <vt:variant>
        <vt:i4>5</vt:i4>
      </vt:variant>
      <vt:variant>
        <vt:lpwstr>https://www.ohioauditor.gov/publications/bulletins/technical-bulletins.html</vt:lpwstr>
      </vt:variant>
      <vt:variant>
        <vt:lpwstr/>
      </vt:variant>
      <vt:variant>
        <vt:i4>63</vt:i4>
      </vt:variant>
      <vt:variant>
        <vt:i4>249</vt:i4>
      </vt:variant>
      <vt:variant>
        <vt:i4>0</vt:i4>
      </vt:variant>
      <vt:variant>
        <vt:i4>5</vt:i4>
      </vt:variant>
      <vt:variant>
        <vt:lpwstr>mailto:ipareport@ohioauditor.gov</vt:lpwstr>
      </vt:variant>
      <vt:variant>
        <vt:lpwstr/>
      </vt:variant>
      <vt:variant>
        <vt:i4>63</vt:i4>
      </vt:variant>
      <vt:variant>
        <vt:i4>246</vt:i4>
      </vt:variant>
      <vt:variant>
        <vt:i4>0</vt:i4>
      </vt:variant>
      <vt:variant>
        <vt:i4>5</vt:i4>
      </vt:variant>
      <vt:variant>
        <vt:lpwstr>mailto:ipareport@ohioauditor.gov</vt:lpwstr>
      </vt:variant>
      <vt:variant>
        <vt:lpwstr/>
      </vt:variant>
      <vt:variant>
        <vt:i4>3932203</vt:i4>
      </vt:variant>
      <vt:variant>
        <vt:i4>240</vt:i4>
      </vt:variant>
      <vt:variant>
        <vt:i4>0</vt:i4>
      </vt:variant>
      <vt:variant>
        <vt:i4>5</vt:i4>
      </vt:variant>
      <vt:variant>
        <vt:lpwstr>http://www.ohioauditor.gov/publications/bulletins/technical-bulletins.html</vt:lpwstr>
      </vt:variant>
      <vt:variant>
        <vt:lpwstr/>
      </vt:variant>
      <vt:variant>
        <vt:i4>327696</vt:i4>
      </vt:variant>
      <vt:variant>
        <vt:i4>237</vt:i4>
      </vt:variant>
      <vt:variant>
        <vt:i4>0</vt:i4>
      </vt:variant>
      <vt:variant>
        <vt:i4>5</vt:i4>
      </vt:variant>
      <vt:variant>
        <vt:lpwstr>https://ohioauditor.gov/ocs/2024/FFR_Repayment_Template.docx</vt:lpwstr>
      </vt:variant>
      <vt:variant>
        <vt:lpwstr/>
      </vt:variant>
      <vt:variant>
        <vt:i4>6357036</vt:i4>
      </vt:variant>
      <vt:variant>
        <vt:i4>231</vt:i4>
      </vt:variant>
      <vt:variant>
        <vt:i4>0</vt:i4>
      </vt:variant>
      <vt:variant>
        <vt:i4>5</vt:i4>
      </vt:variant>
      <vt:variant>
        <vt:lpwstr>https://ohauditor.sharepoint.com/sites/Intranet/Shared Documents/Forms/AllItems.aspx?csf=1&amp;web=1&amp;e=fu8fQM&amp;clickparams=eyAiWC1BcHBOYW1lIiA6ICJNaWNyb3NvZnQgT3V0bG9vayIsICJYLUFwcFZlcnNpb24iIDogIjE2LjAuMTc5MjguMjAyMTYiLCAiT1MiIDogIldpbmRvd3MiIH0%3D&amp;CID=17c963a1%2D8094%2D6000%2Df45e%2Da1e31c4f431c&amp;cidOR=SPO&amp;FolderCTID=0x0120002FFBFB1F4A3C3F47AE37C7A44E1C1EDE&amp;id=%2Fsites%2FIntranet%2FShared%20Documents%2FAudit%5FResources%2FOhio%5FCompliance%5FSupplement</vt:lpwstr>
      </vt:variant>
      <vt:variant>
        <vt:lpwstr/>
      </vt:variant>
      <vt:variant>
        <vt:i4>3932203</vt:i4>
      </vt:variant>
      <vt:variant>
        <vt:i4>225</vt:i4>
      </vt:variant>
      <vt:variant>
        <vt:i4>0</vt:i4>
      </vt:variant>
      <vt:variant>
        <vt:i4>5</vt:i4>
      </vt:variant>
      <vt:variant>
        <vt:lpwstr>http://www.ohioauditor.gov/publications/bulletins/technical-bulletins.html</vt:lpwstr>
      </vt:variant>
      <vt:variant>
        <vt:lpwstr/>
      </vt:variant>
      <vt:variant>
        <vt:i4>3932203</vt:i4>
      </vt:variant>
      <vt:variant>
        <vt:i4>222</vt:i4>
      </vt:variant>
      <vt:variant>
        <vt:i4>0</vt:i4>
      </vt:variant>
      <vt:variant>
        <vt:i4>5</vt:i4>
      </vt:variant>
      <vt:variant>
        <vt:lpwstr>http://www.ohioauditor.gov/publications/bulletins/technical-bulletins.html</vt:lpwstr>
      </vt:variant>
      <vt:variant>
        <vt:lpwstr/>
      </vt:variant>
      <vt:variant>
        <vt:i4>63</vt:i4>
      </vt:variant>
      <vt:variant>
        <vt:i4>216</vt:i4>
      </vt:variant>
      <vt:variant>
        <vt:i4>0</vt:i4>
      </vt:variant>
      <vt:variant>
        <vt:i4>5</vt:i4>
      </vt:variant>
      <vt:variant>
        <vt:lpwstr>mailto:ipareport@ohioauditor.gov</vt:lpwstr>
      </vt:variant>
      <vt:variant>
        <vt:lpwstr/>
      </vt:variant>
      <vt:variant>
        <vt:i4>63</vt:i4>
      </vt:variant>
      <vt:variant>
        <vt:i4>213</vt:i4>
      </vt:variant>
      <vt:variant>
        <vt:i4>0</vt:i4>
      </vt:variant>
      <vt:variant>
        <vt:i4>5</vt:i4>
      </vt:variant>
      <vt:variant>
        <vt:lpwstr>mailto:ipareport@ohioauditor.gov</vt:lpwstr>
      </vt:variant>
      <vt:variant>
        <vt:lpwstr/>
      </vt:variant>
      <vt:variant>
        <vt:i4>3932203</vt:i4>
      </vt:variant>
      <vt:variant>
        <vt:i4>207</vt:i4>
      </vt:variant>
      <vt:variant>
        <vt:i4>0</vt:i4>
      </vt:variant>
      <vt:variant>
        <vt:i4>5</vt:i4>
      </vt:variant>
      <vt:variant>
        <vt:lpwstr>http://www.ohioauditor.gov/publications/bulletins/technical-bulletins.html</vt:lpwstr>
      </vt:variant>
      <vt:variant>
        <vt:lpwstr/>
      </vt:variant>
      <vt:variant>
        <vt:i4>3932203</vt:i4>
      </vt:variant>
      <vt:variant>
        <vt:i4>204</vt:i4>
      </vt:variant>
      <vt:variant>
        <vt:i4>0</vt:i4>
      </vt:variant>
      <vt:variant>
        <vt:i4>5</vt:i4>
      </vt:variant>
      <vt:variant>
        <vt:lpwstr>http://www.ohioauditor.gov/publications/bulletins/technical-bulletins.html</vt:lpwstr>
      </vt:variant>
      <vt:variant>
        <vt:lpwstr/>
      </vt:variant>
      <vt:variant>
        <vt:i4>1376313</vt:i4>
      </vt:variant>
      <vt:variant>
        <vt:i4>194</vt:i4>
      </vt:variant>
      <vt:variant>
        <vt:i4>0</vt:i4>
      </vt:variant>
      <vt:variant>
        <vt:i4>5</vt:i4>
      </vt:variant>
      <vt:variant>
        <vt:lpwstr/>
      </vt:variant>
      <vt:variant>
        <vt:lpwstr>_Toc208823198</vt:lpwstr>
      </vt:variant>
      <vt:variant>
        <vt:i4>1376313</vt:i4>
      </vt:variant>
      <vt:variant>
        <vt:i4>188</vt:i4>
      </vt:variant>
      <vt:variant>
        <vt:i4>0</vt:i4>
      </vt:variant>
      <vt:variant>
        <vt:i4>5</vt:i4>
      </vt:variant>
      <vt:variant>
        <vt:lpwstr/>
      </vt:variant>
      <vt:variant>
        <vt:lpwstr>_Toc208823197</vt:lpwstr>
      </vt:variant>
      <vt:variant>
        <vt:i4>1376313</vt:i4>
      </vt:variant>
      <vt:variant>
        <vt:i4>182</vt:i4>
      </vt:variant>
      <vt:variant>
        <vt:i4>0</vt:i4>
      </vt:variant>
      <vt:variant>
        <vt:i4>5</vt:i4>
      </vt:variant>
      <vt:variant>
        <vt:lpwstr/>
      </vt:variant>
      <vt:variant>
        <vt:lpwstr>_Toc208823196</vt:lpwstr>
      </vt:variant>
      <vt:variant>
        <vt:i4>1376313</vt:i4>
      </vt:variant>
      <vt:variant>
        <vt:i4>176</vt:i4>
      </vt:variant>
      <vt:variant>
        <vt:i4>0</vt:i4>
      </vt:variant>
      <vt:variant>
        <vt:i4>5</vt:i4>
      </vt:variant>
      <vt:variant>
        <vt:lpwstr/>
      </vt:variant>
      <vt:variant>
        <vt:lpwstr>_Toc208823195</vt:lpwstr>
      </vt:variant>
      <vt:variant>
        <vt:i4>1376313</vt:i4>
      </vt:variant>
      <vt:variant>
        <vt:i4>170</vt:i4>
      </vt:variant>
      <vt:variant>
        <vt:i4>0</vt:i4>
      </vt:variant>
      <vt:variant>
        <vt:i4>5</vt:i4>
      </vt:variant>
      <vt:variant>
        <vt:lpwstr/>
      </vt:variant>
      <vt:variant>
        <vt:lpwstr>_Toc208823194</vt:lpwstr>
      </vt:variant>
      <vt:variant>
        <vt:i4>1376313</vt:i4>
      </vt:variant>
      <vt:variant>
        <vt:i4>164</vt:i4>
      </vt:variant>
      <vt:variant>
        <vt:i4>0</vt:i4>
      </vt:variant>
      <vt:variant>
        <vt:i4>5</vt:i4>
      </vt:variant>
      <vt:variant>
        <vt:lpwstr/>
      </vt:variant>
      <vt:variant>
        <vt:lpwstr>_Toc208823193</vt:lpwstr>
      </vt:variant>
      <vt:variant>
        <vt:i4>1376313</vt:i4>
      </vt:variant>
      <vt:variant>
        <vt:i4>158</vt:i4>
      </vt:variant>
      <vt:variant>
        <vt:i4>0</vt:i4>
      </vt:variant>
      <vt:variant>
        <vt:i4>5</vt:i4>
      </vt:variant>
      <vt:variant>
        <vt:lpwstr/>
      </vt:variant>
      <vt:variant>
        <vt:lpwstr>_Toc208823192</vt:lpwstr>
      </vt:variant>
      <vt:variant>
        <vt:i4>1376313</vt:i4>
      </vt:variant>
      <vt:variant>
        <vt:i4>152</vt:i4>
      </vt:variant>
      <vt:variant>
        <vt:i4>0</vt:i4>
      </vt:variant>
      <vt:variant>
        <vt:i4>5</vt:i4>
      </vt:variant>
      <vt:variant>
        <vt:lpwstr/>
      </vt:variant>
      <vt:variant>
        <vt:lpwstr>_Toc208823191</vt:lpwstr>
      </vt:variant>
      <vt:variant>
        <vt:i4>1376313</vt:i4>
      </vt:variant>
      <vt:variant>
        <vt:i4>146</vt:i4>
      </vt:variant>
      <vt:variant>
        <vt:i4>0</vt:i4>
      </vt:variant>
      <vt:variant>
        <vt:i4>5</vt:i4>
      </vt:variant>
      <vt:variant>
        <vt:lpwstr/>
      </vt:variant>
      <vt:variant>
        <vt:lpwstr>_Toc208823190</vt:lpwstr>
      </vt:variant>
      <vt:variant>
        <vt:i4>1310777</vt:i4>
      </vt:variant>
      <vt:variant>
        <vt:i4>140</vt:i4>
      </vt:variant>
      <vt:variant>
        <vt:i4>0</vt:i4>
      </vt:variant>
      <vt:variant>
        <vt:i4>5</vt:i4>
      </vt:variant>
      <vt:variant>
        <vt:lpwstr/>
      </vt:variant>
      <vt:variant>
        <vt:lpwstr>_Toc208823189</vt:lpwstr>
      </vt:variant>
      <vt:variant>
        <vt:i4>1310777</vt:i4>
      </vt:variant>
      <vt:variant>
        <vt:i4>134</vt:i4>
      </vt:variant>
      <vt:variant>
        <vt:i4>0</vt:i4>
      </vt:variant>
      <vt:variant>
        <vt:i4>5</vt:i4>
      </vt:variant>
      <vt:variant>
        <vt:lpwstr/>
      </vt:variant>
      <vt:variant>
        <vt:lpwstr>_Toc208823188</vt:lpwstr>
      </vt:variant>
      <vt:variant>
        <vt:i4>1310777</vt:i4>
      </vt:variant>
      <vt:variant>
        <vt:i4>128</vt:i4>
      </vt:variant>
      <vt:variant>
        <vt:i4>0</vt:i4>
      </vt:variant>
      <vt:variant>
        <vt:i4>5</vt:i4>
      </vt:variant>
      <vt:variant>
        <vt:lpwstr/>
      </vt:variant>
      <vt:variant>
        <vt:lpwstr>_Toc208823187</vt:lpwstr>
      </vt:variant>
      <vt:variant>
        <vt:i4>1310777</vt:i4>
      </vt:variant>
      <vt:variant>
        <vt:i4>122</vt:i4>
      </vt:variant>
      <vt:variant>
        <vt:i4>0</vt:i4>
      </vt:variant>
      <vt:variant>
        <vt:i4>5</vt:i4>
      </vt:variant>
      <vt:variant>
        <vt:lpwstr/>
      </vt:variant>
      <vt:variant>
        <vt:lpwstr>_Toc208823186</vt:lpwstr>
      </vt:variant>
      <vt:variant>
        <vt:i4>1310777</vt:i4>
      </vt:variant>
      <vt:variant>
        <vt:i4>116</vt:i4>
      </vt:variant>
      <vt:variant>
        <vt:i4>0</vt:i4>
      </vt:variant>
      <vt:variant>
        <vt:i4>5</vt:i4>
      </vt:variant>
      <vt:variant>
        <vt:lpwstr/>
      </vt:variant>
      <vt:variant>
        <vt:lpwstr>_Toc208823185</vt:lpwstr>
      </vt:variant>
      <vt:variant>
        <vt:i4>1310777</vt:i4>
      </vt:variant>
      <vt:variant>
        <vt:i4>110</vt:i4>
      </vt:variant>
      <vt:variant>
        <vt:i4>0</vt:i4>
      </vt:variant>
      <vt:variant>
        <vt:i4>5</vt:i4>
      </vt:variant>
      <vt:variant>
        <vt:lpwstr/>
      </vt:variant>
      <vt:variant>
        <vt:lpwstr>_Toc208823184</vt:lpwstr>
      </vt:variant>
      <vt:variant>
        <vt:i4>1310777</vt:i4>
      </vt:variant>
      <vt:variant>
        <vt:i4>104</vt:i4>
      </vt:variant>
      <vt:variant>
        <vt:i4>0</vt:i4>
      </vt:variant>
      <vt:variant>
        <vt:i4>5</vt:i4>
      </vt:variant>
      <vt:variant>
        <vt:lpwstr/>
      </vt:variant>
      <vt:variant>
        <vt:lpwstr>_Toc208823183</vt:lpwstr>
      </vt:variant>
      <vt:variant>
        <vt:i4>1310777</vt:i4>
      </vt:variant>
      <vt:variant>
        <vt:i4>98</vt:i4>
      </vt:variant>
      <vt:variant>
        <vt:i4>0</vt:i4>
      </vt:variant>
      <vt:variant>
        <vt:i4>5</vt:i4>
      </vt:variant>
      <vt:variant>
        <vt:lpwstr/>
      </vt:variant>
      <vt:variant>
        <vt:lpwstr>_Toc208823182</vt:lpwstr>
      </vt:variant>
      <vt:variant>
        <vt:i4>1310777</vt:i4>
      </vt:variant>
      <vt:variant>
        <vt:i4>92</vt:i4>
      </vt:variant>
      <vt:variant>
        <vt:i4>0</vt:i4>
      </vt:variant>
      <vt:variant>
        <vt:i4>5</vt:i4>
      </vt:variant>
      <vt:variant>
        <vt:lpwstr/>
      </vt:variant>
      <vt:variant>
        <vt:lpwstr>_Toc208823181</vt:lpwstr>
      </vt:variant>
      <vt:variant>
        <vt:i4>1310777</vt:i4>
      </vt:variant>
      <vt:variant>
        <vt:i4>86</vt:i4>
      </vt:variant>
      <vt:variant>
        <vt:i4>0</vt:i4>
      </vt:variant>
      <vt:variant>
        <vt:i4>5</vt:i4>
      </vt:variant>
      <vt:variant>
        <vt:lpwstr/>
      </vt:variant>
      <vt:variant>
        <vt:lpwstr>_Toc208823180</vt:lpwstr>
      </vt:variant>
      <vt:variant>
        <vt:i4>1769529</vt:i4>
      </vt:variant>
      <vt:variant>
        <vt:i4>80</vt:i4>
      </vt:variant>
      <vt:variant>
        <vt:i4>0</vt:i4>
      </vt:variant>
      <vt:variant>
        <vt:i4>5</vt:i4>
      </vt:variant>
      <vt:variant>
        <vt:lpwstr/>
      </vt:variant>
      <vt:variant>
        <vt:lpwstr>_Toc208823179</vt:lpwstr>
      </vt:variant>
      <vt:variant>
        <vt:i4>1769529</vt:i4>
      </vt:variant>
      <vt:variant>
        <vt:i4>74</vt:i4>
      </vt:variant>
      <vt:variant>
        <vt:i4>0</vt:i4>
      </vt:variant>
      <vt:variant>
        <vt:i4>5</vt:i4>
      </vt:variant>
      <vt:variant>
        <vt:lpwstr/>
      </vt:variant>
      <vt:variant>
        <vt:lpwstr>_Toc208823178</vt:lpwstr>
      </vt:variant>
      <vt:variant>
        <vt:i4>1769529</vt:i4>
      </vt:variant>
      <vt:variant>
        <vt:i4>68</vt:i4>
      </vt:variant>
      <vt:variant>
        <vt:i4>0</vt:i4>
      </vt:variant>
      <vt:variant>
        <vt:i4>5</vt:i4>
      </vt:variant>
      <vt:variant>
        <vt:lpwstr/>
      </vt:variant>
      <vt:variant>
        <vt:lpwstr>_Toc208823177</vt:lpwstr>
      </vt:variant>
      <vt:variant>
        <vt:i4>1769529</vt:i4>
      </vt:variant>
      <vt:variant>
        <vt:i4>62</vt:i4>
      </vt:variant>
      <vt:variant>
        <vt:i4>0</vt:i4>
      </vt:variant>
      <vt:variant>
        <vt:i4>5</vt:i4>
      </vt:variant>
      <vt:variant>
        <vt:lpwstr/>
      </vt:variant>
      <vt:variant>
        <vt:lpwstr>_Toc208823176</vt:lpwstr>
      </vt:variant>
      <vt:variant>
        <vt:i4>1769529</vt:i4>
      </vt:variant>
      <vt:variant>
        <vt:i4>56</vt:i4>
      </vt:variant>
      <vt:variant>
        <vt:i4>0</vt:i4>
      </vt:variant>
      <vt:variant>
        <vt:i4>5</vt:i4>
      </vt:variant>
      <vt:variant>
        <vt:lpwstr/>
      </vt:variant>
      <vt:variant>
        <vt:lpwstr>_Toc208823175</vt:lpwstr>
      </vt:variant>
      <vt:variant>
        <vt:i4>1769529</vt:i4>
      </vt:variant>
      <vt:variant>
        <vt:i4>50</vt:i4>
      </vt:variant>
      <vt:variant>
        <vt:i4>0</vt:i4>
      </vt:variant>
      <vt:variant>
        <vt:i4>5</vt:i4>
      </vt:variant>
      <vt:variant>
        <vt:lpwstr/>
      </vt:variant>
      <vt:variant>
        <vt:lpwstr>_Toc208823174</vt:lpwstr>
      </vt:variant>
      <vt:variant>
        <vt:i4>1769529</vt:i4>
      </vt:variant>
      <vt:variant>
        <vt:i4>44</vt:i4>
      </vt:variant>
      <vt:variant>
        <vt:i4>0</vt:i4>
      </vt:variant>
      <vt:variant>
        <vt:i4>5</vt:i4>
      </vt:variant>
      <vt:variant>
        <vt:lpwstr/>
      </vt:variant>
      <vt:variant>
        <vt:lpwstr>_Toc208823173</vt:lpwstr>
      </vt:variant>
      <vt:variant>
        <vt:i4>1769529</vt:i4>
      </vt:variant>
      <vt:variant>
        <vt:i4>38</vt:i4>
      </vt:variant>
      <vt:variant>
        <vt:i4>0</vt:i4>
      </vt:variant>
      <vt:variant>
        <vt:i4>5</vt:i4>
      </vt:variant>
      <vt:variant>
        <vt:lpwstr/>
      </vt:variant>
      <vt:variant>
        <vt:lpwstr>_Toc208823172</vt:lpwstr>
      </vt:variant>
      <vt:variant>
        <vt:i4>1769529</vt:i4>
      </vt:variant>
      <vt:variant>
        <vt:i4>32</vt:i4>
      </vt:variant>
      <vt:variant>
        <vt:i4>0</vt:i4>
      </vt:variant>
      <vt:variant>
        <vt:i4>5</vt:i4>
      </vt:variant>
      <vt:variant>
        <vt:lpwstr/>
      </vt:variant>
      <vt:variant>
        <vt:lpwstr>_Toc208823171</vt:lpwstr>
      </vt:variant>
      <vt:variant>
        <vt:i4>1769529</vt:i4>
      </vt:variant>
      <vt:variant>
        <vt:i4>26</vt:i4>
      </vt:variant>
      <vt:variant>
        <vt:i4>0</vt:i4>
      </vt:variant>
      <vt:variant>
        <vt:i4>5</vt:i4>
      </vt:variant>
      <vt:variant>
        <vt:lpwstr/>
      </vt:variant>
      <vt:variant>
        <vt:lpwstr>_Toc208823170</vt:lpwstr>
      </vt:variant>
      <vt:variant>
        <vt:i4>1703993</vt:i4>
      </vt:variant>
      <vt:variant>
        <vt:i4>20</vt:i4>
      </vt:variant>
      <vt:variant>
        <vt:i4>0</vt:i4>
      </vt:variant>
      <vt:variant>
        <vt:i4>5</vt:i4>
      </vt:variant>
      <vt:variant>
        <vt:lpwstr/>
      </vt:variant>
      <vt:variant>
        <vt:lpwstr>_Toc208823169</vt:lpwstr>
      </vt:variant>
      <vt:variant>
        <vt:i4>1703993</vt:i4>
      </vt:variant>
      <vt:variant>
        <vt:i4>14</vt:i4>
      </vt:variant>
      <vt:variant>
        <vt:i4>0</vt:i4>
      </vt:variant>
      <vt:variant>
        <vt:i4>5</vt:i4>
      </vt:variant>
      <vt:variant>
        <vt:lpwstr/>
      </vt:variant>
      <vt:variant>
        <vt:lpwstr>_Toc208823168</vt:lpwstr>
      </vt:variant>
      <vt:variant>
        <vt:i4>1703993</vt:i4>
      </vt:variant>
      <vt:variant>
        <vt:i4>8</vt:i4>
      </vt:variant>
      <vt:variant>
        <vt:i4>0</vt:i4>
      </vt:variant>
      <vt:variant>
        <vt:i4>5</vt:i4>
      </vt:variant>
      <vt:variant>
        <vt:lpwstr/>
      </vt:variant>
      <vt:variant>
        <vt:lpwstr>_Toc208823167</vt:lpwstr>
      </vt:variant>
      <vt:variant>
        <vt:i4>1703993</vt:i4>
      </vt:variant>
      <vt:variant>
        <vt:i4>2</vt:i4>
      </vt:variant>
      <vt:variant>
        <vt:i4>0</vt:i4>
      </vt:variant>
      <vt:variant>
        <vt:i4>5</vt:i4>
      </vt:variant>
      <vt:variant>
        <vt:lpwstr/>
      </vt:variant>
      <vt:variant>
        <vt:lpwstr>_Toc208823166</vt:lpwstr>
      </vt:variant>
      <vt:variant>
        <vt:i4>6160402</vt:i4>
      </vt:variant>
      <vt:variant>
        <vt:i4>9</vt:i4>
      </vt:variant>
      <vt:variant>
        <vt:i4>0</vt:i4>
      </vt:variant>
      <vt:variant>
        <vt:i4>5</vt:i4>
      </vt:variant>
      <vt:variant>
        <vt:lpwstr>https://mcusercontent.com/1f5c0866c294fa6f8d5669b2e/files/4674cb49-70e2-1ec3-0828-e8b6e684c192/ISSUED_2025_019_BELMONT_COUNTY_PROSECUTING_ATTORNEY.pdf</vt:lpwstr>
      </vt:variant>
      <vt:variant>
        <vt:lpwstr/>
      </vt:variant>
      <vt:variant>
        <vt:i4>1769489</vt:i4>
      </vt:variant>
      <vt:variant>
        <vt:i4>6</vt:i4>
      </vt:variant>
      <vt:variant>
        <vt:i4>0</vt:i4>
      </vt:variant>
      <vt:variant>
        <vt:i4>5</vt:i4>
      </vt:variant>
      <vt:variant>
        <vt:lpwstr>https://com.ohio.gov/divisions-and-programs/industrial-compliance/competitive-bidding-threshold/competitive-bidding-threshold</vt:lpwstr>
      </vt:variant>
      <vt:variant>
        <vt:lpwstr/>
      </vt:variant>
      <vt:variant>
        <vt:i4>3932203</vt:i4>
      </vt:variant>
      <vt:variant>
        <vt:i4>3</vt:i4>
      </vt:variant>
      <vt:variant>
        <vt:i4>0</vt:i4>
      </vt:variant>
      <vt:variant>
        <vt:i4>5</vt:i4>
      </vt:variant>
      <vt:variant>
        <vt:lpwstr>http://www.ohioauditor.gov/publications/bulletins/technical-bulletins.html</vt:lpwstr>
      </vt:variant>
      <vt:variant>
        <vt:lpwstr/>
      </vt:variant>
      <vt:variant>
        <vt:i4>3866727</vt:i4>
      </vt:variant>
      <vt:variant>
        <vt:i4>0</vt:i4>
      </vt:variant>
      <vt:variant>
        <vt:i4>0</vt:i4>
      </vt:variant>
      <vt:variant>
        <vt:i4>5</vt:i4>
      </vt:variant>
      <vt:variant>
        <vt:lpwstr>http://www.ohioauditor.gov/references/practiceaids/faccrs.html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COMPLIANCE AUDITING IN OHIO</dc:title>
  <dc:subject/>
  <dc:creator>Frederick R. Kruse</dc:creator>
  <cp:keywords/>
  <cp:lastModifiedBy>Nicole L. Vogel</cp:lastModifiedBy>
  <cp:revision>3743</cp:revision>
  <cp:lastPrinted>2025-09-16T17:09:00Z</cp:lastPrinted>
  <dcterms:created xsi:type="dcterms:W3CDTF">2024-11-01T02:02:00Z</dcterms:created>
  <dcterms:modified xsi:type="dcterms:W3CDTF">2025-11-19T12:53:00Z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y fmtid="{D5CDD505-2E9C-101B-9397-08002B2CF9AE}" pid="4" name="DOC_GUID">
    <vt:lpwstr>f5b45d96-db8e-40f1-9390-959ee8789033</vt:lpwstr>
  </property>
</Properties>
</file>