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30077D27" w14:textId="2BF007D3" w:rsidR="00B3756A" w:rsidRPr="00FB71A3" w:rsidRDefault="00B3756A" w:rsidP="00B3756A">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DC7E69" w:rsidRPr="00F00D94" w14:paraId="03CFE311" w14:textId="77777777" w:rsidTr="003D19F2">
        <w:tc>
          <w:tcPr>
            <w:tcW w:w="1560" w:type="pct"/>
            <w:shd w:val="clear" w:color="auto" w:fill="DBE5F1"/>
          </w:tcPr>
          <w:p w14:paraId="2A590AD3" w14:textId="77777777" w:rsidR="00DC7E69" w:rsidRPr="00A0464C" w:rsidRDefault="00DC7E69" w:rsidP="00DC7E69">
            <w:pPr>
              <w:jc w:val="both"/>
              <w:rPr>
                <w:rFonts w:ascii="Arial" w:hAnsi="Arial" w:cs="Arial"/>
                <w:b/>
                <w:sz w:val="24"/>
                <w:szCs w:val="24"/>
              </w:rPr>
            </w:pPr>
            <w:permStart w:id="1934438218" w:edGrp="everyone" w:colFirst="1" w:colLast="1"/>
            <w:r w:rsidRPr="00A0464C">
              <w:rPr>
                <w:rFonts w:ascii="Arial" w:hAnsi="Arial" w:cs="Arial"/>
                <w:b/>
                <w:sz w:val="24"/>
                <w:szCs w:val="24"/>
              </w:rPr>
              <w:t>Name of Client:</w:t>
            </w:r>
          </w:p>
        </w:tc>
        <w:tc>
          <w:tcPr>
            <w:tcW w:w="3440" w:type="pct"/>
          </w:tcPr>
          <w:p w14:paraId="35010955" w14:textId="77777777" w:rsidR="00DC7E69" w:rsidRPr="00DC7E69" w:rsidRDefault="00DC7E69" w:rsidP="00DC7E69">
            <w:pPr>
              <w:jc w:val="both"/>
              <w:rPr>
                <w:rFonts w:ascii="Arial" w:hAnsi="Arial" w:cs="Arial"/>
                <w:sz w:val="24"/>
                <w:szCs w:val="24"/>
              </w:rPr>
            </w:pPr>
          </w:p>
        </w:tc>
      </w:tr>
      <w:permEnd w:id="1934438218"/>
      <w:tr w:rsidR="00B3756A" w:rsidRPr="00F00D94" w14:paraId="48C2FA11" w14:textId="77777777" w:rsidTr="003D19F2">
        <w:tc>
          <w:tcPr>
            <w:tcW w:w="1560" w:type="pct"/>
            <w:shd w:val="clear" w:color="auto" w:fill="DBE5F1"/>
          </w:tcPr>
          <w:p w14:paraId="5946A6D7"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Year Ended:</w:t>
            </w:r>
          </w:p>
        </w:tc>
        <w:tc>
          <w:tcPr>
            <w:tcW w:w="3440" w:type="pct"/>
          </w:tcPr>
          <w:p w14:paraId="067B71A2" w14:textId="77777777" w:rsidR="00B3756A" w:rsidRPr="00A0464C" w:rsidRDefault="00B3756A" w:rsidP="003D19F2">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7B002A13" w14:textId="77777777" w:rsidR="00B3756A" w:rsidRPr="00F00D94" w:rsidRDefault="00B3756A" w:rsidP="00B3756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5ECB2DF6" w14:textId="77777777" w:rsidTr="003D19F2">
        <w:tc>
          <w:tcPr>
            <w:tcW w:w="1560" w:type="pct"/>
            <w:shd w:val="clear" w:color="auto" w:fill="DBE5F1"/>
          </w:tcPr>
          <w:p w14:paraId="505B1B2E" w14:textId="77777777" w:rsidR="00B3756A" w:rsidRPr="00A0464C" w:rsidRDefault="00B3756A" w:rsidP="003D19F2">
            <w:pPr>
              <w:rPr>
                <w:rFonts w:ascii="Arial" w:hAnsi="Arial" w:cs="Arial"/>
                <w:b/>
                <w:sz w:val="24"/>
                <w:szCs w:val="24"/>
              </w:rPr>
            </w:pPr>
            <w:r w:rsidRPr="00A0464C">
              <w:rPr>
                <w:rFonts w:ascii="Arial" w:hAnsi="Arial" w:cs="Arial"/>
                <w:b/>
                <w:sz w:val="24"/>
                <w:szCs w:val="24"/>
              </w:rPr>
              <w:t>Federal Award Name:</w:t>
            </w:r>
          </w:p>
        </w:tc>
        <w:tc>
          <w:tcPr>
            <w:tcW w:w="3440" w:type="pct"/>
          </w:tcPr>
          <w:p w14:paraId="522E8C5A" w14:textId="71C20B2B" w:rsidR="00B3756A" w:rsidRPr="00A0464C" w:rsidRDefault="00E93929" w:rsidP="003D19F2">
            <w:pPr>
              <w:jc w:val="both"/>
              <w:rPr>
                <w:rFonts w:ascii="Arial" w:hAnsi="Arial" w:cs="Arial"/>
                <w:sz w:val="24"/>
                <w:szCs w:val="24"/>
              </w:rPr>
            </w:pPr>
            <w:r>
              <w:rPr>
                <w:rFonts w:ascii="Arial" w:hAnsi="Arial" w:cs="Arial"/>
                <w:sz w:val="24"/>
                <w:szCs w:val="24"/>
              </w:rPr>
              <w:t>Public Housing Operating Fund</w:t>
            </w:r>
          </w:p>
        </w:tc>
      </w:tr>
      <w:tr w:rsidR="00B3756A" w:rsidRPr="00F00D94" w14:paraId="395C23E8" w14:textId="77777777" w:rsidTr="003D19F2">
        <w:tc>
          <w:tcPr>
            <w:tcW w:w="1560" w:type="pct"/>
            <w:shd w:val="clear" w:color="auto" w:fill="DBE5F1"/>
          </w:tcPr>
          <w:p w14:paraId="33AF2B55"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AL#:</w:t>
            </w:r>
          </w:p>
        </w:tc>
        <w:tc>
          <w:tcPr>
            <w:tcW w:w="3440" w:type="pct"/>
          </w:tcPr>
          <w:p w14:paraId="621E241C" w14:textId="666F8FBD" w:rsidR="00B3756A" w:rsidRPr="00A0464C" w:rsidRDefault="00E93929" w:rsidP="003D19F2">
            <w:pPr>
              <w:jc w:val="both"/>
              <w:rPr>
                <w:rFonts w:ascii="Arial" w:hAnsi="Arial" w:cs="Arial"/>
                <w:sz w:val="24"/>
                <w:szCs w:val="24"/>
              </w:rPr>
            </w:pPr>
            <w:r>
              <w:rPr>
                <w:rFonts w:ascii="Arial" w:hAnsi="Arial" w:cs="Arial"/>
                <w:sz w:val="24"/>
                <w:szCs w:val="24"/>
              </w:rPr>
              <w:t>14.850</w:t>
            </w:r>
          </w:p>
        </w:tc>
      </w:tr>
      <w:tr w:rsidR="00B3756A" w:rsidRPr="00F00D94" w14:paraId="1FF57E34" w14:textId="77777777" w:rsidTr="003D19F2">
        <w:tc>
          <w:tcPr>
            <w:tcW w:w="1560" w:type="pct"/>
            <w:shd w:val="clear" w:color="auto" w:fill="DBE5F1"/>
          </w:tcPr>
          <w:p w14:paraId="1EDA5E0A" w14:textId="77777777" w:rsidR="00B3756A" w:rsidRPr="00A0464C" w:rsidRDefault="00B3756A" w:rsidP="003D19F2">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270703945"/>
            <w:placeholder>
              <w:docPart w:val="2C10F2C55ED544E69886D339BCCA3AF2"/>
            </w:placeholder>
            <w:dropDownList>
              <w:listItem w:value="Select an Option"/>
              <w:listItem w:displayText="Direct" w:value="Direct"/>
              <w:listItem w:displayText="Pass-Through" w:value="Pass-Through"/>
            </w:dropDownList>
          </w:sdtPr>
          <w:sdtEndPr/>
          <w:sdtContent>
            <w:tc>
              <w:tcPr>
                <w:tcW w:w="3440" w:type="pct"/>
              </w:tcPr>
              <w:p w14:paraId="3A56688B" w14:textId="7348FD27" w:rsidR="00B3756A" w:rsidRPr="00886A3E" w:rsidRDefault="00E93929" w:rsidP="003D19F2">
                <w:pPr>
                  <w:jc w:val="both"/>
                  <w:rPr>
                    <w:rFonts w:ascii="Arial" w:hAnsi="Arial" w:cs="Arial"/>
                    <w:sz w:val="24"/>
                    <w:szCs w:val="24"/>
                  </w:rPr>
                </w:pPr>
                <w:r>
                  <w:rPr>
                    <w:rFonts w:ascii="Arial" w:hAnsi="Arial" w:cs="Arial"/>
                    <w:sz w:val="24"/>
                    <w:szCs w:val="24"/>
                  </w:rPr>
                  <w:t>Direct</w:t>
                </w:r>
              </w:p>
            </w:tc>
          </w:sdtContent>
        </w:sdt>
      </w:tr>
      <w:tr w:rsidR="00B3756A" w:rsidRPr="00F00D94" w14:paraId="259AA092" w14:textId="77777777" w:rsidTr="003D19F2">
        <w:tc>
          <w:tcPr>
            <w:tcW w:w="1560" w:type="pct"/>
            <w:shd w:val="clear" w:color="auto" w:fill="DBE5F1"/>
          </w:tcPr>
          <w:p w14:paraId="27F76556" w14:textId="77777777" w:rsidR="00B3756A" w:rsidRPr="00A0464C" w:rsidRDefault="00B3756A" w:rsidP="003D19F2">
            <w:pPr>
              <w:jc w:val="both"/>
              <w:rPr>
                <w:rFonts w:ascii="Arial" w:hAnsi="Arial" w:cs="Arial"/>
                <w:b/>
                <w:sz w:val="24"/>
                <w:szCs w:val="24"/>
              </w:rPr>
            </w:pPr>
            <w:r>
              <w:rPr>
                <w:rFonts w:ascii="Arial" w:hAnsi="Arial" w:cs="Arial"/>
                <w:b/>
                <w:sz w:val="24"/>
                <w:szCs w:val="24"/>
              </w:rPr>
              <w:t>Pass-Through Entity:</w:t>
            </w:r>
          </w:p>
        </w:tc>
        <w:tc>
          <w:tcPr>
            <w:tcW w:w="3440" w:type="pct"/>
          </w:tcPr>
          <w:p w14:paraId="58F762EA" w14:textId="7594D990" w:rsidR="00B3756A" w:rsidRPr="00A0464C" w:rsidRDefault="00E93929" w:rsidP="003D19F2">
            <w:pPr>
              <w:jc w:val="both"/>
              <w:rPr>
                <w:rFonts w:ascii="Arial" w:hAnsi="Arial" w:cs="Arial"/>
                <w:sz w:val="24"/>
                <w:szCs w:val="24"/>
              </w:rPr>
            </w:pPr>
            <w:r>
              <w:rPr>
                <w:rFonts w:ascii="Arial" w:hAnsi="Arial" w:cs="Arial"/>
                <w:sz w:val="24"/>
                <w:szCs w:val="24"/>
              </w:rPr>
              <w:t>N/A</w:t>
            </w:r>
          </w:p>
        </w:tc>
      </w:tr>
    </w:tbl>
    <w:p w14:paraId="380EDAA7"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2F430149" w14:textId="77777777" w:rsidTr="003D19F2">
        <w:tc>
          <w:tcPr>
            <w:tcW w:w="1560" w:type="pct"/>
            <w:shd w:val="clear" w:color="auto" w:fill="DBE5F1"/>
          </w:tcPr>
          <w:p w14:paraId="2CE71BCD" w14:textId="77777777" w:rsidR="00B3756A" w:rsidRDefault="00B3756A" w:rsidP="003D19F2">
            <w:pPr>
              <w:rPr>
                <w:rFonts w:ascii="Arial" w:hAnsi="Arial" w:cs="Arial"/>
                <w:b/>
                <w:sz w:val="24"/>
                <w:szCs w:val="24"/>
              </w:rPr>
            </w:pPr>
            <w:r>
              <w:rPr>
                <w:rFonts w:ascii="Arial" w:hAnsi="Arial" w:cs="Arial"/>
                <w:b/>
                <w:sz w:val="24"/>
                <w:szCs w:val="24"/>
              </w:rPr>
              <w:t>Risk Matrix:</w:t>
            </w:r>
          </w:p>
          <w:p w14:paraId="392246DD" w14:textId="77777777" w:rsidR="00B3756A" w:rsidRPr="00AA2AE4" w:rsidRDefault="00B3756A" w:rsidP="003D19F2">
            <w:pPr>
              <w:rPr>
                <w:rFonts w:ascii="Arial" w:hAnsi="Arial" w:cs="Arial"/>
                <w:bCs/>
                <w:i/>
                <w:iCs/>
              </w:rPr>
            </w:pPr>
            <w:r w:rsidRPr="00AA2AE4">
              <w:rPr>
                <w:rFonts w:ascii="Arial" w:hAnsi="Arial" w:cs="Arial"/>
                <w:bCs/>
                <w:i/>
                <w:iCs/>
              </w:rPr>
              <w:t>Includes Inherent Risk Assessment for AOS Auditors</w:t>
            </w:r>
          </w:p>
        </w:tc>
        <w:tc>
          <w:tcPr>
            <w:tcW w:w="3440" w:type="pct"/>
          </w:tcPr>
          <w:p w14:paraId="73055962" w14:textId="77777777" w:rsidR="00B3756A" w:rsidRPr="00A0464C" w:rsidRDefault="00B3756A" w:rsidP="003D19F2">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38950A96"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46329289" w14:textId="77777777" w:rsidTr="003D19F2">
        <w:tc>
          <w:tcPr>
            <w:tcW w:w="1560" w:type="pct"/>
            <w:shd w:val="clear" w:color="auto" w:fill="DBE5F1"/>
          </w:tcPr>
          <w:p w14:paraId="48C3F7C1" w14:textId="77777777" w:rsidR="00B3756A" w:rsidRPr="00811FB4" w:rsidRDefault="00B3756A" w:rsidP="003D19F2">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440" w:type="pct"/>
          </w:tcPr>
          <w:p w14:paraId="21048A19" w14:textId="1CA6CE78" w:rsidR="00B3756A" w:rsidRPr="00811FB4" w:rsidRDefault="00DC7E69" w:rsidP="003D19F2">
            <w:pPr>
              <w:jc w:val="both"/>
              <w:rPr>
                <w:rFonts w:ascii="Arial" w:hAnsi="Arial" w:cs="Arial"/>
                <w:sz w:val="24"/>
                <w:szCs w:val="24"/>
              </w:rPr>
            </w:pPr>
            <w:r w:rsidRPr="00DC7E69">
              <w:rPr>
                <w:rFonts w:ascii="Arial" w:hAnsi="Arial" w:cs="Arial"/>
                <w:sz w:val="24"/>
                <w:szCs w:val="24"/>
              </w:rPr>
              <w:t>Subject to 2024 Revisions to the Uniform Guidance</w:t>
            </w:r>
            <w:r w:rsidDel="00DC7E69">
              <w:rPr>
                <w:rFonts w:ascii="Arial" w:hAnsi="Arial" w:cs="Arial"/>
                <w:sz w:val="24"/>
                <w:szCs w:val="24"/>
              </w:rPr>
              <w:t xml:space="preserve"> </w:t>
            </w:r>
          </w:p>
        </w:tc>
      </w:tr>
      <w:tr w:rsidR="00B3756A" w:rsidRPr="00F00D94" w14:paraId="060A64EC" w14:textId="77777777" w:rsidTr="003D19F2">
        <w:tc>
          <w:tcPr>
            <w:tcW w:w="1560" w:type="pct"/>
            <w:shd w:val="clear" w:color="auto" w:fill="DBE5F1"/>
          </w:tcPr>
          <w:p w14:paraId="1D2C671E" w14:textId="77777777" w:rsidR="00B3756A" w:rsidRDefault="00B3756A" w:rsidP="003D19F2">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440" w:type="pct"/>
          </w:tcPr>
          <w:p w14:paraId="06531F6F" w14:textId="77777777" w:rsidR="00E93929" w:rsidRPr="00E93929" w:rsidRDefault="00E93929" w:rsidP="00E93929">
            <w:pPr>
              <w:jc w:val="both"/>
              <w:rPr>
                <w:rFonts w:ascii="Arial" w:hAnsi="Arial" w:cs="Arial"/>
                <w:sz w:val="24"/>
                <w:szCs w:val="24"/>
              </w:rPr>
            </w:pPr>
            <w:r w:rsidRPr="00E93929">
              <w:rPr>
                <w:rFonts w:ascii="Arial" w:hAnsi="Arial" w:cs="Arial"/>
                <w:sz w:val="24"/>
                <w:szCs w:val="24"/>
              </w:rPr>
              <w:t>This FACCR was prepared under the 2024 Revisions to the Uniform Guidance. The Department of Housing and Urban Development (HUD) adopted the 2024 Revisions effective October 1, 2024.</w:t>
            </w:r>
          </w:p>
          <w:p w14:paraId="3DE9A3E4" w14:textId="77777777" w:rsidR="00E93929" w:rsidRPr="00E93929" w:rsidRDefault="00E93929" w:rsidP="00E93929">
            <w:pPr>
              <w:jc w:val="both"/>
              <w:rPr>
                <w:rFonts w:ascii="Arial" w:hAnsi="Arial" w:cs="Arial"/>
                <w:sz w:val="24"/>
                <w:szCs w:val="24"/>
              </w:rPr>
            </w:pPr>
          </w:p>
          <w:p w14:paraId="4B7C991A" w14:textId="0760EEE2" w:rsidR="00B3756A" w:rsidRDefault="00E93929" w:rsidP="00E93929">
            <w:pPr>
              <w:jc w:val="both"/>
              <w:rPr>
                <w:rFonts w:ascii="Arial" w:hAnsi="Arial" w:cs="Arial"/>
                <w:sz w:val="24"/>
                <w:szCs w:val="24"/>
              </w:rPr>
            </w:pPr>
            <w:r w:rsidRPr="00E93929">
              <w:rPr>
                <w:rFonts w:ascii="Arial" w:hAnsi="Arial" w:cs="Arial"/>
                <w:sz w:val="24"/>
                <w:szCs w:val="24"/>
              </w:rPr>
              <w:t xml:space="preserve">After reviewing both the pre- and post-2024 Revisions guidance, CFAE determined that the </w:t>
            </w:r>
            <w:r>
              <w:rPr>
                <w:rFonts w:ascii="Arial" w:hAnsi="Arial" w:cs="Arial"/>
                <w:sz w:val="24"/>
                <w:szCs w:val="24"/>
              </w:rPr>
              <w:t xml:space="preserve">Public Housing Operating Fund </w:t>
            </w:r>
            <w:r w:rsidRPr="00E93929">
              <w:rPr>
                <w:rFonts w:ascii="Arial" w:hAnsi="Arial" w:cs="Arial"/>
                <w:sz w:val="24"/>
                <w:szCs w:val="24"/>
              </w:rPr>
              <w:t>should be tested using the post-2024 Revisions guidance and suggested audit procedures. Where expenditures are not subject to the 2024 Revisions, CFAE will provide notations throughout the FACCR identifying the applicable prior guidance for consideration.</w:t>
            </w:r>
          </w:p>
        </w:tc>
      </w:tr>
    </w:tbl>
    <w:p w14:paraId="1271CC0B" w14:textId="77777777" w:rsidR="007814B6"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212473085"/>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lastRenderedPageBreak/>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459C231D"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2C84D2FA"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w:t>
      </w:r>
      <w:r w:rsidR="00E34747">
        <w:rPr>
          <w:rFonts w:ascii="Arial" w:hAnsi="Arial" w:cs="Arial"/>
          <w:bCs/>
        </w:rPr>
        <w:t xml:space="preserve">HappyFox </w:t>
      </w:r>
      <w:r w:rsidRPr="004717CE">
        <w:rPr>
          <w:rFonts w:ascii="Arial" w:hAnsi="Arial" w:cs="Arial"/>
          <w:bCs/>
        </w:rPr>
        <w:t xml:space="preserve">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09705004" w:rsidR="004717CE" w:rsidRPr="00F00D94" w:rsidRDefault="004717CE" w:rsidP="008B4BCE">
      <w:pPr>
        <w:pStyle w:val="BodyText"/>
        <w:widowControl w:val="0"/>
        <w:numPr>
          <w:ilvl w:val="0"/>
          <w:numId w:val="24"/>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2B74FFF0" w:rsidR="004717CE" w:rsidRPr="00F00D94" w:rsidRDefault="004717CE" w:rsidP="008B4BCE">
      <w:pPr>
        <w:pStyle w:val="BodyText"/>
        <w:widowControl w:val="0"/>
        <w:numPr>
          <w:ilvl w:val="0"/>
          <w:numId w:val="24"/>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1E418994" w:rsidR="004717CE" w:rsidRPr="00D74A1B" w:rsidRDefault="00D74A1B" w:rsidP="008B4BCE">
      <w:pPr>
        <w:pStyle w:val="BodyText"/>
        <w:widowControl w:val="0"/>
        <w:numPr>
          <w:ilvl w:val="0"/>
          <w:numId w:val="24"/>
        </w:numPr>
        <w:autoSpaceDE w:val="0"/>
        <w:autoSpaceDN w:val="0"/>
        <w:spacing w:after="0"/>
        <w:rPr>
          <w:rStyle w:val="Hyperlink"/>
          <w:rFonts w:cs="Arial"/>
          <w:color w:val="auto"/>
          <w:szCs w:val="20"/>
          <w:u w:val="none"/>
        </w:rPr>
      </w:pPr>
      <w:hyperlink r:id="rId15" w:history="1">
        <w:r w:rsidRPr="00D74A1B">
          <w:rPr>
            <w:rStyle w:val="Hyperlink"/>
            <w:rFonts w:cs="Arial"/>
            <w:szCs w:val="20"/>
          </w:rPr>
          <w:t>GAO's 2014 Green Book</w:t>
        </w:r>
      </w:hyperlink>
      <w:r w:rsidRPr="00D74A1B">
        <w:rPr>
          <w:rFonts w:ascii="Arial" w:hAnsi="Arial" w:cs="Arial"/>
          <w:szCs w:val="20"/>
        </w:rPr>
        <w:t xml:space="preserve"> and </w:t>
      </w:r>
      <w:hyperlink r:id="rId16" w:history="1">
        <w:r w:rsidR="003D1B0E" w:rsidRPr="00D74A1B">
          <w:rPr>
            <w:rStyle w:val="Hyperlink"/>
            <w:rFonts w:cs="Arial"/>
            <w:szCs w:val="20"/>
          </w:rPr>
          <w:t>GAO’s 2025 Green Book</w:t>
        </w:r>
      </w:hyperlink>
    </w:p>
    <w:p w14:paraId="47FC5089" w14:textId="3F7C9593" w:rsidR="00DF7D32" w:rsidRPr="00F00D94" w:rsidRDefault="004717CE" w:rsidP="008B4BCE">
      <w:pPr>
        <w:pStyle w:val="BodyText"/>
        <w:widowControl w:val="0"/>
        <w:numPr>
          <w:ilvl w:val="0"/>
          <w:numId w:val="24"/>
        </w:numPr>
        <w:autoSpaceDE w:val="0"/>
        <w:autoSpaceDN w:val="0"/>
        <w:spacing w:after="0"/>
        <w:rPr>
          <w:rStyle w:val="Hyperlink"/>
          <w:rFonts w:cs="Arial"/>
          <w:color w:val="auto"/>
          <w:szCs w:val="20"/>
          <w:u w:val="none"/>
        </w:rPr>
      </w:pPr>
      <w:hyperlink r:id="rId17"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8B4BCE">
      <w:pPr>
        <w:pStyle w:val="ListParagraph"/>
        <w:numPr>
          <w:ilvl w:val="1"/>
          <w:numId w:val="21"/>
        </w:numPr>
        <w:suppressAutoHyphens w:val="0"/>
        <w:autoSpaceDE/>
        <w:autoSpaceDN/>
        <w:adjustRightInd/>
        <w:spacing w:after="240"/>
        <w:jc w:val="both"/>
        <w:rPr>
          <w:rFonts w:ascii="Arial" w:hAnsi="Arial" w:cs="Arial"/>
          <w:b/>
          <w:color w:val="000000" w:themeColor="text1"/>
        </w:rPr>
        <w:sectPr w:rsidR="00805DDB" w:rsidRPr="00F00D94">
          <w:footerReference w:type="default" r:id="rId18"/>
          <w:pgSz w:w="12240" w:h="15840" w:code="1"/>
          <w:pgMar w:top="1440" w:right="1440" w:bottom="1440" w:left="1440" w:header="720" w:footer="720" w:gutter="0"/>
          <w:pgNumType w:start="1"/>
          <w:cols w:space="720"/>
          <w:noEndnote/>
        </w:sectPr>
      </w:pPr>
    </w:p>
    <w:p w14:paraId="21E9A87B" w14:textId="6184D31F" w:rsidR="00AB0654" w:rsidRPr="009034FB" w:rsidRDefault="00AB0654" w:rsidP="006672EA">
      <w:pPr>
        <w:pStyle w:val="Heading1"/>
        <w:jc w:val="both"/>
        <w:rPr>
          <w:rFonts w:cs="Arial"/>
          <w:sz w:val="24"/>
        </w:rPr>
      </w:pPr>
      <w:bookmarkStart w:id="2" w:name="_AGENCY_ADOPTION_OF"/>
      <w:bookmarkStart w:id="3" w:name="_Toc212473086"/>
      <w:bookmarkEnd w:id="2"/>
      <w:r w:rsidRPr="009034FB">
        <w:rPr>
          <w:rFonts w:cs="Arial"/>
          <w:sz w:val="24"/>
        </w:rPr>
        <w:lastRenderedPageBreak/>
        <w:t>A</w:t>
      </w:r>
      <w:r w:rsidR="00A0464C" w:rsidRPr="009034FB">
        <w:rPr>
          <w:rFonts w:cs="Arial"/>
          <w:sz w:val="24"/>
        </w:rPr>
        <w:t>gency Adoption of the UG and Example Citations</w:t>
      </w:r>
      <w:bookmarkEnd w:id="3"/>
    </w:p>
    <w:p w14:paraId="35D2AAD9" w14:textId="0C02657A" w:rsidR="00EF77DC" w:rsidRPr="00D74A1B" w:rsidRDefault="009E6B04" w:rsidP="006672EA">
      <w:pPr>
        <w:spacing w:after="240"/>
        <w:jc w:val="both"/>
        <w:rPr>
          <w:rFonts w:ascii="Arial" w:hAnsi="Arial" w:cs="Arial"/>
        </w:rPr>
      </w:pPr>
      <w:hyperlink r:id="rId19" w:history="1">
        <w:r w:rsidRPr="00D74A1B">
          <w:rPr>
            <w:rStyle w:val="Hyperlink"/>
            <w:rFonts w:cs="Arial"/>
            <w:i/>
            <w:iCs/>
          </w:rPr>
          <w:t>Appendix II</w:t>
        </w:r>
      </w:hyperlink>
      <w:r w:rsidRPr="00D74A1B">
        <w:rPr>
          <w:rFonts w:ascii="Arial" w:hAnsi="Arial" w:cs="Arial"/>
        </w:rPr>
        <w:t xml:space="preserve"> </w:t>
      </w:r>
      <w:r w:rsidRPr="00D74A1B">
        <w:rPr>
          <w:rFonts w:ascii="Arial" w:hAnsi="Arial" w:cs="Arial"/>
          <w:i/>
          <w:iCs/>
          <w:color w:val="002060"/>
        </w:rPr>
        <w:t xml:space="preserve">to the OMB Compliance Supplement provides the </w:t>
      </w:r>
      <w:r w:rsidR="000D4B4F" w:rsidRPr="00D74A1B">
        <w:rPr>
          <w:rFonts w:ascii="Arial" w:hAnsi="Arial" w:cs="Arial"/>
          <w:i/>
          <w:iCs/>
          <w:color w:val="002060"/>
        </w:rPr>
        <w:t>codified section reference</w:t>
      </w:r>
      <w:r w:rsidRPr="00D74A1B">
        <w:rPr>
          <w:rFonts w:ascii="Arial" w:hAnsi="Arial" w:cs="Arial"/>
          <w:i/>
          <w:iCs/>
          <w:color w:val="002060"/>
        </w:rPr>
        <w:t xml:space="preserve"> of the agency adoption of the Uniform Guidance (UG) (2 CFR Part 200)</w:t>
      </w:r>
      <w:r w:rsidR="000D4B4F" w:rsidRPr="00D74A1B">
        <w:rPr>
          <w:rFonts w:ascii="Arial" w:hAnsi="Arial" w:cs="Arial"/>
          <w:i/>
          <w:iCs/>
          <w:color w:val="002060"/>
        </w:rPr>
        <w:t xml:space="preserve"> and nonprocurement suspension and debarment requirements in 2 CFR Part 180</w:t>
      </w:r>
      <w:r w:rsidRPr="00D74A1B">
        <w:rPr>
          <w:rFonts w:ascii="Arial" w:hAnsi="Arial" w:cs="Arial"/>
          <w:i/>
          <w:iCs/>
          <w:color w:val="002060"/>
        </w:rPr>
        <w:t xml:space="preserve">, including the 2020 </w:t>
      </w:r>
      <w:r w:rsidR="00FC7DA7" w:rsidRPr="00D74A1B">
        <w:rPr>
          <w:rFonts w:ascii="Arial" w:hAnsi="Arial" w:cs="Arial"/>
          <w:i/>
          <w:iCs/>
          <w:color w:val="002060"/>
        </w:rPr>
        <w:t xml:space="preserve">and 2024 </w:t>
      </w:r>
      <w:r w:rsidRPr="00D74A1B">
        <w:rPr>
          <w:rFonts w:ascii="Arial" w:hAnsi="Arial" w:cs="Arial"/>
          <w:i/>
          <w:iCs/>
          <w:color w:val="002060"/>
        </w:rPr>
        <w:t>revisions.</w:t>
      </w:r>
      <w:r w:rsidRPr="00D74A1B">
        <w:rPr>
          <w:rFonts w:ascii="Arial" w:hAnsi="Arial" w:cs="Arial"/>
          <w:color w:val="002060"/>
        </w:rPr>
        <w:t xml:space="preserve">  </w:t>
      </w:r>
    </w:p>
    <w:p w14:paraId="4FBF1763" w14:textId="5C478F16" w:rsidR="009E6B04" w:rsidRPr="00D74A1B" w:rsidRDefault="009E6B04" w:rsidP="009E6B04">
      <w:pPr>
        <w:spacing w:after="240"/>
        <w:jc w:val="both"/>
        <w:rPr>
          <w:rFonts w:ascii="Arial" w:hAnsi="Arial" w:cs="Arial"/>
        </w:rPr>
      </w:pPr>
      <w:r w:rsidRPr="00D74A1B">
        <w:rPr>
          <w:rFonts w:ascii="Arial" w:hAnsi="Arial" w:cs="Arial"/>
          <w:i/>
          <w:iCs/>
          <w:color w:val="002060"/>
        </w:rPr>
        <w:t xml:space="preserve">While some </w:t>
      </w:r>
      <w:r w:rsidR="001B6DDE">
        <w:rPr>
          <w:rFonts w:ascii="Arial" w:hAnsi="Arial" w:cs="Arial"/>
          <w:i/>
          <w:iCs/>
          <w:color w:val="002060"/>
        </w:rPr>
        <w:t>f</w:t>
      </w:r>
      <w:r w:rsidRPr="00D74A1B">
        <w:rPr>
          <w:rFonts w:ascii="Arial" w:hAnsi="Arial" w:cs="Arial"/>
          <w:i/>
          <w:iCs/>
          <w:color w:val="002060"/>
        </w:rPr>
        <w:t xml:space="preserve">ederal agencies gave regulatory effect to the Uniform Guidance </w:t>
      </w:r>
      <w:r w:rsidR="000D4B4F" w:rsidRPr="00D74A1B">
        <w:rPr>
          <w:rFonts w:ascii="Arial" w:hAnsi="Arial" w:cs="Arial"/>
          <w:i/>
          <w:iCs/>
          <w:color w:val="002060"/>
        </w:rPr>
        <w:t>as a</w:t>
      </w:r>
      <w:r w:rsidRPr="00D74A1B">
        <w:rPr>
          <w:rFonts w:ascii="Arial" w:hAnsi="Arial" w:cs="Arial"/>
          <w:i/>
          <w:iCs/>
          <w:color w:val="002060"/>
        </w:rPr>
        <w:t xml:space="preserve"> whole, others made changes to the UG</w:t>
      </w:r>
      <w:r w:rsidR="000D4B4F" w:rsidRPr="00D74A1B">
        <w:rPr>
          <w:rFonts w:ascii="Arial" w:hAnsi="Arial" w:cs="Arial"/>
          <w:i/>
          <w:iCs/>
          <w:color w:val="002060"/>
        </w:rPr>
        <w:t xml:space="preserve"> language</w:t>
      </w:r>
      <w:r w:rsidRPr="00D74A1B">
        <w:rPr>
          <w:rFonts w:ascii="Arial" w:hAnsi="Arial" w:cs="Arial"/>
          <w:i/>
          <w:iCs/>
          <w:color w:val="002060"/>
        </w:rPr>
        <w:t xml:space="preserve"> </w:t>
      </w:r>
      <w:r w:rsidR="000D4B4F" w:rsidRPr="00D74A1B">
        <w:rPr>
          <w:rFonts w:ascii="Arial" w:hAnsi="Arial" w:cs="Arial"/>
          <w:i/>
          <w:iCs/>
          <w:color w:val="002060"/>
        </w:rPr>
        <w:t xml:space="preserve">within the agency codified sections </w:t>
      </w:r>
      <w:r w:rsidRPr="00D74A1B">
        <w:rPr>
          <w:rFonts w:ascii="Arial" w:hAnsi="Arial" w:cs="Arial"/>
          <w:i/>
          <w:iCs/>
          <w:color w:val="002060"/>
        </w:rPr>
        <w:t>by either adding specific requirements</w:t>
      </w:r>
      <w:r w:rsidR="000D4B4F" w:rsidRPr="00D74A1B">
        <w:rPr>
          <w:rFonts w:ascii="Arial" w:hAnsi="Arial" w:cs="Arial"/>
          <w:i/>
          <w:iCs/>
          <w:color w:val="002060"/>
        </w:rPr>
        <w:t>/exceptions</w:t>
      </w:r>
      <w:r w:rsidRPr="00D74A1B">
        <w:rPr>
          <w:rFonts w:ascii="Arial" w:hAnsi="Arial" w:cs="Arial"/>
          <w:i/>
          <w:iCs/>
          <w:color w:val="002060"/>
        </w:rPr>
        <w:t xml:space="preserve"> or editing/modifying existing language. OMB does not maintain a complete listing of agency exceptions to the UG. AOS auditors should review the </w:t>
      </w:r>
      <w:r w:rsidR="00462F21" w:rsidRPr="00D74A1B">
        <w:rPr>
          <w:rFonts w:ascii="Arial" w:hAnsi="Arial" w:cs="Arial"/>
          <w:i/>
          <w:iCs/>
          <w:color w:val="002060"/>
        </w:rPr>
        <w:t xml:space="preserve">UG Exception Evaluation by </w:t>
      </w:r>
      <w:r w:rsidR="001B6DDE">
        <w:rPr>
          <w:rFonts w:ascii="Arial" w:hAnsi="Arial" w:cs="Arial"/>
          <w:i/>
          <w:iCs/>
          <w:color w:val="002060"/>
        </w:rPr>
        <w:t>f</w:t>
      </w:r>
      <w:r w:rsidR="00462F21" w:rsidRPr="00D74A1B">
        <w:rPr>
          <w:rFonts w:ascii="Arial" w:hAnsi="Arial" w:cs="Arial"/>
          <w:i/>
          <w:iCs/>
          <w:color w:val="002060"/>
        </w:rPr>
        <w:t>ederal Agency</w:t>
      </w:r>
      <w:r w:rsidRPr="00D74A1B">
        <w:rPr>
          <w:rFonts w:ascii="Arial" w:hAnsi="Arial" w:cs="Arial"/>
          <w:i/>
          <w:iCs/>
          <w:color w:val="002060"/>
        </w:rPr>
        <w:t xml:space="preserve"> </w:t>
      </w:r>
      <w:r w:rsidR="000D4B4F" w:rsidRPr="00D74A1B">
        <w:rPr>
          <w:rFonts w:ascii="Arial" w:hAnsi="Arial" w:cs="Arial"/>
          <w:i/>
          <w:iCs/>
          <w:color w:val="002060"/>
        </w:rPr>
        <w:t>spreadsheet</w:t>
      </w:r>
      <w:r w:rsidRPr="00D74A1B">
        <w:rPr>
          <w:rFonts w:ascii="Arial" w:hAnsi="Arial" w:cs="Arial"/>
          <w:i/>
          <w:iCs/>
          <w:color w:val="002060"/>
        </w:rPr>
        <w:t xml:space="preserve"> </w:t>
      </w:r>
      <w:hyperlink r:id="rId20" w:history="1">
        <w:r w:rsidRPr="00D74A1B">
          <w:rPr>
            <w:rStyle w:val="Hyperlink"/>
            <w:rFonts w:cs="Arial"/>
            <w:i/>
            <w:iCs/>
          </w:rPr>
          <w:t>on the Intranet</w:t>
        </w:r>
      </w:hyperlink>
      <w:r w:rsidRPr="00D74A1B">
        <w:rPr>
          <w:rStyle w:val="Hyperlink"/>
          <w:rFonts w:cs="Arial"/>
          <w:i/>
          <w:iCs/>
          <w:color w:val="002060"/>
          <w:u w:val="none"/>
        </w:rPr>
        <w:t xml:space="preserve"> (Documents &gt; Audit Resources &gt; Federal &gt; Other Federal Resources)</w:t>
      </w:r>
      <w:r w:rsidRPr="00D74A1B">
        <w:rPr>
          <w:rFonts w:ascii="Arial" w:hAnsi="Arial" w:cs="Arial"/>
          <w:i/>
          <w:iCs/>
          <w:color w:val="002060"/>
        </w:rPr>
        <w:t>.</w:t>
      </w:r>
    </w:p>
    <w:p w14:paraId="1B74DE11" w14:textId="471D0BBC" w:rsidR="00462F21" w:rsidRPr="00D74A1B" w:rsidRDefault="00A157F2" w:rsidP="0004185F">
      <w:pPr>
        <w:spacing w:after="240"/>
        <w:jc w:val="both"/>
        <w:rPr>
          <w:rFonts w:ascii="Arial" w:hAnsi="Arial" w:cs="Arial"/>
          <w:i/>
          <w:iCs/>
          <w:color w:val="002060"/>
        </w:rPr>
      </w:pPr>
      <w:r w:rsidRPr="00D74A1B">
        <w:rPr>
          <w:rFonts w:ascii="Arial" w:hAnsi="Arial" w:cs="Arial"/>
          <w:i/>
          <w:iCs/>
          <w:color w:val="002060"/>
        </w:rPr>
        <w:t xml:space="preserve">Auditors </w:t>
      </w:r>
      <w:r w:rsidR="009E6B04" w:rsidRPr="00D74A1B">
        <w:rPr>
          <w:rFonts w:ascii="Arial" w:hAnsi="Arial" w:cs="Arial"/>
          <w:i/>
          <w:iCs/>
          <w:color w:val="002060"/>
        </w:rPr>
        <w:t xml:space="preserve">must review the </w:t>
      </w:r>
      <w:r w:rsidR="001B6DDE">
        <w:rPr>
          <w:rFonts w:ascii="Arial" w:hAnsi="Arial" w:cs="Arial"/>
          <w:i/>
          <w:iCs/>
          <w:color w:val="002060"/>
        </w:rPr>
        <w:t>f</w:t>
      </w:r>
      <w:r w:rsidR="009E6B04" w:rsidRPr="00D74A1B">
        <w:rPr>
          <w:rFonts w:ascii="Arial" w:hAnsi="Arial" w:cs="Arial"/>
          <w:i/>
          <w:iCs/>
          <w:color w:val="002060"/>
        </w:rPr>
        <w:t>ederal agency adoption of the Uniform Guidance (2 CFR Part 200) and nonprocur</w:t>
      </w:r>
      <w:r w:rsidR="007E4875" w:rsidRPr="00D74A1B">
        <w:rPr>
          <w:rFonts w:ascii="Arial" w:hAnsi="Arial" w:cs="Arial"/>
          <w:i/>
          <w:iCs/>
          <w:color w:val="002060"/>
        </w:rPr>
        <w:t>e</w:t>
      </w:r>
      <w:r w:rsidR="009E6B04" w:rsidRPr="00D74A1B">
        <w:rPr>
          <w:rFonts w:ascii="Arial" w:hAnsi="Arial" w:cs="Arial"/>
          <w:i/>
          <w:iCs/>
          <w:color w:val="002060"/>
        </w:rPr>
        <w:t xml:space="preserve">ment suspension and debarment requirements (2 CFR Part 180) prior to issuing noncompliance citations to verify the </w:t>
      </w:r>
      <w:r w:rsidR="001B6DDE">
        <w:rPr>
          <w:rFonts w:ascii="Arial" w:hAnsi="Arial" w:cs="Arial"/>
          <w:i/>
          <w:iCs/>
          <w:color w:val="002060"/>
        </w:rPr>
        <w:t>f</w:t>
      </w:r>
      <w:r w:rsidR="009E6B04" w:rsidRPr="00D74A1B">
        <w:rPr>
          <w:rFonts w:ascii="Arial" w:hAnsi="Arial" w:cs="Arial"/>
          <w:i/>
          <w:iCs/>
          <w:color w:val="002060"/>
        </w:rPr>
        <w:t xml:space="preserve">ederal agency requirements. </w:t>
      </w:r>
    </w:p>
    <w:p w14:paraId="6A9E6B4F" w14:textId="35381019" w:rsidR="005C0E45" w:rsidRPr="00D74A1B" w:rsidRDefault="009E6B04" w:rsidP="0004185F">
      <w:pPr>
        <w:spacing w:after="240"/>
        <w:jc w:val="both"/>
        <w:rPr>
          <w:rFonts w:ascii="Arial" w:hAnsi="Arial" w:cs="Arial"/>
          <w:i/>
          <w:iCs/>
          <w:color w:val="000000"/>
        </w:rPr>
      </w:pPr>
      <w:r w:rsidRPr="00D74A1B">
        <w:rPr>
          <w:rFonts w:ascii="Arial" w:hAnsi="Arial" w:cs="Arial"/>
          <w:i/>
          <w:iCs/>
          <w:color w:val="002060"/>
        </w:rPr>
        <w:t xml:space="preserve">Auditors should also </w:t>
      </w:r>
      <w:r w:rsidR="00A157F2" w:rsidRPr="00D74A1B">
        <w:rPr>
          <w:rFonts w:ascii="Arial" w:hAnsi="Arial" w:cs="Arial"/>
          <w:i/>
          <w:iCs/>
          <w:color w:val="002060"/>
        </w:rPr>
        <w:t xml:space="preserve">review this </w:t>
      </w:r>
      <w:hyperlink r:id="rId21" w:history="1">
        <w:r w:rsidR="00A157F2" w:rsidRPr="00D74A1B">
          <w:rPr>
            <w:rStyle w:val="Hyperlink"/>
            <w:rFonts w:cs="Arial"/>
            <w:i/>
            <w:iCs/>
          </w:rPr>
          <w:t>link</w:t>
        </w:r>
      </w:hyperlink>
      <w:r w:rsidR="007E4875" w:rsidRPr="00D74A1B">
        <w:rPr>
          <w:rStyle w:val="Hyperlink"/>
          <w:rFonts w:cs="Arial"/>
          <w:i/>
          <w:iCs/>
          <w:u w:val="none"/>
        </w:rPr>
        <w:t xml:space="preserve"> </w:t>
      </w:r>
      <w:r w:rsidR="00A157F2" w:rsidRPr="00D74A1B">
        <w:rPr>
          <w:rFonts w:ascii="Arial" w:hAnsi="Arial" w:cs="Arial"/>
          <w:i/>
          <w:iCs/>
          <w:color w:val="002060"/>
        </w:rPr>
        <w:t>for a discussion o</w:t>
      </w:r>
      <w:r w:rsidRPr="00D74A1B">
        <w:rPr>
          <w:rFonts w:ascii="Arial" w:hAnsi="Arial" w:cs="Arial"/>
          <w:i/>
          <w:iCs/>
          <w:color w:val="002060"/>
        </w:rPr>
        <w:t>n</w:t>
      </w:r>
      <w:r w:rsidR="00A157F2" w:rsidRPr="00D74A1B">
        <w:rPr>
          <w:rFonts w:ascii="Arial" w:hAnsi="Arial" w:cs="Arial"/>
          <w:i/>
          <w:iCs/>
          <w:color w:val="002060"/>
        </w:rPr>
        <w:t xml:space="preserve"> </w:t>
      </w:r>
      <w:r w:rsidRPr="00D74A1B">
        <w:rPr>
          <w:rFonts w:ascii="Arial" w:hAnsi="Arial" w:cs="Arial"/>
          <w:i/>
          <w:iCs/>
          <w:color w:val="002060"/>
        </w:rPr>
        <w:t xml:space="preserve">how to cite non-compliance exceptions based on </w:t>
      </w:r>
      <w:r w:rsidR="00A157F2" w:rsidRPr="00D74A1B">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212473087"/>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35F64978" w14:textId="0EB8AF99" w:rsidR="00D34A79"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12473085" w:history="1">
            <w:r w:rsidR="00D34A79" w:rsidRPr="00CB25A7">
              <w:rPr>
                <w:rStyle w:val="Hyperlink"/>
                <w:rFonts w:cs="Arial"/>
                <w:noProof/>
              </w:rPr>
              <w:t>Important Information</w:t>
            </w:r>
            <w:r w:rsidR="00D34A79">
              <w:rPr>
                <w:noProof/>
                <w:webHidden/>
              </w:rPr>
              <w:tab/>
            </w:r>
            <w:r w:rsidR="00D34A79">
              <w:rPr>
                <w:noProof/>
                <w:webHidden/>
              </w:rPr>
              <w:fldChar w:fldCharType="begin"/>
            </w:r>
            <w:r w:rsidR="00D34A79">
              <w:rPr>
                <w:noProof/>
                <w:webHidden/>
              </w:rPr>
              <w:instrText xml:space="preserve"> PAGEREF _Toc212473085 \h </w:instrText>
            </w:r>
            <w:r w:rsidR="00D34A79">
              <w:rPr>
                <w:noProof/>
                <w:webHidden/>
              </w:rPr>
            </w:r>
            <w:r w:rsidR="00D34A79">
              <w:rPr>
                <w:noProof/>
                <w:webHidden/>
              </w:rPr>
              <w:fldChar w:fldCharType="separate"/>
            </w:r>
            <w:r w:rsidR="00FA18E3">
              <w:rPr>
                <w:noProof/>
                <w:webHidden/>
              </w:rPr>
              <w:t>1</w:t>
            </w:r>
            <w:r w:rsidR="00D34A79">
              <w:rPr>
                <w:noProof/>
                <w:webHidden/>
              </w:rPr>
              <w:fldChar w:fldCharType="end"/>
            </w:r>
          </w:hyperlink>
        </w:p>
        <w:p w14:paraId="446D3F89" w14:textId="59748752" w:rsidR="00D34A79" w:rsidRDefault="00D34A79">
          <w:pPr>
            <w:pStyle w:val="TOC1"/>
            <w:rPr>
              <w:rFonts w:asciiTheme="minorHAnsi" w:eastAsiaTheme="minorEastAsia" w:hAnsiTheme="minorHAnsi" w:cstheme="minorBidi"/>
              <w:noProof/>
              <w:kern w:val="2"/>
              <w:sz w:val="24"/>
              <w:szCs w:val="24"/>
              <w14:ligatures w14:val="standardContextual"/>
            </w:rPr>
          </w:pPr>
          <w:hyperlink w:anchor="_Toc212473086" w:history="1">
            <w:r w:rsidRPr="00CB25A7">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_Toc212473086 \h </w:instrText>
            </w:r>
            <w:r>
              <w:rPr>
                <w:noProof/>
                <w:webHidden/>
              </w:rPr>
            </w:r>
            <w:r>
              <w:rPr>
                <w:noProof/>
                <w:webHidden/>
              </w:rPr>
              <w:fldChar w:fldCharType="separate"/>
            </w:r>
            <w:r w:rsidR="00FA18E3">
              <w:rPr>
                <w:noProof/>
                <w:webHidden/>
              </w:rPr>
              <w:t>3</w:t>
            </w:r>
            <w:r>
              <w:rPr>
                <w:noProof/>
                <w:webHidden/>
              </w:rPr>
              <w:fldChar w:fldCharType="end"/>
            </w:r>
          </w:hyperlink>
        </w:p>
        <w:p w14:paraId="2E2B346D" w14:textId="63A816EB" w:rsidR="00D34A79" w:rsidRDefault="00D34A79">
          <w:pPr>
            <w:pStyle w:val="TOC1"/>
            <w:rPr>
              <w:rFonts w:asciiTheme="minorHAnsi" w:eastAsiaTheme="minorEastAsia" w:hAnsiTheme="minorHAnsi" w:cstheme="minorBidi"/>
              <w:noProof/>
              <w:kern w:val="2"/>
              <w:sz w:val="24"/>
              <w:szCs w:val="24"/>
              <w14:ligatures w14:val="standardContextual"/>
            </w:rPr>
          </w:pPr>
          <w:hyperlink w:anchor="_Toc212473087" w:history="1">
            <w:r w:rsidRPr="00CB25A7">
              <w:rPr>
                <w:rStyle w:val="Hyperlink"/>
                <w:rFonts w:cs="Arial"/>
                <w:noProof/>
              </w:rPr>
              <w:t>Table of Contents</w:t>
            </w:r>
            <w:r>
              <w:rPr>
                <w:noProof/>
                <w:webHidden/>
              </w:rPr>
              <w:tab/>
            </w:r>
            <w:r>
              <w:rPr>
                <w:noProof/>
                <w:webHidden/>
              </w:rPr>
              <w:fldChar w:fldCharType="begin"/>
            </w:r>
            <w:r>
              <w:rPr>
                <w:noProof/>
                <w:webHidden/>
              </w:rPr>
              <w:instrText xml:space="preserve"> PAGEREF _Toc212473087 \h </w:instrText>
            </w:r>
            <w:r>
              <w:rPr>
                <w:noProof/>
                <w:webHidden/>
              </w:rPr>
            </w:r>
            <w:r>
              <w:rPr>
                <w:noProof/>
                <w:webHidden/>
              </w:rPr>
              <w:fldChar w:fldCharType="separate"/>
            </w:r>
            <w:r w:rsidR="00FA18E3">
              <w:rPr>
                <w:noProof/>
                <w:webHidden/>
              </w:rPr>
              <w:t>4</w:t>
            </w:r>
            <w:r>
              <w:rPr>
                <w:noProof/>
                <w:webHidden/>
              </w:rPr>
              <w:fldChar w:fldCharType="end"/>
            </w:r>
          </w:hyperlink>
        </w:p>
        <w:p w14:paraId="4A870247" w14:textId="6E6C2F9E" w:rsidR="00D34A79" w:rsidRDefault="00D34A79">
          <w:pPr>
            <w:pStyle w:val="TOC1"/>
            <w:rPr>
              <w:rFonts w:asciiTheme="minorHAnsi" w:eastAsiaTheme="minorEastAsia" w:hAnsiTheme="minorHAnsi" w:cstheme="minorBidi"/>
              <w:noProof/>
              <w:kern w:val="2"/>
              <w:sz w:val="24"/>
              <w:szCs w:val="24"/>
              <w14:ligatures w14:val="standardContextual"/>
            </w:rPr>
          </w:pPr>
          <w:hyperlink w:anchor="_Toc212473088" w:history="1">
            <w:r w:rsidRPr="00CB25A7">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_Toc212473088 \h </w:instrText>
            </w:r>
            <w:r>
              <w:rPr>
                <w:noProof/>
                <w:webHidden/>
              </w:rPr>
            </w:r>
            <w:r>
              <w:rPr>
                <w:noProof/>
                <w:webHidden/>
              </w:rPr>
              <w:fldChar w:fldCharType="separate"/>
            </w:r>
            <w:r w:rsidR="00FA18E3">
              <w:rPr>
                <w:noProof/>
                <w:webHidden/>
              </w:rPr>
              <w:t>11</w:t>
            </w:r>
            <w:r>
              <w:rPr>
                <w:noProof/>
                <w:webHidden/>
              </w:rPr>
              <w:fldChar w:fldCharType="end"/>
            </w:r>
          </w:hyperlink>
        </w:p>
        <w:p w14:paraId="386F3EFA" w14:textId="2BA3EF81"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089" w:history="1">
            <w:r w:rsidRPr="00CB25A7">
              <w:rPr>
                <w:rStyle w:val="Hyperlink"/>
                <w:rFonts w:cs="Arial"/>
                <w:noProof/>
              </w:rPr>
              <w:t>I. Program Objectives</w:t>
            </w:r>
            <w:r>
              <w:rPr>
                <w:noProof/>
                <w:webHidden/>
              </w:rPr>
              <w:tab/>
            </w:r>
            <w:r>
              <w:rPr>
                <w:noProof/>
                <w:webHidden/>
              </w:rPr>
              <w:fldChar w:fldCharType="begin"/>
            </w:r>
            <w:r>
              <w:rPr>
                <w:noProof/>
                <w:webHidden/>
              </w:rPr>
              <w:instrText xml:space="preserve"> PAGEREF _Toc212473089 \h </w:instrText>
            </w:r>
            <w:r>
              <w:rPr>
                <w:noProof/>
                <w:webHidden/>
              </w:rPr>
            </w:r>
            <w:r>
              <w:rPr>
                <w:noProof/>
                <w:webHidden/>
              </w:rPr>
              <w:fldChar w:fldCharType="separate"/>
            </w:r>
            <w:r w:rsidR="00FA18E3">
              <w:rPr>
                <w:noProof/>
                <w:webHidden/>
              </w:rPr>
              <w:t>11</w:t>
            </w:r>
            <w:r>
              <w:rPr>
                <w:noProof/>
                <w:webHidden/>
              </w:rPr>
              <w:fldChar w:fldCharType="end"/>
            </w:r>
          </w:hyperlink>
        </w:p>
        <w:p w14:paraId="1ECFC6DA" w14:textId="5A4013E0"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090" w:history="1">
            <w:r w:rsidRPr="00CB25A7">
              <w:rPr>
                <w:rStyle w:val="Hyperlink"/>
                <w:rFonts w:cs="Arial"/>
                <w:noProof/>
              </w:rPr>
              <w:t>II. Program Procedures</w:t>
            </w:r>
            <w:r>
              <w:rPr>
                <w:noProof/>
                <w:webHidden/>
              </w:rPr>
              <w:tab/>
            </w:r>
            <w:r>
              <w:rPr>
                <w:noProof/>
                <w:webHidden/>
              </w:rPr>
              <w:fldChar w:fldCharType="begin"/>
            </w:r>
            <w:r>
              <w:rPr>
                <w:noProof/>
                <w:webHidden/>
              </w:rPr>
              <w:instrText xml:space="preserve"> PAGEREF _Toc212473090 \h </w:instrText>
            </w:r>
            <w:r>
              <w:rPr>
                <w:noProof/>
                <w:webHidden/>
              </w:rPr>
            </w:r>
            <w:r>
              <w:rPr>
                <w:noProof/>
                <w:webHidden/>
              </w:rPr>
              <w:fldChar w:fldCharType="separate"/>
            </w:r>
            <w:r w:rsidR="00FA18E3">
              <w:rPr>
                <w:noProof/>
                <w:webHidden/>
              </w:rPr>
              <w:t>11</w:t>
            </w:r>
            <w:r>
              <w:rPr>
                <w:noProof/>
                <w:webHidden/>
              </w:rPr>
              <w:fldChar w:fldCharType="end"/>
            </w:r>
          </w:hyperlink>
        </w:p>
        <w:p w14:paraId="240C5E5B" w14:textId="6C027665"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091" w:history="1">
            <w:r w:rsidRPr="00CB25A7">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_Toc212473091 \h </w:instrText>
            </w:r>
            <w:r>
              <w:rPr>
                <w:noProof/>
                <w:webHidden/>
              </w:rPr>
            </w:r>
            <w:r>
              <w:rPr>
                <w:noProof/>
                <w:webHidden/>
              </w:rPr>
              <w:fldChar w:fldCharType="separate"/>
            </w:r>
            <w:r w:rsidR="00FA18E3">
              <w:rPr>
                <w:noProof/>
                <w:webHidden/>
              </w:rPr>
              <w:t>13</w:t>
            </w:r>
            <w:r>
              <w:rPr>
                <w:noProof/>
                <w:webHidden/>
              </w:rPr>
              <w:fldChar w:fldCharType="end"/>
            </w:r>
          </w:hyperlink>
        </w:p>
        <w:p w14:paraId="098C95A4" w14:textId="0DD2ECED"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092" w:history="1">
            <w:r w:rsidRPr="00CB25A7">
              <w:rPr>
                <w:rStyle w:val="Hyperlink"/>
                <w:rFonts w:cs="Arial"/>
                <w:noProof/>
              </w:rPr>
              <w:t>IV. Other Information</w:t>
            </w:r>
            <w:r>
              <w:rPr>
                <w:noProof/>
                <w:webHidden/>
              </w:rPr>
              <w:tab/>
            </w:r>
            <w:r>
              <w:rPr>
                <w:noProof/>
                <w:webHidden/>
              </w:rPr>
              <w:fldChar w:fldCharType="begin"/>
            </w:r>
            <w:r>
              <w:rPr>
                <w:noProof/>
                <w:webHidden/>
              </w:rPr>
              <w:instrText xml:space="preserve"> PAGEREF _Toc212473092 \h </w:instrText>
            </w:r>
            <w:r>
              <w:rPr>
                <w:noProof/>
                <w:webHidden/>
              </w:rPr>
            </w:r>
            <w:r>
              <w:rPr>
                <w:noProof/>
                <w:webHidden/>
              </w:rPr>
              <w:fldChar w:fldCharType="separate"/>
            </w:r>
            <w:r w:rsidR="00FA18E3">
              <w:rPr>
                <w:noProof/>
                <w:webHidden/>
              </w:rPr>
              <w:t>14</w:t>
            </w:r>
            <w:r>
              <w:rPr>
                <w:noProof/>
                <w:webHidden/>
              </w:rPr>
              <w:fldChar w:fldCharType="end"/>
            </w:r>
          </w:hyperlink>
        </w:p>
        <w:p w14:paraId="71555A1D" w14:textId="4B8E149F" w:rsidR="00D34A79" w:rsidRDefault="00D34A79">
          <w:pPr>
            <w:pStyle w:val="TOC1"/>
            <w:rPr>
              <w:rFonts w:asciiTheme="minorHAnsi" w:eastAsiaTheme="minorEastAsia" w:hAnsiTheme="minorHAnsi" w:cstheme="minorBidi"/>
              <w:noProof/>
              <w:kern w:val="2"/>
              <w:sz w:val="24"/>
              <w:szCs w:val="24"/>
              <w14:ligatures w14:val="standardContextual"/>
            </w:rPr>
          </w:pPr>
          <w:hyperlink w:anchor="_Toc212473093" w:history="1">
            <w:r w:rsidRPr="00CB25A7">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_Toc212473093 \h </w:instrText>
            </w:r>
            <w:r>
              <w:rPr>
                <w:noProof/>
                <w:webHidden/>
              </w:rPr>
            </w:r>
            <w:r>
              <w:rPr>
                <w:noProof/>
                <w:webHidden/>
              </w:rPr>
              <w:fldChar w:fldCharType="separate"/>
            </w:r>
            <w:r w:rsidR="00FA18E3">
              <w:rPr>
                <w:noProof/>
                <w:webHidden/>
              </w:rPr>
              <w:t>15</w:t>
            </w:r>
            <w:r>
              <w:rPr>
                <w:noProof/>
                <w:webHidden/>
              </w:rPr>
              <w:fldChar w:fldCharType="end"/>
            </w:r>
          </w:hyperlink>
        </w:p>
        <w:p w14:paraId="726F0ACF" w14:textId="7F6617EB"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094" w:history="1">
            <w:r w:rsidRPr="00CB25A7">
              <w:rPr>
                <w:rStyle w:val="Hyperlink"/>
                <w:rFonts w:cs="Arial"/>
                <w:noProof/>
              </w:rPr>
              <w:t>Program Overview</w:t>
            </w:r>
            <w:r>
              <w:rPr>
                <w:noProof/>
                <w:webHidden/>
              </w:rPr>
              <w:tab/>
            </w:r>
            <w:r>
              <w:rPr>
                <w:noProof/>
                <w:webHidden/>
              </w:rPr>
              <w:fldChar w:fldCharType="begin"/>
            </w:r>
            <w:r>
              <w:rPr>
                <w:noProof/>
                <w:webHidden/>
              </w:rPr>
              <w:instrText xml:space="preserve"> PAGEREF _Toc212473094 \h </w:instrText>
            </w:r>
            <w:r>
              <w:rPr>
                <w:noProof/>
                <w:webHidden/>
              </w:rPr>
            </w:r>
            <w:r>
              <w:rPr>
                <w:noProof/>
                <w:webHidden/>
              </w:rPr>
              <w:fldChar w:fldCharType="separate"/>
            </w:r>
            <w:r w:rsidR="00FA18E3">
              <w:rPr>
                <w:noProof/>
                <w:webHidden/>
              </w:rPr>
              <w:t>15</w:t>
            </w:r>
            <w:r>
              <w:rPr>
                <w:noProof/>
                <w:webHidden/>
              </w:rPr>
              <w:fldChar w:fldCharType="end"/>
            </w:r>
          </w:hyperlink>
        </w:p>
        <w:p w14:paraId="28FEA634" w14:textId="49D23517"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095" w:history="1">
            <w:r w:rsidRPr="00CB25A7">
              <w:rPr>
                <w:rStyle w:val="Hyperlink"/>
                <w:rFonts w:cs="Arial"/>
                <w:noProof/>
              </w:rPr>
              <w:t>Testing Considerations</w:t>
            </w:r>
            <w:r>
              <w:rPr>
                <w:noProof/>
                <w:webHidden/>
              </w:rPr>
              <w:tab/>
            </w:r>
            <w:r>
              <w:rPr>
                <w:noProof/>
                <w:webHidden/>
              </w:rPr>
              <w:fldChar w:fldCharType="begin"/>
            </w:r>
            <w:r>
              <w:rPr>
                <w:noProof/>
                <w:webHidden/>
              </w:rPr>
              <w:instrText xml:space="preserve"> PAGEREF _Toc212473095 \h </w:instrText>
            </w:r>
            <w:r>
              <w:rPr>
                <w:noProof/>
                <w:webHidden/>
              </w:rPr>
            </w:r>
            <w:r>
              <w:rPr>
                <w:noProof/>
                <w:webHidden/>
              </w:rPr>
              <w:fldChar w:fldCharType="separate"/>
            </w:r>
            <w:r w:rsidR="00FA18E3">
              <w:rPr>
                <w:noProof/>
                <w:webHidden/>
              </w:rPr>
              <w:t>15</w:t>
            </w:r>
            <w:r>
              <w:rPr>
                <w:noProof/>
                <w:webHidden/>
              </w:rPr>
              <w:fldChar w:fldCharType="end"/>
            </w:r>
          </w:hyperlink>
        </w:p>
        <w:p w14:paraId="4C3AEE3C" w14:textId="67A4C09E"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096" w:history="1">
            <w:r w:rsidRPr="00CB25A7">
              <w:rPr>
                <w:rStyle w:val="Hyperlink"/>
                <w:rFonts w:cs="Arial"/>
                <w:noProof/>
              </w:rPr>
              <w:t>Reporting</w:t>
            </w:r>
            <w:r>
              <w:rPr>
                <w:noProof/>
                <w:webHidden/>
              </w:rPr>
              <w:tab/>
            </w:r>
            <w:r>
              <w:rPr>
                <w:noProof/>
                <w:webHidden/>
              </w:rPr>
              <w:fldChar w:fldCharType="begin"/>
            </w:r>
            <w:r>
              <w:rPr>
                <w:noProof/>
                <w:webHidden/>
              </w:rPr>
              <w:instrText xml:space="preserve"> PAGEREF _Toc212473096 \h </w:instrText>
            </w:r>
            <w:r>
              <w:rPr>
                <w:noProof/>
                <w:webHidden/>
              </w:rPr>
            </w:r>
            <w:r>
              <w:rPr>
                <w:noProof/>
                <w:webHidden/>
              </w:rPr>
              <w:fldChar w:fldCharType="separate"/>
            </w:r>
            <w:r w:rsidR="00FA18E3">
              <w:rPr>
                <w:noProof/>
                <w:webHidden/>
              </w:rPr>
              <w:t>15</w:t>
            </w:r>
            <w:r>
              <w:rPr>
                <w:noProof/>
                <w:webHidden/>
              </w:rPr>
              <w:fldChar w:fldCharType="end"/>
            </w:r>
          </w:hyperlink>
        </w:p>
        <w:p w14:paraId="0BD2495E" w14:textId="51A0525A" w:rsidR="00D34A79" w:rsidRDefault="00D34A79">
          <w:pPr>
            <w:pStyle w:val="TOC1"/>
            <w:rPr>
              <w:rFonts w:asciiTheme="minorHAnsi" w:eastAsiaTheme="minorEastAsia" w:hAnsiTheme="minorHAnsi" w:cstheme="minorBidi"/>
              <w:noProof/>
              <w:kern w:val="2"/>
              <w:sz w:val="24"/>
              <w:szCs w:val="24"/>
              <w14:ligatures w14:val="standardContextual"/>
            </w:rPr>
          </w:pPr>
          <w:hyperlink w:anchor="_Toc212473097" w:history="1">
            <w:r w:rsidRPr="00CB25A7">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_Toc212473097 \h </w:instrText>
            </w:r>
            <w:r>
              <w:rPr>
                <w:noProof/>
                <w:webHidden/>
              </w:rPr>
            </w:r>
            <w:r>
              <w:rPr>
                <w:noProof/>
                <w:webHidden/>
              </w:rPr>
              <w:fldChar w:fldCharType="separate"/>
            </w:r>
            <w:r w:rsidR="00FA18E3">
              <w:rPr>
                <w:noProof/>
                <w:webHidden/>
              </w:rPr>
              <w:t>16</w:t>
            </w:r>
            <w:r>
              <w:rPr>
                <w:noProof/>
                <w:webHidden/>
              </w:rPr>
              <w:fldChar w:fldCharType="end"/>
            </w:r>
          </w:hyperlink>
        </w:p>
        <w:p w14:paraId="1D555F43" w14:textId="16CD5557" w:rsidR="00D34A79" w:rsidRDefault="00D34A79">
          <w:pPr>
            <w:pStyle w:val="TOC2"/>
            <w:rPr>
              <w:rFonts w:asciiTheme="minorHAnsi" w:eastAsiaTheme="minorEastAsia" w:hAnsiTheme="minorHAnsi" w:cstheme="minorBidi"/>
              <w:bCs w:val="0"/>
              <w:kern w:val="2"/>
              <w:sz w:val="24"/>
              <w14:ligatures w14:val="standardContextual"/>
            </w:rPr>
          </w:pPr>
          <w:hyperlink w:anchor="_Toc212473098" w:history="1">
            <w:r w:rsidRPr="00CB25A7">
              <w:rPr>
                <w:rStyle w:val="Hyperlink"/>
              </w:rPr>
              <w:t>A.  ACTIVITIES ALLOWED OR UNALLOWED</w:t>
            </w:r>
            <w:r>
              <w:rPr>
                <w:webHidden/>
              </w:rPr>
              <w:tab/>
            </w:r>
            <w:r>
              <w:rPr>
                <w:webHidden/>
              </w:rPr>
              <w:fldChar w:fldCharType="begin"/>
            </w:r>
            <w:r>
              <w:rPr>
                <w:webHidden/>
              </w:rPr>
              <w:instrText xml:space="preserve"> PAGEREF _Toc212473098 \h </w:instrText>
            </w:r>
            <w:r>
              <w:rPr>
                <w:webHidden/>
              </w:rPr>
            </w:r>
            <w:r>
              <w:rPr>
                <w:webHidden/>
              </w:rPr>
              <w:fldChar w:fldCharType="separate"/>
            </w:r>
            <w:r w:rsidR="00FA18E3">
              <w:rPr>
                <w:webHidden/>
              </w:rPr>
              <w:t>16</w:t>
            </w:r>
            <w:r>
              <w:rPr>
                <w:webHidden/>
              </w:rPr>
              <w:fldChar w:fldCharType="end"/>
            </w:r>
          </w:hyperlink>
        </w:p>
        <w:p w14:paraId="6F344515" w14:textId="709FB9C9"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099" w:history="1">
            <w:r w:rsidRPr="00CB25A7">
              <w:rPr>
                <w:rStyle w:val="Hyperlink"/>
                <w:rFonts w:cs="Arial"/>
                <w:noProof/>
              </w:rPr>
              <w:t>OMB Compliance Requirements</w:t>
            </w:r>
            <w:r>
              <w:rPr>
                <w:noProof/>
                <w:webHidden/>
              </w:rPr>
              <w:tab/>
            </w:r>
            <w:r>
              <w:rPr>
                <w:noProof/>
                <w:webHidden/>
              </w:rPr>
              <w:fldChar w:fldCharType="begin"/>
            </w:r>
            <w:r>
              <w:rPr>
                <w:noProof/>
                <w:webHidden/>
              </w:rPr>
              <w:instrText xml:space="preserve"> PAGEREF _Toc212473099 \h </w:instrText>
            </w:r>
            <w:r>
              <w:rPr>
                <w:noProof/>
                <w:webHidden/>
              </w:rPr>
            </w:r>
            <w:r>
              <w:rPr>
                <w:noProof/>
                <w:webHidden/>
              </w:rPr>
              <w:fldChar w:fldCharType="separate"/>
            </w:r>
            <w:r w:rsidR="00FA18E3">
              <w:rPr>
                <w:noProof/>
                <w:webHidden/>
              </w:rPr>
              <w:t>16</w:t>
            </w:r>
            <w:r>
              <w:rPr>
                <w:noProof/>
                <w:webHidden/>
              </w:rPr>
              <w:fldChar w:fldCharType="end"/>
            </w:r>
          </w:hyperlink>
        </w:p>
        <w:p w14:paraId="434B3C3A" w14:textId="117BFCFA"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00" w:history="1">
            <w:r w:rsidRPr="00CB25A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_Toc212473100 \h </w:instrText>
            </w:r>
            <w:r>
              <w:rPr>
                <w:noProof/>
                <w:webHidden/>
              </w:rPr>
            </w:r>
            <w:r>
              <w:rPr>
                <w:noProof/>
                <w:webHidden/>
              </w:rPr>
              <w:fldChar w:fldCharType="separate"/>
            </w:r>
            <w:r w:rsidR="00FA18E3">
              <w:rPr>
                <w:noProof/>
                <w:webHidden/>
              </w:rPr>
              <w:t>19</w:t>
            </w:r>
            <w:r>
              <w:rPr>
                <w:noProof/>
                <w:webHidden/>
              </w:rPr>
              <w:fldChar w:fldCharType="end"/>
            </w:r>
          </w:hyperlink>
        </w:p>
        <w:p w14:paraId="385251D1" w14:textId="35BD2CAC"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01" w:history="1">
            <w:r w:rsidRPr="00CB25A7">
              <w:rPr>
                <w:rStyle w:val="Hyperlink"/>
                <w:noProof/>
              </w:rPr>
              <w:t>Audit Objectives and Control Testing</w:t>
            </w:r>
            <w:r>
              <w:rPr>
                <w:noProof/>
                <w:webHidden/>
              </w:rPr>
              <w:tab/>
            </w:r>
            <w:r>
              <w:rPr>
                <w:noProof/>
                <w:webHidden/>
              </w:rPr>
              <w:fldChar w:fldCharType="begin"/>
            </w:r>
            <w:r>
              <w:rPr>
                <w:noProof/>
                <w:webHidden/>
              </w:rPr>
              <w:instrText xml:space="preserve"> PAGEREF _Toc212473101 \h </w:instrText>
            </w:r>
            <w:r>
              <w:rPr>
                <w:noProof/>
                <w:webHidden/>
              </w:rPr>
            </w:r>
            <w:r>
              <w:rPr>
                <w:noProof/>
                <w:webHidden/>
              </w:rPr>
              <w:fldChar w:fldCharType="separate"/>
            </w:r>
            <w:r w:rsidR="00FA18E3">
              <w:rPr>
                <w:noProof/>
                <w:webHidden/>
              </w:rPr>
              <w:t>19</w:t>
            </w:r>
            <w:r>
              <w:rPr>
                <w:noProof/>
                <w:webHidden/>
              </w:rPr>
              <w:fldChar w:fldCharType="end"/>
            </w:r>
          </w:hyperlink>
        </w:p>
        <w:p w14:paraId="4919831C" w14:textId="1E85432D"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02" w:history="1">
            <w:r w:rsidRPr="00CB25A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_Toc212473102 \h </w:instrText>
            </w:r>
            <w:r>
              <w:rPr>
                <w:noProof/>
                <w:webHidden/>
              </w:rPr>
            </w:r>
            <w:r>
              <w:rPr>
                <w:noProof/>
                <w:webHidden/>
              </w:rPr>
              <w:fldChar w:fldCharType="separate"/>
            </w:r>
            <w:r w:rsidR="00FA18E3">
              <w:rPr>
                <w:noProof/>
                <w:webHidden/>
              </w:rPr>
              <w:t>20</w:t>
            </w:r>
            <w:r>
              <w:rPr>
                <w:noProof/>
                <w:webHidden/>
              </w:rPr>
              <w:fldChar w:fldCharType="end"/>
            </w:r>
          </w:hyperlink>
        </w:p>
        <w:p w14:paraId="72C7AE3F" w14:textId="7070EABE"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03" w:history="1">
            <w:r w:rsidRPr="00CB25A7">
              <w:rPr>
                <w:rStyle w:val="Hyperlink"/>
                <w:rFonts w:cs="Arial"/>
                <w:noProof/>
              </w:rPr>
              <w:t>Audit Implications Summary</w:t>
            </w:r>
            <w:r>
              <w:rPr>
                <w:noProof/>
                <w:webHidden/>
              </w:rPr>
              <w:tab/>
            </w:r>
            <w:r>
              <w:rPr>
                <w:noProof/>
                <w:webHidden/>
              </w:rPr>
              <w:fldChar w:fldCharType="begin"/>
            </w:r>
            <w:r>
              <w:rPr>
                <w:noProof/>
                <w:webHidden/>
              </w:rPr>
              <w:instrText xml:space="preserve"> PAGEREF _Toc212473103 \h </w:instrText>
            </w:r>
            <w:r>
              <w:rPr>
                <w:noProof/>
                <w:webHidden/>
              </w:rPr>
            </w:r>
            <w:r>
              <w:rPr>
                <w:noProof/>
                <w:webHidden/>
              </w:rPr>
              <w:fldChar w:fldCharType="separate"/>
            </w:r>
            <w:r w:rsidR="00FA18E3">
              <w:rPr>
                <w:noProof/>
                <w:webHidden/>
              </w:rPr>
              <w:t>20</w:t>
            </w:r>
            <w:r>
              <w:rPr>
                <w:noProof/>
                <w:webHidden/>
              </w:rPr>
              <w:fldChar w:fldCharType="end"/>
            </w:r>
          </w:hyperlink>
        </w:p>
        <w:p w14:paraId="7174A85C" w14:textId="1F6E1B28" w:rsidR="00D34A79" w:rsidRDefault="00D34A79">
          <w:pPr>
            <w:pStyle w:val="TOC2"/>
            <w:rPr>
              <w:rFonts w:asciiTheme="minorHAnsi" w:eastAsiaTheme="minorEastAsia" w:hAnsiTheme="minorHAnsi" w:cstheme="minorBidi"/>
              <w:bCs w:val="0"/>
              <w:kern w:val="2"/>
              <w:sz w:val="24"/>
              <w14:ligatures w14:val="standardContextual"/>
            </w:rPr>
          </w:pPr>
          <w:hyperlink w:anchor="_Toc212473104" w:history="1">
            <w:r w:rsidRPr="00CB25A7">
              <w:rPr>
                <w:rStyle w:val="Hyperlink"/>
              </w:rPr>
              <w:t>B.  ALLOWABLE COSTS/COST PRINCIPLES</w:t>
            </w:r>
            <w:r>
              <w:rPr>
                <w:webHidden/>
              </w:rPr>
              <w:tab/>
            </w:r>
            <w:r>
              <w:rPr>
                <w:webHidden/>
              </w:rPr>
              <w:fldChar w:fldCharType="begin"/>
            </w:r>
            <w:r>
              <w:rPr>
                <w:webHidden/>
              </w:rPr>
              <w:instrText xml:space="preserve"> PAGEREF _Toc212473104 \h </w:instrText>
            </w:r>
            <w:r>
              <w:rPr>
                <w:webHidden/>
              </w:rPr>
            </w:r>
            <w:r>
              <w:rPr>
                <w:webHidden/>
              </w:rPr>
              <w:fldChar w:fldCharType="separate"/>
            </w:r>
            <w:r w:rsidR="00FA18E3">
              <w:rPr>
                <w:webHidden/>
              </w:rPr>
              <w:t>22</w:t>
            </w:r>
            <w:r>
              <w:rPr>
                <w:webHidden/>
              </w:rPr>
              <w:fldChar w:fldCharType="end"/>
            </w:r>
          </w:hyperlink>
        </w:p>
        <w:p w14:paraId="236BCCD5" w14:textId="40DF1A64"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05" w:history="1">
            <w:r w:rsidRPr="00CB25A7">
              <w:rPr>
                <w:rStyle w:val="Hyperlink"/>
                <w:rFonts w:cs="Arial"/>
                <w:noProof/>
              </w:rPr>
              <w:t>Applicability of Cost Principles</w:t>
            </w:r>
            <w:r>
              <w:rPr>
                <w:noProof/>
                <w:webHidden/>
              </w:rPr>
              <w:tab/>
            </w:r>
            <w:r>
              <w:rPr>
                <w:noProof/>
                <w:webHidden/>
              </w:rPr>
              <w:fldChar w:fldCharType="begin"/>
            </w:r>
            <w:r>
              <w:rPr>
                <w:noProof/>
                <w:webHidden/>
              </w:rPr>
              <w:instrText xml:space="preserve"> PAGEREF _Toc212473105 \h </w:instrText>
            </w:r>
            <w:r>
              <w:rPr>
                <w:noProof/>
                <w:webHidden/>
              </w:rPr>
            </w:r>
            <w:r>
              <w:rPr>
                <w:noProof/>
                <w:webHidden/>
              </w:rPr>
              <w:fldChar w:fldCharType="separate"/>
            </w:r>
            <w:r w:rsidR="00FA18E3">
              <w:rPr>
                <w:noProof/>
                <w:webHidden/>
              </w:rPr>
              <w:t>23</w:t>
            </w:r>
            <w:r>
              <w:rPr>
                <w:noProof/>
                <w:webHidden/>
              </w:rPr>
              <w:fldChar w:fldCharType="end"/>
            </w:r>
          </w:hyperlink>
        </w:p>
        <w:p w14:paraId="799DC125" w14:textId="753529CD"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06" w:history="1">
            <w:r w:rsidRPr="00CB25A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_Toc212473106 \h </w:instrText>
            </w:r>
            <w:r>
              <w:rPr>
                <w:noProof/>
                <w:webHidden/>
              </w:rPr>
            </w:r>
            <w:r>
              <w:rPr>
                <w:noProof/>
                <w:webHidden/>
              </w:rPr>
              <w:fldChar w:fldCharType="separate"/>
            </w:r>
            <w:r w:rsidR="00FA18E3">
              <w:rPr>
                <w:noProof/>
                <w:webHidden/>
              </w:rPr>
              <w:t>27</w:t>
            </w:r>
            <w:r>
              <w:rPr>
                <w:noProof/>
                <w:webHidden/>
              </w:rPr>
              <w:fldChar w:fldCharType="end"/>
            </w:r>
          </w:hyperlink>
        </w:p>
        <w:p w14:paraId="3407AA5E" w14:textId="43D069B7"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07" w:history="1">
            <w:r w:rsidRPr="00CB25A7">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_Toc212473107 \h </w:instrText>
            </w:r>
            <w:r>
              <w:rPr>
                <w:noProof/>
                <w:webHidden/>
              </w:rPr>
            </w:r>
            <w:r>
              <w:rPr>
                <w:noProof/>
                <w:webHidden/>
              </w:rPr>
              <w:fldChar w:fldCharType="separate"/>
            </w:r>
            <w:r w:rsidR="00FA18E3">
              <w:rPr>
                <w:noProof/>
                <w:webHidden/>
              </w:rPr>
              <w:t>27</w:t>
            </w:r>
            <w:r>
              <w:rPr>
                <w:noProof/>
                <w:webHidden/>
              </w:rPr>
              <w:fldChar w:fldCharType="end"/>
            </w:r>
          </w:hyperlink>
        </w:p>
        <w:p w14:paraId="251FB0CA" w14:textId="4DC0E1C0"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08" w:history="1">
            <w:r w:rsidRPr="00CB25A7">
              <w:rPr>
                <w:rStyle w:val="Hyperlink"/>
                <w:rFonts w:cs="Arial"/>
                <w:noProof/>
              </w:rPr>
              <w:t>OMB Compliance Requirements</w:t>
            </w:r>
            <w:r>
              <w:rPr>
                <w:noProof/>
                <w:webHidden/>
              </w:rPr>
              <w:tab/>
            </w:r>
            <w:r>
              <w:rPr>
                <w:noProof/>
                <w:webHidden/>
              </w:rPr>
              <w:fldChar w:fldCharType="begin"/>
            </w:r>
            <w:r>
              <w:rPr>
                <w:noProof/>
                <w:webHidden/>
              </w:rPr>
              <w:instrText xml:space="preserve"> PAGEREF _Toc212473108 \h </w:instrText>
            </w:r>
            <w:r>
              <w:rPr>
                <w:noProof/>
                <w:webHidden/>
              </w:rPr>
            </w:r>
            <w:r>
              <w:rPr>
                <w:noProof/>
                <w:webHidden/>
              </w:rPr>
              <w:fldChar w:fldCharType="separate"/>
            </w:r>
            <w:r w:rsidR="00FA18E3">
              <w:rPr>
                <w:noProof/>
                <w:webHidden/>
              </w:rPr>
              <w:t>27</w:t>
            </w:r>
            <w:r>
              <w:rPr>
                <w:noProof/>
                <w:webHidden/>
              </w:rPr>
              <w:fldChar w:fldCharType="end"/>
            </w:r>
          </w:hyperlink>
        </w:p>
        <w:p w14:paraId="4BCE0AA7" w14:textId="21552169"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09" w:history="1">
            <w:r w:rsidRPr="00CB25A7">
              <w:rPr>
                <w:rStyle w:val="Hyperlink"/>
                <w:rFonts w:cs="Arial"/>
                <w:noProof/>
              </w:rPr>
              <w:t>Audit Implications Summary</w:t>
            </w:r>
            <w:r>
              <w:rPr>
                <w:noProof/>
                <w:webHidden/>
              </w:rPr>
              <w:tab/>
            </w:r>
            <w:r>
              <w:rPr>
                <w:noProof/>
                <w:webHidden/>
              </w:rPr>
              <w:fldChar w:fldCharType="begin"/>
            </w:r>
            <w:r>
              <w:rPr>
                <w:noProof/>
                <w:webHidden/>
              </w:rPr>
              <w:instrText xml:space="preserve"> PAGEREF _Toc212473109 \h </w:instrText>
            </w:r>
            <w:r>
              <w:rPr>
                <w:noProof/>
                <w:webHidden/>
              </w:rPr>
            </w:r>
            <w:r>
              <w:rPr>
                <w:noProof/>
                <w:webHidden/>
              </w:rPr>
              <w:fldChar w:fldCharType="separate"/>
            </w:r>
            <w:r w:rsidR="00FA18E3">
              <w:rPr>
                <w:noProof/>
                <w:webHidden/>
              </w:rPr>
              <w:t>35</w:t>
            </w:r>
            <w:r>
              <w:rPr>
                <w:noProof/>
                <w:webHidden/>
              </w:rPr>
              <w:fldChar w:fldCharType="end"/>
            </w:r>
          </w:hyperlink>
        </w:p>
        <w:p w14:paraId="3A7B7745" w14:textId="0BCE78D4" w:rsidR="00D34A79" w:rsidRDefault="00D34A79">
          <w:pPr>
            <w:pStyle w:val="TOC2"/>
            <w:rPr>
              <w:rFonts w:asciiTheme="minorHAnsi" w:eastAsiaTheme="minorEastAsia" w:hAnsiTheme="minorHAnsi" w:cstheme="minorBidi"/>
              <w:bCs w:val="0"/>
              <w:kern w:val="2"/>
              <w:sz w:val="24"/>
              <w14:ligatures w14:val="standardContextual"/>
            </w:rPr>
          </w:pPr>
          <w:hyperlink w:anchor="_Toc212473110" w:history="1">
            <w:r w:rsidRPr="00CB25A7">
              <w:rPr>
                <w:rStyle w:val="Hyperlink"/>
              </w:rPr>
              <w:t>E.  ELIGIBILITY</w:t>
            </w:r>
            <w:r>
              <w:rPr>
                <w:webHidden/>
              </w:rPr>
              <w:tab/>
            </w:r>
            <w:r>
              <w:rPr>
                <w:webHidden/>
              </w:rPr>
              <w:fldChar w:fldCharType="begin"/>
            </w:r>
            <w:r>
              <w:rPr>
                <w:webHidden/>
              </w:rPr>
              <w:instrText xml:space="preserve"> PAGEREF _Toc212473110 \h </w:instrText>
            </w:r>
            <w:r>
              <w:rPr>
                <w:webHidden/>
              </w:rPr>
            </w:r>
            <w:r>
              <w:rPr>
                <w:webHidden/>
              </w:rPr>
              <w:fldChar w:fldCharType="separate"/>
            </w:r>
            <w:r w:rsidR="00FA18E3">
              <w:rPr>
                <w:webHidden/>
              </w:rPr>
              <w:t>37</w:t>
            </w:r>
            <w:r>
              <w:rPr>
                <w:webHidden/>
              </w:rPr>
              <w:fldChar w:fldCharType="end"/>
            </w:r>
          </w:hyperlink>
        </w:p>
        <w:p w14:paraId="2D9B5A4C" w14:textId="031C24FF"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11" w:history="1">
            <w:r w:rsidRPr="00CB25A7">
              <w:rPr>
                <w:rStyle w:val="Hyperlink"/>
                <w:rFonts w:cs="Arial"/>
                <w:noProof/>
              </w:rPr>
              <w:t>OMB Compliance Requirements</w:t>
            </w:r>
            <w:r>
              <w:rPr>
                <w:noProof/>
                <w:webHidden/>
              </w:rPr>
              <w:tab/>
            </w:r>
            <w:r>
              <w:rPr>
                <w:noProof/>
                <w:webHidden/>
              </w:rPr>
              <w:fldChar w:fldCharType="begin"/>
            </w:r>
            <w:r>
              <w:rPr>
                <w:noProof/>
                <w:webHidden/>
              </w:rPr>
              <w:instrText xml:space="preserve"> PAGEREF _Toc212473111 \h </w:instrText>
            </w:r>
            <w:r>
              <w:rPr>
                <w:noProof/>
                <w:webHidden/>
              </w:rPr>
            </w:r>
            <w:r>
              <w:rPr>
                <w:noProof/>
                <w:webHidden/>
              </w:rPr>
              <w:fldChar w:fldCharType="separate"/>
            </w:r>
            <w:r w:rsidR="00FA18E3">
              <w:rPr>
                <w:noProof/>
                <w:webHidden/>
              </w:rPr>
              <w:t>37</w:t>
            </w:r>
            <w:r>
              <w:rPr>
                <w:noProof/>
                <w:webHidden/>
              </w:rPr>
              <w:fldChar w:fldCharType="end"/>
            </w:r>
          </w:hyperlink>
        </w:p>
        <w:p w14:paraId="3BE3F358" w14:textId="182C26D2"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12" w:history="1">
            <w:r w:rsidRPr="00CB25A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_Toc212473112 \h </w:instrText>
            </w:r>
            <w:r>
              <w:rPr>
                <w:noProof/>
                <w:webHidden/>
              </w:rPr>
            </w:r>
            <w:r>
              <w:rPr>
                <w:noProof/>
                <w:webHidden/>
              </w:rPr>
              <w:fldChar w:fldCharType="separate"/>
            </w:r>
            <w:r w:rsidR="00FA18E3">
              <w:rPr>
                <w:noProof/>
                <w:webHidden/>
              </w:rPr>
              <w:t>38</w:t>
            </w:r>
            <w:r>
              <w:rPr>
                <w:noProof/>
                <w:webHidden/>
              </w:rPr>
              <w:fldChar w:fldCharType="end"/>
            </w:r>
          </w:hyperlink>
        </w:p>
        <w:p w14:paraId="32FB59BA" w14:textId="5A17F39E"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13" w:history="1">
            <w:r w:rsidRPr="00CB25A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_Toc212473113 \h </w:instrText>
            </w:r>
            <w:r>
              <w:rPr>
                <w:noProof/>
                <w:webHidden/>
              </w:rPr>
            </w:r>
            <w:r>
              <w:rPr>
                <w:noProof/>
                <w:webHidden/>
              </w:rPr>
              <w:fldChar w:fldCharType="separate"/>
            </w:r>
            <w:r w:rsidR="00FA18E3">
              <w:rPr>
                <w:noProof/>
                <w:webHidden/>
              </w:rPr>
              <w:t>38</w:t>
            </w:r>
            <w:r>
              <w:rPr>
                <w:noProof/>
                <w:webHidden/>
              </w:rPr>
              <w:fldChar w:fldCharType="end"/>
            </w:r>
          </w:hyperlink>
        </w:p>
        <w:p w14:paraId="6FADF77B" w14:textId="1980FF17"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14" w:history="1">
            <w:r w:rsidRPr="00CB25A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_Toc212473114 \h </w:instrText>
            </w:r>
            <w:r>
              <w:rPr>
                <w:noProof/>
                <w:webHidden/>
              </w:rPr>
            </w:r>
            <w:r>
              <w:rPr>
                <w:noProof/>
                <w:webHidden/>
              </w:rPr>
              <w:fldChar w:fldCharType="separate"/>
            </w:r>
            <w:r w:rsidR="00FA18E3">
              <w:rPr>
                <w:noProof/>
                <w:webHidden/>
              </w:rPr>
              <w:t>39</w:t>
            </w:r>
            <w:r>
              <w:rPr>
                <w:noProof/>
                <w:webHidden/>
              </w:rPr>
              <w:fldChar w:fldCharType="end"/>
            </w:r>
          </w:hyperlink>
        </w:p>
        <w:p w14:paraId="7FFC0B63" w14:textId="1238D4A6"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15" w:history="1">
            <w:r w:rsidRPr="00CB25A7">
              <w:rPr>
                <w:rStyle w:val="Hyperlink"/>
                <w:rFonts w:cs="Arial"/>
                <w:noProof/>
              </w:rPr>
              <w:t>Audit Implications Summary</w:t>
            </w:r>
            <w:r>
              <w:rPr>
                <w:noProof/>
                <w:webHidden/>
              </w:rPr>
              <w:tab/>
            </w:r>
            <w:r>
              <w:rPr>
                <w:noProof/>
                <w:webHidden/>
              </w:rPr>
              <w:fldChar w:fldCharType="begin"/>
            </w:r>
            <w:r>
              <w:rPr>
                <w:noProof/>
                <w:webHidden/>
              </w:rPr>
              <w:instrText xml:space="preserve"> PAGEREF _Toc212473115 \h </w:instrText>
            </w:r>
            <w:r>
              <w:rPr>
                <w:noProof/>
                <w:webHidden/>
              </w:rPr>
            </w:r>
            <w:r>
              <w:rPr>
                <w:noProof/>
                <w:webHidden/>
              </w:rPr>
              <w:fldChar w:fldCharType="separate"/>
            </w:r>
            <w:r w:rsidR="00FA18E3">
              <w:rPr>
                <w:noProof/>
                <w:webHidden/>
              </w:rPr>
              <w:t>41</w:t>
            </w:r>
            <w:r>
              <w:rPr>
                <w:noProof/>
                <w:webHidden/>
              </w:rPr>
              <w:fldChar w:fldCharType="end"/>
            </w:r>
          </w:hyperlink>
        </w:p>
        <w:p w14:paraId="034DCFC7" w14:textId="5106F4F5" w:rsidR="00D34A79" w:rsidRDefault="00D34A79">
          <w:pPr>
            <w:pStyle w:val="TOC2"/>
            <w:rPr>
              <w:rFonts w:asciiTheme="minorHAnsi" w:eastAsiaTheme="minorEastAsia" w:hAnsiTheme="minorHAnsi" w:cstheme="minorBidi"/>
              <w:bCs w:val="0"/>
              <w:kern w:val="2"/>
              <w:sz w:val="24"/>
              <w14:ligatures w14:val="standardContextual"/>
            </w:rPr>
          </w:pPr>
          <w:hyperlink w:anchor="_Toc212473116" w:history="1">
            <w:r w:rsidRPr="00CB25A7">
              <w:rPr>
                <w:rStyle w:val="Hyperlink"/>
              </w:rPr>
              <w:t>I.  PROCUREMENT AND SUSPENSION AND DEBARMENT</w:t>
            </w:r>
            <w:r>
              <w:rPr>
                <w:webHidden/>
              </w:rPr>
              <w:tab/>
            </w:r>
            <w:r>
              <w:rPr>
                <w:webHidden/>
              </w:rPr>
              <w:fldChar w:fldCharType="begin"/>
            </w:r>
            <w:r>
              <w:rPr>
                <w:webHidden/>
              </w:rPr>
              <w:instrText xml:space="preserve"> PAGEREF _Toc212473116 \h </w:instrText>
            </w:r>
            <w:r>
              <w:rPr>
                <w:webHidden/>
              </w:rPr>
            </w:r>
            <w:r>
              <w:rPr>
                <w:webHidden/>
              </w:rPr>
              <w:fldChar w:fldCharType="separate"/>
            </w:r>
            <w:r w:rsidR="00FA18E3">
              <w:rPr>
                <w:webHidden/>
              </w:rPr>
              <w:t>43</w:t>
            </w:r>
            <w:r>
              <w:rPr>
                <w:webHidden/>
              </w:rPr>
              <w:fldChar w:fldCharType="end"/>
            </w:r>
          </w:hyperlink>
        </w:p>
        <w:p w14:paraId="5B28ADAE" w14:textId="63CFD0D0"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17" w:history="1">
            <w:r w:rsidRPr="00CB25A7">
              <w:rPr>
                <w:rStyle w:val="Hyperlink"/>
                <w:rFonts w:cs="Arial"/>
                <w:noProof/>
              </w:rPr>
              <w:t>OMB Compliance Requirements – Procurement</w:t>
            </w:r>
            <w:r>
              <w:rPr>
                <w:noProof/>
                <w:webHidden/>
              </w:rPr>
              <w:tab/>
            </w:r>
            <w:r>
              <w:rPr>
                <w:noProof/>
                <w:webHidden/>
              </w:rPr>
              <w:fldChar w:fldCharType="begin"/>
            </w:r>
            <w:r>
              <w:rPr>
                <w:noProof/>
                <w:webHidden/>
              </w:rPr>
              <w:instrText xml:space="preserve"> PAGEREF _Toc212473117 \h </w:instrText>
            </w:r>
            <w:r>
              <w:rPr>
                <w:noProof/>
                <w:webHidden/>
              </w:rPr>
            </w:r>
            <w:r>
              <w:rPr>
                <w:noProof/>
                <w:webHidden/>
              </w:rPr>
              <w:fldChar w:fldCharType="separate"/>
            </w:r>
            <w:r w:rsidR="00FA18E3">
              <w:rPr>
                <w:noProof/>
                <w:webHidden/>
              </w:rPr>
              <w:t>43</w:t>
            </w:r>
            <w:r>
              <w:rPr>
                <w:noProof/>
                <w:webHidden/>
              </w:rPr>
              <w:fldChar w:fldCharType="end"/>
            </w:r>
          </w:hyperlink>
        </w:p>
        <w:p w14:paraId="429BC262" w14:textId="79B4C320"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18" w:history="1">
            <w:r w:rsidRPr="00CB25A7">
              <w:rPr>
                <w:rStyle w:val="Hyperlink"/>
                <w:rFonts w:cs="Arial"/>
                <w:noProof/>
              </w:rPr>
              <w:t>OMB Compliance Requirements – Suspension and Debarment</w:t>
            </w:r>
            <w:r>
              <w:rPr>
                <w:noProof/>
                <w:webHidden/>
              </w:rPr>
              <w:tab/>
            </w:r>
            <w:r>
              <w:rPr>
                <w:noProof/>
                <w:webHidden/>
              </w:rPr>
              <w:fldChar w:fldCharType="begin"/>
            </w:r>
            <w:r>
              <w:rPr>
                <w:noProof/>
                <w:webHidden/>
              </w:rPr>
              <w:instrText xml:space="preserve"> PAGEREF _Toc212473118 \h </w:instrText>
            </w:r>
            <w:r>
              <w:rPr>
                <w:noProof/>
                <w:webHidden/>
              </w:rPr>
            </w:r>
            <w:r>
              <w:rPr>
                <w:noProof/>
                <w:webHidden/>
              </w:rPr>
              <w:fldChar w:fldCharType="separate"/>
            </w:r>
            <w:r w:rsidR="00FA18E3">
              <w:rPr>
                <w:noProof/>
                <w:webHidden/>
              </w:rPr>
              <w:t>45</w:t>
            </w:r>
            <w:r>
              <w:rPr>
                <w:noProof/>
                <w:webHidden/>
              </w:rPr>
              <w:fldChar w:fldCharType="end"/>
            </w:r>
          </w:hyperlink>
        </w:p>
        <w:p w14:paraId="6C7CEFBB" w14:textId="2F487E25"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19" w:history="1">
            <w:r w:rsidRPr="00CB25A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_Toc212473119 \h </w:instrText>
            </w:r>
            <w:r>
              <w:rPr>
                <w:noProof/>
                <w:webHidden/>
              </w:rPr>
            </w:r>
            <w:r>
              <w:rPr>
                <w:noProof/>
                <w:webHidden/>
              </w:rPr>
              <w:fldChar w:fldCharType="separate"/>
            </w:r>
            <w:r w:rsidR="00FA18E3">
              <w:rPr>
                <w:noProof/>
                <w:webHidden/>
              </w:rPr>
              <w:t>46</w:t>
            </w:r>
            <w:r>
              <w:rPr>
                <w:noProof/>
                <w:webHidden/>
              </w:rPr>
              <w:fldChar w:fldCharType="end"/>
            </w:r>
          </w:hyperlink>
        </w:p>
        <w:p w14:paraId="1005D9BD" w14:textId="2CB65659"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20" w:history="1">
            <w:r w:rsidRPr="00CB25A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_Toc212473120 \h </w:instrText>
            </w:r>
            <w:r>
              <w:rPr>
                <w:noProof/>
                <w:webHidden/>
              </w:rPr>
            </w:r>
            <w:r>
              <w:rPr>
                <w:noProof/>
                <w:webHidden/>
              </w:rPr>
              <w:fldChar w:fldCharType="separate"/>
            </w:r>
            <w:r w:rsidR="00FA18E3">
              <w:rPr>
                <w:noProof/>
                <w:webHidden/>
              </w:rPr>
              <w:t>46</w:t>
            </w:r>
            <w:r>
              <w:rPr>
                <w:noProof/>
                <w:webHidden/>
              </w:rPr>
              <w:fldChar w:fldCharType="end"/>
            </w:r>
          </w:hyperlink>
        </w:p>
        <w:p w14:paraId="4B7EE46D" w14:textId="54273CC3"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21" w:history="1">
            <w:r w:rsidRPr="00CB25A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_Toc212473121 \h </w:instrText>
            </w:r>
            <w:r>
              <w:rPr>
                <w:noProof/>
                <w:webHidden/>
              </w:rPr>
            </w:r>
            <w:r>
              <w:rPr>
                <w:noProof/>
                <w:webHidden/>
              </w:rPr>
              <w:fldChar w:fldCharType="separate"/>
            </w:r>
            <w:r w:rsidR="00FA18E3">
              <w:rPr>
                <w:noProof/>
                <w:webHidden/>
              </w:rPr>
              <w:t>48</w:t>
            </w:r>
            <w:r>
              <w:rPr>
                <w:noProof/>
                <w:webHidden/>
              </w:rPr>
              <w:fldChar w:fldCharType="end"/>
            </w:r>
          </w:hyperlink>
        </w:p>
        <w:p w14:paraId="5E0E0F59" w14:textId="47A2929F"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22" w:history="1">
            <w:r w:rsidRPr="00CB25A7">
              <w:rPr>
                <w:rStyle w:val="Hyperlink"/>
                <w:rFonts w:cs="Arial"/>
                <w:noProof/>
              </w:rPr>
              <w:t>Audit Implications Summary</w:t>
            </w:r>
            <w:r>
              <w:rPr>
                <w:noProof/>
                <w:webHidden/>
              </w:rPr>
              <w:tab/>
            </w:r>
            <w:r>
              <w:rPr>
                <w:noProof/>
                <w:webHidden/>
              </w:rPr>
              <w:fldChar w:fldCharType="begin"/>
            </w:r>
            <w:r>
              <w:rPr>
                <w:noProof/>
                <w:webHidden/>
              </w:rPr>
              <w:instrText xml:space="preserve"> PAGEREF _Toc212473122 \h </w:instrText>
            </w:r>
            <w:r>
              <w:rPr>
                <w:noProof/>
                <w:webHidden/>
              </w:rPr>
            </w:r>
            <w:r>
              <w:rPr>
                <w:noProof/>
                <w:webHidden/>
              </w:rPr>
              <w:fldChar w:fldCharType="separate"/>
            </w:r>
            <w:r w:rsidR="00FA18E3">
              <w:rPr>
                <w:noProof/>
                <w:webHidden/>
              </w:rPr>
              <w:t>50</w:t>
            </w:r>
            <w:r>
              <w:rPr>
                <w:noProof/>
                <w:webHidden/>
              </w:rPr>
              <w:fldChar w:fldCharType="end"/>
            </w:r>
          </w:hyperlink>
        </w:p>
        <w:p w14:paraId="5C6FBCCC" w14:textId="1912B1A9" w:rsidR="00D34A79" w:rsidRDefault="00D34A79">
          <w:pPr>
            <w:pStyle w:val="TOC2"/>
            <w:rPr>
              <w:rFonts w:asciiTheme="minorHAnsi" w:eastAsiaTheme="minorEastAsia" w:hAnsiTheme="minorHAnsi" w:cstheme="minorBidi"/>
              <w:bCs w:val="0"/>
              <w:kern w:val="2"/>
              <w:sz w:val="24"/>
              <w14:ligatures w14:val="standardContextual"/>
            </w:rPr>
          </w:pPr>
          <w:hyperlink w:anchor="_Toc212473123" w:history="1">
            <w:r w:rsidRPr="00CB25A7">
              <w:rPr>
                <w:rStyle w:val="Hyperlink"/>
              </w:rPr>
              <w:t>N1.  SPECIAL TESTS AND PROVISIONS – WAGE RATE REQUIREMENTS</w:t>
            </w:r>
            <w:r>
              <w:rPr>
                <w:webHidden/>
              </w:rPr>
              <w:tab/>
            </w:r>
            <w:r>
              <w:rPr>
                <w:webHidden/>
              </w:rPr>
              <w:fldChar w:fldCharType="begin"/>
            </w:r>
            <w:r>
              <w:rPr>
                <w:webHidden/>
              </w:rPr>
              <w:instrText xml:space="preserve"> PAGEREF _Toc212473123 \h </w:instrText>
            </w:r>
            <w:r>
              <w:rPr>
                <w:webHidden/>
              </w:rPr>
            </w:r>
            <w:r>
              <w:rPr>
                <w:webHidden/>
              </w:rPr>
              <w:fldChar w:fldCharType="separate"/>
            </w:r>
            <w:r w:rsidR="00FA18E3">
              <w:rPr>
                <w:webHidden/>
              </w:rPr>
              <w:t>51</w:t>
            </w:r>
            <w:r>
              <w:rPr>
                <w:webHidden/>
              </w:rPr>
              <w:fldChar w:fldCharType="end"/>
            </w:r>
          </w:hyperlink>
        </w:p>
        <w:p w14:paraId="45AAB46D" w14:textId="0C492152"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24" w:history="1">
            <w:r w:rsidRPr="00CB25A7">
              <w:rPr>
                <w:rStyle w:val="Hyperlink"/>
                <w:rFonts w:cs="Arial"/>
                <w:noProof/>
              </w:rPr>
              <w:t>OMB Compliance Requirements</w:t>
            </w:r>
            <w:r>
              <w:rPr>
                <w:noProof/>
                <w:webHidden/>
              </w:rPr>
              <w:tab/>
            </w:r>
            <w:r>
              <w:rPr>
                <w:noProof/>
                <w:webHidden/>
              </w:rPr>
              <w:fldChar w:fldCharType="begin"/>
            </w:r>
            <w:r>
              <w:rPr>
                <w:noProof/>
                <w:webHidden/>
              </w:rPr>
              <w:instrText xml:space="preserve"> PAGEREF _Toc212473124 \h </w:instrText>
            </w:r>
            <w:r>
              <w:rPr>
                <w:noProof/>
                <w:webHidden/>
              </w:rPr>
            </w:r>
            <w:r>
              <w:rPr>
                <w:noProof/>
                <w:webHidden/>
              </w:rPr>
              <w:fldChar w:fldCharType="separate"/>
            </w:r>
            <w:r w:rsidR="00FA18E3">
              <w:rPr>
                <w:noProof/>
                <w:webHidden/>
              </w:rPr>
              <w:t>51</w:t>
            </w:r>
            <w:r>
              <w:rPr>
                <w:noProof/>
                <w:webHidden/>
              </w:rPr>
              <w:fldChar w:fldCharType="end"/>
            </w:r>
          </w:hyperlink>
        </w:p>
        <w:p w14:paraId="40D89D07" w14:textId="011BF938"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25" w:history="1">
            <w:r w:rsidRPr="00CB25A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_Toc212473125 \h </w:instrText>
            </w:r>
            <w:r>
              <w:rPr>
                <w:noProof/>
                <w:webHidden/>
              </w:rPr>
            </w:r>
            <w:r>
              <w:rPr>
                <w:noProof/>
                <w:webHidden/>
              </w:rPr>
              <w:fldChar w:fldCharType="separate"/>
            </w:r>
            <w:r w:rsidR="00FA18E3">
              <w:rPr>
                <w:noProof/>
                <w:webHidden/>
              </w:rPr>
              <w:t>52</w:t>
            </w:r>
            <w:r>
              <w:rPr>
                <w:noProof/>
                <w:webHidden/>
              </w:rPr>
              <w:fldChar w:fldCharType="end"/>
            </w:r>
          </w:hyperlink>
        </w:p>
        <w:p w14:paraId="510CF0CE" w14:textId="2E504979"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26" w:history="1">
            <w:r w:rsidRPr="00CB25A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_Toc212473126 \h </w:instrText>
            </w:r>
            <w:r>
              <w:rPr>
                <w:noProof/>
                <w:webHidden/>
              </w:rPr>
            </w:r>
            <w:r>
              <w:rPr>
                <w:noProof/>
                <w:webHidden/>
              </w:rPr>
              <w:fldChar w:fldCharType="separate"/>
            </w:r>
            <w:r w:rsidR="00FA18E3">
              <w:rPr>
                <w:noProof/>
                <w:webHidden/>
              </w:rPr>
              <w:t>52</w:t>
            </w:r>
            <w:r>
              <w:rPr>
                <w:noProof/>
                <w:webHidden/>
              </w:rPr>
              <w:fldChar w:fldCharType="end"/>
            </w:r>
          </w:hyperlink>
        </w:p>
        <w:p w14:paraId="787EF1D0" w14:textId="6F26BFFD"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27" w:history="1">
            <w:r w:rsidRPr="00CB25A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_Toc212473127 \h </w:instrText>
            </w:r>
            <w:r>
              <w:rPr>
                <w:noProof/>
                <w:webHidden/>
              </w:rPr>
            </w:r>
            <w:r>
              <w:rPr>
                <w:noProof/>
                <w:webHidden/>
              </w:rPr>
              <w:fldChar w:fldCharType="separate"/>
            </w:r>
            <w:r w:rsidR="00FA18E3">
              <w:rPr>
                <w:noProof/>
                <w:webHidden/>
              </w:rPr>
              <w:t>53</w:t>
            </w:r>
            <w:r>
              <w:rPr>
                <w:noProof/>
                <w:webHidden/>
              </w:rPr>
              <w:fldChar w:fldCharType="end"/>
            </w:r>
          </w:hyperlink>
        </w:p>
        <w:p w14:paraId="390FB6BE" w14:textId="48D5086B"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28" w:history="1">
            <w:r w:rsidRPr="00CB25A7">
              <w:rPr>
                <w:rStyle w:val="Hyperlink"/>
                <w:rFonts w:cs="Arial"/>
                <w:noProof/>
              </w:rPr>
              <w:t>Audit Implications Summary</w:t>
            </w:r>
            <w:r>
              <w:rPr>
                <w:noProof/>
                <w:webHidden/>
              </w:rPr>
              <w:tab/>
            </w:r>
            <w:r>
              <w:rPr>
                <w:noProof/>
                <w:webHidden/>
              </w:rPr>
              <w:fldChar w:fldCharType="begin"/>
            </w:r>
            <w:r>
              <w:rPr>
                <w:noProof/>
                <w:webHidden/>
              </w:rPr>
              <w:instrText xml:space="preserve"> PAGEREF _Toc212473128 \h </w:instrText>
            </w:r>
            <w:r>
              <w:rPr>
                <w:noProof/>
                <w:webHidden/>
              </w:rPr>
            </w:r>
            <w:r>
              <w:rPr>
                <w:noProof/>
                <w:webHidden/>
              </w:rPr>
              <w:fldChar w:fldCharType="separate"/>
            </w:r>
            <w:r w:rsidR="00FA18E3">
              <w:rPr>
                <w:noProof/>
                <w:webHidden/>
              </w:rPr>
              <w:t>53</w:t>
            </w:r>
            <w:r>
              <w:rPr>
                <w:noProof/>
                <w:webHidden/>
              </w:rPr>
              <w:fldChar w:fldCharType="end"/>
            </w:r>
          </w:hyperlink>
        </w:p>
        <w:p w14:paraId="2AE26C5E" w14:textId="6C4CB717" w:rsidR="00D34A79" w:rsidRDefault="00D34A79">
          <w:pPr>
            <w:pStyle w:val="TOC2"/>
            <w:rPr>
              <w:rFonts w:asciiTheme="minorHAnsi" w:eastAsiaTheme="minorEastAsia" w:hAnsiTheme="minorHAnsi" w:cstheme="minorBidi"/>
              <w:bCs w:val="0"/>
              <w:kern w:val="2"/>
              <w:sz w:val="24"/>
              <w14:ligatures w14:val="standardContextual"/>
            </w:rPr>
          </w:pPr>
          <w:hyperlink w:anchor="_Toc212473129" w:history="1">
            <w:r w:rsidRPr="00CB25A7">
              <w:rPr>
                <w:rStyle w:val="Hyperlink"/>
              </w:rPr>
              <w:t>N2.  SPECIAL TESTS AND PROVISIONS – PUBLIC HOUSING WAITING LIST</w:t>
            </w:r>
            <w:r>
              <w:rPr>
                <w:webHidden/>
              </w:rPr>
              <w:tab/>
            </w:r>
            <w:r>
              <w:rPr>
                <w:webHidden/>
              </w:rPr>
              <w:fldChar w:fldCharType="begin"/>
            </w:r>
            <w:r>
              <w:rPr>
                <w:webHidden/>
              </w:rPr>
              <w:instrText xml:space="preserve"> PAGEREF _Toc212473129 \h </w:instrText>
            </w:r>
            <w:r>
              <w:rPr>
                <w:webHidden/>
              </w:rPr>
            </w:r>
            <w:r>
              <w:rPr>
                <w:webHidden/>
              </w:rPr>
              <w:fldChar w:fldCharType="separate"/>
            </w:r>
            <w:r w:rsidR="00FA18E3">
              <w:rPr>
                <w:webHidden/>
              </w:rPr>
              <w:t>55</w:t>
            </w:r>
            <w:r>
              <w:rPr>
                <w:webHidden/>
              </w:rPr>
              <w:fldChar w:fldCharType="end"/>
            </w:r>
          </w:hyperlink>
        </w:p>
        <w:p w14:paraId="4B6427B7" w14:textId="3F8F0FC6"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30" w:history="1">
            <w:r w:rsidRPr="00CB25A7">
              <w:rPr>
                <w:rStyle w:val="Hyperlink"/>
                <w:rFonts w:cs="Arial"/>
                <w:noProof/>
              </w:rPr>
              <w:t>OMB Compliance Requirements</w:t>
            </w:r>
            <w:r>
              <w:rPr>
                <w:noProof/>
                <w:webHidden/>
              </w:rPr>
              <w:tab/>
            </w:r>
            <w:r>
              <w:rPr>
                <w:noProof/>
                <w:webHidden/>
              </w:rPr>
              <w:fldChar w:fldCharType="begin"/>
            </w:r>
            <w:r>
              <w:rPr>
                <w:noProof/>
                <w:webHidden/>
              </w:rPr>
              <w:instrText xml:space="preserve"> PAGEREF _Toc212473130 \h </w:instrText>
            </w:r>
            <w:r>
              <w:rPr>
                <w:noProof/>
                <w:webHidden/>
              </w:rPr>
            </w:r>
            <w:r>
              <w:rPr>
                <w:noProof/>
                <w:webHidden/>
              </w:rPr>
              <w:fldChar w:fldCharType="separate"/>
            </w:r>
            <w:r w:rsidR="00FA18E3">
              <w:rPr>
                <w:noProof/>
                <w:webHidden/>
              </w:rPr>
              <w:t>55</w:t>
            </w:r>
            <w:r>
              <w:rPr>
                <w:noProof/>
                <w:webHidden/>
              </w:rPr>
              <w:fldChar w:fldCharType="end"/>
            </w:r>
          </w:hyperlink>
        </w:p>
        <w:p w14:paraId="5C5481F4" w14:textId="6644E026"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31" w:history="1">
            <w:r w:rsidRPr="00CB25A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_Toc212473131 \h </w:instrText>
            </w:r>
            <w:r>
              <w:rPr>
                <w:noProof/>
                <w:webHidden/>
              </w:rPr>
            </w:r>
            <w:r>
              <w:rPr>
                <w:noProof/>
                <w:webHidden/>
              </w:rPr>
              <w:fldChar w:fldCharType="separate"/>
            </w:r>
            <w:r w:rsidR="00FA18E3">
              <w:rPr>
                <w:noProof/>
                <w:webHidden/>
              </w:rPr>
              <w:t>55</w:t>
            </w:r>
            <w:r>
              <w:rPr>
                <w:noProof/>
                <w:webHidden/>
              </w:rPr>
              <w:fldChar w:fldCharType="end"/>
            </w:r>
          </w:hyperlink>
        </w:p>
        <w:p w14:paraId="310A4BC0" w14:textId="059AF7B5"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32" w:history="1">
            <w:r w:rsidRPr="00CB25A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_Toc212473132 \h </w:instrText>
            </w:r>
            <w:r>
              <w:rPr>
                <w:noProof/>
                <w:webHidden/>
              </w:rPr>
            </w:r>
            <w:r>
              <w:rPr>
                <w:noProof/>
                <w:webHidden/>
              </w:rPr>
              <w:fldChar w:fldCharType="separate"/>
            </w:r>
            <w:r w:rsidR="00FA18E3">
              <w:rPr>
                <w:noProof/>
                <w:webHidden/>
              </w:rPr>
              <w:t>55</w:t>
            </w:r>
            <w:r>
              <w:rPr>
                <w:noProof/>
                <w:webHidden/>
              </w:rPr>
              <w:fldChar w:fldCharType="end"/>
            </w:r>
          </w:hyperlink>
        </w:p>
        <w:p w14:paraId="7308E3FB" w14:textId="0665A074"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33" w:history="1">
            <w:r w:rsidRPr="00CB25A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_Toc212473133 \h </w:instrText>
            </w:r>
            <w:r>
              <w:rPr>
                <w:noProof/>
                <w:webHidden/>
              </w:rPr>
            </w:r>
            <w:r>
              <w:rPr>
                <w:noProof/>
                <w:webHidden/>
              </w:rPr>
              <w:fldChar w:fldCharType="separate"/>
            </w:r>
            <w:r w:rsidR="00FA18E3">
              <w:rPr>
                <w:noProof/>
                <w:webHidden/>
              </w:rPr>
              <w:t>56</w:t>
            </w:r>
            <w:r>
              <w:rPr>
                <w:noProof/>
                <w:webHidden/>
              </w:rPr>
              <w:fldChar w:fldCharType="end"/>
            </w:r>
          </w:hyperlink>
        </w:p>
        <w:p w14:paraId="371F0F37" w14:textId="744E5404"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34" w:history="1">
            <w:r w:rsidRPr="00CB25A7">
              <w:rPr>
                <w:rStyle w:val="Hyperlink"/>
                <w:rFonts w:cs="Arial"/>
                <w:noProof/>
              </w:rPr>
              <w:t>Audit Implications Summary</w:t>
            </w:r>
            <w:r>
              <w:rPr>
                <w:noProof/>
                <w:webHidden/>
              </w:rPr>
              <w:tab/>
            </w:r>
            <w:r>
              <w:rPr>
                <w:noProof/>
                <w:webHidden/>
              </w:rPr>
              <w:fldChar w:fldCharType="begin"/>
            </w:r>
            <w:r>
              <w:rPr>
                <w:noProof/>
                <w:webHidden/>
              </w:rPr>
              <w:instrText xml:space="preserve"> PAGEREF _Toc212473134 \h </w:instrText>
            </w:r>
            <w:r>
              <w:rPr>
                <w:noProof/>
                <w:webHidden/>
              </w:rPr>
            </w:r>
            <w:r>
              <w:rPr>
                <w:noProof/>
                <w:webHidden/>
              </w:rPr>
              <w:fldChar w:fldCharType="separate"/>
            </w:r>
            <w:r w:rsidR="00FA18E3">
              <w:rPr>
                <w:noProof/>
                <w:webHidden/>
              </w:rPr>
              <w:t>57</w:t>
            </w:r>
            <w:r>
              <w:rPr>
                <w:noProof/>
                <w:webHidden/>
              </w:rPr>
              <w:fldChar w:fldCharType="end"/>
            </w:r>
          </w:hyperlink>
        </w:p>
        <w:p w14:paraId="3D9794B6" w14:textId="499C837A" w:rsidR="00D34A79" w:rsidRDefault="00D34A79">
          <w:pPr>
            <w:pStyle w:val="TOC2"/>
            <w:rPr>
              <w:rFonts w:asciiTheme="minorHAnsi" w:eastAsiaTheme="minorEastAsia" w:hAnsiTheme="minorHAnsi" w:cstheme="minorBidi"/>
              <w:bCs w:val="0"/>
              <w:kern w:val="2"/>
              <w:sz w:val="24"/>
              <w14:ligatures w14:val="standardContextual"/>
            </w:rPr>
          </w:pPr>
          <w:hyperlink w:anchor="_Toc212473135" w:history="1">
            <w:r w:rsidRPr="00CB25A7">
              <w:rPr>
                <w:rStyle w:val="Hyperlink"/>
              </w:rPr>
              <w:t>N3.  SPECIAL TESTS AND PROVISIONS – TENANT PARTICIPATION FUNDS</w:t>
            </w:r>
            <w:r>
              <w:rPr>
                <w:webHidden/>
              </w:rPr>
              <w:tab/>
            </w:r>
            <w:r>
              <w:rPr>
                <w:webHidden/>
              </w:rPr>
              <w:fldChar w:fldCharType="begin"/>
            </w:r>
            <w:r>
              <w:rPr>
                <w:webHidden/>
              </w:rPr>
              <w:instrText xml:space="preserve"> PAGEREF _Toc212473135 \h </w:instrText>
            </w:r>
            <w:r>
              <w:rPr>
                <w:webHidden/>
              </w:rPr>
            </w:r>
            <w:r>
              <w:rPr>
                <w:webHidden/>
              </w:rPr>
              <w:fldChar w:fldCharType="separate"/>
            </w:r>
            <w:r w:rsidR="00FA18E3">
              <w:rPr>
                <w:webHidden/>
              </w:rPr>
              <w:t>58</w:t>
            </w:r>
            <w:r>
              <w:rPr>
                <w:webHidden/>
              </w:rPr>
              <w:fldChar w:fldCharType="end"/>
            </w:r>
          </w:hyperlink>
        </w:p>
        <w:p w14:paraId="7B30DAE3" w14:textId="31A820A1"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36" w:history="1">
            <w:r w:rsidRPr="00CB25A7">
              <w:rPr>
                <w:rStyle w:val="Hyperlink"/>
                <w:rFonts w:cs="Arial"/>
                <w:noProof/>
              </w:rPr>
              <w:t>OMB Compliance Requirements</w:t>
            </w:r>
            <w:r>
              <w:rPr>
                <w:noProof/>
                <w:webHidden/>
              </w:rPr>
              <w:tab/>
            </w:r>
            <w:r>
              <w:rPr>
                <w:noProof/>
                <w:webHidden/>
              </w:rPr>
              <w:fldChar w:fldCharType="begin"/>
            </w:r>
            <w:r>
              <w:rPr>
                <w:noProof/>
                <w:webHidden/>
              </w:rPr>
              <w:instrText xml:space="preserve"> PAGEREF _Toc212473136 \h </w:instrText>
            </w:r>
            <w:r>
              <w:rPr>
                <w:noProof/>
                <w:webHidden/>
              </w:rPr>
            </w:r>
            <w:r>
              <w:rPr>
                <w:noProof/>
                <w:webHidden/>
              </w:rPr>
              <w:fldChar w:fldCharType="separate"/>
            </w:r>
            <w:r w:rsidR="00FA18E3">
              <w:rPr>
                <w:noProof/>
                <w:webHidden/>
              </w:rPr>
              <w:t>58</w:t>
            </w:r>
            <w:r>
              <w:rPr>
                <w:noProof/>
                <w:webHidden/>
              </w:rPr>
              <w:fldChar w:fldCharType="end"/>
            </w:r>
          </w:hyperlink>
        </w:p>
        <w:p w14:paraId="1C4A2F54" w14:textId="6785AB68"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37" w:history="1">
            <w:r w:rsidRPr="00CB25A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_Toc212473137 \h </w:instrText>
            </w:r>
            <w:r>
              <w:rPr>
                <w:noProof/>
                <w:webHidden/>
              </w:rPr>
            </w:r>
            <w:r>
              <w:rPr>
                <w:noProof/>
                <w:webHidden/>
              </w:rPr>
              <w:fldChar w:fldCharType="separate"/>
            </w:r>
            <w:r w:rsidR="00FA18E3">
              <w:rPr>
                <w:noProof/>
                <w:webHidden/>
              </w:rPr>
              <w:t>58</w:t>
            </w:r>
            <w:r>
              <w:rPr>
                <w:noProof/>
                <w:webHidden/>
              </w:rPr>
              <w:fldChar w:fldCharType="end"/>
            </w:r>
          </w:hyperlink>
        </w:p>
        <w:p w14:paraId="65065C8A" w14:textId="47E8AD5A"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38" w:history="1">
            <w:r w:rsidRPr="00CB25A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_Toc212473138 \h </w:instrText>
            </w:r>
            <w:r>
              <w:rPr>
                <w:noProof/>
                <w:webHidden/>
              </w:rPr>
            </w:r>
            <w:r>
              <w:rPr>
                <w:noProof/>
                <w:webHidden/>
              </w:rPr>
              <w:fldChar w:fldCharType="separate"/>
            </w:r>
            <w:r w:rsidR="00FA18E3">
              <w:rPr>
                <w:noProof/>
                <w:webHidden/>
              </w:rPr>
              <w:t>59</w:t>
            </w:r>
            <w:r>
              <w:rPr>
                <w:noProof/>
                <w:webHidden/>
              </w:rPr>
              <w:fldChar w:fldCharType="end"/>
            </w:r>
          </w:hyperlink>
        </w:p>
        <w:p w14:paraId="40190EB9" w14:textId="2B6BB212"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39" w:history="1">
            <w:r w:rsidRPr="00CB25A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_Toc212473139 \h </w:instrText>
            </w:r>
            <w:r>
              <w:rPr>
                <w:noProof/>
                <w:webHidden/>
              </w:rPr>
            </w:r>
            <w:r>
              <w:rPr>
                <w:noProof/>
                <w:webHidden/>
              </w:rPr>
              <w:fldChar w:fldCharType="separate"/>
            </w:r>
            <w:r w:rsidR="00FA18E3">
              <w:rPr>
                <w:noProof/>
                <w:webHidden/>
              </w:rPr>
              <w:t>59</w:t>
            </w:r>
            <w:r>
              <w:rPr>
                <w:noProof/>
                <w:webHidden/>
              </w:rPr>
              <w:fldChar w:fldCharType="end"/>
            </w:r>
          </w:hyperlink>
        </w:p>
        <w:p w14:paraId="1C569AF6" w14:textId="1C02B16A"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40" w:history="1">
            <w:r w:rsidRPr="00CB25A7">
              <w:rPr>
                <w:rStyle w:val="Hyperlink"/>
                <w:rFonts w:cs="Arial"/>
                <w:noProof/>
              </w:rPr>
              <w:t>Audit Implications Summary</w:t>
            </w:r>
            <w:r>
              <w:rPr>
                <w:noProof/>
                <w:webHidden/>
              </w:rPr>
              <w:tab/>
            </w:r>
            <w:r>
              <w:rPr>
                <w:noProof/>
                <w:webHidden/>
              </w:rPr>
              <w:fldChar w:fldCharType="begin"/>
            </w:r>
            <w:r>
              <w:rPr>
                <w:noProof/>
                <w:webHidden/>
              </w:rPr>
              <w:instrText xml:space="preserve"> PAGEREF _Toc212473140 \h </w:instrText>
            </w:r>
            <w:r>
              <w:rPr>
                <w:noProof/>
                <w:webHidden/>
              </w:rPr>
            </w:r>
            <w:r>
              <w:rPr>
                <w:noProof/>
                <w:webHidden/>
              </w:rPr>
              <w:fldChar w:fldCharType="separate"/>
            </w:r>
            <w:r w:rsidR="00FA18E3">
              <w:rPr>
                <w:noProof/>
                <w:webHidden/>
              </w:rPr>
              <w:t>60</w:t>
            </w:r>
            <w:r>
              <w:rPr>
                <w:noProof/>
                <w:webHidden/>
              </w:rPr>
              <w:fldChar w:fldCharType="end"/>
            </w:r>
          </w:hyperlink>
        </w:p>
        <w:p w14:paraId="41839B58" w14:textId="3E200A8F" w:rsidR="00D34A79" w:rsidRDefault="00D34A79">
          <w:pPr>
            <w:pStyle w:val="TOC2"/>
            <w:rPr>
              <w:rFonts w:asciiTheme="minorHAnsi" w:eastAsiaTheme="minorEastAsia" w:hAnsiTheme="minorHAnsi" w:cstheme="minorBidi"/>
              <w:bCs w:val="0"/>
              <w:kern w:val="2"/>
              <w:sz w:val="24"/>
              <w14:ligatures w14:val="standardContextual"/>
            </w:rPr>
          </w:pPr>
          <w:hyperlink w:anchor="_Toc212473141" w:history="1">
            <w:r w:rsidRPr="00CB25A7">
              <w:rPr>
                <w:rStyle w:val="Hyperlink"/>
              </w:rPr>
              <w:t>N4.  SPECIAL TESTS AND PROVISIONS – PROJECT-BASED BUDGETING AND ACCOUNTING</w:t>
            </w:r>
            <w:r>
              <w:rPr>
                <w:webHidden/>
              </w:rPr>
              <w:tab/>
            </w:r>
            <w:r>
              <w:rPr>
                <w:webHidden/>
              </w:rPr>
              <w:fldChar w:fldCharType="begin"/>
            </w:r>
            <w:r>
              <w:rPr>
                <w:webHidden/>
              </w:rPr>
              <w:instrText xml:space="preserve"> PAGEREF _Toc212473141 \h </w:instrText>
            </w:r>
            <w:r>
              <w:rPr>
                <w:webHidden/>
              </w:rPr>
            </w:r>
            <w:r>
              <w:rPr>
                <w:webHidden/>
              </w:rPr>
              <w:fldChar w:fldCharType="separate"/>
            </w:r>
            <w:r w:rsidR="00FA18E3">
              <w:rPr>
                <w:webHidden/>
              </w:rPr>
              <w:t>61</w:t>
            </w:r>
            <w:r>
              <w:rPr>
                <w:webHidden/>
              </w:rPr>
              <w:fldChar w:fldCharType="end"/>
            </w:r>
          </w:hyperlink>
        </w:p>
        <w:p w14:paraId="70EB5FD9" w14:textId="7F474A00"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42" w:history="1">
            <w:r w:rsidRPr="00CB25A7">
              <w:rPr>
                <w:rStyle w:val="Hyperlink"/>
                <w:rFonts w:cs="Arial"/>
                <w:noProof/>
              </w:rPr>
              <w:t>OMB Compliance Requirements</w:t>
            </w:r>
            <w:r>
              <w:rPr>
                <w:noProof/>
                <w:webHidden/>
              </w:rPr>
              <w:tab/>
            </w:r>
            <w:r>
              <w:rPr>
                <w:noProof/>
                <w:webHidden/>
              </w:rPr>
              <w:fldChar w:fldCharType="begin"/>
            </w:r>
            <w:r>
              <w:rPr>
                <w:noProof/>
                <w:webHidden/>
              </w:rPr>
              <w:instrText xml:space="preserve"> PAGEREF _Toc212473142 \h </w:instrText>
            </w:r>
            <w:r>
              <w:rPr>
                <w:noProof/>
                <w:webHidden/>
              </w:rPr>
            </w:r>
            <w:r>
              <w:rPr>
                <w:noProof/>
                <w:webHidden/>
              </w:rPr>
              <w:fldChar w:fldCharType="separate"/>
            </w:r>
            <w:r w:rsidR="00FA18E3">
              <w:rPr>
                <w:noProof/>
                <w:webHidden/>
              </w:rPr>
              <w:t>61</w:t>
            </w:r>
            <w:r>
              <w:rPr>
                <w:noProof/>
                <w:webHidden/>
              </w:rPr>
              <w:fldChar w:fldCharType="end"/>
            </w:r>
          </w:hyperlink>
        </w:p>
        <w:p w14:paraId="10C902B8" w14:textId="38B8D0EC"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43" w:history="1">
            <w:r w:rsidRPr="00CB25A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_Toc212473143 \h </w:instrText>
            </w:r>
            <w:r>
              <w:rPr>
                <w:noProof/>
                <w:webHidden/>
              </w:rPr>
            </w:r>
            <w:r>
              <w:rPr>
                <w:noProof/>
                <w:webHidden/>
              </w:rPr>
              <w:fldChar w:fldCharType="separate"/>
            </w:r>
            <w:r w:rsidR="00FA18E3">
              <w:rPr>
                <w:noProof/>
                <w:webHidden/>
              </w:rPr>
              <w:t>61</w:t>
            </w:r>
            <w:r>
              <w:rPr>
                <w:noProof/>
                <w:webHidden/>
              </w:rPr>
              <w:fldChar w:fldCharType="end"/>
            </w:r>
          </w:hyperlink>
        </w:p>
        <w:p w14:paraId="0A79FC21" w14:textId="073F1B81"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44" w:history="1">
            <w:r w:rsidRPr="00CB25A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_Toc212473144 \h </w:instrText>
            </w:r>
            <w:r>
              <w:rPr>
                <w:noProof/>
                <w:webHidden/>
              </w:rPr>
            </w:r>
            <w:r>
              <w:rPr>
                <w:noProof/>
                <w:webHidden/>
              </w:rPr>
              <w:fldChar w:fldCharType="separate"/>
            </w:r>
            <w:r w:rsidR="00FA18E3">
              <w:rPr>
                <w:noProof/>
                <w:webHidden/>
              </w:rPr>
              <w:t>62</w:t>
            </w:r>
            <w:r>
              <w:rPr>
                <w:noProof/>
                <w:webHidden/>
              </w:rPr>
              <w:fldChar w:fldCharType="end"/>
            </w:r>
          </w:hyperlink>
        </w:p>
        <w:p w14:paraId="04CA22B5" w14:textId="24E2AAB3"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45" w:history="1">
            <w:r w:rsidRPr="00CB25A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_Toc212473145 \h </w:instrText>
            </w:r>
            <w:r>
              <w:rPr>
                <w:noProof/>
                <w:webHidden/>
              </w:rPr>
            </w:r>
            <w:r>
              <w:rPr>
                <w:noProof/>
                <w:webHidden/>
              </w:rPr>
              <w:fldChar w:fldCharType="separate"/>
            </w:r>
            <w:r w:rsidR="00FA18E3">
              <w:rPr>
                <w:noProof/>
                <w:webHidden/>
              </w:rPr>
              <w:t>63</w:t>
            </w:r>
            <w:r>
              <w:rPr>
                <w:noProof/>
                <w:webHidden/>
              </w:rPr>
              <w:fldChar w:fldCharType="end"/>
            </w:r>
          </w:hyperlink>
        </w:p>
        <w:p w14:paraId="59A22D61" w14:textId="309C0E5B"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46" w:history="1">
            <w:r w:rsidRPr="00CB25A7">
              <w:rPr>
                <w:rStyle w:val="Hyperlink"/>
                <w:rFonts w:cs="Arial"/>
                <w:noProof/>
              </w:rPr>
              <w:t>Audit Implications Summary</w:t>
            </w:r>
            <w:r>
              <w:rPr>
                <w:noProof/>
                <w:webHidden/>
              </w:rPr>
              <w:tab/>
            </w:r>
            <w:r>
              <w:rPr>
                <w:noProof/>
                <w:webHidden/>
              </w:rPr>
              <w:fldChar w:fldCharType="begin"/>
            </w:r>
            <w:r>
              <w:rPr>
                <w:noProof/>
                <w:webHidden/>
              </w:rPr>
              <w:instrText xml:space="preserve"> PAGEREF _Toc212473146 \h </w:instrText>
            </w:r>
            <w:r>
              <w:rPr>
                <w:noProof/>
                <w:webHidden/>
              </w:rPr>
            </w:r>
            <w:r>
              <w:rPr>
                <w:noProof/>
                <w:webHidden/>
              </w:rPr>
              <w:fldChar w:fldCharType="separate"/>
            </w:r>
            <w:r w:rsidR="00FA18E3">
              <w:rPr>
                <w:noProof/>
                <w:webHidden/>
              </w:rPr>
              <w:t>63</w:t>
            </w:r>
            <w:r>
              <w:rPr>
                <w:noProof/>
                <w:webHidden/>
              </w:rPr>
              <w:fldChar w:fldCharType="end"/>
            </w:r>
          </w:hyperlink>
        </w:p>
        <w:p w14:paraId="3DB3C1D9" w14:textId="2A6E15A2" w:rsidR="00D34A79" w:rsidRDefault="00D34A79">
          <w:pPr>
            <w:pStyle w:val="TOC2"/>
            <w:rPr>
              <w:rFonts w:asciiTheme="minorHAnsi" w:eastAsiaTheme="minorEastAsia" w:hAnsiTheme="minorHAnsi" w:cstheme="minorBidi"/>
              <w:bCs w:val="0"/>
              <w:kern w:val="2"/>
              <w:sz w:val="24"/>
              <w14:ligatures w14:val="standardContextual"/>
            </w:rPr>
          </w:pPr>
          <w:hyperlink w:anchor="_Toc212473147" w:history="1">
            <w:r w:rsidRPr="00CB25A7">
              <w:rPr>
                <w:rStyle w:val="Hyperlink"/>
              </w:rPr>
              <w:t>N5.  SPECIAL TESTS AND PROVISIONS – BALANCE SHEET ALLOCATIONS</w:t>
            </w:r>
            <w:r>
              <w:rPr>
                <w:webHidden/>
              </w:rPr>
              <w:tab/>
            </w:r>
            <w:r>
              <w:rPr>
                <w:webHidden/>
              </w:rPr>
              <w:fldChar w:fldCharType="begin"/>
            </w:r>
            <w:r>
              <w:rPr>
                <w:webHidden/>
              </w:rPr>
              <w:instrText xml:space="preserve"> PAGEREF _Toc212473147 \h </w:instrText>
            </w:r>
            <w:r>
              <w:rPr>
                <w:webHidden/>
              </w:rPr>
            </w:r>
            <w:r>
              <w:rPr>
                <w:webHidden/>
              </w:rPr>
              <w:fldChar w:fldCharType="separate"/>
            </w:r>
            <w:r w:rsidR="00FA18E3">
              <w:rPr>
                <w:webHidden/>
              </w:rPr>
              <w:t>65</w:t>
            </w:r>
            <w:r>
              <w:rPr>
                <w:webHidden/>
              </w:rPr>
              <w:fldChar w:fldCharType="end"/>
            </w:r>
          </w:hyperlink>
        </w:p>
        <w:p w14:paraId="342072FB" w14:textId="1D5FD419"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48" w:history="1">
            <w:r w:rsidRPr="00CB25A7">
              <w:rPr>
                <w:rStyle w:val="Hyperlink"/>
                <w:rFonts w:cs="Arial"/>
                <w:noProof/>
              </w:rPr>
              <w:t>OMB Compliance Requirements</w:t>
            </w:r>
            <w:r>
              <w:rPr>
                <w:noProof/>
                <w:webHidden/>
              </w:rPr>
              <w:tab/>
            </w:r>
            <w:r>
              <w:rPr>
                <w:noProof/>
                <w:webHidden/>
              </w:rPr>
              <w:fldChar w:fldCharType="begin"/>
            </w:r>
            <w:r>
              <w:rPr>
                <w:noProof/>
                <w:webHidden/>
              </w:rPr>
              <w:instrText xml:space="preserve"> PAGEREF _Toc212473148 \h </w:instrText>
            </w:r>
            <w:r>
              <w:rPr>
                <w:noProof/>
                <w:webHidden/>
              </w:rPr>
            </w:r>
            <w:r>
              <w:rPr>
                <w:noProof/>
                <w:webHidden/>
              </w:rPr>
              <w:fldChar w:fldCharType="separate"/>
            </w:r>
            <w:r w:rsidR="00FA18E3">
              <w:rPr>
                <w:noProof/>
                <w:webHidden/>
              </w:rPr>
              <w:t>65</w:t>
            </w:r>
            <w:r>
              <w:rPr>
                <w:noProof/>
                <w:webHidden/>
              </w:rPr>
              <w:fldChar w:fldCharType="end"/>
            </w:r>
          </w:hyperlink>
        </w:p>
        <w:p w14:paraId="5BE7D628" w14:textId="2B9F4F89"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49" w:history="1">
            <w:r w:rsidRPr="00CB25A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_Toc212473149 \h </w:instrText>
            </w:r>
            <w:r>
              <w:rPr>
                <w:noProof/>
                <w:webHidden/>
              </w:rPr>
            </w:r>
            <w:r>
              <w:rPr>
                <w:noProof/>
                <w:webHidden/>
              </w:rPr>
              <w:fldChar w:fldCharType="separate"/>
            </w:r>
            <w:r w:rsidR="00FA18E3">
              <w:rPr>
                <w:noProof/>
                <w:webHidden/>
              </w:rPr>
              <w:t>65</w:t>
            </w:r>
            <w:r>
              <w:rPr>
                <w:noProof/>
                <w:webHidden/>
              </w:rPr>
              <w:fldChar w:fldCharType="end"/>
            </w:r>
          </w:hyperlink>
        </w:p>
        <w:p w14:paraId="680FA79A" w14:textId="23EEC037"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50" w:history="1">
            <w:r w:rsidRPr="00CB25A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_Toc212473150 \h </w:instrText>
            </w:r>
            <w:r>
              <w:rPr>
                <w:noProof/>
                <w:webHidden/>
              </w:rPr>
            </w:r>
            <w:r>
              <w:rPr>
                <w:noProof/>
                <w:webHidden/>
              </w:rPr>
              <w:fldChar w:fldCharType="separate"/>
            </w:r>
            <w:r w:rsidR="00FA18E3">
              <w:rPr>
                <w:noProof/>
                <w:webHidden/>
              </w:rPr>
              <w:t>66</w:t>
            </w:r>
            <w:r>
              <w:rPr>
                <w:noProof/>
                <w:webHidden/>
              </w:rPr>
              <w:fldChar w:fldCharType="end"/>
            </w:r>
          </w:hyperlink>
        </w:p>
        <w:p w14:paraId="3B9DAE70" w14:textId="76E8E71F"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51" w:history="1">
            <w:r w:rsidRPr="00CB25A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_Toc212473151 \h </w:instrText>
            </w:r>
            <w:r>
              <w:rPr>
                <w:noProof/>
                <w:webHidden/>
              </w:rPr>
            </w:r>
            <w:r>
              <w:rPr>
                <w:noProof/>
                <w:webHidden/>
              </w:rPr>
              <w:fldChar w:fldCharType="separate"/>
            </w:r>
            <w:r w:rsidR="00FA18E3">
              <w:rPr>
                <w:noProof/>
                <w:webHidden/>
              </w:rPr>
              <w:t>66</w:t>
            </w:r>
            <w:r>
              <w:rPr>
                <w:noProof/>
                <w:webHidden/>
              </w:rPr>
              <w:fldChar w:fldCharType="end"/>
            </w:r>
          </w:hyperlink>
        </w:p>
        <w:p w14:paraId="2B39E351" w14:textId="791E3BFA"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52" w:history="1">
            <w:r w:rsidRPr="00CB25A7">
              <w:rPr>
                <w:rStyle w:val="Hyperlink"/>
                <w:rFonts w:cs="Arial"/>
                <w:noProof/>
              </w:rPr>
              <w:t>Audit Implications Summary</w:t>
            </w:r>
            <w:r>
              <w:rPr>
                <w:noProof/>
                <w:webHidden/>
              </w:rPr>
              <w:tab/>
            </w:r>
            <w:r>
              <w:rPr>
                <w:noProof/>
                <w:webHidden/>
              </w:rPr>
              <w:fldChar w:fldCharType="begin"/>
            </w:r>
            <w:r>
              <w:rPr>
                <w:noProof/>
                <w:webHidden/>
              </w:rPr>
              <w:instrText xml:space="preserve"> PAGEREF _Toc212473152 \h </w:instrText>
            </w:r>
            <w:r>
              <w:rPr>
                <w:noProof/>
                <w:webHidden/>
              </w:rPr>
            </w:r>
            <w:r>
              <w:rPr>
                <w:noProof/>
                <w:webHidden/>
              </w:rPr>
              <w:fldChar w:fldCharType="separate"/>
            </w:r>
            <w:r w:rsidR="00FA18E3">
              <w:rPr>
                <w:noProof/>
                <w:webHidden/>
              </w:rPr>
              <w:t>67</w:t>
            </w:r>
            <w:r>
              <w:rPr>
                <w:noProof/>
                <w:webHidden/>
              </w:rPr>
              <w:fldChar w:fldCharType="end"/>
            </w:r>
          </w:hyperlink>
        </w:p>
        <w:p w14:paraId="66D27217" w14:textId="7C1507B4" w:rsidR="00D34A79" w:rsidRDefault="00D34A79">
          <w:pPr>
            <w:pStyle w:val="TOC2"/>
            <w:rPr>
              <w:rFonts w:asciiTheme="minorHAnsi" w:eastAsiaTheme="minorEastAsia" w:hAnsiTheme="minorHAnsi" w:cstheme="minorBidi"/>
              <w:bCs w:val="0"/>
              <w:kern w:val="2"/>
              <w:sz w:val="24"/>
              <w14:ligatures w14:val="standardContextual"/>
            </w:rPr>
          </w:pPr>
          <w:hyperlink w:anchor="_Toc212473153" w:history="1">
            <w:r w:rsidRPr="00CB25A7">
              <w:rPr>
                <w:rStyle w:val="Hyperlink"/>
              </w:rPr>
              <w:t>N6.  SPECIAL TESTS AND PROVISIONS – FEES CHARGED FOR CENTRALIZED SERVICES</w:t>
            </w:r>
            <w:r>
              <w:rPr>
                <w:webHidden/>
              </w:rPr>
              <w:tab/>
            </w:r>
            <w:r>
              <w:rPr>
                <w:webHidden/>
              </w:rPr>
              <w:fldChar w:fldCharType="begin"/>
            </w:r>
            <w:r>
              <w:rPr>
                <w:webHidden/>
              </w:rPr>
              <w:instrText xml:space="preserve"> PAGEREF _Toc212473153 \h </w:instrText>
            </w:r>
            <w:r>
              <w:rPr>
                <w:webHidden/>
              </w:rPr>
            </w:r>
            <w:r>
              <w:rPr>
                <w:webHidden/>
              </w:rPr>
              <w:fldChar w:fldCharType="separate"/>
            </w:r>
            <w:r w:rsidR="00FA18E3">
              <w:rPr>
                <w:webHidden/>
              </w:rPr>
              <w:t>68</w:t>
            </w:r>
            <w:r>
              <w:rPr>
                <w:webHidden/>
              </w:rPr>
              <w:fldChar w:fldCharType="end"/>
            </w:r>
          </w:hyperlink>
        </w:p>
        <w:p w14:paraId="326FCA20" w14:textId="0CD38198"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54" w:history="1">
            <w:r w:rsidRPr="00CB25A7">
              <w:rPr>
                <w:rStyle w:val="Hyperlink"/>
                <w:rFonts w:cs="Arial"/>
                <w:noProof/>
              </w:rPr>
              <w:t>OMB Compliance Requirements</w:t>
            </w:r>
            <w:r>
              <w:rPr>
                <w:noProof/>
                <w:webHidden/>
              </w:rPr>
              <w:tab/>
            </w:r>
            <w:r>
              <w:rPr>
                <w:noProof/>
                <w:webHidden/>
              </w:rPr>
              <w:fldChar w:fldCharType="begin"/>
            </w:r>
            <w:r>
              <w:rPr>
                <w:noProof/>
                <w:webHidden/>
              </w:rPr>
              <w:instrText xml:space="preserve"> PAGEREF _Toc212473154 \h </w:instrText>
            </w:r>
            <w:r>
              <w:rPr>
                <w:noProof/>
                <w:webHidden/>
              </w:rPr>
            </w:r>
            <w:r>
              <w:rPr>
                <w:noProof/>
                <w:webHidden/>
              </w:rPr>
              <w:fldChar w:fldCharType="separate"/>
            </w:r>
            <w:r w:rsidR="00FA18E3">
              <w:rPr>
                <w:noProof/>
                <w:webHidden/>
              </w:rPr>
              <w:t>68</w:t>
            </w:r>
            <w:r>
              <w:rPr>
                <w:noProof/>
                <w:webHidden/>
              </w:rPr>
              <w:fldChar w:fldCharType="end"/>
            </w:r>
          </w:hyperlink>
        </w:p>
        <w:p w14:paraId="05AA0B70" w14:textId="20BD4F1D"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55" w:history="1">
            <w:r w:rsidRPr="00CB25A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_Toc212473155 \h </w:instrText>
            </w:r>
            <w:r>
              <w:rPr>
                <w:noProof/>
                <w:webHidden/>
              </w:rPr>
            </w:r>
            <w:r>
              <w:rPr>
                <w:noProof/>
                <w:webHidden/>
              </w:rPr>
              <w:fldChar w:fldCharType="separate"/>
            </w:r>
            <w:r w:rsidR="00FA18E3">
              <w:rPr>
                <w:noProof/>
                <w:webHidden/>
              </w:rPr>
              <w:t>68</w:t>
            </w:r>
            <w:r>
              <w:rPr>
                <w:noProof/>
                <w:webHidden/>
              </w:rPr>
              <w:fldChar w:fldCharType="end"/>
            </w:r>
          </w:hyperlink>
        </w:p>
        <w:p w14:paraId="67858B0C" w14:textId="02009EDE"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56" w:history="1">
            <w:r w:rsidRPr="00CB25A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_Toc212473156 \h </w:instrText>
            </w:r>
            <w:r>
              <w:rPr>
                <w:noProof/>
                <w:webHidden/>
              </w:rPr>
            </w:r>
            <w:r>
              <w:rPr>
                <w:noProof/>
                <w:webHidden/>
              </w:rPr>
              <w:fldChar w:fldCharType="separate"/>
            </w:r>
            <w:r w:rsidR="00FA18E3">
              <w:rPr>
                <w:noProof/>
                <w:webHidden/>
              </w:rPr>
              <w:t>69</w:t>
            </w:r>
            <w:r>
              <w:rPr>
                <w:noProof/>
                <w:webHidden/>
              </w:rPr>
              <w:fldChar w:fldCharType="end"/>
            </w:r>
          </w:hyperlink>
        </w:p>
        <w:p w14:paraId="09343084" w14:textId="68C3EADF"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57" w:history="1">
            <w:r w:rsidRPr="00CB25A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_Toc212473157 \h </w:instrText>
            </w:r>
            <w:r>
              <w:rPr>
                <w:noProof/>
                <w:webHidden/>
              </w:rPr>
            </w:r>
            <w:r>
              <w:rPr>
                <w:noProof/>
                <w:webHidden/>
              </w:rPr>
              <w:fldChar w:fldCharType="separate"/>
            </w:r>
            <w:r w:rsidR="00FA18E3">
              <w:rPr>
                <w:noProof/>
                <w:webHidden/>
              </w:rPr>
              <w:t>69</w:t>
            </w:r>
            <w:r>
              <w:rPr>
                <w:noProof/>
                <w:webHidden/>
              </w:rPr>
              <w:fldChar w:fldCharType="end"/>
            </w:r>
          </w:hyperlink>
        </w:p>
        <w:p w14:paraId="3235F3AC" w14:textId="15394562"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58" w:history="1">
            <w:r w:rsidRPr="00CB25A7">
              <w:rPr>
                <w:rStyle w:val="Hyperlink"/>
                <w:rFonts w:cs="Arial"/>
                <w:noProof/>
              </w:rPr>
              <w:t>Audit Implications Summary</w:t>
            </w:r>
            <w:r>
              <w:rPr>
                <w:noProof/>
                <w:webHidden/>
              </w:rPr>
              <w:tab/>
            </w:r>
            <w:r>
              <w:rPr>
                <w:noProof/>
                <w:webHidden/>
              </w:rPr>
              <w:fldChar w:fldCharType="begin"/>
            </w:r>
            <w:r>
              <w:rPr>
                <w:noProof/>
                <w:webHidden/>
              </w:rPr>
              <w:instrText xml:space="preserve"> PAGEREF _Toc212473158 \h </w:instrText>
            </w:r>
            <w:r>
              <w:rPr>
                <w:noProof/>
                <w:webHidden/>
              </w:rPr>
            </w:r>
            <w:r>
              <w:rPr>
                <w:noProof/>
                <w:webHidden/>
              </w:rPr>
              <w:fldChar w:fldCharType="separate"/>
            </w:r>
            <w:r w:rsidR="00FA18E3">
              <w:rPr>
                <w:noProof/>
                <w:webHidden/>
              </w:rPr>
              <w:t>70</w:t>
            </w:r>
            <w:r>
              <w:rPr>
                <w:noProof/>
                <w:webHidden/>
              </w:rPr>
              <w:fldChar w:fldCharType="end"/>
            </w:r>
          </w:hyperlink>
        </w:p>
        <w:p w14:paraId="5AD1DE68" w14:textId="40BB9E72" w:rsidR="00D34A79" w:rsidRDefault="00D34A79">
          <w:pPr>
            <w:pStyle w:val="TOC2"/>
            <w:rPr>
              <w:rFonts w:asciiTheme="minorHAnsi" w:eastAsiaTheme="minorEastAsia" w:hAnsiTheme="minorHAnsi" w:cstheme="minorBidi"/>
              <w:bCs w:val="0"/>
              <w:kern w:val="2"/>
              <w:sz w:val="24"/>
              <w14:ligatures w14:val="standardContextual"/>
            </w:rPr>
          </w:pPr>
          <w:hyperlink w:anchor="_Toc212473159" w:history="1">
            <w:r w:rsidRPr="00CB25A7">
              <w:rPr>
                <w:rStyle w:val="Hyperlink"/>
              </w:rPr>
              <w:t>N7.  SPECIAL TESTS AND PROVISIONS – PRORATING FRONT-LINE CENTRALIZED SERVICES</w:t>
            </w:r>
            <w:r>
              <w:rPr>
                <w:webHidden/>
              </w:rPr>
              <w:tab/>
            </w:r>
            <w:r>
              <w:rPr>
                <w:webHidden/>
              </w:rPr>
              <w:fldChar w:fldCharType="begin"/>
            </w:r>
            <w:r>
              <w:rPr>
                <w:webHidden/>
              </w:rPr>
              <w:instrText xml:space="preserve"> PAGEREF _Toc212473159 \h </w:instrText>
            </w:r>
            <w:r>
              <w:rPr>
                <w:webHidden/>
              </w:rPr>
            </w:r>
            <w:r>
              <w:rPr>
                <w:webHidden/>
              </w:rPr>
              <w:fldChar w:fldCharType="separate"/>
            </w:r>
            <w:r w:rsidR="00FA18E3">
              <w:rPr>
                <w:webHidden/>
              </w:rPr>
              <w:t>71</w:t>
            </w:r>
            <w:r>
              <w:rPr>
                <w:webHidden/>
              </w:rPr>
              <w:fldChar w:fldCharType="end"/>
            </w:r>
          </w:hyperlink>
        </w:p>
        <w:p w14:paraId="404E1C37" w14:textId="1B252EE7"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60" w:history="1">
            <w:r w:rsidRPr="00CB25A7">
              <w:rPr>
                <w:rStyle w:val="Hyperlink"/>
                <w:rFonts w:cs="Arial"/>
                <w:noProof/>
              </w:rPr>
              <w:t>OMB Compliance Requirements</w:t>
            </w:r>
            <w:r>
              <w:rPr>
                <w:noProof/>
                <w:webHidden/>
              </w:rPr>
              <w:tab/>
            </w:r>
            <w:r>
              <w:rPr>
                <w:noProof/>
                <w:webHidden/>
              </w:rPr>
              <w:fldChar w:fldCharType="begin"/>
            </w:r>
            <w:r>
              <w:rPr>
                <w:noProof/>
                <w:webHidden/>
              </w:rPr>
              <w:instrText xml:space="preserve"> PAGEREF _Toc212473160 \h </w:instrText>
            </w:r>
            <w:r>
              <w:rPr>
                <w:noProof/>
                <w:webHidden/>
              </w:rPr>
            </w:r>
            <w:r>
              <w:rPr>
                <w:noProof/>
                <w:webHidden/>
              </w:rPr>
              <w:fldChar w:fldCharType="separate"/>
            </w:r>
            <w:r w:rsidR="00FA18E3">
              <w:rPr>
                <w:noProof/>
                <w:webHidden/>
              </w:rPr>
              <w:t>71</w:t>
            </w:r>
            <w:r>
              <w:rPr>
                <w:noProof/>
                <w:webHidden/>
              </w:rPr>
              <w:fldChar w:fldCharType="end"/>
            </w:r>
          </w:hyperlink>
        </w:p>
        <w:p w14:paraId="0F9D3B0E" w14:textId="58497468"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61" w:history="1">
            <w:r w:rsidRPr="00CB25A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_Toc212473161 \h </w:instrText>
            </w:r>
            <w:r>
              <w:rPr>
                <w:noProof/>
                <w:webHidden/>
              </w:rPr>
            </w:r>
            <w:r>
              <w:rPr>
                <w:noProof/>
                <w:webHidden/>
              </w:rPr>
              <w:fldChar w:fldCharType="separate"/>
            </w:r>
            <w:r w:rsidR="00FA18E3">
              <w:rPr>
                <w:noProof/>
                <w:webHidden/>
              </w:rPr>
              <w:t>71</w:t>
            </w:r>
            <w:r>
              <w:rPr>
                <w:noProof/>
                <w:webHidden/>
              </w:rPr>
              <w:fldChar w:fldCharType="end"/>
            </w:r>
          </w:hyperlink>
        </w:p>
        <w:p w14:paraId="1DEF5018" w14:textId="268894EF"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62" w:history="1">
            <w:r w:rsidRPr="00CB25A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_Toc212473162 \h </w:instrText>
            </w:r>
            <w:r>
              <w:rPr>
                <w:noProof/>
                <w:webHidden/>
              </w:rPr>
            </w:r>
            <w:r>
              <w:rPr>
                <w:noProof/>
                <w:webHidden/>
              </w:rPr>
              <w:fldChar w:fldCharType="separate"/>
            </w:r>
            <w:r w:rsidR="00FA18E3">
              <w:rPr>
                <w:noProof/>
                <w:webHidden/>
              </w:rPr>
              <w:t>72</w:t>
            </w:r>
            <w:r>
              <w:rPr>
                <w:noProof/>
                <w:webHidden/>
              </w:rPr>
              <w:fldChar w:fldCharType="end"/>
            </w:r>
          </w:hyperlink>
        </w:p>
        <w:p w14:paraId="00E0718E" w14:textId="1BB7609C"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63" w:history="1">
            <w:r w:rsidRPr="00CB25A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_Toc212473163 \h </w:instrText>
            </w:r>
            <w:r>
              <w:rPr>
                <w:noProof/>
                <w:webHidden/>
              </w:rPr>
            </w:r>
            <w:r>
              <w:rPr>
                <w:noProof/>
                <w:webHidden/>
              </w:rPr>
              <w:fldChar w:fldCharType="separate"/>
            </w:r>
            <w:r w:rsidR="00FA18E3">
              <w:rPr>
                <w:noProof/>
                <w:webHidden/>
              </w:rPr>
              <w:t>72</w:t>
            </w:r>
            <w:r>
              <w:rPr>
                <w:noProof/>
                <w:webHidden/>
              </w:rPr>
              <w:fldChar w:fldCharType="end"/>
            </w:r>
          </w:hyperlink>
        </w:p>
        <w:p w14:paraId="3D70F6FA" w14:textId="6F917130"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64" w:history="1">
            <w:r w:rsidRPr="00CB25A7">
              <w:rPr>
                <w:rStyle w:val="Hyperlink"/>
                <w:rFonts w:cs="Arial"/>
                <w:noProof/>
              </w:rPr>
              <w:t>Audit Implications Summary</w:t>
            </w:r>
            <w:r>
              <w:rPr>
                <w:noProof/>
                <w:webHidden/>
              </w:rPr>
              <w:tab/>
            </w:r>
            <w:r>
              <w:rPr>
                <w:noProof/>
                <w:webHidden/>
              </w:rPr>
              <w:fldChar w:fldCharType="begin"/>
            </w:r>
            <w:r>
              <w:rPr>
                <w:noProof/>
                <w:webHidden/>
              </w:rPr>
              <w:instrText xml:space="preserve"> PAGEREF _Toc212473164 \h </w:instrText>
            </w:r>
            <w:r>
              <w:rPr>
                <w:noProof/>
                <w:webHidden/>
              </w:rPr>
            </w:r>
            <w:r>
              <w:rPr>
                <w:noProof/>
                <w:webHidden/>
              </w:rPr>
              <w:fldChar w:fldCharType="separate"/>
            </w:r>
            <w:r w:rsidR="00FA18E3">
              <w:rPr>
                <w:noProof/>
                <w:webHidden/>
              </w:rPr>
              <w:t>73</w:t>
            </w:r>
            <w:r>
              <w:rPr>
                <w:noProof/>
                <w:webHidden/>
              </w:rPr>
              <w:fldChar w:fldCharType="end"/>
            </w:r>
          </w:hyperlink>
        </w:p>
        <w:p w14:paraId="31BFBCF9" w14:textId="54A2C5F5" w:rsidR="00D34A79" w:rsidRDefault="00D34A79">
          <w:pPr>
            <w:pStyle w:val="TOC2"/>
            <w:rPr>
              <w:rFonts w:asciiTheme="minorHAnsi" w:eastAsiaTheme="minorEastAsia" w:hAnsiTheme="minorHAnsi" w:cstheme="minorBidi"/>
              <w:bCs w:val="0"/>
              <w:kern w:val="2"/>
              <w:sz w:val="24"/>
              <w14:ligatures w14:val="standardContextual"/>
            </w:rPr>
          </w:pPr>
          <w:hyperlink w:anchor="_Toc212473165" w:history="1">
            <w:r w:rsidRPr="00CB25A7">
              <w:rPr>
                <w:rStyle w:val="Hyperlink"/>
              </w:rPr>
              <w:t>N8.  SPECIAL TESTS AND PROVISIONS – ASSET MANAGEMENT FEE</w:t>
            </w:r>
            <w:r>
              <w:rPr>
                <w:webHidden/>
              </w:rPr>
              <w:tab/>
            </w:r>
            <w:r>
              <w:rPr>
                <w:webHidden/>
              </w:rPr>
              <w:fldChar w:fldCharType="begin"/>
            </w:r>
            <w:r>
              <w:rPr>
                <w:webHidden/>
              </w:rPr>
              <w:instrText xml:space="preserve"> PAGEREF _Toc212473165 \h </w:instrText>
            </w:r>
            <w:r>
              <w:rPr>
                <w:webHidden/>
              </w:rPr>
            </w:r>
            <w:r>
              <w:rPr>
                <w:webHidden/>
              </w:rPr>
              <w:fldChar w:fldCharType="separate"/>
            </w:r>
            <w:r w:rsidR="00FA18E3">
              <w:rPr>
                <w:webHidden/>
              </w:rPr>
              <w:t>74</w:t>
            </w:r>
            <w:r>
              <w:rPr>
                <w:webHidden/>
              </w:rPr>
              <w:fldChar w:fldCharType="end"/>
            </w:r>
          </w:hyperlink>
        </w:p>
        <w:p w14:paraId="23C16DD5" w14:textId="44564465"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66" w:history="1">
            <w:r w:rsidRPr="00CB25A7">
              <w:rPr>
                <w:rStyle w:val="Hyperlink"/>
                <w:rFonts w:cs="Arial"/>
                <w:noProof/>
              </w:rPr>
              <w:t>OMB Compliance Requirements</w:t>
            </w:r>
            <w:r>
              <w:rPr>
                <w:noProof/>
                <w:webHidden/>
              </w:rPr>
              <w:tab/>
            </w:r>
            <w:r>
              <w:rPr>
                <w:noProof/>
                <w:webHidden/>
              </w:rPr>
              <w:fldChar w:fldCharType="begin"/>
            </w:r>
            <w:r>
              <w:rPr>
                <w:noProof/>
                <w:webHidden/>
              </w:rPr>
              <w:instrText xml:space="preserve"> PAGEREF _Toc212473166 \h </w:instrText>
            </w:r>
            <w:r>
              <w:rPr>
                <w:noProof/>
                <w:webHidden/>
              </w:rPr>
            </w:r>
            <w:r>
              <w:rPr>
                <w:noProof/>
                <w:webHidden/>
              </w:rPr>
              <w:fldChar w:fldCharType="separate"/>
            </w:r>
            <w:r w:rsidR="00FA18E3">
              <w:rPr>
                <w:noProof/>
                <w:webHidden/>
              </w:rPr>
              <w:t>74</w:t>
            </w:r>
            <w:r>
              <w:rPr>
                <w:noProof/>
                <w:webHidden/>
              </w:rPr>
              <w:fldChar w:fldCharType="end"/>
            </w:r>
          </w:hyperlink>
        </w:p>
        <w:p w14:paraId="4E9F41E5" w14:textId="3253E55B"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67" w:history="1">
            <w:r w:rsidRPr="00CB25A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_Toc212473167 \h </w:instrText>
            </w:r>
            <w:r>
              <w:rPr>
                <w:noProof/>
                <w:webHidden/>
              </w:rPr>
            </w:r>
            <w:r>
              <w:rPr>
                <w:noProof/>
                <w:webHidden/>
              </w:rPr>
              <w:fldChar w:fldCharType="separate"/>
            </w:r>
            <w:r w:rsidR="00FA18E3">
              <w:rPr>
                <w:noProof/>
                <w:webHidden/>
              </w:rPr>
              <w:t>74</w:t>
            </w:r>
            <w:r>
              <w:rPr>
                <w:noProof/>
                <w:webHidden/>
              </w:rPr>
              <w:fldChar w:fldCharType="end"/>
            </w:r>
          </w:hyperlink>
        </w:p>
        <w:p w14:paraId="4EAFCCE6" w14:textId="6CEF44DE"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68" w:history="1">
            <w:r w:rsidRPr="00CB25A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_Toc212473168 \h </w:instrText>
            </w:r>
            <w:r>
              <w:rPr>
                <w:noProof/>
                <w:webHidden/>
              </w:rPr>
            </w:r>
            <w:r>
              <w:rPr>
                <w:noProof/>
                <w:webHidden/>
              </w:rPr>
              <w:fldChar w:fldCharType="separate"/>
            </w:r>
            <w:r w:rsidR="00FA18E3">
              <w:rPr>
                <w:noProof/>
                <w:webHidden/>
              </w:rPr>
              <w:t>75</w:t>
            </w:r>
            <w:r>
              <w:rPr>
                <w:noProof/>
                <w:webHidden/>
              </w:rPr>
              <w:fldChar w:fldCharType="end"/>
            </w:r>
          </w:hyperlink>
        </w:p>
        <w:p w14:paraId="4954842C" w14:textId="5CFFA0E4"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69" w:history="1">
            <w:r w:rsidRPr="00CB25A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_Toc212473169 \h </w:instrText>
            </w:r>
            <w:r>
              <w:rPr>
                <w:noProof/>
                <w:webHidden/>
              </w:rPr>
            </w:r>
            <w:r>
              <w:rPr>
                <w:noProof/>
                <w:webHidden/>
              </w:rPr>
              <w:fldChar w:fldCharType="separate"/>
            </w:r>
            <w:r w:rsidR="00FA18E3">
              <w:rPr>
                <w:noProof/>
                <w:webHidden/>
              </w:rPr>
              <w:t>75</w:t>
            </w:r>
            <w:r>
              <w:rPr>
                <w:noProof/>
                <w:webHidden/>
              </w:rPr>
              <w:fldChar w:fldCharType="end"/>
            </w:r>
          </w:hyperlink>
        </w:p>
        <w:p w14:paraId="4A5F660C" w14:textId="26BF90AD"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70" w:history="1">
            <w:r w:rsidRPr="00CB25A7">
              <w:rPr>
                <w:rStyle w:val="Hyperlink"/>
                <w:rFonts w:cs="Arial"/>
                <w:noProof/>
              </w:rPr>
              <w:t>Audit Implications Summary</w:t>
            </w:r>
            <w:r>
              <w:rPr>
                <w:noProof/>
                <w:webHidden/>
              </w:rPr>
              <w:tab/>
            </w:r>
            <w:r>
              <w:rPr>
                <w:noProof/>
                <w:webHidden/>
              </w:rPr>
              <w:fldChar w:fldCharType="begin"/>
            </w:r>
            <w:r>
              <w:rPr>
                <w:noProof/>
                <w:webHidden/>
              </w:rPr>
              <w:instrText xml:space="preserve"> PAGEREF _Toc212473170 \h </w:instrText>
            </w:r>
            <w:r>
              <w:rPr>
                <w:noProof/>
                <w:webHidden/>
              </w:rPr>
            </w:r>
            <w:r>
              <w:rPr>
                <w:noProof/>
                <w:webHidden/>
              </w:rPr>
              <w:fldChar w:fldCharType="separate"/>
            </w:r>
            <w:r w:rsidR="00FA18E3">
              <w:rPr>
                <w:noProof/>
                <w:webHidden/>
              </w:rPr>
              <w:t>76</w:t>
            </w:r>
            <w:r>
              <w:rPr>
                <w:noProof/>
                <w:webHidden/>
              </w:rPr>
              <w:fldChar w:fldCharType="end"/>
            </w:r>
          </w:hyperlink>
        </w:p>
        <w:p w14:paraId="48DAC0F0" w14:textId="4EB9F534" w:rsidR="00D34A79" w:rsidRDefault="00D34A79">
          <w:pPr>
            <w:pStyle w:val="TOC2"/>
            <w:rPr>
              <w:rFonts w:asciiTheme="minorHAnsi" w:eastAsiaTheme="minorEastAsia" w:hAnsiTheme="minorHAnsi" w:cstheme="minorBidi"/>
              <w:bCs w:val="0"/>
              <w:kern w:val="2"/>
              <w:sz w:val="24"/>
              <w14:ligatures w14:val="standardContextual"/>
            </w:rPr>
          </w:pPr>
          <w:hyperlink w:anchor="_Toc212473171" w:history="1">
            <w:r w:rsidRPr="00CB25A7">
              <w:rPr>
                <w:rStyle w:val="Hyperlink"/>
              </w:rPr>
              <w:t>N9.  SPECIAL TESTS AND PROVISIONS – MANAGEMENT FEES</w:t>
            </w:r>
            <w:r>
              <w:rPr>
                <w:webHidden/>
              </w:rPr>
              <w:tab/>
            </w:r>
            <w:r>
              <w:rPr>
                <w:webHidden/>
              </w:rPr>
              <w:fldChar w:fldCharType="begin"/>
            </w:r>
            <w:r>
              <w:rPr>
                <w:webHidden/>
              </w:rPr>
              <w:instrText xml:space="preserve"> PAGEREF _Toc212473171 \h </w:instrText>
            </w:r>
            <w:r>
              <w:rPr>
                <w:webHidden/>
              </w:rPr>
            </w:r>
            <w:r>
              <w:rPr>
                <w:webHidden/>
              </w:rPr>
              <w:fldChar w:fldCharType="separate"/>
            </w:r>
            <w:r w:rsidR="00FA18E3">
              <w:rPr>
                <w:webHidden/>
              </w:rPr>
              <w:t>77</w:t>
            </w:r>
            <w:r>
              <w:rPr>
                <w:webHidden/>
              </w:rPr>
              <w:fldChar w:fldCharType="end"/>
            </w:r>
          </w:hyperlink>
        </w:p>
        <w:p w14:paraId="0B288438" w14:textId="19ED3CE2"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72" w:history="1">
            <w:r w:rsidRPr="00CB25A7">
              <w:rPr>
                <w:rStyle w:val="Hyperlink"/>
                <w:rFonts w:cs="Arial"/>
                <w:noProof/>
              </w:rPr>
              <w:t>OMB Compliance Requirements</w:t>
            </w:r>
            <w:r>
              <w:rPr>
                <w:noProof/>
                <w:webHidden/>
              </w:rPr>
              <w:tab/>
            </w:r>
            <w:r>
              <w:rPr>
                <w:noProof/>
                <w:webHidden/>
              </w:rPr>
              <w:fldChar w:fldCharType="begin"/>
            </w:r>
            <w:r>
              <w:rPr>
                <w:noProof/>
                <w:webHidden/>
              </w:rPr>
              <w:instrText xml:space="preserve"> PAGEREF _Toc212473172 \h </w:instrText>
            </w:r>
            <w:r>
              <w:rPr>
                <w:noProof/>
                <w:webHidden/>
              </w:rPr>
            </w:r>
            <w:r>
              <w:rPr>
                <w:noProof/>
                <w:webHidden/>
              </w:rPr>
              <w:fldChar w:fldCharType="separate"/>
            </w:r>
            <w:r w:rsidR="00FA18E3">
              <w:rPr>
                <w:noProof/>
                <w:webHidden/>
              </w:rPr>
              <w:t>77</w:t>
            </w:r>
            <w:r>
              <w:rPr>
                <w:noProof/>
                <w:webHidden/>
              </w:rPr>
              <w:fldChar w:fldCharType="end"/>
            </w:r>
          </w:hyperlink>
        </w:p>
        <w:p w14:paraId="2C650155" w14:textId="073DC2F6"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73" w:history="1">
            <w:r w:rsidRPr="00CB25A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_Toc212473173 \h </w:instrText>
            </w:r>
            <w:r>
              <w:rPr>
                <w:noProof/>
                <w:webHidden/>
              </w:rPr>
            </w:r>
            <w:r>
              <w:rPr>
                <w:noProof/>
                <w:webHidden/>
              </w:rPr>
              <w:fldChar w:fldCharType="separate"/>
            </w:r>
            <w:r w:rsidR="00FA18E3">
              <w:rPr>
                <w:noProof/>
                <w:webHidden/>
              </w:rPr>
              <w:t>77</w:t>
            </w:r>
            <w:r>
              <w:rPr>
                <w:noProof/>
                <w:webHidden/>
              </w:rPr>
              <w:fldChar w:fldCharType="end"/>
            </w:r>
          </w:hyperlink>
        </w:p>
        <w:p w14:paraId="39F0DB11" w14:textId="6C625F29"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74" w:history="1">
            <w:r w:rsidRPr="00CB25A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_Toc212473174 \h </w:instrText>
            </w:r>
            <w:r>
              <w:rPr>
                <w:noProof/>
                <w:webHidden/>
              </w:rPr>
            </w:r>
            <w:r>
              <w:rPr>
                <w:noProof/>
                <w:webHidden/>
              </w:rPr>
              <w:fldChar w:fldCharType="separate"/>
            </w:r>
            <w:r w:rsidR="00FA18E3">
              <w:rPr>
                <w:noProof/>
                <w:webHidden/>
              </w:rPr>
              <w:t>78</w:t>
            </w:r>
            <w:r>
              <w:rPr>
                <w:noProof/>
                <w:webHidden/>
              </w:rPr>
              <w:fldChar w:fldCharType="end"/>
            </w:r>
          </w:hyperlink>
        </w:p>
        <w:p w14:paraId="6810F610" w14:textId="74DEFE16"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75" w:history="1">
            <w:r w:rsidRPr="00CB25A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_Toc212473175 \h </w:instrText>
            </w:r>
            <w:r>
              <w:rPr>
                <w:noProof/>
                <w:webHidden/>
              </w:rPr>
            </w:r>
            <w:r>
              <w:rPr>
                <w:noProof/>
                <w:webHidden/>
              </w:rPr>
              <w:fldChar w:fldCharType="separate"/>
            </w:r>
            <w:r w:rsidR="00FA18E3">
              <w:rPr>
                <w:noProof/>
                <w:webHidden/>
              </w:rPr>
              <w:t>78</w:t>
            </w:r>
            <w:r>
              <w:rPr>
                <w:noProof/>
                <w:webHidden/>
              </w:rPr>
              <w:fldChar w:fldCharType="end"/>
            </w:r>
          </w:hyperlink>
        </w:p>
        <w:p w14:paraId="6DBCAA50" w14:textId="6F027388"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76" w:history="1">
            <w:r w:rsidRPr="00CB25A7">
              <w:rPr>
                <w:rStyle w:val="Hyperlink"/>
                <w:rFonts w:cs="Arial"/>
                <w:noProof/>
              </w:rPr>
              <w:t>Audit Implications Summary</w:t>
            </w:r>
            <w:r>
              <w:rPr>
                <w:noProof/>
                <w:webHidden/>
              </w:rPr>
              <w:tab/>
            </w:r>
            <w:r>
              <w:rPr>
                <w:noProof/>
                <w:webHidden/>
              </w:rPr>
              <w:fldChar w:fldCharType="begin"/>
            </w:r>
            <w:r>
              <w:rPr>
                <w:noProof/>
                <w:webHidden/>
              </w:rPr>
              <w:instrText xml:space="preserve"> PAGEREF _Toc212473176 \h </w:instrText>
            </w:r>
            <w:r>
              <w:rPr>
                <w:noProof/>
                <w:webHidden/>
              </w:rPr>
            </w:r>
            <w:r>
              <w:rPr>
                <w:noProof/>
                <w:webHidden/>
              </w:rPr>
              <w:fldChar w:fldCharType="separate"/>
            </w:r>
            <w:r w:rsidR="00FA18E3">
              <w:rPr>
                <w:noProof/>
                <w:webHidden/>
              </w:rPr>
              <w:t>79</w:t>
            </w:r>
            <w:r>
              <w:rPr>
                <w:noProof/>
                <w:webHidden/>
              </w:rPr>
              <w:fldChar w:fldCharType="end"/>
            </w:r>
          </w:hyperlink>
        </w:p>
        <w:p w14:paraId="79DEAB7B" w14:textId="436C77A9" w:rsidR="00D34A79" w:rsidRDefault="00D34A79">
          <w:pPr>
            <w:pStyle w:val="TOC2"/>
            <w:rPr>
              <w:rFonts w:asciiTheme="minorHAnsi" w:eastAsiaTheme="minorEastAsia" w:hAnsiTheme="minorHAnsi" w:cstheme="minorBidi"/>
              <w:bCs w:val="0"/>
              <w:kern w:val="2"/>
              <w:sz w:val="24"/>
              <w14:ligatures w14:val="standardContextual"/>
            </w:rPr>
          </w:pPr>
          <w:hyperlink w:anchor="_Toc212473177" w:history="1">
            <w:r w:rsidRPr="00CB25A7">
              <w:rPr>
                <w:rStyle w:val="Hyperlink"/>
              </w:rPr>
              <w:t>N10.  SPECIAL TESTS AND PROVISIONS – ALLOCATED OVERHEAD</w:t>
            </w:r>
            <w:r>
              <w:rPr>
                <w:webHidden/>
              </w:rPr>
              <w:tab/>
            </w:r>
            <w:r>
              <w:rPr>
                <w:webHidden/>
              </w:rPr>
              <w:fldChar w:fldCharType="begin"/>
            </w:r>
            <w:r>
              <w:rPr>
                <w:webHidden/>
              </w:rPr>
              <w:instrText xml:space="preserve"> PAGEREF _Toc212473177 \h </w:instrText>
            </w:r>
            <w:r>
              <w:rPr>
                <w:webHidden/>
              </w:rPr>
            </w:r>
            <w:r>
              <w:rPr>
                <w:webHidden/>
              </w:rPr>
              <w:fldChar w:fldCharType="separate"/>
            </w:r>
            <w:r w:rsidR="00FA18E3">
              <w:rPr>
                <w:webHidden/>
              </w:rPr>
              <w:t>80</w:t>
            </w:r>
            <w:r>
              <w:rPr>
                <w:webHidden/>
              </w:rPr>
              <w:fldChar w:fldCharType="end"/>
            </w:r>
          </w:hyperlink>
        </w:p>
        <w:p w14:paraId="6E658797" w14:textId="7EAD06F7"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78" w:history="1">
            <w:r w:rsidRPr="00CB25A7">
              <w:rPr>
                <w:rStyle w:val="Hyperlink"/>
                <w:rFonts w:cs="Arial"/>
                <w:noProof/>
              </w:rPr>
              <w:t>OMB Compliance Requirements</w:t>
            </w:r>
            <w:r>
              <w:rPr>
                <w:noProof/>
                <w:webHidden/>
              </w:rPr>
              <w:tab/>
            </w:r>
            <w:r>
              <w:rPr>
                <w:noProof/>
                <w:webHidden/>
              </w:rPr>
              <w:fldChar w:fldCharType="begin"/>
            </w:r>
            <w:r>
              <w:rPr>
                <w:noProof/>
                <w:webHidden/>
              </w:rPr>
              <w:instrText xml:space="preserve"> PAGEREF _Toc212473178 \h </w:instrText>
            </w:r>
            <w:r>
              <w:rPr>
                <w:noProof/>
                <w:webHidden/>
              </w:rPr>
            </w:r>
            <w:r>
              <w:rPr>
                <w:noProof/>
                <w:webHidden/>
              </w:rPr>
              <w:fldChar w:fldCharType="separate"/>
            </w:r>
            <w:r w:rsidR="00FA18E3">
              <w:rPr>
                <w:noProof/>
                <w:webHidden/>
              </w:rPr>
              <w:t>80</w:t>
            </w:r>
            <w:r>
              <w:rPr>
                <w:noProof/>
                <w:webHidden/>
              </w:rPr>
              <w:fldChar w:fldCharType="end"/>
            </w:r>
          </w:hyperlink>
        </w:p>
        <w:p w14:paraId="480F9A13" w14:textId="62E7DF00"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79" w:history="1">
            <w:r w:rsidRPr="00CB25A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_Toc212473179 \h </w:instrText>
            </w:r>
            <w:r>
              <w:rPr>
                <w:noProof/>
                <w:webHidden/>
              </w:rPr>
            </w:r>
            <w:r>
              <w:rPr>
                <w:noProof/>
                <w:webHidden/>
              </w:rPr>
              <w:fldChar w:fldCharType="separate"/>
            </w:r>
            <w:r w:rsidR="00FA18E3">
              <w:rPr>
                <w:noProof/>
                <w:webHidden/>
              </w:rPr>
              <w:t>80</w:t>
            </w:r>
            <w:r>
              <w:rPr>
                <w:noProof/>
                <w:webHidden/>
              </w:rPr>
              <w:fldChar w:fldCharType="end"/>
            </w:r>
          </w:hyperlink>
        </w:p>
        <w:p w14:paraId="1996AC3D" w14:textId="61A4B95D"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80" w:history="1">
            <w:r w:rsidRPr="00CB25A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_Toc212473180 \h </w:instrText>
            </w:r>
            <w:r>
              <w:rPr>
                <w:noProof/>
                <w:webHidden/>
              </w:rPr>
            </w:r>
            <w:r>
              <w:rPr>
                <w:noProof/>
                <w:webHidden/>
              </w:rPr>
              <w:fldChar w:fldCharType="separate"/>
            </w:r>
            <w:r w:rsidR="00FA18E3">
              <w:rPr>
                <w:noProof/>
                <w:webHidden/>
              </w:rPr>
              <w:t>81</w:t>
            </w:r>
            <w:r>
              <w:rPr>
                <w:noProof/>
                <w:webHidden/>
              </w:rPr>
              <w:fldChar w:fldCharType="end"/>
            </w:r>
          </w:hyperlink>
        </w:p>
        <w:p w14:paraId="445A51C3" w14:textId="05225200"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81" w:history="1">
            <w:r w:rsidRPr="00CB25A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_Toc212473181 \h </w:instrText>
            </w:r>
            <w:r>
              <w:rPr>
                <w:noProof/>
                <w:webHidden/>
              </w:rPr>
            </w:r>
            <w:r>
              <w:rPr>
                <w:noProof/>
                <w:webHidden/>
              </w:rPr>
              <w:fldChar w:fldCharType="separate"/>
            </w:r>
            <w:r w:rsidR="00FA18E3">
              <w:rPr>
                <w:noProof/>
                <w:webHidden/>
              </w:rPr>
              <w:t>81</w:t>
            </w:r>
            <w:r>
              <w:rPr>
                <w:noProof/>
                <w:webHidden/>
              </w:rPr>
              <w:fldChar w:fldCharType="end"/>
            </w:r>
          </w:hyperlink>
        </w:p>
        <w:p w14:paraId="57FF891E" w14:textId="5D362928"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82" w:history="1">
            <w:r w:rsidRPr="00CB25A7">
              <w:rPr>
                <w:rStyle w:val="Hyperlink"/>
                <w:rFonts w:cs="Arial"/>
                <w:noProof/>
              </w:rPr>
              <w:t>Audit Implications Summary</w:t>
            </w:r>
            <w:r>
              <w:rPr>
                <w:noProof/>
                <w:webHidden/>
              </w:rPr>
              <w:tab/>
            </w:r>
            <w:r>
              <w:rPr>
                <w:noProof/>
                <w:webHidden/>
              </w:rPr>
              <w:fldChar w:fldCharType="begin"/>
            </w:r>
            <w:r>
              <w:rPr>
                <w:noProof/>
                <w:webHidden/>
              </w:rPr>
              <w:instrText xml:space="preserve"> PAGEREF _Toc212473182 \h </w:instrText>
            </w:r>
            <w:r>
              <w:rPr>
                <w:noProof/>
                <w:webHidden/>
              </w:rPr>
            </w:r>
            <w:r>
              <w:rPr>
                <w:noProof/>
                <w:webHidden/>
              </w:rPr>
              <w:fldChar w:fldCharType="separate"/>
            </w:r>
            <w:r w:rsidR="00FA18E3">
              <w:rPr>
                <w:noProof/>
                <w:webHidden/>
              </w:rPr>
              <w:t>82</w:t>
            </w:r>
            <w:r>
              <w:rPr>
                <w:noProof/>
                <w:webHidden/>
              </w:rPr>
              <w:fldChar w:fldCharType="end"/>
            </w:r>
          </w:hyperlink>
        </w:p>
        <w:p w14:paraId="013C3798" w14:textId="72DFB56A" w:rsidR="00D34A79" w:rsidRDefault="00D34A79">
          <w:pPr>
            <w:pStyle w:val="TOC2"/>
            <w:rPr>
              <w:rFonts w:asciiTheme="minorHAnsi" w:eastAsiaTheme="minorEastAsia" w:hAnsiTheme="minorHAnsi" w:cstheme="minorBidi"/>
              <w:bCs w:val="0"/>
              <w:kern w:val="2"/>
              <w:sz w:val="24"/>
              <w14:ligatures w14:val="standardContextual"/>
            </w:rPr>
          </w:pPr>
          <w:hyperlink w:anchor="_Toc212473183" w:history="1">
            <w:r w:rsidRPr="00CB25A7">
              <w:rPr>
                <w:rStyle w:val="Hyperlink"/>
              </w:rPr>
              <w:t>N11.  SPECIAL TESTS AND PROVISIONS – FUNDING CENTRAL OFFICE WITH CAPITAL FUND PROGRAM FUNDS</w:t>
            </w:r>
            <w:r>
              <w:rPr>
                <w:webHidden/>
              </w:rPr>
              <w:tab/>
            </w:r>
            <w:r>
              <w:rPr>
                <w:webHidden/>
              </w:rPr>
              <w:fldChar w:fldCharType="begin"/>
            </w:r>
            <w:r>
              <w:rPr>
                <w:webHidden/>
              </w:rPr>
              <w:instrText xml:space="preserve"> PAGEREF _Toc212473183 \h </w:instrText>
            </w:r>
            <w:r>
              <w:rPr>
                <w:webHidden/>
              </w:rPr>
            </w:r>
            <w:r>
              <w:rPr>
                <w:webHidden/>
              </w:rPr>
              <w:fldChar w:fldCharType="separate"/>
            </w:r>
            <w:r w:rsidR="00FA18E3">
              <w:rPr>
                <w:webHidden/>
              </w:rPr>
              <w:t>83</w:t>
            </w:r>
            <w:r>
              <w:rPr>
                <w:webHidden/>
              </w:rPr>
              <w:fldChar w:fldCharType="end"/>
            </w:r>
          </w:hyperlink>
        </w:p>
        <w:p w14:paraId="7E2D60B6" w14:textId="53295FC2"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84" w:history="1">
            <w:r w:rsidRPr="00CB25A7">
              <w:rPr>
                <w:rStyle w:val="Hyperlink"/>
                <w:rFonts w:cs="Arial"/>
                <w:noProof/>
              </w:rPr>
              <w:t>OMB Compliance Requirements</w:t>
            </w:r>
            <w:r>
              <w:rPr>
                <w:noProof/>
                <w:webHidden/>
              </w:rPr>
              <w:tab/>
            </w:r>
            <w:r>
              <w:rPr>
                <w:noProof/>
                <w:webHidden/>
              </w:rPr>
              <w:fldChar w:fldCharType="begin"/>
            </w:r>
            <w:r>
              <w:rPr>
                <w:noProof/>
                <w:webHidden/>
              </w:rPr>
              <w:instrText xml:space="preserve"> PAGEREF _Toc212473184 \h </w:instrText>
            </w:r>
            <w:r>
              <w:rPr>
                <w:noProof/>
                <w:webHidden/>
              </w:rPr>
            </w:r>
            <w:r>
              <w:rPr>
                <w:noProof/>
                <w:webHidden/>
              </w:rPr>
              <w:fldChar w:fldCharType="separate"/>
            </w:r>
            <w:r w:rsidR="00FA18E3">
              <w:rPr>
                <w:noProof/>
                <w:webHidden/>
              </w:rPr>
              <w:t>83</w:t>
            </w:r>
            <w:r>
              <w:rPr>
                <w:noProof/>
                <w:webHidden/>
              </w:rPr>
              <w:fldChar w:fldCharType="end"/>
            </w:r>
          </w:hyperlink>
        </w:p>
        <w:p w14:paraId="2DE4238D" w14:textId="1957AFBE"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85" w:history="1">
            <w:r w:rsidRPr="00CB25A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_Toc212473185 \h </w:instrText>
            </w:r>
            <w:r>
              <w:rPr>
                <w:noProof/>
                <w:webHidden/>
              </w:rPr>
            </w:r>
            <w:r>
              <w:rPr>
                <w:noProof/>
                <w:webHidden/>
              </w:rPr>
              <w:fldChar w:fldCharType="separate"/>
            </w:r>
            <w:r w:rsidR="00FA18E3">
              <w:rPr>
                <w:noProof/>
                <w:webHidden/>
              </w:rPr>
              <w:t>84</w:t>
            </w:r>
            <w:r>
              <w:rPr>
                <w:noProof/>
                <w:webHidden/>
              </w:rPr>
              <w:fldChar w:fldCharType="end"/>
            </w:r>
          </w:hyperlink>
        </w:p>
        <w:p w14:paraId="243499C9" w14:textId="4804BB9B"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86" w:history="1">
            <w:r w:rsidRPr="00CB25A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_Toc212473186 \h </w:instrText>
            </w:r>
            <w:r>
              <w:rPr>
                <w:noProof/>
                <w:webHidden/>
              </w:rPr>
            </w:r>
            <w:r>
              <w:rPr>
                <w:noProof/>
                <w:webHidden/>
              </w:rPr>
              <w:fldChar w:fldCharType="separate"/>
            </w:r>
            <w:r w:rsidR="00FA18E3">
              <w:rPr>
                <w:noProof/>
                <w:webHidden/>
              </w:rPr>
              <w:t>84</w:t>
            </w:r>
            <w:r>
              <w:rPr>
                <w:noProof/>
                <w:webHidden/>
              </w:rPr>
              <w:fldChar w:fldCharType="end"/>
            </w:r>
          </w:hyperlink>
        </w:p>
        <w:p w14:paraId="10FC8B64" w14:textId="77F4B16C"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87" w:history="1">
            <w:r w:rsidRPr="00CB25A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_Toc212473187 \h </w:instrText>
            </w:r>
            <w:r>
              <w:rPr>
                <w:noProof/>
                <w:webHidden/>
              </w:rPr>
            </w:r>
            <w:r>
              <w:rPr>
                <w:noProof/>
                <w:webHidden/>
              </w:rPr>
              <w:fldChar w:fldCharType="separate"/>
            </w:r>
            <w:r w:rsidR="00FA18E3">
              <w:rPr>
                <w:noProof/>
                <w:webHidden/>
              </w:rPr>
              <w:t>85</w:t>
            </w:r>
            <w:r>
              <w:rPr>
                <w:noProof/>
                <w:webHidden/>
              </w:rPr>
              <w:fldChar w:fldCharType="end"/>
            </w:r>
          </w:hyperlink>
        </w:p>
        <w:p w14:paraId="437C26DD" w14:textId="3E5B2C1F"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88" w:history="1">
            <w:r w:rsidRPr="00CB25A7">
              <w:rPr>
                <w:rStyle w:val="Hyperlink"/>
                <w:rFonts w:cs="Arial"/>
                <w:noProof/>
              </w:rPr>
              <w:t>Audit Implications Summary</w:t>
            </w:r>
            <w:r>
              <w:rPr>
                <w:noProof/>
                <w:webHidden/>
              </w:rPr>
              <w:tab/>
            </w:r>
            <w:r>
              <w:rPr>
                <w:noProof/>
                <w:webHidden/>
              </w:rPr>
              <w:fldChar w:fldCharType="begin"/>
            </w:r>
            <w:r>
              <w:rPr>
                <w:noProof/>
                <w:webHidden/>
              </w:rPr>
              <w:instrText xml:space="preserve"> PAGEREF _Toc212473188 \h </w:instrText>
            </w:r>
            <w:r>
              <w:rPr>
                <w:noProof/>
                <w:webHidden/>
              </w:rPr>
            </w:r>
            <w:r>
              <w:rPr>
                <w:noProof/>
                <w:webHidden/>
              </w:rPr>
              <w:fldChar w:fldCharType="separate"/>
            </w:r>
            <w:r w:rsidR="00FA18E3">
              <w:rPr>
                <w:noProof/>
                <w:webHidden/>
              </w:rPr>
              <w:t>85</w:t>
            </w:r>
            <w:r>
              <w:rPr>
                <w:noProof/>
                <w:webHidden/>
              </w:rPr>
              <w:fldChar w:fldCharType="end"/>
            </w:r>
          </w:hyperlink>
        </w:p>
        <w:p w14:paraId="0CEBB438" w14:textId="59D5222C" w:rsidR="00D34A79" w:rsidRDefault="00D34A79">
          <w:pPr>
            <w:pStyle w:val="TOC2"/>
            <w:rPr>
              <w:rFonts w:asciiTheme="minorHAnsi" w:eastAsiaTheme="minorEastAsia" w:hAnsiTheme="minorHAnsi" w:cstheme="minorBidi"/>
              <w:bCs w:val="0"/>
              <w:kern w:val="2"/>
              <w:sz w:val="24"/>
              <w14:ligatures w14:val="standardContextual"/>
            </w:rPr>
          </w:pPr>
          <w:hyperlink w:anchor="_Toc212473189" w:history="1">
            <w:r w:rsidRPr="00CB25A7">
              <w:rPr>
                <w:rStyle w:val="Hyperlink"/>
              </w:rPr>
              <w:t>N12.  SPECIAL TESTS AND PROVISIONS – PHA UTILITIES OPERATING FUNDING REQUESTS</w:t>
            </w:r>
            <w:r>
              <w:rPr>
                <w:webHidden/>
              </w:rPr>
              <w:tab/>
            </w:r>
            <w:r>
              <w:rPr>
                <w:webHidden/>
              </w:rPr>
              <w:fldChar w:fldCharType="begin"/>
            </w:r>
            <w:r>
              <w:rPr>
                <w:webHidden/>
              </w:rPr>
              <w:instrText xml:space="preserve"> PAGEREF _Toc212473189 \h </w:instrText>
            </w:r>
            <w:r>
              <w:rPr>
                <w:webHidden/>
              </w:rPr>
            </w:r>
            <w:r>
              <w:rPr>
                <w:webHidden/>
              </w:rPr>
              <w:fldChar w:fldCharType="separate"/>
            </w:r>
            <w:r w:rsidR="00FA18E3">
              <w:rPr>
                <w:webHidden/>
              </w:rPr>
              <w:t>87</w:t>
            </w:r>
            <w:r>
              <w:rPr>
                <w:webHidden/>
              </w:rPr>
              <w:fldChar w:fldCharType="end"/>
            </w:r>
          </w:hyperlink>
        </w:p>
        <w:p w14:paraId="496D8A35" w14:textId="1726869D"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90" w:history="1">
            <w:r w:rsidRPr="00CB25A7">
              <w:rPr>
                <w:rStyle w:val="Hyperlink"/>
                <w:rFonts w:cs="Arial"/>
                <w:noProof/>
              </w:rPr>
              <w:t>OMB Compliance Requirements</w:t>
            </w:r>
            <w:r>
              <w:rPr>
                <w:noProof/>
                <w:webHidden/>
              </w:rPr>
              <w:tab/>
            </w:r>
            <w:r>
              <w:rPr>
                <w:noProof/>
                <w:webHidden/>
              </w:rPr>
              <w:fldChar w:fldCharType="begin"/>
            </w:r>
            <w:r>
              <w:rPr>
                <w:noProof/>
                <w:webHidden/>
              </w:rPr>
              <w:instrText xml:space="preserve"> PAGEREF _Toc212473190 \h </w:instrText>
            </w:r>
            <w:r>
              <w:rPr>
                <w:noProof/>
                <w:webHidden/>
              </w:rPr>
            </w:r>
            <w:r>
              <w:rPr>
                <w:noProof/>
                <w:webHidden/>
              </w:rPr>
              <w:fldChar w:fldCharType="separate"/>
            </w:r>
            <w:r w:rsidR="00FA18E3">
              <w:rPr>
                <w:noProof/>
                <w:webHidden/>
              </w:rPr>
              <w:t>87</w:t>
            </w:r>
            <w:r>
              <w:rPr>
                <w:noProof/>
                <w:webHidden/>
              </w:rPr>
              <w:fldChar w:fldCharType="end"/>
            </w:r>
          </w:hyperlink>
        </w:p>
        <w:p w14:paraId="0A5BE022" w14:textId="326FFDDE"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91" w:history="1">
            <w:r w:rsidRPr="00CB25A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_Toc212473191 \h </w:instrText>
            </w:r>
            <w:r>
              <w:rPr>
                <w:noProof/>
                <w:webHidden/>
              </w:rPr>
            </w:r>
            <w:r>
              <w:rPr>
                <w:noProof/>
                <w:webHidden/>
              </w:rPr>
              <w:fldChar w:fldCharType="separate"/>
            </w:r>
            <w:r w:rsidR="00FA18E3">
              <w:rPr>
                <w:noProof/>
                <w:webHidden/>
              </w:rPr>
              <w:t>87</w:t>
            </w:r>
            <w:r>
              <w:rPr>
                <w:noProof/>
                <w:webHidden/>
              </w:rPr>
              <w:fldChar w:fldCharType="end"/>
            </w:r>
          </w:hyperlink>
        </w:p>
        <w:p w14:paraId="01B239C5" w14:textId="68EFE486"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92" w:history="1">
            <w:r w:rsidRPr="00CB25A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_Toc212473192 \h </w:instrText>
            </w:r>
            <w:r>
              <w:rPr>
                <w:noProof/>
                <w:webHidden/>
              </w:rPr>
            </w:r>
            <w:r>
              <w:rPr>
                <w:noProof/>
                <w:webHidden/>
              </w:rPr>
              <w:fldChar w:fldCharType="separate"/>
            </w:r>
            <w:r w:rsidR="00FA18E3">
              <w:rPr>
                <w:noProof/>
                <w:webHidden/>
              </w:rPr>
              <w:t>88</w:t>
            </w:r>
            <w:r>
              <w:rPr>
                <w:noProof/>
                <w:webHidden/>
              </w:rPr>
              <w:fldChar w:fldCharType="end"/>
            </w:r>
          </w:hyperlink>
        </w:p>
        <w:p w14:paraId="2D5EDDA2" w14:textId="4DAB6ABA"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93" w:history="1">
            <w:r w:rsidRPr="00CB25A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_Toc212473193 \h </w:instrText>
            </w:r>
            <w:r>
              <w:rPr>
                <w:noProof/>
                <w:webHidden/>
              </w:rPr>
            </w:r>
            <w:r>
              <w:rPr>
                <w:noProof/>
                <w:webHidden/>
              </w:rPr>
              <w:fldChar w:fldCharType="separate"/>
            </w:r>
            <w:r w:rsidR="00FA18E3">
              <w:rPr>
                <w:noProof/>
                <w:webHidden/>
              </w:rPr>
              <w:t>88</w:t>
            </w:r>
            <w:r>
              <w:rPr>
                <w:noProof/>
                <w:webHidden/>
              </w:rPr>
              <w:fldChar w:fldCharType="end"/>
            </w:r>
          </w:hyperlink>
        </w:p>
        <w:p w14:paraId="2B6969FF" w14:textId="5057592F"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94" w:history="1">
            <w:r w:rsidRPr="00CB25A7">
              <w:rPr>
                <w:rStyle w:val="Hyperlink"/>
                <w:rFonts w:cs="Arial"/>
                <w:noProof/>
              </w:rPr>
              <w:t>Audit Implications Summary</w:t>
            </w:r>
            <w:r>
              <w:rPr>
                <w:noProof/>
                <w:webHidden/>
              </w:rPr>
              <w:tab/>
            </w:r>
            <w:r>
              <w:rPr>
                <w:noProof/>
                <w:webHidden/>
              </w:rPr>
              <w:fldChar w:fldCharType="begin"/>
            </w:r>
            <w:r>
              <w:rPr>
                <w:noProof/>
                <w:webHidden/>
              </w:rPr>
              <w:instrText xml:space="preserve"> PAGEREF _Toc212473194 \h </w:instrText>
            </w:r>
            <w:r>
              <w:rPr>
                <w:noProof/>
                <w:webHidden/>
              </w:rPr>
            </w:r>
            <w:r>
              <w:rPr>
                <w:noProof/>
                <w:webHidden/>
              </w:rPr>
              <w:fldChar w:fldCharType="separate"/>
            </w:r>
            <w:r w:rsidR="00FA18E3">
              <w:rPr>
                <w:noProof/>
                <w:webHidden/>
              </w:rPr>
              <w:t>89</w:t>
            </w:r>
            <w:r>
              <w:rPr>
                <w:noProof/>
                <w:webHidden/>
              </w:rPr>
              <w:fldChar w:fldCharType="end"/>
            </w:r>
          </w:hyperlink>
        </w:p>
        <w:p w14:paraId="06141376" w14:textId="595B9B66" w:rsidR="00D34A79" w:rsidRDefault="00D34A79">
          <w:pPr>
            <w:pStyle w:val="TOC2"/>
            <w:rPr>
              <w:rFonts w:asciiTheme="minorHAnsi" w:eastAsiaTheme="minorEastAsia" w:hAnsiTheme="minorHAnsi" w:cstheme="minorBidi"/>
              <w:bCs w:val="0"/>
              <w:kern w:val="2"/>
              <w:sz w:val="24"/>
              <w14:ligatures w14:val="standardContextual"/>
            </w:rPr>
          </w:pPr>
          <w:hyperlink w:anchor="_Toc212473195" w:history="1">
            <w:r w:rsidRPr="00CB25A7">
              <w:rPr>
                <w:rStyle w:val="Hyperlink"/>
              </w:rPr>
              <w:t>N13.  SPECIAL TESTS AND PROVISIONS – RECORDING OF DECLARATIONS OF TRUST/DECLARATION OF RESTRICTIVE COVENANTS AGAINST PUBLIC HOUSING PROPERTY</w:t>
            </w:r>
            <w:r>
              <w:rPr>
                <w:webHidden/>
              </w:rPr>
              <w:tab/>
            </w:r>
            <w:r>
              <w:rPr>
                <w:webHidden/>
              </w:rPr>
              <w:fldChar w:fldCharType="begin"/>
            </w:r>
            <w:r>
              <w:rPr>
                <w:webHidden/>
              </w:rPr>
              <w:instrText xml:space="preserve"> PAGEREF _Toc212473195 \h </w:instrText>
            </w:r>
            <w:r>
              <w:rPr>
                <w:webHidden/>
              </w:rPr>
            </w:r>
            <w:r>
              <w:rPr>
                <w:webHidden/>
              </w:rPr>
              <w:fldChar w:fldCharType="separate"/>
            </w:r>
            <w:r w:rsidR="00FA18E3">
              <w:rPr>
                <w:webHidden/>
              </w:rPr>
              <w:t>90</w:t>
            </w:r>
            <w:r>
              <w:rPr>
                <w:webHidden/>
              </w:rPr>
              <w:fldChar w:fldCharType="end"/>
            </w:r>
          </w:hyperlink>
        </w:p>
        <w:p w14:paraId="4B3B55B5" w14:textId="2A332612"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96" w:history="1">
            <w:r w:rsidRPr="00CB25A7">
              <w:rPr>
                <w:rStyle w:val="Hyperlink"/>
                <w:rFonts w:cs="Arial"/>
                <w:noProof/>
              </w:rPr>
              <w:t>OMB Compliance Requirements</w:t>
            </w:r>
            <w:r>
              <w:rPr>
                <w:noProof/>
                <w:webHidden/>
              </w:rPr>
              <w:tab/>
            </w:r>
            <w:r>
              <w:rPr>
                <w:noProof/>
                <w:webHidden/>
              </w:rPr>
              <w:fldChar w:fldCharType="begin"/>
            </w:r>
            <w:r>
              <w:rPr>
                <w:noProof/>
                <w:webHidden/>
              </w:rPr>
              <w:instrText xml:space="preserve"> PAGEREF _Toc212473196 \h </w:instrText>
            </w:r>
            <w:r>
              <w:rPr>
                <w:noProof/>
                <w:webHidden/>
              </w:rPr>
            </w:r>
            <w:r>
              <w:rPr>
                <w:noProof/>
                <w:webHidden/>
              </w:rPr>
              <w:fldChar w:fldCharType="separate"/>
            </w:r>
            <w:r w:rsidR="00FA18E3">
              <w:rPr>
                <w:noProof/>
                <w:webHidden/>
              </w:rPr>
              <w:t>90</w:t>
            </w:r>
            <w:r>
              <w:rPr>
                <w:noProof/>
                <w:webHidden/>
              </w:rPr>
              <w:fldChar w:fldCharType="end"/>
            </w:r>
          </w:hyperlink>
        </w:p>
        <w:p w14:paraId="3E53D14D" w14:textId="4FF35C95"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97" w:history="1">
            <w:r w:rsidRPr="00CB25A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_Toc212473197 \h </w:instrText>
            </w:r>
            <w:r>
              <w:rPr>
                <w:noProof/>
                <w:webHidden/>
              </w:rPr>
            </w:r>
            <w:r>
              <w:rPr>
                <w:noProof/>
                <w:webHidden/>
              </w:rPr>
              <w:fldChar w:fldCharType="separate"/>
            </w:r>
            <w:r w:rsidR="00FA18E3">
              <w:rPr>
                <w:noProof/>
                <w:webHidden/>
              </w:rPr>
              <w:t>91</w:t>
            </w:r>
            <w:r>
              <w:rPr>
                <w:noProof/>
                <w:webHidden/>
              </w:rPr>
              <w:fldChar w:fldCharType="end"/>
            </w:r>
          </w:hyperlink>
        </w:p>
        <w:p w14:paraId="30915AEE" w14:textId="61357A3C"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98" w:history="1">
            <w:r w:rsidRPr="00CB25A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_Toc212473198 \h </w:instrText>
            </w:r>
            <w:r>
              <w:rPr>
                <w:noProof/>
                <w:webHidden/>
              </w:rPr>
            </w:r>
            <w:r>
              <w:rPr>
                <w:noProof/>
                <w:webHidden/>
              </w:rPr>
              <w:fldChar w:fldCharType="separate"/>
            </w:r>
            <w:r w:rsidR="00FA18E3">
              <w:rPr>
                <w:noProof/>
                <w:webHidden/>
              </w:rPr>
              <w:t>91</w:t>
            </w:r>
            <w:r>
              <w:rPr>
                <w:noProof/>
                <w:webHidden/>
              </w:rPr>
              <w:fldChar w:fldCharType="end"/>
            </w:r>
          </w:hyperlink>
        </w:p>
        <w:p w14:paraId="535A1BC6" w14:textId="65F9E23C"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99" w:history="1">
            <w:r w:rsidRPr="00CB25A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_Toc212473199 \h </w:instrText>
            </w:r>
            <w:r>
              <w:rPr>
                <w:noProof/>
                <w:webHidden/>
              </w:rPr>
            </w:r>
            <w:r>
              <w:rPr>
                <w:noProof/>
                <w:webHidden/>
              </w:rPr>
              <w:fldChar w:fldCharType="separate"/>
            </w:r>
            <w:r w:rsidR="00FA18E3">
              <w:rPr>
                <w:noProof/>
                <w:webHidden/>
              </w:rPr>
              <w:t>92</w:t>
            </w:r>
            <w:r>
              <w:rPr>
                <w:noProof/>
                <w:webHidden/>
              </w:rPr>
              <w:fldChar w:fldCharType="end"/>
            </w:r>
          </w:hyperlink>
        </w:p>
        <w:p w14:paraId="42E8676D" w14:textId="3733F118"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00" w:history="1">
            <w:r w:rsidRPr="00CB25A7">
              <w:rPr>
                <w:rStyle w:val="Hyperlink"/>
                <w:rFonts w:cs="Arial"/>
                <w:noProof/>
              </w:rPr>
              <w:t>Audit Implications Summary</w:t>
            </w:r>
            <w:r>
              <w:rPr>
                <w:noProof/>
                <w:webHidden/>
              </w:rPr>
              <w:tab/>
            </w:r>
            <w:r>
              <w:rPr>
                <w:noProof/>
                <w:webHidden/>
              </w:rPr>
              <w:fldChar w:fldCharType="begin"/>
            </w:r>
            <w:r>
              <w:rPr>
                <w:noProof/>
                <w:webHidden/>
              </w:rPr>
              <w:instrText xml:space="preserve"> PAGEREF _Toc212473200 \h </w:instrText>
            </w:r>
            <w:r>
              <w:rPr>
                <w:noProof/>
                <w:webHidden/>
              </w:rPr>
            </w:r>
            <w:r>
              <w:rPr>
                <w:noProof/>
                <w:webHidden/>
              </w:rPr>
              <w:fldChar w:fldCharType="separate"/>
            </w:r>
            <w:r w:rsidR="00FA18E3">
              <w:rPr>
                <w:noProof/>
                <w:webHidden/>
              </w:rPr>
              <w:t>92</w:t>
            </w:r>
            <w:r>
              <w:rPr>
                <w:noProof/>
                <w:webHidden/>
              </w:rPr>
              <w:fldChar w:fldCharType="end"/>
            </w:r>
          </w:hyperlink>
        </w:p>
        <w:p w14:paraId="68D49B09" w14:textId="3AE196A1" w:rsidR="00D34A79" w:rsidRDefault="00D34A79">
          <w:pPr>
            <w:pStyle w:val="TOC2"/>
            <w:rPr>
              <w:rFonts w:asciiTheme="minorHAnsi" w:eastAsiaTheme="minorEastAsia" w:hAnsiTheme="minorHAnsi" w:cstheme="minorBidi"/>
              <w:bCs w:val="0"/>
              <w:kern w:val="2"/>
              <w:sz w:val="24"/>
              <w14:ligatures w14:val="standardContextual"/>
            </w:rPr>
          </w:pPr>
          <w:hyperlink w:anchor="_Toc212473201" w:history="1">
            <w:r w:rsidRPr="00CB25A7">
              <w:rPr>
                <w:rStyle w:val="Hyperlink"/>
              </w:rPr>
              <w:t>N14.  SPECIAL TESTS AND PROVISIONS – DEPOSITORY AGREEMENTS</w:t>
            </w:r>
            <w:r>
              <w:rPr>
                <w:webHidden/>
              </w:rPr>
              <w:tab/>
            </w:r>
            <w:r>
              <w:rPr>
                <w:webHidden/>
              </w:rPr>
              <w:fldChar w:fldCharType="begin"/>
            </w:r>
            <w:r>
              <w:rPr>
                <w:webHidden/>
              </w:rPr>
              <w:instrText xml:space="preserve"> PAGEREF _Toc212473201 \h </w:instrText>
            </w:r>
            <w:r>
              <w:rPr>
                <w:webHidden/>
              </w:rPr>
            </w:r>
            <w:r>
              <w:rPr>
                <w:webHidden/>
              </w:rPr>
              <w:fldChar w:fldCharType="separate"/>
            </w:r>
            <w:r w:rsidR="00FA18E3">
              <w:rPr>
                <w:webHidden/>
              </w:rPr>
              <w:t>94</w:t>
            </w:r>
            <w:r>
              <w:rPr>
                <w:webHidden/>
              </w:rPr>
              <w:fldChar w:fldCharType="end"/>
            </w:r>
          </w:hyperlink>
        </w:p>
        <w:p w14:paraId="3F4C8B53" w14:textId="7416DB06"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02" w:history="1">
            <w:r w:rsidRPr="00CB25A7">
              <w:rPr>
                <w:rStyle w:val="Hyperlink"/>
                <w:rFonts w:cs="Arial"/>
                <w:noProof/>
              </w:rPr>
              <w:t>OMB Compliance Requirements</w:t>
            </w:r>
            <w:r>
              <w:rPr>
                <w:noProof/>
                <w:webHidden/>
              </w:rPr>
              <w:tab/>
            </w:r>
            <w:r>
              <w:rPr>
                <w:noProof/>
                <w:webHidden/>
              </w:rPr>
              <w:fldChar w:fldCharType="begin"/>
            </w:r>
            <w:r>
              <w:rPr>
                <w:noProof/>
                <w:webHidden/>
              </w:rPr>
              <w:instrText xml:space="preserve"> PAGEREF _Toc212473202 \h </w:instrText>
            </w:r>
            <w:r>
              <w:rPr>
                <w:noProof/>
                <w:webHidden/>
              </w:rPr>
            </w:r>
            <w:r>
              <w:rPr>
                <w:noProof/>
                <w:webHidden/>
              </w:rPr>
              <w:fldChar w:fldCharType="separate"/>
            </w:r>
            <w:r w:rsidR="00FA18E3">
              <w:rPr>
                <w:noProof/>
                <w:webHidden/>
              </w:rPr>
              <w:t>94</w:t>
            </w:r>
            <w:r>
              <w:rPr>
                <w:noProof/>
                <w:webHidden/>
              </w:rPr>
              <w:fldChar w:fldCharType="end"/>
            </w:r>
          </w:hyperlink>
        </w:p>
        <w:p w14:paraId="7689CDEF" w14:textId="16E471D8"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03" w:history="1">
            <w:r w:rsidRPr="00CB25A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_Toc212473203 \h </w:instrText>
            </w:r>
            <w:r>
              <w:rPr>
                <w:noProof/>
                <w:webHidden/>
              </w:rPr>
            </w:r>
            <w:r>
              <w:rPr>
                <w:noProof/>
                <w:webHidden/>
              </w:rPr>
              <w:fldChar w:fldCharType="separate"/>
            </w:r>
            <w:r w:rsidR="00FA18E3">
              <w:rPr>
                <w:noProof/>
                <w:webHidden/>
              </w:rPr>
              <w:t>94</w:t>
            </w:r>
            <w:r>
              <w:rPr>
                <w:noProof/>
                <w:webHidden/>
              </w:rPr>
              <w:fldChar w:fldCharType="end"/>
            </w:r>
          </w:hyperlink>
        </w:p>
        <w:p w14:paraId="1FAE4169" w14:textId="5FACE3FC"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04" w:history="1">
            <w:r w:rsidRPr="00CB25A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_Toc212473204 \h </w:instrText>
            </w:r>
            <w:r>
              <w:rPr>
                <w:noProof/>
                <w:webHidden/>
              </w:rPr>
            </w:r>
            <w:r>
              <w:rPr>
                <w:noProof/>
                <w:webHidden/>
              </w:rPr>
              <w:fldChar w:fldCharType="separate"/>
            </w:r>
            <w:r w:rsidR="00FA18E3">
              <w:rPr>
                <w:noProof/>
                <w:webHidden/>
              </w:rPr>
              <w:t>95</w:t>
            </w:r>
            <w:r>
              <w:rPr>
                <w:noProof/>
                <w:webHidden/>
              </w:rPr>
              <w:fldChar w:fldCharType="end"/>
            </w:r>
          </w:hyperlink>
        </w:p>
        <w:p w14:paraId="7B102F16" w14:textId="72A31ACE"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05" w:history="1">
            <w:r w:rsidRPr="00CB25A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_Toc212473205 \h </w:instrText>
            </w:r>
            <w:r>
              <w:rPr>
                <w:noProof/>
                <w:webHidden/>
              </w:rPr>
            </w:r>
            <w:r>
              <w:rPr>
                <w:noProof/>
                <w:webHidden/>
              </w:rPr>
              <w:fldChar w:fldCharType="separate"/>
            </w:r>
            <w:r w:rsidR="00FA18E3">
              <w:rPr>
                <w:noProof/>
                <w:webHidden/>
              </w:rPr>
              <w:t>95</w:t>
            </w:r>
            <w:r>
              <w:rPr>
                <w:noProof/>
                <w:webHidden/>
              </w:rPr>
              <w:fldChar w:fldCharType="end"/>
            </w:r>
          </w:hyperlink>
        </w:p>
        <w:p w14:paraId="36EB45F2" w14:textId="52DC3E7E"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06" w:history="1">
            <w:r w:rsidRPr="00CB25A7">
              <w:rPr>
                <w:rStyle w:val="Hyperlink"/>
                <w:rFonts w:cs="Arial"/>
                <w:noProof/>
              </w:rPr>
              <w:t>Audit Implications Summary</w:t>
            </w:r>
            <w:r>
              <w:rPr>
                <w:noProof/>
                <w:webHidden/>
              </w:rPr>
              <w:tab/>
            </w:r>
            <w:r>
              <w:rPr>
                <w:noProof/>
                <w:webHidden/>
              </w:rPr>
              <w:fldChar w:fldCharType="begin"/>
            </w:r>
            <w:r>
              <w:rPr>
                <w:noProof/>
                <w:webHidden/>
              </w:rPr>
              <w:instrText xml:space="preserve"> PAGEREF _Toc212473206 \h </w:instrText>
            </w:r>
            <w:r>
              <w:rPr>
                <w:noProof/>
                <w:webHidden/>
              </w:rPr>
            </w:r>
            <w:r>
              <w:rPr>
                <w:noProof/>
                <w:webHidden/>
              </w:rPr>
              <w:fldChar w:fldCharType="separate"/>
            </w:r>
            <w:r w:rsidR="00FA18E3">
              <w:rPr>
                <w:noProof/>
                <w:webHidden/>
              </w:rPr>
              <w:t>96</w:t>
            </w:r>
            <w:r>
              <w:rPr>
                <w:noProof/>
                <w:webHidden/>
              </w:rPr>
              <w:fldChar w:fldCharType="end"/>
            </w:r>
          </w:hyperlink>
        </w:p>
        <w:p w14:paraId="7AE71E91" w14:textId="1450A1F9" w:rsidR="00D34A79" w:rsidRDefault="00D34A79">
          <w:pPr>
            <w:pStyle w:val="TOC2"/>
            <w:rPr>
              <w:rFonts w:asciiTheme="minorHAnsi" w:eastAsiaTheme="minorEastAsia" w:hAnsiTheme="minorHAnsi" w:cstheme="minorBidi"/>
              <w:bCs w:val="0"/>
              <w:kern w:val="2"/>
              <w:sz w:val="24"/>
              <w14:ligatures w14:val="standardContextual"/>
            </w:rPr>
          </w:pPr>
          <w:hyperlink w:anchor="_Toc212473207" w:history="1">
            <w:r w:rsidRPr="00CB25A7">
              <w:rPr>
                <w:rStyle w:val="Hyperlink"/>
              </w:rPr>
              <w:t>N15.  SPECIAL TESTS AND PROVISIONS -  INSURANCE PROCEEDS</w:t>
            </w:r>
            <w:r>
              <w:rPr>
                <w:webHidden/>
              </w:rPr>
              <w:tab/>
            </w:r>
            <w:r>
              <w:rPr>
                <w:webHidden/>
              </w:rPr>
              <w:fldChar w:fldCharType="begin"/>
            </w:r>
            <w:r>
              <w:rPr>
                <w:webHidden/>
              </w:rPr>
              <w:instrText xml:space="preserve"> PAGEREF _Toc212473207 \h </w:instrText>
            </w:r>
            <w:r>
              <w:rPr>
                <w:webHidden/>
              </w:rPr>
            </w:r>
            <w:r>
              <w:rPr>
                <w:webHidden/>
              </w:rPr>
              <w:fldChar w:fldCharType="separate"/>
            </w:r>
            <w:r w:rsidR="00FA18E3">
              <w:rPr>
                <w:webHidden/>
              </w:rPr>
              <w:t>97</w:t>
            </w:r>
            <w:r>
              <w:rPr>
                <w:webHidden/>
              </w:rPr>
              <w:fldChar w:fldCharType="end"/>
            </w:r>
          </w:hyperlink>
        </w:p>
        <w:p w14:paraId="0F8C8FB9" w14:textId="117F4FD4"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08" w:history="1">
            <w:r w:rsidRPr="00CB25A7">
              <w:rPr>
                <w:rStyle w:val="Hyperlink"/>
                <w:rFonts w:cs="Arial"/>
                <w:noProof/>
              </w:rPr>
              <w:t>OMB Compliance Requirements</w:t>
            </w:r>
            <w:r>
              <w:rPr>
                <w:noProof/>
                <w:webHidden/>
              </w:rPr>
              <w:tab/>
            </w:r>
            <w:r>
              <w:rPr>
                <w:noProof/>
                <w:webHidden/>
              </w:rPr>
              <w:fldChar w:fldCharType="begin"/>
            </w:r>
            <w:r>
              <w:rPr>
                <w:noProof/>
                <w:webHidden/>
              </w:rPr>
              <w:instrText xml:space="preserve"> PAGEREF _Toc212473208 \h </w:instrText>
            </w:r>
            <w:r>
              <w:rPr>
                <w:noProof/>
                <w:webHidden/>
              </w:rPr>
            </w:r>
            <w:r>
              <w:rPr>
                <w:noProof/>
                <w:webHidden/>
              </w:rPr>
              <w:fldChar w:fldCharType="separate"/>
            </w:r>
            <w:r w:rsidR="00FA18E3">
              <w:rPr>
                <w:noProof/>
                <w:webHidden/>
              </w:rPr>
              <w:t>97</w:t>
            </w:r>
            <w:r>
              <w:rPr>
                <w:noProof/>
                <w:webHidden/>
              </w:rPr>
              <w:fldChar w:fldCharType="end"/>
            </w:r>
          </w:hyperlink>
        </w:p>
        <w:p w14:paraId="1E72672E" w14:textId="611596F1"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09" w:history="1">
            <w:r w:rsidRPr="00CB25A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_Toc212473209 \h </w:instrText>
            </w:r>
            <w:r>
              <w:rPr>
                <w:noProof/>
                <w:webHidden/>
              </w:rPr>
            </w:r>
            <w:r>
              <w:rPr>
                <w:noProof/>
                <w:webHidden/>
              </w:rPr>
              <w:fldChar w:fldCharType="separate"/>
            </w:r>
            <w:r w:rsidR="00FA18E3">
              <w:rPr>
                <w:noProof/>
                <w:webHidden/>
              </w:rPr>
              <w:t>97</w:t>
            </w:r>
            <w:r>
              <w:rPr>
                <w:noProof/>
                <w:webHidden/>
              </w:rPr>
              <w:fldChar w:fldCharType="end"/>
            </w:r>
          </w:hyperlink>
        </w:p>
        <w:p w14:paraId="25ED0151" w14:textId="3E8DCBD3"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10" w:history="1">
            <w:r w:rsidRPr="00CB25A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_Toc212473210 \h </w:instrText>
            </w:r>
            <w:r>
              <w:rPr>
                <w:noProof/>
                <w:webHidden/>
              </w:rPr>
            </w:r>
            <w:r>
              <w:rPr>
                <w:noProof/>
                <w:webHidden/>
              </w:rPr>
              <w:fldChar w:fldCharType="separate"/>
            </w:r>
            <w:r w:rsidR="00FA18E3">
              <w:rPr>
                <w:noProof/>
                <w:webHidden/>
              </w:rPr>
              <w:t>98</w:t>
            </w:r>
            <w:r>
              <w:rPr>
                <w:noProof/>
                <w:webHidden/>
              </w:rPr>
              <w:fldChar w:fldCharType="end"/>
            </w:r>
          </w:hyperlink>
        </w:p>
        <w:p w14:paraId="10583D59" w14:textId="789FDB03"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11" w:history="1">
            <w:r w:rsidRPr="00CB25A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_Toc212473211 \h </w:instrText>
            </w:r>
            <w:r>
              <w:rPr>
                <w:noProof/>
                <w:webHidden/>
              </w:rPr>
            </w:r>
            <w:r>
              <w:rPr>
                <w:noProof/>
                <w:webHidden/>
              </w:rPr>
              <w:fldChar w:fldCharType="separate"/>
            </w:r>
            <w:r w:rsidR="00FA18E3">
              <w:rPr>
                <w:noProof/>
                <w:webHidden/>
              </w:rPr>
              <w:t>98</w:t>
            </w:r>
            <w:r>
              <w:rPr>
                <w:noProof/>
                <w:webHidden/>
              </w:rPr>
              <w:fldChar w:fldCharType="end"/>
            </w:r>
          </w:hyperlink>
        </w:p>
        <w:p w14:paraId="2436264C" w14:textId="3E567CCA"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12" w:history="1">
            <w:r w:rsidRPr="00CB25A7">
              <w:rPr>
                <w:rStyle w:val="Hyperlink"/>
                <w:rFonts w:cs="Arial"/>
                <w:noProof/>
              </w:rPr>
              <w:t>Audit Implications Summary</w:t>
            </w:r>
            <w:r>
              <w:rPr>
                <w:noProof/>
                <w:webHidden/>
              </w:rPr>
              <w:tab/>
            </w:r>
            <w:r>
              <w:rPr>
                <w:noProof/>
                <w:webHidden/>
              </w:rPr>
              <w:fldChar w:fldCharType="begin"/>
            </w:r>
            <w:r>
              <w:rPr>
                <w:noProof/>
                <w:webHidden/>
              </w:rPr>
              <w:instrText xml:space="preserve"> PAGEREF _Toc212473212 \h </w:instrText>
            </w:r>
            <w:r>
              <w:rPr>
                <w:noProof/>
                <w:webHidden/>
              </w:rPr>
            </w:r>
            <w:r>
              <w:rPr>
                <w:noProof/>
                <w:webHidden/>
              </w:rPr>
              <w:fldChar w:fldCharType="separate"/>
            </w:r>
            <w:r w:rsidR="00FA18E3">
              <w:rPr>
                <w:noProof/>
                <w:webHidden/>
              </w:rPr>
              <w:t>99</w:t>
            </w:r>
            <w:r>
              <w:rPr>
                <w:noProof/>
                <w:webHidden/>
              </w:rPr>
              <w:fldChar w:fldCharType="end"/>
            </w:r>
          </w:hyperlink>
        </w:p>
        <w:p w14:paraId="4C67F678" w14:textId="24D7BB54" w:rsidR="00D34A79" w:rsidRDefault="00D34A79">
          <w:pPr>
            <w:pStyle w:val="TOC2"/>
            <w:rPr>
              <w:rFonts w:asciiTheme="minorHAnsi" w:eastAsiaTheme="minorEastAsia" w:hAnsiTheme="minorHAnsi" w:cstheme="minorBidi"/>
              <w:bCs w:val="0"/>
              <w:kern w:val="2"/>
              <w:sz w:val="24"/>
              <w14:ligatures w14:val="standardContextual"/>
            </w:rPr>
          </w:pPr>
          <w:hyperlink w:anchor="_Toc212473213" w:history="1">
            <w:r w:rsidRPr="00CB25A7">
              <w:rPr>
                <w:rStyle w:val="Hyperlink"/>
              </w:rPr>
              <w:t>N16.  SPECIAL TESTS AND PROVISIONS – ENVIRONMENTAL CONTAMINANTS TESTING AND REMEDIATION</w:t>
            </w:r>
            <w:r>
              <w:rPr>
                <w:webHidden/>
              </w:rPr>
              <w:tab/>
            </w:r>
            <w:r>
              <w:rPr>
                <w:webHidden/>
              </w:rPr>
              <w:fldChar w:fldCharType="begin"/>
            </w:r>
            <w:r>
              <w:rPr>
                <w:webHidden/>
              </w:rPr>
              <w:instrText xml:space="preserve"> PAGEREF _Toc212473213 \h </w:instrText>
            </w:r>
            <w:r>
              <w:rPr>
                <w:webHidden/>
              </w:rPr>
            </w:r>
            <w:r>
              <w:rPr>
                <w:webHidden/>
              </w:rPr>
              <w:fldChar w:fldCharType="separate"/>
            </w:r>
            <w:r w:rsidR="00FA18E3">
              <w:rPr>
                <w:webHidden/>
              </w:rPr>
              <w:t>100</w:t>
            </w:r>
            <w:r>
              <w:rPr>
                <w:webHidden/>
              </w:rPr>
              <w:fldChar w:fldCharType="end"/>
            </w:r>
          </w:hyperlink>
        </w:p>
        <w:p w14:paraId="4B6730A9" w14:textId="7D576A3C"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14" w:history="1">
            <w:r w:rsidRPr="00CB25A7">
              <w:rPr>
                <w:rStyle w:val="Hyperlink"/>
                <w:rFonts w:cs="Arial"/>
                <w:noProof/>
              </w:rPr>
              <w:t>OMB Compliance Requirements</w:t>
            </w:r>
            <w:r>
              <w:rPr>
                <w:noProof/>
                <w:webHidden/>
              </w:rPr>
              <w:tab/>
            </w:r>
            <w:r>
              <w:rPr>
                <w:noProof/>
                <w:webHidden/>
              </w:rPr>
              <w:fldChar w:fldCharType="begin"/>
            </w:r>
            <w:r>
              <w:rPr>
                <w:noProof/>
                <w:webHidden/>
              </w:rPr>
              <w:instrText xml:space="preserve"> PAGEREF _Toc212473214 \h </w:instrText>
            </w:r>
            <w:r>
              <w:rPr>
                <w:noProof/>
                <w:webHidden/>
              </w:rPr>
            </w:r>
            <w:r>
              <w:rPr>
                <w:noProof/>
                <w:webHidden/>
              </w:rPr>
              <w:fldChar w:fldCharType="separate"/>
            </w:r>
            <w:r w:rsidR="00FA18E3">
              <w:rPr>
                <w:noProof/>
                <w:webHidden/>
              </w:rPr>
              <w:t>100</w:t>
            </w:r>
            <w:r>
              <w:rPr>
                <w:noProof/>
                <w:webHidden/>
              </w:rPr>
              <w:fldChar w:fldCharType="end"/>
            </w:r>
          </w:hyperlink>
        </w:p>
        <w:p w14:paraId="50C29FC8" w14:textId="788290AB"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15" w:history="1">
            <w:r w:rsidRPr="00CB25A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_Toc212473215 \h </w:instrText>
            </w:r>
            <w:r>
              <w:rPr>
                <w:noProof/>
                <w:webHidden/>
              </w:rPr>
            </w:r>
            <w:r>
              <w:rPr>
                <w:noProof/>
                <w:webHidden/>
              </w:rPr>
              <w:fldChar w:fldCharType="separate"/>
            </w:r>
            <w:r w:rsidR="00FA18E3">
              <w:rPr>
                <w:noProof/>
                <w:webHidden/>
              </w:rPr>
              <w:t>100</w:t>
            </w:r>
            <w:r>
              <w:rPr>
                <w:noProof/>
                <w:webHidden/>
              </w:rPr>
              <w:fldChar w:fldCharType="end"/>
            </w:r>
          </w:hyperlink>
        </w:p>
        <w:p w14:paraId="55789412" w14:textId="2011907C"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16" w:history="1">
            <w:r w:rsidRPr="00CB25A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_Toc212473216 \h </w:instrText>
            </w:r>
            <w:r>
              <w:rPr>
                <w:noProof/>
                <w:webHidden/>
              </w:rPr>
            </w:r>
            <w:r>
              <w:rPr>
                <w:noProof/>
                <w:webHidden/>
              </w:rPr>
              <w:fldChar w:fldCharType="separate"/>
            </w:r>
            <w:r w:rsidR="00FA18E3">
              <w:rPr>
                <w:noProof/>
                <w:webHidden/>
              </w:rPr>
              <w:t>101</w:t>
            </w:r>
            <w:r>
              <w:rPr>
                <w:noProof/>
                <w:webHidden/>
              </w:rPr>
              <w:fldChar w:fldCharType="end"/>
            </w:r>
          </w:hyperlink>
        </w:p>
        <w:p w14:paraId="0DD55D45" w14:textId="153BD47D"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17" w:history="1">
            <w:r w:rsidRPr="00CB25A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_Toc212473217 \h </w:instrText>
            </w:r>
            <w:r>
              <w:rPr>
                <w:noProof/>
                <w:webHidden/>
              </w:rPr>
            </w:r>
            <w:r>
              <w:rPr>
                <w:noProof/>
                <w:webHidden/>
              </w:rPr>
              <w:fldChar w:fldCharType="separate"/>
            </w:r>
            <w:r w:rsidR="00FA18E3">
              <w:rPr>
                <w:noProof/>
                <w:webHidden/>
              </w:rPr>
              <w:t>102</w:t>
            </w:r>
            <w:r>
              <w:rPr>
                <w:noProof/>
                <w:webHidden/>
              </w:rPr>
              <w:fldChar w:fldCharType="end"/>
            </w:r>
          </w:hyperlink>
        </w:p>
        <w:p w14:paraId="4D67D4AA" w14:textId="2E10C6B8"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18" w:history="1">
            <w:r w:rsidRPr="00CB25A7">
              <w:rPr>
                <w:rStyle w:val="Hyperlink"/>
                <w:rFonts w:cs="Arial"/>
                <w:noProof/>
              </w:rPr>
              <w:t>Audit Implications Summary</w:t>
            </w:r>
            <w:r>
              <w:rPr>
                <w:noProof/>
                <w:webHidden/>
              </w:rPr>
              <w:tab/>
            </w:r>
            <w:r>
              <w:rPr>
                <w:noProof/>
                <w:webHidden/>
              </w:rPr>
              <w:fldChar w:fldCharType="begin"/>
            </w:r>
            <w:r>
              <w:rPr>
                <w:noProof/>
                <w:webHidden/>
              </w:rPr>
              <w:instrText xml:space="preserve"> PAGEREF _Toc212473218 \h </w:instrText>
            </w:r>
            <w:r>
              <w:rPr>
                <w:noProof/>
                <w:webHidden/>
              </w:rPr>
            </w:r>
            <w:r>
              <w:rPr>
                <w:noProof/>
                <w:webHidden/>
              </w:rPr>
              <w:fldChar w:fldCharType="separate"/>
            </w:r>
            <w:r w:rsidR="00FA18E3">
              <w:rPr>
                <w:noProof/>
                <w:webHidden/>
              </w:rPr>
              <w:t>102</w:t>
            </w:r>
            <w:r>
              <w:rPr>
                <w:noProof/>
                <w:webHidden/>
              </w:rPr>
              <w:fldChar w:fldCharType="end"/>
            </w:r>
          </w:hyperlink>
        </w:p>
        <w:p w14:paraId="23566B3B" w14:textId="04FB8D30" w:rsidR="00D34A79" w:rsidRDefault="00D34A79">
          <w:pPr>
            <w:pStyle w:val="TOC2"/>
            <w:rPr>
              <w:rFonts w:asciiTheme="minorHAnsi" w:eastAsiaTheme="minorEastAsia" w:hAnsiTheme="minorHAnsi" w:cstheme="minorBidi"/>
              <w:bCs w:val="0"/>
              <w:kern w:val="2"/>
              <w:sz w:val="24"/>
              <w14:ligatures w14:val="standardContextual"/>
            </w:rPr>
          </w:pPr>
          <w:hyperlink w:anchor="_Toc212473219" w:history="1">
            <w:r w:rsidRPr="00CB25A7">
              <w:rPr>
                <w:rStyle w:val="Hyperlink"/>
              </w:rPr>
              <w:t>N17.  SPECIAL TESTS AND PROVISIONS – UEL FORMULA (FORM 52722 OMB APPROVAL NO. 2577-0029)</w:t>
            </w:r>
            <w:r>
              <w:rPr>
                <w:webHidden/>
              </w:rPr>
              <w:tab/>
            </w:r>
            <w:r>
              <w:rPr>
                <w:webHidden/>
              </w:rPr>
              <w:fldChar w:fldCharType="begin"/>
            </w:r>
            <w:r>
              <w:rPr>
                <w:webHidden/>
              </w:rPr>
              <w:instrText xml:space="preserve"> PAGEREF _Toc212473219 \h </w:instrText>
            </w:r>
            <w:r>
              <w:rPr>
                <w:webHidden/>
              </w:rPr>
            </w:r>
            <w:r>
              <w:rPr>
                <w:webHidden/>
              </w:rPr>
              <w:fldChar w:fldCharType="separate"/>
            </w:r>
            <w:r w:rsidR="00FA18E3">
              <w:rPr>
                <w:webHidden/>
              </w:rPr>
              <w:t>103</w:t>
            </w:r>
            <w:r>
              <w:rPr>
                <w:webHidden/>
              </w:rPr>
              <w:fldChar w:fldCharType="end"/>
            </w:r>
          </w:hyperlink>
        </w:p>
        <w:p w14:paraId="455C785F" w14:textId="3900FD85"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20" w:history="1">
            <w:r w:rsidRPr="00CB25A7">
              <w:rPr>
                <w:rStyle w:val="Hyperlink"/>
                <w:rFonts w:cs="Arial"/>
                <w:noProof/>
              </w:rPr>
              <w:t>OMB Compliance Requirements</w:t>
            </w:r>
            <w:r>
              <w:rPr>
                <w:noProof/>
                <w:webHidden/>
              </w:rPr>
              <w:tab/>
            </w:r>
            <w:r>
              <w:rPr>
                <w:noProof/>
                <w:webHidden/>
              </w:rPr>
              <w:fldChar w:fldCharType="begin"/>
            </w:r>
            <w:r>
              <w:rPr>
                <w:noProof/>
                <w:webHidden/>
              </w:rPr>
              <w:instrText xml:space="preserve"> PAGEREF _Toc212473220 \h </w:instrText>
            </w:r>
            <w:r>
              <w:rPr>
                <w:noProof/>
                <w:webHidden/>
              </w:rPr>
            </w:r>
            <w:r>
              <w:rPr>
                <w:noProof/>
                <w:webHidden/>
              </w:rPr>
              <w:fldChar w:fldCharType="separate"/>
            </w:r>
            <w:r w:rsidR="00FA18E3">
              <w:rPr>
                <w:noProof/>
                <w:webHidden/>
              </w:rPr>
              <w:t>103</w:t>
            </w:r>
            <w:r>
              <w:rPr>
                <w:noProof/>
                <w:webHidden/>
              </w:rPr>
              <w:fldChar w:fldCharType="end"/>
            </w:r>
          </w:hyperlink>
        </w:p>
        <w:p w14:paraId="0782A85C" w14:textId="4447AEFC"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21" w:history="1">
            <w:r w:rsidRPr="00CB25A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_Toc212473221 \h </w:instrText>
            </w:r>
            <w:r>
              <w:rPr>
                <w:noProof/>
                <w:webHidden/>
              </w:rPr>
            </w:r>
            <w:r>
              <w:rPr>
                <w:noProof/>
                <w:webHidden/>
              </w:rPr>
              <w:fldChar w:fldCharType="separate"/>
            </w:r>
            <w:r w:rsidR="00FA18E3">
              <w:rPr>
                <w:noProof/>
                <w:webHidden/>
              </w:rPr>
              <w:t>103</w:t>
            </w:r>
            <w:r>
              <w:rPr>
                <w:noProof/>
                <w:webHidden/>
              </w:rPr>
              <w:fldChar w:fldCharType="end"/>
            </w:r>
          </w:hyperlink>
        </w:p>
        <w:p w14:paraId="3A818EB7" w14:textId="206CAC76"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22" w:history="1">
            <w:r w:rsidRPr="00CB25A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_Toc212473222 \h </w:instrText>
            </w:r>
            <w:r>
              <w:rPr>
                <w:noProof/>
                <w:webHidden/>
              </w:rPr>
            </w:r>
            <w:r>
              <w:rPr>
                <w:noProof/>
                <w:webHidden/>
              </w:rPr>
              <w:fldChar w:fldCharType="separate"/>
            </w:r>
            <w:r w:rsidR="00FA18E3">
              <w:rPr>
                <w:noProof/>
                <w:webHidden/>
              </w:rPr>
              <w:t>104</w:t>
            </w:r>
            <w:r>
              <w:rPr>
                <w:noProof/>
                <w:webHidden/>
              </w:rPr>
              <w:fldChar w:fldCharType="end"/>
            </w:r>
          </w:hyperlink>
        </w:p>
        <w:p w14:paraId="174CCC4A" w14:textId="49DF66DC"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23" w:history="1">
            <w:r w:rsidRPr="00CB25A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_Toc212473223 \h </w:instrText>
            </w:r>
            <w:r>
              <w:rPr>
                <w:noProof/>
                <w:webHidden/>
              </w:rPr>
            </w:r>
            <w:r>
              <w:rPr>
                <w:noProof/>
                <w:webHidden/>
              </w:rPr>
              <w:fldChar w:fldCharType="separate"/>
            </w:r>
            <w:r w:rsidR="00FA18E3">
              <w:rPr>
                <w:noProof/>
                <w:webHidden/>
              </w:rPr>
              <w:t>104</w:t>
            </w:r>
            <w:r>
              <w:rPr>
                <w:noProof/>
                <w:webHidden/>
              </w:rPr>
              <w:fldChar w:fldCharType="end"/>
            </w:r>
          </w:hyperlink>
        </w:p>
        <w:p w14:paraId="7845E322" w14:textId="62621E2B"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24" w:history="1">
            <w:r w:rsidRPr="00CB25A7">
              <w:rPr>
                <w:rStyle w:val="Hyperlink"/>
                <w:rFonts w:cs="Arial"/>
                <w:noProof/>
              </w:rPr>
              <w:t>Audit Implications Summary</w:t>
            </w:r>
            <w:r>
              <w:rPr>
                <w:noProof/>
                <w:webHidden/>
              </w:rPr>
              <w:tab/>
            </w:r>
            <w:r>
              <w:rPr>
                <w:noProof/>
                <w:webHidden/>
              </w:rPr>
              <w:fldChar w:fldCharType="begin"/>
            </w:r>
            <w:r>
              <w:rPr>
                <w:noProof/>
                <w:webHidden/>
              </w:rPr>
              <w:instrText xml:space="preserve"> PAGEREF _Toc212473224 \h </w:instrText>
            </w:r>
            <w:r>
              <w:rPr>
                <w:noProof/>
                <w:webHidden/>
              </w:rPr>
            </w:r>
            <w:r>
              <w:rPr>
                <w:noProof/>
                <w:webHidden/>
              </w:rPr>
              <w:fldChar w:fldCharType="separate"/>
            </w:r>
            <w:r w:rsidR="00FA18E3">
              <w:rPr>
                <w:noProof/>
                <w:webHidden/>
              </w:rPr>
              <w:t>105</w:t>
            </w:r>
            <w:r>
              <w:rPr>
                <w:noProof/>
                <w:webHidden/>
              </w:rPr>
              <w:fldChar w:fldCharType="end"/>
            </w:r>
          </w:hyperlink>
        </w:p>
        <w:p w14:paraId="2C278EA8" w14:textId="4009E2F1" w:rsidR="00D34A79" w:rsidRDefault="00D34A79">
          <w:pPr>
            <w:pStyle w:val="TOC2"/>
            <w:rPr>
              <w:rFonts w:asciiTheme="minorHAnsi" w:eastAsiaTheme="minorEastAsia" w:hAnsiTheme="minorHAnsi" w:cstheme="minorBidi"/>
              <w:bCs w:val="0"/>
              <w:kern w:val="2"/>
              <w:sz w:val="24"/>
              <w14:ligatures w14:val="standardContextual"/>
            </w:rPr>
          </w:pPr>
          <w:hyperlink w:anchor="_Toc212473225" w:history="1">
            <w:r w:rsidRPr="00CB25A7">
              <w:rPr>
                <w:rStyle w:val="Hyperlink"/>
              </w:rPr>
              <w:t>N18.  SPECIAL TESTS AND PROVISIONS – FORMULA INCOME</w:t>
            </w:r>
            <w:r>
              <w:rPr>
                <w:webHidden/>
              </w:rPr>
              <w:tab/>
            </w:r>
            <w:r>
              <w:rPr>
                <w:webHidden/>
              </w:rPr>
              <w:fldChar w:fldCharType="begin"/>
            </w:r>
            <w:r>
              <w:rPr>
                <w:webHidden/>
              </w:rPr>
              <w:instrText xml:space="preserve"> PAGEREF _Toc212473225 \h </w:instrText>
            </w:r>
            <w:r>
              <w:rPr>
                <w:webHidden/>
              </w:rPr>
            </w:r>
            <w:r>
              <w:rPr>
                <w:webHidden/>
              </w:rPr>
              <w:fldChar w:fldCharType="separate"/>
            </w:r>
            <w:r w:rsidR="00FA18E3">
              <w:rPr>
                <w:webHidden/>
              </w:rPr>
              <w:t>107</w:t>
            </w:r>
            <w:r>
              <w:rPr>
                <w:webHidden/>
              </w:rPr>
              <w:fldChar w:fldCharType="end"/>
            </w:r>
          </w:hyperlink>
        </w:p>
        <w:p w14:paraId="04988DE3" w14:textId="12806004"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26" w:history="1">
            <w:r w:rsidRPr="00CB25A7">
              <w:rPr>
                <w:rStyle w:val="Hyperlink"/>
                <w:rFonts w:cs="Arial"/>
                <w:noProof/>
              </w:rPr>
              <w:t>OMB Compliance Requirements</w:t>
            </w:r>
            <w:r>
              <w:rPr>
                <w:noProof/>
                <w:webHidden/>
              </w:rPr>
              <w:tab/>
            </w:r>
            <w:r>
              <w:rPr>
                <w:noProof/>
                <w:webHidden/>
              </w:rPr>
              <w:fldChar w:fldCharType="begin"/>
            </w:r>
            <w:r>
              <w:rPr>
                <w:noProof/>
                <w:webHidden/>
              </w:rPr>
              <w:instrText xml:space="preserve"> PAGEREF _Toc212473226 \h </w:instrText>
            </w:r>
            <w:r>
              <w:rPr>
                <w:noProof/>
                <w:webHidden/>
              </w:rPr>
            </w:r>
            <w:r>
              <w:rPr>
                <w:noProof/>
                <w:webHidden/>
              </w:rPr>
              <w:fldChar w:fldCharType="separate"/>
            </w:r>
            <w:r w:rsidR="00FA18E3">
              <w:rPr>
                <w:noProof/>
                <w:webHidden/>
              </w:rPr>
              <w:t>107</w:t>
            </w:r>
            <w:r>
              <w:rPr>
                <w:noProof/>
                <w:webHidden/>
              </w:rPr>
              <w:fldChar w:fldCharType="end"/>
            </w:r>
          </w:hyperlink>
        </w:p>
        <w:p w14:paraId="6B88028C" w14:textId="76DEE2E6"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27" w:history="1">
            <w:r w:rsidRPr="00CB25A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_Toc212473227 \h </w:instrText>
            </w:r>
            <w:r>
              <w:rPr>
                <w:noProof/>
                <w:webHidden/>
              </w:rPr>
            </w:r>
            <w:r>
              <w:rPr>
                <w:noProof/>
                <w:webHidden/>
              </w:rPr>
              <w:fldChar w:fldCharType="separate"/>
            </w:r>
            <w:r w:rsidR="00FA18E3">
              <w:rPr>
                <w:noProof/>
                <w:webHidden/>
              </w:rPr>
              <w:t>107</w:t>
            </w:r>
            <w:r>
              <w:rPr>
                <w:noProof/>
                <w:webHidden/>
              </w:rPr>
              <w:fldChar w:fldCharType="end"/>
            </w:r>
          </w:hyperlink>
        </w:p>
        <w:p w14:paraId="5BD6A0D4" w14:textId="4B66B353"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28" w:history="1">
            <w:r w:rsidRPr="00CB25A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_Toc212473228 \h </w:instrText>
            </w:r>
            <w:r>
              <w:rPr>
                <w:noProof/>
                <w:webHidden/>
              </w:rPr>
            </w:r>
            <w:r>
              <w:rPr>
                <w:noProof/>
                <w:webHidden/>
              </w:rPr>
              <w:fldChar w:fldCharType="separate"/>
            </w:r>
            <w:r w:rsidR="00FA18E3">
              <w:rPr>
                <w:noProof/>
                <w:webHidden/>
              </w:rPr>
              <w:t>107</w:t>
            </w:r>
            <w:r>
              <w:rPr>
                <w:noProof/>
                <w:webHidden/>
              </w:rPr>
              <w:fldChar w:fldCharType="end"/>
            </w:r>
          </w:hyperlink>
        </w:p>
        <w:p w14:paraId="53E4DB7A" w14:textId="272DA767"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29" w:history="1">
            <w:r w:rsidRPr="00CB25A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_Toc212473229 \h </w:instrText>
            </w:r>
            <w:r>
              <w:rPr>
                <w:noProof/>
                <w:webHidden/>
              </w:rPr>
            </w:r>
            <w:r>
              <w:rPr>
                <w:noProof/>
                <w:webHidden/>
              </w:rPr>
              <w:fldChar w:fldCharType="separate"/>
            </w:r>
            <w:r w:rsidR="00FA18E3">
              <w:rPr>
                <w:noProof/>
                <w:webHidden/>
              </w:rPr>
              <w:t>109</w:t>
            </w:r>
            <w:r>
              <w:rPr>
                <w:noProof/>
                <w:webHidden/>
              </w:rPr>
              <w:fldChar w:fldCharType="end"/>
            </w:r>
          </w:hyperlink>
        </w:p>
        <w:p w14:paraId="0DC4B7D5" w14:textId="560914DA"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30" w:history="1">
            <w:r w:rsidRPr="00CB25A7">
              <w:rPr>
                <w:rStyle w:val="Hyperlink"/>
                <w:rFonts w:cs="Arial"/>
                <w:noProof/>
              </w:rPr>
              <w:t>Audit Implications Summary</w:t>
            </w:r>
            <w:r>
              <w:rPr>
                <w:noProof/>
                <w:webHidden/>
              </w:rPr>
              <w:tab/>
            </w:r>
            <w:r>
              <w:rPr>
                <w:noProof/>
                <w:webHidden/>
              </w:rPr>
              <w:fldChar w:fldCharType="begin"/>
            </w:r>
            <w:r>
              <w:rPr>
                <w:noProof/>
                <w:webHidden/>
              </w:rPr>
              <w:instrText xml:space="preserve"> PAGEREF _Toc212473230 \h </w:instrText>
            </w:r>
            <w:r>
              <w:rPr>
                <w:noProof/>
                <w:webHidden/>
              </w:rPr>
            </w:r>
            <w:r>
              <w:rPr>
                <w:noProof/>
                <w:webHidden/>
              </w:rPr>
              <w:fldChar w:fldCharType="separate"/>
            </w:r>
            <w:r w:rsidR="00FA18E3">
              <w:rPr>
                <w:noProof/>
                <w:webHidden/>
              </w:rPr>
              <w:t>109</w:t>
            </w:r>
            <w:r>
              <w:rPr>
                <w:noProof/>
                <w:webHidden/>
              </w:rPr>
              <w:fldChar w:fldCharType="end"/>
            </w:r>
          </w:hyperlink>
        </w:p>
        <w:p w14:paraId="4ECD180E" w14:textId="47D196DC" w:rsidR="00D34A79" w:rsidRDefault="00D34A79">
          <w:pPr>
            <w:pStyle w:val="TOC2"/>
            <w:rPr>
              <w:rFonts w:asciiTheme="minorHAnsi" w:eastAsiaTheme="minorEastAsia" w:hAnsiTheme="minorHAnsi" w:cstheme="minorBidi"/>
              <w:bCs w:val="0"/>
              <w:kern w:val="2"/>
              <w:sz w:val="24"/>
              <w14:ligatures w14:val="standardContextual"/>
            </w:rPr>
          </w:pPr>
          <w:hyperlink w:anchor="_Toc212473231" w:history="1">
            <w:r w:rsidRPr="00CB25A7">
              <w:rPr>
                <w:rStyle w:val="Hyperlink"/>
              </w:rPr>
              <w:t>N19. SPECIAL TESTS AND PROVISIONS – SHORTFALL FUNDING</w:t>
            </w:r>
            <w:r>
              <w:rPr>
                <w:webHidden/>
              </w:rPr>
              <w:tab/>
            </w:r>
            <w:r>
              <w:rPr>
                <w:webHidden/>
              </w:rPr>
              <w:fldChar w:fldCharType="begin"/>
            </w:r>
            <w:r>
              <w:rPr>
                <w:webHidden/>
              </w:rPr>
              <w:instrText xml:space="preserve"> PAGEREF _Toc212473231 \h </w:instrText>
            </w:r>
            <w:r>
              <w:rPr>
                <w:webHidden/>
              </w:rPr>
            </w:r>
            <w:r>
              <w:rPr>
                <w:webHidden/>
              </w:rPr>
              <w:fldChar w:fldCharType="separate"/>
            </w:r>
            <w:r w:rsidR="00FA18E3">
              <w:rPr>
                <w:webHidden/>
              </w:rPr>
              <w:t>111</w:t>
            </w:r>
            <w:r>
              <w:rPr>
                <w:webHidden/>
              </w:rPr>
              <w:fldChar w:fldCharType="end"/>
            </w:r>
          </w:hyperlink>
        </w:p>
        <w:p w14:paraId="2D20BB56" w14:textId="1AA5B5D7"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32" w:history="1">
            <w:r w:rsidRPr="00CB25A7">
              <w:rPr>
                <w:rStyle w:val="Hyperlink"/>
                <w:rFonts w:cs="Arial"/>
                <w:noProof/>
              </w:rPr>
              <w:t>OMB Compliance Requirements</w:t>
            </w:r>
            <w:r>
              <w:rPr>
                <w:noProof/>
                <w:webHidden/>
              </w:rPr>
              <w:tab/>
            </w:r>
            <w:r>
              <w:rPr>
                <w:noProof/>
                <w:webHidden/>
              </w:rPr>
              <w:fldChar w:fldCharType="begin"/>
            </w:r>
            <w:r>
              <w:rPr>
                <w:noProof/>
                <w:webHidden/>
              </w:rPr>
              <w:instrText xml:space="preserve"> PAGEREF _Toc212473232 \h </w:instrText>
            </w:r>
            <w:r>
              <w:rPr>
                <w:noProof/>
                <w:webHidden/>
              </w:rPr>
            </w:r>
            <w:r>
              <w:rPr>
                <w:noProof/>
                <w:webHidden/>
              </w:rPr>
              <w:fldChar w:fldCharType="separate"/>
            </w:r>
            <w:r w:rsidR="00FA18E3">
              <w:rPr>
                <w:noProof/>
                <w:webHidden/>
              </w:rPr>
              <w:t>111</w:t>
            </w:r>
            <w:r>
              <w:rPr>
                <w:noProof/>
                <w:webHidden/>
              </w:rPr>
              <w:fldChar w:fldCharType="end"/>
            </w:r>
          </w:hyperlink>
        </w:p>
        <w:p w14:paraId="5BBF9B72" w14:textId="4E81043E"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33" w:history="1">
            <w:r w:rsidRPr="00CB25A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_Toc212473233 \h </w:instrText>
            </w:r>
            <w:r>
              <w:rPr>
                <w:noProof/>
                <w:webHidden/>
              </w:rPr>
            </w:r>
            <w:r>
              <w:rPr>
                <w:noProof/>
                <w:webHidden/>
              </w:rPr>
              <w:fldChar w:fldCharType="separate"/>
            </w:r>
            <w:r w:rsidR="00FA18E3">
              <w:rPr>
                <w:noProof/>
                <w:webHidden/>
              </w:rPr>
              <w:t>111</w:t>
            </w:r>
            <w:r>
              <w:rPr>
                <w:noProof/>
                <w:webHidden/>
              </w:rPr>
              <w:fldChar w:fldCharType="end"/>
            </w:r>
          </w:hyperlink>
        </w:p>
        <w:p w14:paraId="60BB5002" w14:textId="4B8C493B"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34" w:history="1">
            <w:r w:rsidRPr="00CB25A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_Toc212473234 \h </w:instrText>
            </w:r>
            <w:r>
              <w:rPr>
                <w:noProof/>
                <w:webHidden/>
              </w:rPr>
            </w:r>
            <w:r>
              <w:rPr>
                <w:noProof/>
                <w:webHidden/>
              </w:rPr>
              <w:fldChar w:fldCharType="separate"/>
            </w:r>
            <w:r w:rsidR="00FA18E3">
              <w:rPr>
                <w:noProof/>
                <w:webHidden/>
              </w:rPr>
              <w:t>111</w:t>
            </w:r>
            <w:r>
              <w:rPr>
                <w:noProof/>
                <w:webHidden/>
              </w:rPr>
              <w:fldChar w:fldCharType="end"/>
            </w:r>
          </w:hyperlink>
        </w:p>
        <w:p w14:paraId="0CF956A3" w14:textId="190DA45A"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35" w:history="1">
            <w:r w:rsidRPr="00CB25A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_Toc212473235 \h </w:instrText>
            </w:r>
            <w:r>
              <w:rPr>
                <w:noProof/>
                <w:webHidden/>
              </w:rPr>
            </w:r>
            <w:r>
              <w:rPr>
                <w:noProof/>
                <w:webHidden/>
              </w:rPr>
              <w:fldChar w:fldCharType="separate"/>
            </w:r>
            <w:r w:rsidR="00FA18E3">
              <w:rPr>
                <w:noProof/>
                <w:webHidden/>
              </w:rPr>
              <w:t>112</w:t>
            </w:r>
            <w:r>
              <w:rPr>
                <w:noProof/>
                <w:webHidden/>
              </w:rPr>
              <w:fldChar w:fldCharType="end"/>
            </w:r>
          </w:hyperlink>
        </w:p>
        <w:p w14:paraId="547D72FF" w14:textId="59926463"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36" w:history="1">
            <w:r w:rsidRPr="00CB25A7">
              <w:rPr>
                <w:rStyle w:val="Hyperlink"/>
                <w:rFonts w:cs="Arial"/>
                <w:noProof/>
              </w:rPr>
              <w:t>Audit Implications Summary</w:t>
            </w:r>
            <w:r>
              <w:rPr>
                <w:noProof/>
                <w:webHidden/>
              </w:rPr>
              <w:tab/>
            </w:r>
            <w:r>
              <w:rPr>
                <w:noProof/>
                <w:webHidden/>
              </w:rPr>
              <w:fldChar w:fldCharType="begin"/>
            </w:r>
            <w:r>
              <w:rPr>
                <w:noProof/>
                <w:webHidden/>
              </w:rPr>
              <w:instrText xml:space="preserve"> PAGEREF _Toc212473236 \h </w:instrText>
            </w:r>
            <w:r>
              <w:rPr>
                <w:noProof/>
                <w:webHidden/>
              </w:rPr>
            </w:r>
            <w:r>
              <w:rPr>
                <w:noProof/>
                <w:webHidden/>
              </w:rPr>
              <w:fldChar w:fldCharType="separate"/>
            </w:r>
            <w:r w:rsidR="00FA18E3">
              <w:rPr>
                <w:noProof/>
                <w:webHidden/>
              </w:rPr>
              <w:t>112</w:t>
            </w:r>
            <w:r>
              <w:rPr>
                <w:noProof/>
                <w:webHidden/>
              </w:rPr>
              <w:fldChar w:fldCharType="end"/>
            </w:r>
          </w:hyperlink>
        </w:p>
        <w:p w14:paraId="6BB17AEC" w14:textId="4B6B2241" w:rsidR="00D34A79" w:rsidRDefault="00D34A79">
          <w:pPr>
            <w:pStyle w:val="TOC2"/>
            <w:rPr>
              <w:rFonts w:asciiTheme="minorHAnsi" w:eastAsiaTheme="minorEastAsia" w:hAnsiTheme="minorHAnsi" w:cstheme="minorBidi"/>
              <w:bCs w:val="0"/>
              <w:kern w:val="2"/>
              <w:sz w:val="24"/>
              <w14:ligatures w14:val="standardContextual"/>
            </w:rPr>
          </w:pPr>
          <w:hyperlink w:anchor="_Toc212473237" w:history="1">
            <w:r w:rsidRPr="00CB25A7">
              <w:rPr>
                <w:rStyle w:val="Hyperlink"/>
              </w:rPr>
              <w:t>Progr</w:t>
            </w:r>
            <w:r w:rsidRPr="00CB25A7">
              <w:rPr>
                <w:rStyle w:val="Hyperlink"/>
              </w:rPr>
              <w:t>a</w:t>
            </w:r>
            <w:r w:rsidRPr="00CB25A7">
              <w:rPr>
                <w:rStyle w:val="Hyperlink"/>
              </w:rPr>
              <w:t>m Testing Conclusion</w:t>
            </w:r>
            <w:r>
              <w:rPr>
                <w:webHidden/>
              </w:rPr>
              <w:tab/>
            </w:r>
            <w:r>
              <w:rPr>
                <w:webHidden/>
              </w:rPr>
              <w:fldChar w:fldCharType="begin"/>
            </w:r>
            <w:r>
              <w:rPr>
                <w:webHidden/>
              </w:rPr>
              <w:instrText xml:space="preserve"> PAGEREF _Toc212473237 \h </w:instrText>
            </w:r>
            <w:r>
              <w:rPr>
                <w:webHidden/>
              </w:rPr>
            </w:r>
            <w:r>
              <w:rPr>
                <w:webHidden/>
              </w:rPr>
              <w:fldChar w:fldCharType="separate"/>
            </w:r>
            <w:r w:rsidR="00FA18E3">
              <w:rPr>
                <w:webHidden/>
              </w:rPr>
              <w:t>114</w:t>
            </w:r>
            <w:r>
              <w:rPr>
                <w:webHidden/>
              </w:rPr>
              <w:fldChar w:fldCharType="end"/>
            </w:r>
          </w:hyperlink>
        </w:p>
        <w:p w14:paraId="03C2BB18" w14:textId="12C5AB38"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6"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7" w:name="_Hlk131149657"/>
      <w:bookmarkEnd w:id="6"/>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240C531" w:rsidR="00E21893" w:rsidRPr="00E21893" w:rsidRDefault="00E83B4A" w:rsidP="008B4BCE">
      <w:pPr>
        <w:pStyle w:val="ListParagraph"/>
        <w:numPr>
          <w:ilvl w:val="0"/>
          <w:numId w:val="28"/>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w:t>
      </w:r>
      <w:r w:rsidR="00824E27">
        <w:rPr>
          <w:rFonts w:ascii="Arial" w:hAnsi="Arial" w:cs="Arial"/>
          <w:i/>
          <w:iCs/>
          <w:color w:val="002060"/>
        </w:rPr>
        <w:t xml:space="preserve">(AOS auditors refer to AOSAM 34900.4) </w:t>
      </w:r>
      <w:r w:rsidR="00E21893">
        <w:rPr>
          <w:rFonts w:ascii="Arial" w:hAnsi="Arial" w:cs="Arial"/>
          <w:i/>
          <w:iCs/>
          <w:color w:val="002060"/>
        </w:rPr>
        <w:t>and</w:t>
      </w:r>
      <w:r w:rsidR="004717CE" w:rsidRPr="00E21893">
        <w:rPr>
          <w:rFonts w:ascii="Arial" w:hAnsi="Arial" w:cs="Arial"/>
          <w:i/>
          <w:iCs/>
          <w:color w:val="002060"/>
        </w:rPr>
        <w:t xml:space="preserve"> </w:t>
      </w:r>
    </w:p>
    <w:p w14:paraId="67359883" w14:textId="25502752" w:rsidR="00E21893" w:rsidRPr="00E83B4A" w:rsidRDefault="00E83B4A" w:rsidP="008B4BCE">
      <w:pPr>
        <w:pStyle w:val="ListParagraph"/>
        <w:numPr>
          <w:ilvl w:val="0"/>
          <w:numId w:val="28"/>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74D92198" w:rsidR="004717CE" w:rsidRPr="00E21893" w:rsidRDefault="002F33D2" w:rsidP="0019565C">
      <w:pPr>
        <w:pStyle w:val="ListParagraph"/>
        <w:spacing w:after="240"/>
        <w:ind w:left="0"/>
        <w:jc w:val="both"/>
        <w:rPr>
          <w:rFonts w:ascii="Arial" w:hAnsi="Arial" w:cs="Arial"/>
          <w:bCs/>
          <w:i/>
          <w:iCs/>
          <w:color w:val="002060"/>
        </w:rPr>
      </w:pPr>
      <w:r>
        <w:rPr>
          <w:rFonts w:ascii="Arial" w:hAnsi="Arial" w:cs="Arial"/>
          <w:i/>
          <w:iCs/>
          <w:color w:val="002060"/>
        </w:rPr>
        <w:t>Per 2 CFR 200.514(c)(4), when</w:t>
      </w:r>
      <w:r w:rsidR="004717CE" w:rsidRPr="00E21893">
        <w:rPr>
          <w:rFonts w:ascii="Arial" w:hAnsi="Arial" w:cs="Arial"/>
          <w:i/>
          <w:iCs/>
          <w:color w:val="002060"/>
        </w:rPr>
        <w:t xml:space="preserve"> internal control over</w:t>
      </w:r>
      <w:r>
        <w:rPr>
          <w:rFonts w:ascii="Arial" w:hAnsi="Arial" w:cs="Arial"/>
          <w:i/>
          <w:iCs/>
          <w:color w:val="002060"/>
        </w:rPr>
        <w:t xml:space="preserve"> some or all of the</w:t>
      </w:r>
      <w:r w:rsidR="004717CE" w:rsidRPr="00E21893">
        <w:rPr>
          <w:rFonts w:ascii="Arial" w:hAnsi="Arial" w:cs="Arial"/>
          <w:i/>
          <w:iCs/>
          <w:color w:val="002060"/>
        </w:rPr>
        <w:t xml:space="preserve"> compliance requirement</w:t>
      </w:r>
      <w:r>
        <w:rPr>
          <w:rFonts w:ascii="Arial" w:hAnsi="Arial" w:cs="Arial"/>
          <w:i/>
          <w:iCs/>
          <w:color w:val="002060"/>
        </w:rPr>
        <w:t>s for a major program are</w:t>
      </w:r>
      <w:r w:rsidR="004717CE" w:rsidRPr="00E21893">
        <w:rPr>
          <w:rFonts w:ascii="Arial" w:hAnsi="Arial" w:cs="Arial"/>
          <w:i/>
          <w:iCs/>
          <w:color w:val="002060"/>
        </w:rPr>
        <w:t xml:space="preserve"> likely to be ineffective in preventing or detecting noncompliance, the auditor is not required to plan and perform tests of internal control over compliance</w:t>
      </w:r>
      <w:r>
        <w:rPr>
          <w:rFonts w:ascii="Arial" w:hAnsi="Arial" w:cs="Arial"/>
          <w:i/>
          <w:iCs/>
          <w:color w:val="002060"/>
        </w:rPr>
        <w:t xml:space="preserve"> for those compliance requirements</w:t>
      </w:r>
      <w:r w:rsidR="004717CE" w:rsidRPr="00E21893">
        <w:rPr>
          <w:rFonts w:ascii="Arial" w:hAnsi="Arial" w:cs="Arial"/>
          <w:i/>
          <w:iCs/>
          <w:color w:val="002060"/>
        </w:rPr>
        <w:t xml:space="preserve">. </w:t>
      </w:r>
      <w:r>
        <w:rPr>
          <w:rFonts w:ascii="Arial" w:hAnsi="Arial" w:cs="Arial"/>
          <w:i/>
          <w:iCs/>
          <w:color w:val="002060"/>
        </w:rPr>
        <w:t>However</w:t>
      </w:r>
      <w:r w:rsidR="004717CE" w:rsidRPr="00E21893">
        <w:rPr>
          <w:rFonts w:ascii="Arial" w:hAnsi="Arial" w:cs="Arial"/>
          <w:i/>
          <w:iCs/>
          <w:color w:val="002060"/>
        </w:rPr>
        <w:t xml:space="preserve">, the auditor must </w:t>
      </w:r>
      <w:r w:rsidRPr="00E21893">
        <w:rPr>
          <w:rFonts w:ascii="Arial" w:hAnsi="Arial" w:cs="Arial"/>
          <w:i/>
          <w:iCs/>
          <w:color w:val="002060"/>
        </w:rPr>
        <w:t>report a significant deficiency or material weakness</w:t>
      </w:r>
      <w:r>
        <w:rPr>
          <w:rFonts w:ascii="Arial" w:hAnsi="Arial" w:cs="Arial"/>
          <w:i/>
          <w:iCs/>
          <w:color w:val="002060"/>
        </w:rPr>
        <w:t>,</w:t>
      </w:r>
      <w:r w:rsidRPr="00E21893">
        <w:rPr>
          <w:rFonts w:ascii="Arial" w:hAnsi="Arial" w:cs="Arial"/>
          <w:i/>
          <w:iCs/>
          <w:color w:val="002060"/>
        </w:rPr>
        <w:t xml:space="preserve"> </w:t>
      </w:r>
      <w:r w:rsidR="004717CE" w:rsidRPr="00E21893">
        <w:rPr>
          <w:rFonts w:ascii="Arial" w:hAnsi="Arial" w:cs="Arial"/>
          <w:i/>
          <w:iCs/>
          <w:color w:val="002060"/>
        </w:rPr>
        <w:t xml:space="preserve">assess </w:t>
      </w:r>
      <w:r>
        <w:rPr>
          <w:rFonts w:ascii="Arial" w:hAnsi="Arial" w:cs="Arial"/>
          <w:i/>
          <w:iCs/>
          <w:color w:val="002060"/>
        </w:rPr>
        <w:t xml:space="preserve">the related </w:t>
      </w:r>
      <w:r w:rsidR="004717CE" w:rsidRPr="00E21893">
        <w:rPr>
          <w:rFonts w:ascii="Arial" w:hAnsi="Arial" w:cs="Arial"/>
          <w:i/>
          <w:iCs/>
          <w:color w:val="002060"/>
        </w:rPr>
        <w:t xml:space="preserve">control risk at </w:t>
      </w:r>
      <w:r>
        <w:rPr>
          <w:rFonts w:ascii="Arial" w:hAnsi="Arial" w:cs="Arial"/>
          <w:i/>
          <w:iCs/>
          <w:color w:val="002060"/>
        </w:rPr>
        <w:t xml:space="preserve">the </w:t>
      </w:r>
      <w:r w:rsidR="004717CE" w:rsidRPr="00E21893">
        <w:rPr>
          <w:rFonts w:ascii="Arial" w:hAnsi="Arial" w:cs="Arial"/>
          <w:i/>
          <w:iCs/>
          <w:color w:val="002060"/>
        </w:rPr>
        <w:t xml:space="preserve">maximum, </w:t>
      </w:r>
      <w:r>
        <w:rPr>
          <w:rFonts w:ascii="Arial" w:hAnsi="Arial" w:cs="Arial"/>
          <w:i/>
          <w:iCs/>
          <w:color w:val="002060"/>
        </w:rPr>
        <w:t>and consider</w:t>
      </w:r>
      <w:r w:rsidR="004717CE" w:rsidRPr="00E21893">
        <w:rPr>
          <w:rFonts w:ascii="Arial" w:hAnsi="Arial" w:cs="Arial"/>
          <w:i/>
          <w:iCs/>
          <w:color w:val="002060"/>
        </w:rPr>
        <w:t xml:space="preserve"> whether additional compliance tests are required</w:t>
      </w:r>
      <w:r>
        <w:rPr>
          <w:rFonts w:ascii="Arial" w:hAnsi="Arial" w:cs="Arial"/>
          <w:i/>
          <w:iCs/>
          <w:color w:val="002060"/>
        </w:rPr>
        <w:t xml:space="preserve"> because of ineffective internal control</w:t>
      </w:r>
      <w:r w:rsidR="004717CE" w:rsidRPr="00E21893">
        <w:rPr>
          <w:rFonts w:ascii="Arial" w:hAnsi="Arial" w:cs="Arial"/>
          <w:i/>
          <w:iCs/>
          <w:color w:val="002060"/>
        </w:rPr>
        <w:t xml:space="preserve">. </w:t>
      </w:r>
    </w:p>
    <w:p w14:paraId="2183A791" w14:textId="50BD82D5"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7D7551">
        <w:rPr>
          <w:rFonts w:ascii="Arial" w:hAnsi="Arial" w:cs="Arial"/>
          <w:i/>
          <w:iCs/>
          <w:color w:val="002060"/>
          <w:szCs w:val="20"/>
        </w:rPr>
        <w:t>50</w:t>
      </w:r>
      <w:r w:rsidR="000104D2" w:rsidRPr="00365EB4">
        <w:rPr>
          <w:rFonts w:ascii="Arial" w:hAnsi="Arial" w:cs="Arial"/>
          <w:i/>
          <w:iCs/>
          <w:color w:val="002060"/>
          <w:szCs w:val="20"/>
        </w:rPr>
        <w:t>-9.</w:t>
      </w:r>
      <w:r w:rsidR="00824E27">
        <w:rPr>
          <w:rFonts w:ascii="Arial" w:hAnsi="Arial" w:cs="Arial"/>
          <w:i/>
          <w:iCs/>
          <w:color w:val="002060"/>
          <w:szCs w:val="20"/>
        </w:rPr>
        <w:t>51</w:t>
      </w:r>
      <w:r w:rsidR="000104D2" w:rsidRPr="00365EB4">
        <w:rPr>
          <w:rFonts w:ascii="Arial" w:hAnsi="Arial" w:cs="Arial"/>
          <w:i/>
          <w:iCs/>
          <w:color w:val="002060"/>
          <w:szCs w:val="20"/>
        </w:rPr>
        <w:t xml:space="preserve"> of the </w:t>
      </w:r>
      <w:bookmarkStart w:id="8" w:name="_Hlk131590790"/>
      <w:r w:rsidR="000104D2" w:rsidRPr="00365EB4">
        <w:rPr>
          <w:rFonts w:ascii="Arial" w:hAnsi="Arial" w:cs="Arial"/>
          <w:i/>
          <w:iCs/>
          <w:color w:val="002060"/>
          <w:szCs w:val="20"/>
        </w:rPr>
        <w:t>AICPA Single Audit Guide</w:t>
      </w:r>
      <w:bookmarkEnd w:id="8"/>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8B4BCE">
      <w:pPr>
        <w:pStyle w:val="BodyText"/>
        <w:numPr>
          <w:ilvl w:val="0"/>
          <w:numId w:val="29"/>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8B4BCE">
      <w:pPr>
        <w:pStyle w:val="BodyText"/>
        <w:numPr>
          <w:ilvl w:val="0"/>
          <w:numId w:val="29"/>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8B4BCE">
      <w:pPr>
        <w:pStyle w:val="BodyText"/>
        <w:numPr>
          <w:ilvl w:val="0"/>
          <w:numId w:val="29"/>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8B4BCE">
      <w:pPr>
        <w:pStyle w:val="BodyText"/>
        <w:numPr>
          <w:ilvl w:val="0"/>
          <w:numId w:val="29"/>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lastRenderedPageBreak/>
        <w:t>Before a dual-purpose test is performed, AOS auditors must read AOSAM 30500 and 35900 for guidance.</w:t>
      </w:r>
    </w:p>
    <w:p w14:paraId="5450079A" w14:textId="104232BA" w:rsidR="000104D2" w:rsidRPr="00F00D94" w:rsidRDefault="000104D2" w:rsidP="000104D2">
      <w:pPr>
        <w:pStyle w:val="BodyText"/>
        <w:ind w:right="115"/>
        <w:jc w:val="both"/>
        <w:rPr>
          <w:rFonts w:ascii="Arial" w:hAnsi="Arial" w:cs="Arial"/>
          <w:szCs w:val="20"/>
        </w:rPr>
      </w:pPr>
      <w:hyperlink r:id="rId27"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9034FB" w:rsidRPr="00F00D94">
        <w:rPr>
          <w:rFonts w:ascii="Arial" w:hAnsi="Arial" w:cs="Arial"/>
          <w:szCs w:val="20"/>
        </w:rPr>
        <w:t>202</w:t>
      </w:r>
      <w:r w:rsidR="009034FB">
        <w:rPr>
          <w:rFonts w:ascii="Arial" w:hAnsi="Arial" w:cs="Arial"/>
          <w:szCs w:val="20"/>
        </w:rPr>
        <w:t>5</w:t>
      </w:r>
      <w:r w:rsidR="009034FB"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59ECE4F5" w:rsidR="0010435B" w:rsidRDefault="000104D2" w:rsidP="000104D2">
      <w:pPr>
        <w:spacing w:after="240"/>
        <w:jc w:val="both"/>
        <w:rPr>
          <w:rFonts w:ascii="Arial" w:hAnsi="Arial" w:cs="Arial"/>
          <w:i/>
        </w:rPr>
      </w:pPr>
      <w:r w:rsidRPr="00F00D94">
        <w:rPr>
          <w:rFonts w:ascii="Arial" w:hAnsi="Arial" w:cs="Arial"/>
          <w:i/>
        </w:rPr>
        <w:t xml:space="preserve">(Source: </w:t>
      </w:r>
      <w:r w:rsidR="009D190B" w:rsidRPr="00F00D94">
        <w:rPr>
          <w:rFonts w:ascii="Arial" w:hAnsi="Arial" w:cs="Arial"/>
          <w:i/>
        </w:rPr>
        <w:t>202</w:t>
      </w:r>
      <w:r w:rsidR="009D190B">
        <w:rPr>
          <w:rFonts w:ascii="Arial" w:hAnsi="Arial" w:cs="Arial"/>
          <w:i/>
        </w:rPr>
        <w:t>5</w:t>
      </w:r>
      <w:r w:rsidR="009D190B" w:rsidRPr="00F00D94">
        <w:rPr>
          <w:rFonts w:ascii="Arial" w:hAnsi="Arial" w:cs="Arial"/>
          <w:i/>
        </w:rPr>
        <w:t xml:space="preserve"> </w:t>
      </w:r>
      <w:r w:rsidRPr="00F00D94">
        <w:rPr>
          <w:rFonts w:ascii="Arial" w:hAnsi="Arial" w:cs="Arial"/>
          <w:i/>
        </w:rPr>
        <w:t>OMB Compliance Supplement)</w:t>
      </w:r>
    </w:p>
    <w:bookmarkEnd w:id="7"/>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34E9E560" w14:textId="77777777" w:rsidR="00495CBA" w:rsidRPr="00495CBA" w:rsidRDefault="00495CBA" w:rsidP="00495CBA">
      <w:pPr>
        <w:spacing w:after="240"/>
        <w:jc w:val="both"/>
        <w:rPr>
          <w:rFonts w:ascii="Arial" w:hAnsi="Arial" w:cs="Arial"/>
        </w:rPr>
      </w:pPr>
      <w:r w:rsidRPr="0049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3C8F7FEF" w14:textId="72C5CCB4" w:rsidR="009034FB" w:rsidRPr="009034FB" w:rsidRDefault="00495CBA" w:rsidP="008B4BCE">
      <w:pPr>
        <w:pStyle w:val="ListParagraph"/>
        <w:numPr>
          <w:ilvl w:val="0"/>
          <w:numId w:val="40"/>
        </w:numPr>
        <w:spacing w:after="240"/>
        <w:jc w:val="both"/>
        <w:rPr>
          <w:rFonts w:ascii="Arial" w:hAnsi="Arial" w:cs="Arial"/>
        </w:rPr>
      </w:pPr>
      <w:r w:rsidRPr="009034FB">
        <w:rPr>
          <w:rFonts w:ascii="Arial" w:hAnsi="Arial" w:cs="Arial"/>
        </w:rPr>
        <w:t>Any payment that should not have been made or that was made in an incorrect amount under</w:t>
      </w:r>
      <w:r w:rsidR="009034FB" w:rsidRPr="009034FB">
        <w:rPr>
          <w:rFonts w:ascii="Arial" w:hAnsi="Arial" w:cs="Arial"/>
        </w:rPr>
        <w:t xml:space="preserve"> </w:t>
      </w:r>
      <w:r w:rsidRPr="009034FB">
        <w:rPr>
          <w:rFonts w:ascii="Arial" w:hAnsi="Arial" w:cs="Arial"/>
        </w:rPr>
        <w:t>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141DD1FB" w14:textId="4CE306FA" w:rsidR="00495CBA" w:rsidRPr="009034FB" w:rsidRDefault="00495CBA" w:rsidP="008B4BCE">
      <w:pPr>
        <w:pStyle w:val="ListParagraph"/>
        <w:numPr>
          <w:ilvl w:val="0"/>
          <w:numId w:val="40"/>
        </w:numPr>
        <w:spacing w:after="240"/>
        <w:jc w:val="both"/>
        <w:rPr>
          <w:rFonts w:ascii="Arial" w:hAnsi="Arial" w:cs="Arial"/>
        </w:rPr>
      </w:pPr>
      <w:r w:rsidRPr="009034FB">
        <w:rPr>
          <w:rFonts w:ascii="Arial" w:hAnsi="Arial" w:cs="Arial"/>
        </w:rPr>
        <w:t>For purposes of producing an estimate, when the agency cannot determine, due to lacking or insufficient documentation, whether a payment is proper or not, the payment must be treated as an improper payment.</w:t>
      </w:r>
    </w:p>
    <w:p w14:paraId="4D0EFFFA" w14:textId="014CC3BA" w:rsidR="00495CBA" w:rsidRPr="00F00D94" w:rsidRDefault="00495CBA" w:rsidP="00495CBA">
      <w:pPr>
        <w:spacing w:after="240"/>
        <w:jc w:val="both"/>
        <w:rPr>
          <w:rFonts w:ascii="Arial" w:hAnsi="Arial" w:cs="Arial"/>
        </w:rPr>
      </w:pPr>
      <w:r w:rsidRPr="0049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r w:rsidRPr="00495CBA" w:rsidDel="00495CBA">
        <w:rPr>
          <w:rFonts w:ascii="Arial" w:hAnsi="Arial" w:cs="Arial"/>
        </w:rPr>
        <w:t xml:space="preserve"> </w:t>
      </w:r>
    </w:p>
    <w:p w14:paraId="5282C33B" w14:textId="0C0B81ED"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495CBA" w:rsidRPr="00F00D94">
        <w:rPr>
          <w:rFonts w:ascii="Arial" w:hAnsi="Arial" w:cs="Arial"/>
          <w:i/>
        </w:rPr>
        <w:t>202</w:t>
      </w:r>
      <w:r w:rsidR="00495CBA">
        <w:rPr>
          <w:rFonts w:ascii="Arial" w:hAnsi="Arial" w:cs="Arial"/>
          <w:i/>
        </w:rPr>
        <w:t>5</w:t>
      </w:r>
      <w:r w:rsidR="00495CBA"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28"/>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9" w:name="_Toc442267683"/>
      <w:bookmarkStart w:id="10" w:name="_Toc212473088"/>
      <w:r w:rsidRPr="00A0464C">
        <w:rPr>
          <w:rFonts w:cs="Arial"/>
          <w:sz w:val="24"/>
        </w:rPr>
        <w:lastRenderedPageBreak/>
        <w:t>Part I</w:t>
      </w:r>
      <w:bookmarkEnd w:id="9"/>
      <w:r w:rsidR="003644ED" w:rsidRPr="00A0464C">
        <w:rPr>
          <w:rFonts w:cs="Arial"/>
          <w:sz w:val="24"/>
        </w:rPr>
        <w:t xml:space="preserve"> – OMB Compliance Supplement Information</w:t>
      </w:r>
      <w:bookmarkEnd w:id="10"/>
    </w:p>
    <w:p w14:paraId="240AA8D7" w14:textId="77777777" w:rsidR="009656BB" w:rsidRPr="00A0464C" w:rsidRDefault="009656BB" w:rsidP="006672EA">
      <w:pPr>
        <w:pStyle w:val="Heading3"/>
        <w:jc w:val="both"/>
        <w:rPr>
          <w:rFonts w:cs="Arial"/>
          <w:sz w:val="24"/>
          <w:szCs w:val="24"/>
        </w:rPr>
      </w:pPr>
      <w:bookmarkStart w:id="11" w:name="_Toc212473089"/>
      <w:r w:rsidRPr="00A0464C">
        <w:rPr>
          <w:rFonts w:cs="Arial"/>
          <w:sz w:val="24"/>
          <w:szCs w:val="24"/>
        </w:rPr>
        <w:t>I. Program Objectives</w:t>
      </w:r>
      <w:bookmarkEnd w:id="11"/>
    </w:p>
    <w:p w14:paraId="47FBF2E8" w14:textId="486CB655" w:rsidR="009656BB" w:rsidRPr="00F00D94" w:rsidRDefault="00227793" w:rsidP="006672EA">
      <w:pPr>
        <w:spacing w:after="240"/>
        <w:jc w:val="both"/>
        <w:rPr>
          <w:rFonts w:ascii="Arial" w:hAnsi="Arial" w:cs="Arial"/>
          <w:bCs/>
        </w:rPr>
      </w:pPr>
      <w:r w:rsidRPr="00227793">
        <w:rPr>
          <w:rFonts w:ascii="Arial" w:hAnsi="Arial" w:cs="Arial"/>
          <w:bCs/>
        </w:rPr>
        <w:t>The overall objective of the Office of Public and Indian Housing (PIH) program is to provide and operate cost-effective, decent, safe, and affordable dwellings for lower-income families through an authorized local Public Housing Agency (PHA).</w:t>
      </w:r>
    </w:p>
    <w:p w14:paraId="27A28DF7" w14:textId="73BCB511" w:rsidR="009656BB" w:rsidRPr="00F00D94" w:rsidRDefault="00227793" w:rsidP="006672EA">
      <w:pPr>
        <w:spacing w:after="240"/>
        <w:jc w:val="both"/>
        <w:rPr>
          <w:rFonts w:ascii="Arial" w:hAnsi="Arial" w:cs="Arial"/>
          <w:bCs/>
        </w:rPr>
      </w:pPr>
      <w:bookmarkStart w:id="12" w:name="_Hlk120608693"/>
      <w:r>
        <w:rPr>
          <w:rFonts w:ascii="Arial" w:hAnsi="Arial" w:cs="Arial"/>
          <w:bCs/>
          <w:i/>
          <w:iCs/>
        </w:rPr>
        <w:t>(Source: 2025 OMB Compliance Supplement, Part 4, HUD, #14.850 Public Housing Operating Fund)</w:t>
      </w:r>
      <w:bookmarkEnd w:id="12"/>
    </w:p>
    <w:p w14:paraId="222D14D9" w14:textId="77777777" w:rsidR="009656BB" w:rsidRPr="00A0464C" w:rsidRDefault="009656BB" w:rsidP="006672EA">
      <w:pPr>
        <w:pStyle w:val="Heading3"/>
        <w:jc w:val="both"/>
        <w:rPr>
          <w:rFonts w:cs="Arial"/>
          <w:sz w:val="24"/>
          <w:szCs w:val="24"/>
        </w:rPr>
      </w:pPr>
      <w:bookmarkStart w:id="13" w:name="_Toc212473090"/>
      <w:r w:rsidRPr="00A0464C">
        <w:rPr>
          <w:rFonts w:cs="Arial"/>
          <w:sz w:val="24"/>
          <w:szCs w:val="24"/>
        </w:rPr>
        <w:t>II. Program Procedures</w:t>
      </w:r>
      <w:bookmarkEnd w:id="13"/>
    </w:p>
    <w:p w14:paraId="5C617724" w14:textId="77777777" w:rsidR="00227793" w:rsidRPr="00227793" w:rsidRDefault="00227793" w:rsidP="00227793">
      <w:pPr>
        <w:spacing w:after="160" w:line="278" w:lineRule="auto"/>
        <w:jc w:val="both"/>
        <w:rPr>
          <w:rFonts w:ascii="Arial" w:eastAsia="Aptos" w:hAnsi="Arial" w:cs="Arial"/>
          <w:b/>
          <w:bCs/>
          <w:kern w:val="2"/>
          <w14:ligatures w14:val="standardContextual"/>
        </w:rPr>
      </w:pPr>
      <w:r w:rsidRPr="00227793">
        <w:rPr>
          <w:rFonts w:ascii="Arial" w:eastAsia="Aptos" w:hAnsi="Arial" w:cs="Arial"/>
          <w:b/>
          <w:bCs/>
          <w:kern w:val="2"/>
          <w14:ligatures w14:val="standardContextual"/>
        </w:rPr>
        <w:t>A.</w:t>
      </w:r>
      <w:r w:rsidRPr="00227793">
        <w:rPr>
          <w:rFonts w:ascii="Arial" w:eastAsia="Aptos" w:hAnsi="Arial" w:cs="Arial"/>
          <w:b/>
          <w:bCs/>
          <w:kern w:val="2"/>
          <w14:ligatures w14:val="standardContextual"/>
        </w:rPr>
        <w:tab/>
        <w:t>Overview</w:t>
      </w:r>
    </w:p>
    <w:p w14:paraId="222491E5" w14:textId="77777777" w:rsidR="00227793" w:rsidRPr="00227793" w:rsidRDefault="00227793" w:rsidP="00227793">
      <w:pPr>
        <w:spacing w:after="160" w:line="278" w:lineRule="auto"/>
        <w:ind w:left="720"/>
        <w:jc w:val="both"/>
        <w:rPr>
          <w:rFonts w:ascii="Arial" w:eastAsia="Aptos" w:hAnsi="Arial" w:cs="Arial"/>
          <w:kern w:val="2"/>
          <w14:ligatures w14:val="standardContextual"/>
        </w:rPr>
      </w:pPr>
      <w:r w:rsidRPr="00227793">
        <w:rPr>
          <w:rFonts w:ascii="Arial" w:eastAsia="Aptos" w:hAnsi="Arial" w:cs="Arial"/>
          <w:kern w:val="2"/>
          <w14:ligatures w14:val="standardContextual"/>
        </w:rPr>
        <w:t>Operating Fund grants are available to achieve and maintain adequate operating and maintenance service and reserve funds. Capital Fund grants are provided for modernization and development activities.</w:t>
      </w:r>
    </w:p>
    <w:p w14:paraId="77D42265" w14:textId="5A222586" w:rsidR="00227793" w:rsidRPr="00227793" w:rsidRDefault="00227793" w:rsidP="00227793">
      <w:pPr>
        <w:spacing w:after="160" w:line="278" w:lineRule="auto"/>
        <w:ind w:left="720"/>
        <w:jc w:val="both"/>
        <w:rPr>
          <w:rFonts w:ascii="Arial" w:eastAsia="Aptos" w:hAnsi="Arial" w:cs="Arial"/>
          <w:kern w:val="2"/>
          <w14:ligatures w14:val="standardContextual"/>
        </w:rPr>
      </w:pPr>
      <w:r w:rsidRPr="00227793">
        <w:rPr>
          <w:rFonts w:ascii="Arial" w:eastAsia="Aptos" w:hAnsi="Arial" w:cs="Arial"/>
          <w:kern w:val="2"/>
          <w14:ligatures w14:val="standardContextual"/>
        </w:rPr>
        <w:t>PHAs established in accordance with state law are eligible to administer the public housing program. The local governing body must approve the proposed program. Three core occupancy procedures are described in program regulations and other guidance: (1) determination of eligibility, (2) determination of income and rent, and (3) leasing and continuing occupancy.</w:t>
      </w:r>
    </w:p>
    <w:p w14:paraId="20387627" w14:textId="77777777" w:rsidR="00227793" w:rsidRPr="00227793" w:rsidRDefault="00227793" w:rsidP="00227793">
      <w:pPr>
        <w:spacing w:after="160" w:line="278" w:lineRule="auto"/>
        <w:jc w:val="both"/>
        <w:rPr>
          <w:rFonts w:ascii="Arial" w:eastAsia="Aptos" w:hAnsi="Arial" w:cs="Arial"/>
          <w:b/>
          <w:bCs/>
          <w:kern w:val="2"/>
          <w14:ligatures w14:val="standardContextual"/>
        </w:rPr>
      </w:pPr>
      <w:r w:rsidRPr="00227793">
        <w:rPr>
          <w:rFonts w:ascii="Arial" w:eastAsia="Aptos" w:hAnsi="Arial" w:cs="Arial"/>
          <w:b/>
          <w:bCs/>
          <w:kern w:val="2"/>
          <w14:ligatures w14:val="standardContextual"/>
        </w:rPr>
        <w:t>B.</w:t>
      </w:r>
      <w:r w:rsidRPr="00227793">
        <w:rPr>
          <w:rFonts w:ascii="Arial" w:eastAsia="Aptos" w:hAnsi="Arial" w:cs="Arial"/>
          <w:b/>
          <w:bCs/>
          <w:kern w:val="2"/>
          <w14:ligatures w14:val="standardContextual"/>
        </w:rPr>
        <w:tab/>
        <w:t>Subprograms/Program Elements</w:t>
      </w:r>
    </w:p>
    <w:p w14:paraId="31197A94" w14:textId="77777777" w:rsidR="00227793" w:rsidRPr="00227793" w:rsidRDefault="00227793" w:rsidP="0023503F">
      <w:pPr>
        <w:spacing w:after="160" w:line="278" w:lineRule="auto"/>
        <w:ind w:firstLine="720"/>
        <w:jc w:val="both"/>
        <w:rPr>
          <w:rFonts w:ascii="Arial" w:eastAsia="Aptos" w:hAnsi="Arial" w:cs="Arial"/>
          <w:i/>
          <w:iCs/>
          <w:kern w:val="2"/>
          <w14:ligatures w14:val="standardContextual"/>
        </w:rPr>
      </w:pPr>
      <w:r w:rsidRPr="00227793">
        <w:rPr>
          <w:rFonts w:ascii="Arial" w:eastAsia="Aptos" w:hAnsi="Arial" w:cs="Arial"/>
          <w:i/>
          <w:iCs/>
          <w:kern w:val="2"/>
          <w14:ligatures w14:val="standardContextual"/>
        </w:rPr>
        <w:t>1.</w:t>
      </w:r>
      <w:r w:rsidRPr="00227793">
        <w:rPr>
          <w:rFonts w:ascii="Arial" w:eastAsia="Aptos" w:hAnsi="Arial" w:cs="Arial"/>
          <w:i/>
          <w:iCs/>
          <w:kern w:val="2"/>
          <w14:ligatures w14:val="standardContextual"/>
        </w:rPr>
        <w:tab/>
        <w:t>Operating Fund</w:t>
      </w:r>
    </w:p>
    <w:p w14:paraId="39805363" w14:textId="77777777" w:rsidR="00227793" w:rsidRPr="00227793" w:rsidRDefault="00227793" w:rsidP="00227793">
      <w:pPr>
        <w:spacing w:after="160" w:line="278" w:lineRule="auto"/>
        <w:ind w:left="1440"/>
        <w:jc w:val="both"/>
        <w:rPr>
          <w:rFonts w:ascii="Arial" w:eastAsia="Aptos" w:hAnsi="Arial" w:cs="Arial"/>
          <w:kern w:val="2"/>
          <w14:ligatures w14:val="standardContextual"/>
        </w:rPr>
      </w:pPr>
      <w:r w:rsidRPr="00227793">
        <w:rPr>
          <w:rFonts w:ascii="Arial" w:eastAsia="Aptos" w:hAnsi="Arial" w:cs="Arial"/>
          <w:kern w:val="2"/>
          <w14:ligatures w14:val="standardContextual"/>
        </w:rPr>
        <w:t>PHAs with more than 250 rental dwelling units must manage properties according to an asset management model consistent with the management norms in the broader multi-family management industry. PHAs must comply with asset management requirements.</w:t>
      </w:r>
    </w:p>
    <w:p w14:paraId="0B0BCBB8" w14:textId="77777777" w:rsidR="00227793" w:rsidRPr="00227793" w:rsidRDefault="00227793" w:rsidP="00227793">
      <w:pPr>
        <w:spacing w:after="160" w:line="278" w:lineRule="auto"/>
        <w:ind w:left="1440"/>
        <w:jc w:val="both"/>
        <w:rPr>
          <w:rFonts w:ascii="Arial" w:eastAsia="Aptos" w:hAnsi="Arial" w:cs="Arial"/>
          <w:kern w:val="2"/>
          <w14:ligatures w14:val="standardContextual"/>
        </w:rPr>
      </w:pPr>
      <w:r w:rsidRPr="00227793">
        <w:rPr>
          <w:rFonts w:ascii="Arial" w:eastAsia="Aptos" w:hAnsi="Arial" w:cs="Arial"/>
          <w:kern w:val="2"/>
          <w14:ligatures w14:val="standardContextual"/>
        </w:rPr>
        <w:t>Asset management has five interrelated core elements: project-based funding, budgeting, accounting, management, and oversight/performance assessment. PHAs must implement these project-based practices, which include project- specific financial reporting through the Financial Data Schedule (FDS). PHAs that own and operate 250 or more dwelling rental units and do not intend to fund central office operating costs with Capital Fund grants must establish a Central Office Cost Center (COCC) to account for non-project specific costs because, if using Capital Fund grants, these costs get charged to the project as opposed to a COCC.</w:t>
      </w:r>
    </w:p>
    <w:p w14:paraId="5E9301A5" w14:textId="77777777" w:rsidR="00227793" w:rsidRPr="00227793" w:rsidRDefault="00227793" w:rsidP="00227793">
      <w:pPr>
        <w:spacing w:after="160" w:line="278" w:lineRule="auto"/>
        <w:ind w:left="1440"/>
        <w:jc w:val="both"/>
        <w:rPr>
          <w:rFonts w:ascii="Arial" w:eastAsia="Aptos" w:hAnsi="Arial" w:cs="Arial"/>
          <w:kern w:val="2"/>
          <w14:ligatures w14:val="standardContextual"/>
        </w:rPr>
      </w:pPr>
      <w:r w:rsidRPr="00227793">
        <w:rPr>
          <w:rFonts w:ascii="Arial" w:eastAsia="Aptos" w:hAnsi="Arial" w:cs="Arial"/>
          <w:kern w:val="2"/>
          <w14:ligatures w14:val="standardContextual"/>
        </w:rPr>
        <w:t>The COCC must charge each project for indirect costs (expenses of the “management company,” namely the COCC) using a fee-for-service approach.</w:t>
      </w:r>
    </w:p>
    <w:p w14:paraId="48B312CC" w14:textId="77777777" w:rsidR="00227793" w:rsidRPr="00227793" w:rsidRDefault="00227793" w:rsidP="00227793">
      <w:pPr>
        <w:spacing w:after="160" w:line="278" w:lineRule="auto"/>
        <w:ind w:left="1440"/>
        <w:jc w:val="both"/>
        <w:rPr>
          <w:rFonts w:ascii="Arial" w:eastAsia="Aptos" w:hAnsi="Arial" w:cs="Arial"/>
          <w:kern w:val="2"/>
          <w14:ligatures w14:val="standardContextual"/>
        </w:rPr>
      </w:pPr>
      <w:r w:rsidRPr="00227793">
        <w:rPr>
          <w:rFonts w:ascii="Arial" w:eastAsia="Aptos" w:hAnsi="Arial" w:cs="Arial"/>
          <w:kern w:val="2"/>
          <w14:ligatures w14:val="standardContextual"/>
        </w:rPr>
        <w:t>Each project shall be charged for the services received and only to the extent that such amounts are reasonable. The asset management fee and funds transfers between projects (project fungibility) will be limited to the restrictions made on excess cash. Excess cash will also be monitored as a compliance requirement after the first year of asset management.</w:t>
      </w:r>
    </w:p>
    <w:p w14:paraId="18E4FF9E" w14:textId="77777777" w:rsidR="00227793" w:rsidRPr="00227793" w:rsidRDefault="00227793" w:rsidP="00227793">
      <w:pPr>
        <w:spacing w:after="160" w:line="278" w:lineRule="auto"/>
        <w:ind w:left="1440"/>
        <w:jc w:val="both"/>
        <w:rPr>
          <w:rFonts w:ascii="Arial" w:eastAsia="Aptos" w:hAnsi="Arial" w:cs="Arial"/>
          <w:kern w:val="2"/>
          <w14:ligatures w14:val="standardContextual"/>
        </w:rPr>
      </w:pPr>
      <w:r w:rsidRPr="00227793">
        <w:rPr>
          <w:rFonts w:ascii="Arial" w:eastAsia="Aptos" w:hAnsi="Arial" w:cs="Arial"/>
          <w:kern w:val="2"/>
          <w14:ligatures w14:val="standardContextual"/>
        </w:rPr>
        <w:t xml:space="preserve">The grant assistance is made available from the Operating Fund through the Annual Contributions Contract (ACC). The ACC is a grant agreement between the Department of Housing and Urban Development (HUD) and the PHA, whereby HUD agrees to provide grant assistance, and the PHA agrees to comply with HUD requirements for the development and operation of its public housing projects (24 CFR section 990.115). </w:t>
      </w:r>
      <w:r w:rsidRPr="00227793">
        <w:rPr>
          <w:rFonts w:ascii="Arial" w:eastAsia="Aptos" w:hAnsi="Arial" w:cs="Arial"/>
          <w:kern w:val="2"/>
          <w14:ligatures w14:val="standardContextual"/>
        </w:rPr>
        <w:lastRenderedPageBreak/>
        <w:t>Funding is determined by a formula used to calculate the amount of eligible operating subsidy for each PHA. The operating subsidy is equal to the project’s Project Expense Level (PEL) plus the Utilities Expense Level (UEL), multiplied by Eligible Unit Months (EUM) plus other formula expenses (add-ons) minus formula income. The methodology and procedures for this calculation are found in 24 CFR Part 990.</w:t>
      </w:r>
    </w:p>
    <w:p w14:paraId="242F0C45" w14:textId="77777777" w:rsidR="00227793" w:rsidRPr="00227793" w:rsidRDefault="00227793" w:rsidP="00227793">
      <w:pPr>
        <w:spacing w:after="160" w:line="278" w:lineRule="auto"/>
        <w:ind w:left="1440"/>
        <w:jc w:val="both"/>
        <w:rPr>
          <w:rFonts w:ascii="Arial" w:eastAsia="Aptos" w:hAnsi="Arial" w:cs="Arial"/>
          <w:kern w:val="2"/>
          <w14:ligatures w14:val="standardContextual"/>
        </w:rPr>
      </w:pPr>
      <w:r w:rsidRPr="00227793">
        <w:rPr>
          <w:rFonts w:ascii="Arial" w:eastAsia="Aptos" w:hAnsi="Arial" w:cs="Arial"/>
          <w:kern w:val="2"/>
          <w14:ligatures w14:val="standardContextual"/>
        </w:rPr>
        <w:t>The Operating Fund calculation is prepared in conjunction with the project’s annual operating subsidy worksheet in HUD Form 52723, Operating Fund Calculation of Operating Subsidy (OMB No. 2577-0029) and HUD Form 52722, Operating Fund Calculation of Utilities Expense Level (OMB No. 2577-0029). Both forms are prepared by PHAs and submitted to HUD before the beginning of the calendar year (CY) in accordance with the schedule established by HUD.</w:t>
      </w:r>
    </w:p>
    <w:p w14:paraId="3BF66B90" w14:textId="77777777" w:rsidR="00227793" w:rsidRPr="00227793" w:rsidRDefault="00227793" w:rsidP="00227793">
      <w:pPr>
        <w:spacing w:after="160" w:line="278" w:lineRule="auto"/>
        <w:ind w:left="1440"/>
        <w:jc w:val="both"/>
        <w:rPr>
          <w:rFonts w:ascii="Arial" w:eastAsia="Aptos" w:hAnsi="Arial" w:cs="Arial"/>
          <w:kern w:val="2"/>
          <w14:ligatures w14:val="standardContextual"/>
        </w:rPr>
      </w:pPr>
      <w:r w:rsidRPr="00227793">
        <w:rPr>
          <w:rFonts w:ascii="Arial" w:eastAsia="Aptos" w:hAnsi="Arial" w:cs="Arial"/>
          <w:kern w:val="2"/>
          <w14:ligatures w14:val="standardContextual"/>
        </w:rPr>
        <w:t>Essentially, the PEL, which is the non-utility costs for each project, is based on what it would cost a well-managed project of comparable location and characteristics to operate based on such variables: (1) size of project (number of units); (2) age of property (date of full availability); (3) bedroom mix; (4) building type; (5) occupancy type; (6) location (an indicator of the type of community in which a property is located (location types include rural, city central metropolitan, and non-city central metropolitan (suburban) areas); (7) neighborhood poverty rate; (8) percentage of households assisted; (9) ownership type (profit, nonprofit, or limited dividend); and (10) geographic location.</w:t>
      </w:r>
    </w:p>
    <w:p w14:paraId="77894B80" w14:textId="77777777" w:rsidR="00227793" w:rsidRPr="00227793" w:rsidRDefault="00227793" w:rsidP="00227793">
      <w:pPr>
        <w:spacing w:after="160" w:line="278" w:lineRule="auto"/>
        <w:ind w:left="1440"/>
        <w:jc w:val="both"/>
        <w:rPr>
          <w:rFonts w:ascii="Arial" w:eastAsia="Aptos" w:hAnsi="Arial" w:cs="Arial"/>
          <w:kern w:val="2"/>
          <w14:ligatures w14:val="standardContextual"/>
        </w:rPr>
      </w:pPr>
      <w:r w:rsidRPr="00227793">
        <w:rPr>
          <w:rFonts w:ascii="Arial" w:eastAsia="Aptos" w:hAnsi="Arial" w:cs="Arial"/>
          <w:kern w:val="2"/>
          <w14:ligatures w14:val="standardContextual"/>
        </w:rPr>
        <w:t>The resulting PELs are arrived at by application of the formula utilizing these variables. These costs are updated annually based on inflation and changes in the PHA characteristics included in the equation. The UEL is a figure that reflects payment to the PHA for PHA-paid utility costs for each project. The UEL is formula-determined, reflective of actual consumption during the previous four years, recent utility rates, and a factor for inflation.</w:t>
      </w:r>
    </w:p>
    <w:p w14:paraId="692265AF" w14:textId="77777777" w:rsidR="00227793" w:rsidRPr="00227793" w:rsidRDefault="00227793" w:rsidP="00227793">
      <w:pPr>
        <w:spacing w:after="160" w:line="278" w:lineRule="auto"/>
        <w:ind w:left="1440"/>
        <w:jc w:val="both"/>
        <w:rPr>
          <w:rFonts w:ascii="Arial" w:eastAsia="Aptos" w:hAnsi="Arial" w:cs="Arial"/>
          <w:kern w:val="2"/>
          <w14:ligatures w14:val="standardContextual"/>
        </w:rPr>
      </w:pPr>
      <w:r w:rsidRPr="00227793">
        <w:rPr>
          <w:rFonts w:ascii="Arial" w:eastAsia="Aptos" w:hAnsi="Arial" w:cs="Arial"/>
          <w:kern w:val="2"/>
          <w14:ligatures w14:val="standardContextual"/>
        </w:rPr>
        <w:t>As owners, PHAs have asset management responsibilities that go above and beyond property management activities. These responsibilities include decision- making on topics such as long-term capital planning and allocation, the setting of ceiling or flat rents, review of financial information and physical stock, property management performance, long-term viability of properties, property repositioning and replacement strategies, risk management responsibilities pertaining to regulatory compliance, and those decisions otherwise consistent with the PHA’s ACC responsibilities, as appropriate.</w:t>
      </w:r>
    </w:p>
    <w:p w14:paraId="67A3D1E6" w14:textId="77777777" w:rsidR="00227793" w:rsidRPr="00227793" w:rsidRDefault="00227793" w:rsidP="0023503F">
      <w:pPr>
        <w:spacing w:after="160" w:line="278" w:lineRule="auto"/>
        <w:ind w:firstLine="720"/>
        <w:jc w:val="both"/>
        <w:rPr>
          <w:rFonts w:ascii="Arial" w:eastAsia="Aptos" w:hAnsi="Arial" w:cs="Arial"/>
          <w:i/>
          <w:iCs/>
          <w:kern w:val="2"/>
          <w14:ligatures w14:val="standardContextual"/>
        </w:rPr>
      </w:pPr>
      <w:r w:rsidRPr="00227793">
        <w:rPr>
          <w:rFonts w:ascii="Arial" w:eastAsia="Aptos" w:hAnsi="Arial" w:cs="Arial"/>
          <w:i/>
          <w:iCs/>
          <w:kern w:val="2"/>
          <w14:ligatures w14:val="standardContextual"/>
        </w:rPr>
        <w:t>2.</w:t>
      </w:r>
      <w:r w:rsidRPr="00227793">
        <w:rPr>
          <w:rFonts w:ascii="Arial" w:eastAsia="Aptos" w:hAnsi="Arial" w:cs="Arial"/>
          <w:i/>
          <w:iCs/>
          <w:kern w:val="2"/>
          <w14:ligatures w14:val="standardContextual"/>
        </w:rPr>
        <w:tab/>
        <w:t>Rental Assistance Demonstration Program</w:t>
      </w:r>
    </w:p>
    <w:p w14:paraId="12B850E7" w14:textId="77777777" w:rsidR="00227793" w:rsidRPr="00227793" w:rsidRDefault="00227793" w:rsidP="00227793">
      <w:pPr>
        <w:spacing w:after="160" w:line="278" w:lineRule="auto"/>
        <w:ind w:left="1440"/>
        <w:jc w:val="both"/>
        <w:rPr>
          <w:rFonts w:ascii="Arial" w:eastAsia="Aptos" w:hAnsi="Arial" w:cs="Arial"/>
          <w:kern w:val="2"/>
          <w14:ligatures w14:val="standardContextual"/>
        </w:rPr>
      </w:pPr>
      <w:r w:rsidRPr="00227793">
        <w:rPr>
          <w:rFonts w:ascii="Arial" w:eastAsia="Aptos" w:hAnsi="Arial" w:cs="Arial"/>
          <w:kern w:val="2"/>
          <w14:ligatures w14:val="standardContextual"/>
        </w:rPr>
        <w:t>In 2012, Congress authorized the Rental Assistance Demonstration (RAD) to test a new way to meet the large and growing capital improvement needs of the nation’s aging public housing stock and preserve projects funded under HUD’s “legacy” programs. Under RAD, properties “convert” their assistance to long- term, project-based Section 8 contracts. RAD allows PHAs to convert some or all its public housing units to a project-based voucher program (PBV) or a project- based rental assistance contract with HUD multifamily (PBRA). Currently, Congressional appropriation language allows for 455,000 units to be converted under the RAD program. Units approved under RAD are removed from the public housing system when the new PBV or PBRA Section 8 contract is effective.</w:t>
      </w:r>
    </w:p>
    <w:p w14:paraId="44047A6B" w14:textId="77777777" w:rsidR="00227793" w:rsidRPr="00227793" w:rsidRDefault="00227793" w:rsidP="00227793">
      <w:pPr>
        <w:spacing w:after="160" w:line="278" w:lineRule="auto"/>
        <w:ind w:left="1440"/>
        <w:jc w:val="both"/>
        <w:rPr>
          <w:rFonts w:ascii="Arial" w:eastAsia="Aptos" w:hAnsi="Arial" w:cs="Arial"/>
          <w:kern w:val="2"/>
          <w14:ligatures w14:val="standardContextual"/>
        </w:rPr>
      </w:pPr>
      <w:r w:rsidRPr="00227793">
        <w:rPr>
          <w:rFonts w:ascii="Arial" w:eastAsia="Aptos" w:hAnsi="Arial" w:cs="Arial"/>
          <w:kern w:val="2"/>
          <w14:ligatures w14:val="standardContextual"/>
        </w:rPr>
        <w:t xml:space="preserve">Conversions may occur at any time during the year. While the project is effectively under a new federal program at closing, funding for these converted units under the PBV or PBRA </w:t>
      </w:r>
      <w:r w:rsidRPr="00227793">
        <w:rPr>
          <w:rFonts w:ascii="Arial" w:eastAsia="Aptos" w:hAnsi="Arial" w:cs="Arial"/>
          <w:kern w:val="2"/>
          <w14:ligatures w14:val="standardContextual"/>
        </w:rPr>
        <w:lastRenderedPageBreak/>
        <w:t>program will not begin until the beginning of the next calendar year (i.e., January 1st of the year following closing). Therefore, the funding mechanism from the conversion point through the end of the current calendar year remains Public Housing Operating Fund and/or the Capital Fund Program (CFP) grants. As such, any amounts (Operating Fund or CFP funds) received by the PHA under prior ACCs and transferred to the new RAD property as outlined by the documents of the RAD conversion are eligible and allowable costs of the respective program.</w:t>
      </w:r>
    </w:p>
    <w:p w14:paraId="7AD9462A" w14:textId="77777777" w:rsidR="00227793" w:rsidRPr="00227793" w:rsidRDefault="00227793" w:rsidP="0023503F">
      <w:pPr>
        <w:spacing w:after="160" w:line="278" w:lineRule="auto"/>
        <w:ind w:firstLine="720"/>
        <w:jc w:val="both"/>
        <w:rPr>
          <w:rFonts w:ascii="Arial" w:eastAsia="Aptos" w:hAnsi="Arial" w:cs="Arial"/>
          <w:i/>
          <w:iCs/>
          <w:kern w:val="2"/>
          <w14:ligatures w14:val="standardContextual"/>
        </w:rPr>
      </w:pPr>
      <w:r w:rsidRPr="00227793">
        <w:rPr>
          <w:rFonts w:ascii="Arial" w:eastAsia="Aptos" w:hAnsi="Arial" w:cs="Arial"/>
          <w:i/>
          <w:iCs/>
          <w:kern w:val="2"/>
          <w14:ligatures w14:val="standardContextual"/>
        </w:rPr>
        <w:t>3.</w:t>
      </w:r>
      <w:r w:rsidRPr="00227793">
        <w:rPr>
          <w:rFonts w:ascii="Arial" w:eastAsia="Aptos" w:hAnsi="Arial" w:cs="Arial"/>
          <w:i/>
          <w:iCs/>
          <w:kern w:val="2"/>
          <w14:ligatures w14:val="standardContextual"/>
        </w:rPr>
        <w:tab/>
        <w:t>Shortfall Program</w:t>
      </w:r>
    </w:p>
    <w:p w14:paraId="7C65BDA7" w14:textId="77777777" w:rsidR="00227793" w:rsidRPr="00227793" w:rsidRDefault="00227793" w:rsidP="00227793">
      <w:pPr>
        <w:spacing w:after="160" w:line="278" w:lineRule="auto"/>
        <w:ind w:left="1440"/>
        <w:jc w:val="both"/>
        <w:rPr>
          <w:rFonts w:ascii="Arial" w:eastAsia="Aptos" w:hAnsi="Arial" w:cs="Arial"/>
          <w:kern w:val="2"/>
          <w14:ligatures w14:val="standardContextual"/>
        </w:rPr>
      </w:pPr>
      <w:r w:rsidRPr="00227793">
        <w:rPr>
          <w:rFonts w:ascii="Arial" w:eastAsia="Aptos" w:hAnsi="Arial" w:cs="Arial"/>
          <w:kern w:val="2"/>
          <w14:ligatures w14:val="standardContextual"/>
        </w:rPr>
        <w:t>Shortfall Funds have been provided to PHAs on a competitive basis beginning in 2020. Shortfall Funds are provided to PHAs through the Shortfall Program. The Shortfall Program provides funding to PHAs who experience or are at risk of financial shortfalls. Shortfall Funds may be used for any eligible Operating Fund expense. The funds are allocated based on a needs-based approach, with the specific methodology used to determine eligibility and eligible amounts identified in a PIH Notice published annually for each year’s appropriation. Funding from the Shortfall program is disbursed at the PHA level rather than the project level.</w:t>
      </w:r>
    </w:p>
    <w:p w14:paraId="6629AE5F" w14:textId="77777777" w:rsidR="00227793" w:rsidRPr="00227793" w:rsidRDefault="00227793" w:rsidP="00227793">
      <w:pPr>
        <w:spacing w:after="160" w:line="278" w:lineRule="auto"/>
        <w:ind w:left="1440"/>
        <w:jc w:val="both"/>
        <w:rPr>
          <w:rFonts w:ascii="Arial" w:eastAsia="Aptos" w:hAnsi="Arial" w:cs="Arial"/>
          <w:kern w:val="2"/>
          <w14:ligatures w14:val="standardContextual"/>
        </w:rPr>
      </w:pPr>
      <w:r w:rsidRPr="00227793">
        <w:rPr>
          <w:rFonts w:ascii="Arial" w:eastAsia="Aptos" w:hAnsi="Arial" w:cs="Arial"/>
          <w:kern w:val="2"/>
          <w14:ligatures w14:val="standardContextual"/>
        </w:rPr>
        <w:t>Shortfall Funds must be expended immediately upon drawdown. These funds will then be allocated to the projects as revenue and for expenditures. Award letters identify steps the PHA can take to improve financial performance and criteria that must be met to release funds. Eligible uses are those allowed under Section 9 (e) of the Housing and Community Development Act, except that non-troubled PHAs may also include eligible Capital Fund uses under Section 9 (g).</w:t>
      </w:r>
    </w:p>
    <w:p w14:paraId="68135258" w14:textId="77777777" w:rsidR="00227793" w:rsidRPr="00227793" w:rsidRDefault="00227793" w:rsidP="0023503F">
      <w:pPr>
        <w:spacing w:after="160" w:line="278" w:lineRule="auto"/>
        <w:ind w:left="-90"/>
        <w:jc w:val="both"/>
        <w:rPr>
          <w:rFonts w:ascii="Arial" w:eastAsia="Aptos" w:hAnsi="Arial" w:cs="Arial"/>
          <w:b/>
          <w:bCs/>
          <w:kern w:val="2"/>
          <w14:ligatures w14:val="standardContextual"/>
        </w:rPr>
      </w:pPr>
      <w:r w:rsidRPr="00227793">
        <w:rPr>
          <w:rFonts w:ascii="Arial" w:eastAsia="Aptos" w:hAnsi="Arial" w:cs="Arial"/>
          <w:kern w:val="2"/>
          <w14:ligatures w14:val="standardContextual"/>
        </w:rPr>
        <w:t xml:space="preserve"> </w:t>
      </w:r>
      <w:r w:rsidRPr="00227793">
        <w:rPr>
          <w:rFonts w:ascii="Arial" w:eastAsia="Aptos" w:hAnsi="Arial" w:cs="Arial"/>
          <w:kern w:val="2"/>
          <w14:ligatures w14:val="standardContextual"/>
        </w:rPr>
        <w:tab/>
      </w:r>
      <w:r w:rsidRPr="00227793">
        <w:rPr>
          <w:rFonts w:ascii="Arial" w:eastAsia="Aptos" w:hAnsi="Arial" w:cs="Arial"/>
          <w:b/>
          <w:bCs/>
          <w:kern w:val="2"/>
          <w14:ligatures w14:val="standardContextual"/>
        </w:rPr>
        <w:t>C.</w:t>
      </w:r>
      <w:r w:rsidRPr="00227793">
        <w:rPr>
          <w:rFonts w:ascii="Arial" w:eastAsia="Aptos" w:hAnsi="Arial" w:cs="Arial"/>
          <w:b/>
          <w:bCs/>
          <w:kern w:val="2"/>
          <w14:ligatures w14:val="standardContextual"/>
        </w:rPr>
        <w:tab/>
        <w:t>Other</w:t>
      </w:r>
    </w:p>
    <w:p w14:paraId="484AE005" w14:textId="77777777" w:rsidR="00227793" w:rsidRPr="00227793" w:rsidRDefault="00227793" w:rsidP="0023503F">
      <w:pPr>
        <w:spacing w:after="160" w:line="278" w:lineRule="auto"/>
        <w:ind w:firstLine="720"/>
        <w:jc w:val="both"/>
        <w:rPr>
          <w:rFonts w:ascii="Arial" w:eastAsia="Aptos" w:hAnsi="Arial" w:cs="Arial"/>
          <w:i/>
          <w:iCs/>
          <w:kern w:val="2"/>
          <w14:ligatures w14:val="standardContextual"/>
        </w:rPr>
      </w:pPr>
      <w:r w:rsidRPr="00227793">
        <w:rPr>
          <w:rFonts w:ascii="Arial" w:eastAsia="Aptos" w:hAnsi="Arial" w:cs="Arial"/>
          <w:i/>
          <w:iCs/>
          <w:kern w:val="2"/>
          <w14:ligatures w14:val="standardContextual"/>
        </w:rPr>
        <w:t>1.</w:t>
      </w:r>
      <w:r w:rsidRPr="00227793">
        <w:rPr>
          <w:rFonts w:ascii="Arial" w:eastAsia="Aptos" w:hAnsi="Arial" w:cs="Arial"/>
          <w:i/>
          <w:iCs/>
          <w:kern w:val="2"/>
          <w14:ligatures w14:val="standardContextual"/>
        </w:rPr>
        <w:tab/>
        <w:t>Financial Reporting</w:t>
      </w:r>
    </w:p>
    <w:p w14:paraId="7B8108CA" w14:textId="77777777" w:rsidR="00227793" w:rsidRPr="00227793" w:rsidRDefault="00227793" w:rsidP="00227793">
      <w:pPr>
        <w:spacing w:after="160" w:line="278" w:lineRule="auto"/>
        <w:ind w:left="1440"/>
        <w:jc w:val="both"/>
        <w:rPr>
          <w:rFonts w:ascii="Arial" w:eastAsia="Aptos" w:hAnsi="Arial" w:cs="Arial"/>
          <w:kern w:val="2"/>
          <w14:ligatures w14:val="standardContextual"/>
        </w:rPr>
      </w:pPr>
      <w:r w:rsidRPr="00227793">
        <w:rPr>
          <w:rFonts w:ascii="Arial" w:eastAsia="Aptos" w:hAnsi="Arial" w:cs="Arial"/>
          <w:kern w:val="2"/>
          <w14:ligatures w14:val="standardContextual"/>
        </w:rPr>
        <w:t>In accordance with HUD’s Uniform Financial Reporting Standards rule, annually, a PHA is required to submit its financial statement, prepared in accordance with generally accepted accounting principles (GAAP), in the electronic format specified by HUD. The unaudited financial statement is due two months after the PHA’s fiscal year-end, and the audited financial statement is due nine months after its fiscal year-end (24 CFR section 5.801). The financial statement must include the financial activities of this program.</w:t>
      </w:r>
    </w:p>
    <w:p w14:paraId="36AA7DAE" w14:textId="76284D83" w:rsidR="00227793" w:rsidRPr="000F03FA" w:rsidRDefault="00227793" w:rsidP="00227793">
      <w:pPr>
        <w:spacing w:after="240"/>
        <w:jc w:val="both"/>
        <w:rPr>
          <w:rFonts w:ascii="Arial" w:hAnsi="Arial" w:cs="Arial"/>
          <w:bCs/>
          <w:i/>
          <w:iCs/>
        </w:rPr>
      </w:pPr>
      <w:r>
        <w:rPr>
          <w:rFonts w:ascii="Arial" w:hAnsi="Arial" w:cs="Arial"/>
          <w:bCs/>
          <w:i/>
          <w:iCs/>
        </w:rPr>
        <w:t>(Source: 2025 OMB Compliance Supplement, Part 4, HUD, #14.850 Public Housing Operating Fund)</w:t>
      </w:r>
    </w:p>
    <w:p w14:paraId="612B87C9" w14:textId="77777777" w:rsidR="009656BB" w:rsidRPr="00A0464C" w:rsidRDefault="009656BB" w:rsidP="006672EA">
      <w:pPr>
        <w:pStyle w:val="Heading3"/>
        <w:jc w:val="both"/>
        <w:rPr>
          <w:rFonts w:cs="Arial"/>
          <w:sz w:val="24"/>
          <w:szCs w:val="24"/>
        </w:rPr>
      </w:pPr>
      <w:bookmarkStart w:id="14" w:name="_Toc212473091"/>
      <w:r w:rsidRPr="00A0464C">
        <w:rPr>
          <w:rFonts w:cs="Arial"/>
          <w:sz w:val="24"/>
          <w:szCs w:val="24"/>
        </w:rPr>
        <w:t>III. Source of Governing Requirements</w:t>
      </w:r>
      <w:bookmarkEnd w:id="14"/>
    </w:p>
    <w:p w14:paraId="6A631B95" w14:textId="77777777" w:rsidR="00227793" w:rsidRPr="00227793" w:rsidRDefault="00227793" w:rsidP="00227793">
      <w:pPr>
        <w:pStyle w:val="BodyText"/>
        <w:ind w:right="596"/>
        <w:jc w:val="both"/>
        <w:rPr>
          <w:rFonts w:ascii="Arial" w:hAnsi="Arial" w:cs="Arial"/>
        </w:rPr>
      </w:pPr>
      <w:r w:rsidRPr="00227793">
        <w:rPr>
          <w:rFonts w:ascii="Arial" w:hAnsi="Arial" w:cs="Arial"/>
        </w:rPr>
        <w:t xml:space="preserve">This program is authorized by the US Housing Act of 1937, as amended (42 USC </w:t>
      </w:r>
      <w:r w:rsidRPr="00227793">
        <w:rPr>
          <w:rFonts w:ascii="Arial" w:hAnsi="Arial" w:cs="Arial"/>
          <w:spacing w:val="-3"/>
        </w:rPr>
        <w:t xml:space="preserve">1437d(j),  </w:t>
      </w:r>
      <w:r w:rsidRPr="00227793">
        <w:rPr>
          <w:rFonts w:ascii="Arial" w:hAnsi="Arial" w:cs="Arial"/>
        </w:rPr>
        <w:t>42</w:t>
      </w:r>
      <w:r w:rsidRPr="00227793">
        <w:rPr>
          <w:rFonts w:ascii="Arial" w:hAnsi="Arial" w:cs="Arial"/>
          <w:spacing w:val="-5"/>
        </w:rPr>
        <w:t xml:space="preserve"> </w:t>
      </w:r>
      <w:r w:rsidRPr="00227793">
        <w:rPr>
          <w:rFonts w:ascii="Arial" w:hAnsi="Arial" w:cs="Arial"/>
        </w:rPr>
        <w:t>USC</w:t>
      </w:r>
      <w:r w:rsidRPr="00227793">
        <w:rPr>
          <w:rFonts w:ascii="Arial" w:hAnsi="Arial" w:cs="Arial"/>
          <w:spacing w:val="-6"/>
        </w:rPr>
        <w:t xml:space="preserve"> </w:t>
      </w:r>
      <w:r w:rsidRPr="00227793">
        <w:rPr>
          <w:rFonts w:ascii="Arial" w:hAnsi="Arial" w:cs="Arial"/>
        </w:rPr>
        <w:t>1437g,</w:t>
      </w:r>
      <w:r w:rsidRPr="00227793">
        <w:rPr>
          <w:rFonts w:ascii="Arial" w:hAnsi="Arial" w:cs="Arial"/>
          <w:spacing w:val="-4"/>
        </w:rPr>
        <w:t xml:space="preserve"> </w:t>
      </w:r>
      <w:r w:rsidRPr="00227793">
        <w:rPr>
          <w:rFonts w:ascii="Arial" w:hAnsi="Arial" w:cs="Arial"/>
        </w:rPr>
        <w:t>and</w:t>
      </w:r>
      <w:r w:rsidRPr="00227793">
        <w:rPr>
          <w:rFonts w:ascii="Arial" w:hAnsi="Arial" w:cs="Arial"/>
          <w:spacing w:val="-5"/>
        </w:rPr>
        <w:t xml:space="preserve"> </w:t>
      </w:r>
      <w:r w:rsidRPr="00227793">
        <w:rPr>
          <w:rFonts w:ascii="Arial" w:hAnsi="Arial" w:cs="Arial"/>
        </w:rPr>
        <w:t>42</w:t>
      </w:r>
      <w:r w:rsidRPr="00227793">
        <w:rPr>
          <w:rFonts w:ascii="Arial" w:hAnsi="Arial" w:cs="Arial"/>
          <w:spacing w:val="-4"/>
        </w:rPr>
        <w:t xml:space="preserve"> </w:t>
      </w:r>
      <w:r w:rsidRPr="00227793">
        <w:rPr>
          <w:rFonts w:ascii="Arial" w:hAnsi="Arial" w:cs="Arial"/>
        </w:rPr>
        <w:t>USC</w:t>
      </w:r>
      <w:r w:rsidRPr="00227793">
        <w:rPr>
          <w:rFonts w:ascii="Arial" w:hAnsi="Arial" w:cs="Arial"/>
          <w:spacing w:val="-3"/>
        </w:rPr>
        <w:t xml:space="preserve"> </w:t>
      </w:r>
      <w:r w:rsidRPr="00227793">
        <w:rPr>
          <w:rFonts w:ascii="Arial" w:hAnsi="Arial" w:cs="Arial"/>
        </w:rPr>
        <w:t>3535(d)).</w:t>
      </w:r>
      <w:r w:rsidRPr="00227793">
        <w:rPr>
          <w:rFonts w:ascii="Arial" w:hAnsi="Arial" w:cs="Arial"/>
          <w:spacing w:val="-3"/>
        </w:rPr>
        <w:t xml:space="preserve"> </w:t>
      </w:r>
      <w:r w:rsidRPr="00227793">
        <w:rPr>
          <w:rFonts w:ascii="Arial" w:hAnsi="Arial" w:cs="Arial"/>
        </w:rPr>
        <w:t>Implementing</w:t>
      </w:r>
      <w:r w:rsidRPr="00227793">
        <w:rPr>
          <w:rFonts w:ascii="Arial" w:hAnsi="Arial" w:cs="Arial"/>
          <w:spacing w:val="-5"/>
        </w:rPr>
        <w:t xml:space="preserve"> </w:t>
      </w:r>
      <w:r w:rsidRPr="00227793">
        <w:rPr>
          <w:rFonts w:ascii="Arial" w:hAnsi="Arial" w:cs="Arial"/>
        </w:rPr>
        <w:t>regulations</w:t>
      </w:r>
      <w:r w:rsidRPr="00227793">
        <w:rPr>
          <w:rFonts w:ascii="Arial" w:hAnsi="Arial" w:cs="Arial"/>
          <w:spacing w:val="-4"/>
        </w:rPr>
        <w:t xml:space="preserve"> </w:t>
      </w:r>
      <w:r w:rsidRPr="00227793">
        <w:rPr>
          <w:rFonts w:ascii="Arial" w:hAnsi="Arial" w:cs="Arial"/>
        </w:rPr>
        <w:t>are</w:t>
      </w:r>
      <w:r w:rsidRPr="00227793">
        <w:rPr>
          <w:rFonts w:ascii="Arial" w:hAnsi="Arial" w:cs="Arial"/>
          <w:spacing w:val="-6"/>
        </w:rPr>
        <w:t xml:space="preserve"> </w:t>
      </w:r>
      <w:r w:rsidRPr="00227793">
        <w:rPr>
          <w:rFonts w:ascii="Arial" w:hAnsi="Arial" w:cs="Arial"/>
        </w:rPr>
        <w:t>24</w:t>
      </w:r>
      <w:r w:rsidRPr="00227793">
        <w:rPr>
          <w:rFonts w:ascii="Arial" w:hAnsi="Arial" w:cs="Arial"/>
          <w:spacing w:val="-6"/>
        </w:rPr>
        <w:t xml:space="preserve"> </w:t>
      </w:r>
      <w:r w:rsidRPr="00227793">
        <w:rPr>
          <w:rFonts w:ascii="Arial" w:hAnsi="Arial" w:cs="Arial"/>
        </w:rPr>
        <w:t>CFR</w:t>
      </w:r>
      <w:r w:rsidRPr="00227793">
        <w:rPr>
          <w:rFonts w:ascii="Arial" w:hAnsi="Arial" w:cs="Arial"/>
          <w:spacing w:val="-3"/>
        </w:rPr>
        <w:t xml:space="preserve"> </w:t>
      </w:r>
      <w:r w:rsidRPr="00227793">
        <w:rPr>
          <w:rFonts w:ascii="Arial" w:hAnsi="Arial" w:cs="Arial"/>
        </w:rPr>
        <w:t>parts</w:t>
      </w:r>
      <w:r w:rsidRPr="00227793">
        <w:rPr>
          <w:rFonts w:ascii="Arial" w:hAnsi="Arial" w:cs="Arial"/>
          <w:spacing w:val="-5"/>
        </w:rPr>
        <w:t xml:space="preserve"> </w:t>
      </w:r>
      <w:r w:rsidRPr="00227793">
        <w:rPr>
          <w:rFonts w:ascii="Arial" w:hAnsi="Arial" w:cs="Arial"/>
        </w:rPr>
        <w:t>5,</w:t>
      </w:r>
      <w:r w:rsidRPr="00227793">
        <w:rPr>
          <w:rFonts w:ascii="Arial" w:hAnsi="Arial" w:cs="Arial"/>
          <w:spacing w:val="-6"/>
        </w:rPr>
        <w:t xml:space="preserve"> </w:t>
      </w:r>
      <w:r w:rsidRPr="00227793">
        <w:rPr>
          <w:rFonts w:ascii="Arial" w:hAnsi="Arial" w:cs="Arial"/>
        </w:rPr>
        <w:t>902,</w:t>
      </w:r>
      <w:r w:rsidRPr="00227793">
        <w:rPr>
          <w:rFonts w:ascii="Arial" w:hAnsi="Arial" w:cs="Arial"/>
          <w:spacing w:val="-4"/>
        </w:rPr>
        <w:t xml:space="preserve"> </w:t>
      </w:r>
      <w:r w:rsidRPr="00227793">
        <w:rPr>
          <w:rFonts w:ascii="Arial" w:hAnsi="Arial" w:cs="Arial"/>
        </w:rPr>
        <w:t>960, 966, and 990. Operating Fund requirements are contained in 24 CFR Part 990. Guidance on financial</w:t>
      </w:r>
      <w:r w:rsidRPr="00227793">
        <w:rPr>
          <w:rFonts w:ascii="Arial" w:hAnsi="Arial" w:cs="Arial"/>
          <w:spacing w:val="-6"/>
        </w:rPr>
        <w:t xml:space="preserve"> </w:t>
      </w:r>
      <w:r w:rsidRPr="00227793">
        <w:rPr>
          <w:rFonts w:ascii="Arial" w:hAnsi="Arial" w:cs="Arial"/>
        </w:rPr>
        <w:t>management</w:t>
      </w:r>
      <w:r w:rsidRPr="00227793">
        <w:rPr>
          <w:rFonts w:ascii="Arial" w:hAnsi="Arial" w:cs="Arial"/>
          <w:spacing w:val="-5"/>
        </w:rPr>
        <w:t xml:space="preserve"> </w:t>
      </w:r>
      <w:r w:rsidRPr="00227793">
        <w:rPr>
          <w:rFonts w:ascii="Arial" w:hAnsi="Arial" w:cs="Arial"/>
        </w:rPr>
        <w:t>and</w:t>
      </w:r>
      <w:r w:rsidRPr="00227793">
        <w:rPr>
          <w:rFonts w:ascii="Arial" w:hAnsi="Arial" w:cs="Arial"/>
          <w:spacing w:val="-6"/>
        </w:rPr>
        <w:t xml:space="preserve"> </w:t>
      </w:r>
      <w:r w:rsidRPr="00227793">
        <w:rPr>
          <w:rFonts w:ascii="Arial" w:hAnsi="Arial" w:cs="Arial"/>
        </w:rPr>
        <w:t>reporting</w:t>
      </w:r>
      <w:r w:rsidRPr="00227793">
        <w:rPr>
          <w:rFonts w:ascii="Arial" w:hAnsi="Arial" w:cs="Arial"/>
          <w:spacing w:val="-5"/>
        </w:rPr>
        <w:t xml:space="preserve"> </w:t>
      </w:r>
      <w:r w:rsidRPr="00227793">
        <w:rPr>
          <w:rFonts w:ascii="Arial" w:hAnsi="Arial" w:cs="Arial"/>
        </w:rPr>
        <w:t>requirements</w:t>
      </w:r>
      <w:r w:rsidRPr="00227793">
        <w:rPr>
          <w:rFonts w:ascii="Arial" w:hAnsi="Arial" w:cs="Arial"/>
          <w:spacing w:val="-5"/>
        </w:rPr>
        <w:t xml:space="preserve"> </w:t>
      </w:r>
      <w:r w:rsidRPr="00227793">
        <w:rPr>
          <w:rFonts w:ascii="Arial" w:hAnsi="Arial" w:cs="Arial"/>
        </w:rPr>
        <w:t>for</w:t>
      </w:r>
      <w:r w:rsidRPr="00227793">
        <w:rPr>
          <w:rFonts w:ascii="Arial" w:hAnsi="Arial" w:cs="Arial"/>
          <w:spacing w:val="-6"/>
        </w:rPr>
        <w:t xml:space="preserve"> </w:t>
      </w:r>
      <w:r w:rsidRPr="00227793">
        <w:rPr>
          <w:rFonts w:ascii="Arial" w:hAnsi="Arial" w:cs="Arial"/>
        </w:rPr>
        <w:t>public</w:t>
      </w:r>
      <w:r w:rsidRPr="00227793">
        <w:rPr>
          <w:rFonts w:ascii="Arial" w:hAnsi="Arial" w:cs="Arial"/>
          <w:spacing w:val="-6"/>
        </w:rPr>
        <w:t xml:space="preserve"> </w:t>
      </w:r>
      <w:r w:rsidRPr="00227793">
        <w:rPr>
          <w:rFonts w:ascii="Arial" w:hAnsi="Arial" w:cs="Arial"/>
        </w:rPr>
        <w:t>housing</w:t>
      </w:r>
      <w:r w:rsidRPr="00227793">
        <w:rPr>
          <w:rFonts w:ascii="Arial" w:hAnsi="Arial" w:cs="Arial"/>
          <w:spacing w:val="-5"/>
        </w:rPr>
        <w:t xml:space="preserve"> </w:t>
      </w:r>
      <w:r w:rsidRPr="00227793">
        <w:rPr>
          <w:rFonts w:ascii="Arial" w:hAnsi="Arial" w:cs="Arial"/>
        </w:rPr>
        <w:t>authorities</w:t>
      </w:r>
      <w:r w:rsidRPr="00227793">
        <w:rPr>
          <w:rFonts w:ascii="Arial" w:hAnsi="Arial" w:cs="Arial"/>
          <w:spacing w:val="-6"/>
        </w:rPr>
        <w:t xml:space="preserve"> </w:t>
      </w:r>
      <w:r w:rsidRPr="00227793">
        <w:rPr>
          <w:rFonts w:ascii="Arial" w:hAnsi="Arial" w:cs="Arial"/>
        </w:rPr>
        <w:t>under</w:t>
      </w:r>
      <w:r w:rsidRPr="00227793">
        <w:rPr>
          <w:rFonts w:ascii="Arial" w:hAnsi="Arial" w:cs="Arial"/>
          <w:spacing w:val="-6"/>
        </w:rPr>
        <w:t xml:space="preserve"> </w:t>
      </w:r>
      <w:r w:rsidRPr="00227793">
        <w:rPr>
          <w:rFonts w:ascii="Arial" w:hAnsi="Arial" w:cs="Arial"/>
        </w:rPr>
        <w:t>24</w:t>
      </w:r>
      <w:r w:rsidRPr="00227793">
        <w:rPr>
          <w:rFonts w:ascii="Arial" w:hAnsi="Arial" w:cs="Arial"/>
          <w:spacing w:val="-6"/>
        </w:rPr>
        <w:t xml:space="preserve"> </w:t>
      </w:r>
      <w:r w:rsidRPr="00227793">
        <w:rPr>
          <w:rFonts w:ascii="Arial" w:hAnsi="Arial" w:cs="Arial"/>
        </w:rPr>
        <w:t>CFR Part 990 was published in Notice PIH 2007-9 (April 10, 2007), which included guidance in a Supplement to the Financial Management Handbook, Department of Housing and Urban Development (HUD) Handbook 7475.1, Changes in Financial Management and Reporting for Public Housing Agencies Under the New Operating Fund</w:t>
      </w:r>
      <w:r w:rsidRPr="00227793">
        <w:rPr>
          <w:rFonts w:ascii="Arial" w:hAnsi="Arial" w:cs="Arial"/>
          <w:spacing w:val="-4"/>
        </w:rPr>
        <w:t xml:space="preserve"> </w:t>
      </w:r>
      <w:r w:rsidRPr="00227793">
        <w:rPr>
          <w:rFonts w:ascii="Arial" w:hAnsi="Arial" w:cs="Arial"/>
        </w:rPr>
        <w:t>Rule.</w:t>
      </w:r>
    </w:p>
    <w:p w14:paraId="51DD6D35" w14:textId="77777777" w:rsidR="00227793" w:rsidRPr="000F03FA" w:rsidRDefault="00227793" w:rsidP="00227793">
      <w:pPr>
        <w:spacing w:after="240"/>
        <w:jc w:val="both"/>
        <w:rPr>
          <w:rFonts w:ascii="Arial" w:hAnsi="Arial" w:cs="Arial"/>
          <w:bCs/>
          <w:i/>
          <w:iCs/>
        </w:rPr>
      </w:pPr>
      <w:r>
        <w:rPr>
          <w:rFonts w:ascii="Arial" w:hAnsi="Arial" w:cs="Arial"/>
          <w:bCs/>
          <w:i/>
          <w:iCs/>
        </w:rPr>
        <w:t>(Source: 2025 OMB Compliance Supplement, Part 4, HUD, #14.850 Public Housing Operating Fund)</w:t>
      </w:r>
    </w:p>
    <w:p w14:paraId="05B90F53" w14:textId="77777777" w:rsidR="006F570B" w:rsidRPr="00F00D94" w:rsidRDefault="006F570B" w:rsidP="006672EA">
      <w:pPr>
        <w:spacing w:after="240"/>
        <w:jc w:val="both"/>
        <w:rPr>
          <w:rFonts w:ascii="Arial" w:hAnsi="Arial" w:cs="Arial"/>
          <w:bCs/>
        </w:rPr>
      </w:pPr>
    </w:p>
    <w:p w14:paraId="278D98F4" w14:textId="77777777" w:rsidR="006F570B" w:rsidRPr="00A0464C" w:rsidRDefault="00386445" w:rsidP="006672EA">
      <w:pPr>
        <w:pStyle w:val="Heading3"/>
        <w:jc w:val="both"/>
        <w:rPr>
          <w:rFonts w:cs="Arial"/>
          <w:sz w:val="24"/>
          <w:szCs w:val="24"/>
        </w:rPr>
      </w:pPr>
      <w:bookmarkStart w:id="15" w:name="_Toc212473092"/>
      <w:r w:rsidRPr="00A0464C">
        <w:rPr>
          <w:rFonts w:cs="Arial"/>
          <w:sz w:val="24"/>
          <w:szCs w:val="24"/>
        </w:rPr>
        <w:lastRenderedPageBreak/>
        <w:t xml:space="preserve">IV. </w:t>
      </w:r>
      <w:r w:rsidR="009C1FCD" w:rsidRPr="00A0464C">
        <w:rPr>
          <w:rFonts w:cs="Arial"/>
          <w:sz w:val="24"/>
          <w:szCs w:val="24"/>
        </w:rPr>
        <w:t>Other Information</w:t>
      </w:r>
      <w:bookmarkEnd w:id="15"/>
    </w:p>
    <w:p w14:paraId="33EA482B" w14:textId="77777777" w:rsidR="006D34C5" w:rsidRPr="006D34C5" w:rsidRDefault="006D34C5" w:rsidP="006D34C5">
      <w:pPr>
        <w:jc w:val="both"/>
        <w:rPr>
          <w:rFonts w:ascii="Arial" w:hAnsi="Arial" w:cs="Arial"/>
        </w:rPr>
      </w:pPr>
      <w:r w:rsidRPr="006D34C5">
        <w:rPr>
          <w:rFonts w:ascii="Arial" w:hAnsi="Arial" w:cs="Arial"/>
        </w:rPr>
        <w:t>The Moving to Work (MTW) demonstration program (Assistance Listing 14.881) allows selected PHAs the flexibility to design and test various approaches to providing and administering housing assistance consistent with the MTW Agreement executed by the PHA and HUD and under the MTW Operations Notice. An MTW agency may apply funding fungibility funds from the following three programs:</w:t>
      </w:r>
    </w:p>
    <w:p w14:paraId="3DDF684C" w14:textId="77777777" w:rsidR="006D34C5" w:rsidRPr="006D34C5" w:rsidRDefault="006D34C5" w:rsidP="006D34C5">
      <w:pPr>
        <w:jc w:val="both"/>
        <w:rPr>
          <w:rFonts w:ascii="Arial" w:hAnsi="Arial" w:cs="Arial"/>
        </w:rPr>
      </w:pPr>
    </w:p>
    <w:p w14:paraId="3EB0FACF" w14:textId="77777777" w:rsidR="006D34C5" w:rsidRPr="006D34C5" w:rsidRDefault="006D34C5" w:rsidP="006D34C5">
      <w:pPr>
        <w:ind w:left="720" w:hanging="450"/>
        <w:jc w:val="both"/>
        <w:rPr>
          <w:rFonts w:ascii="Arial" w:hAnsi="Arial" w:cs="Arial"/>
        </w:rPr>
      </w:pPr>
      <w:r w:rsidRPr="006D34C5">
        <w:rPr>
          <w:rFonts w:ascii="Arial" w:hAnsi="Arial" w:cs="Arial"/>
        </w:rPr>
        <w:t>a.</w:t>
      </w:r>
      <w:r w:rsidRPr="006D34C5">
        <w:rPr>
          <w:rFonts w:ascii="Arial" w:hAnsi="Arial" w:cs="Arial"/>
        </w:rPr>
        <w:tab/>
        <w:t>Section 8 Housing Choice Vouchers (Assistance Listing 14.871)</w:t>
      </w:r>
    </w:p>
    <w:p w14:paraId="2692B0D1" w14:textId="77777777" w:rsidR="006D34C5" w:rsidRPr="006D34C5" w:rsidRDefault="006D34C5" w:rsidP="006D34C5">
      <w:pPr>
        <w:ind w:left="720" w:hanging="450"/>
        <w:jc w:val="both"/>
        <w:rPr>
          <w:rFonts w:ascii="Arial" w:hAnsi="Arial" w:cs="Arial"/>
        </w:rPr>
      </w:pPr>
    </w:p>
    <w:p w14:paraId="6495FEB1" w14:textId="77777777" w:rsidR="006D34C5" w:rsidRPr="006D34C5" w:rsidRDefault="006D34C5" w:rsidP="006D34C5">
      <w:pPr>
        <w:ind w:left="720" w:hanging="450"/>
        <w:jc w:val="both"/>
        <w:rPr>
          <w:rFonts w:ascii="Arial" w:hAnsi="Arial" w:cs="Arial"/>
        </w:rPr>
      </w:pPr>
      <w:r w:rsidRPr="006D34C5">
        <w:rPr>
          <w:rFonts w:ascii="Arial" w:hAnsi="Arial" w:cs="Arial"/>
        </w:rPr>
        <w:t>b.</w:t>
      </w:r>
      <w:r w:rsidRPr="006D34C5">
        <w:rPr>
          <w:rFonts w:ascii="Arial" w:hAnsi="Arial" w:cs="Arial"/>
        </w:rPr>
        <w:tab/>
        <w:t>Public Housing Capital Fund (Assistance Listing 14.872)</w:t>
      </w:r>
    </w:p>
    <w:p w14:paraId="6958B20D" w14:textId="77777777" w:rsidR="006D34C5" w:rsidRPr="006D34C5" w:rsidRDefault="006D34C5" w:rsidP="006D34C5">
      <w:pPr>
        <w:ind w:left="720" w:hanging="450"/>
        <w:jc w:val="both"/>
        <w:rPr>
          <w:rFonts w:ascii="Arial" w:hAnsi="Arial" w:cs="Arial"/>
        </w:rPr>
      </w:pPr>
    </w:p>
    <w:p w14:paraId="0AB39031" w14:textId="77777777" w:rsidR="006D34C5" w:rsidRPr="006D34C5" w:rsidRDefault="006D34C5" w:rsidP="006D34C5">
      <w:pPr>
        <w:ind w:left="720" w:hanging="450"/>
        <w:jc w:val="both"/>
        <w:rPr>
          <w:rFonts w:ascii="Arial" w:hAnsi="Arial" w:cs="Arial"/>
        </w:rPr>
      </w:pPr>
      <w:r w:rsidRPr="006D34C5">
        <w:rPr>
          <w:rFonts w:ascii="Arial" w:hAnsi="Arial" w:cs="Arial"/>
        </w:rPr>
        <w:t>c.</w:t>
      </w:r>
      <w:r w:rsidRPr="006D34C5">
        <w:rPr>
          <w:rFonts w:ascii="Arial" w:hAnsi="Arial" w:cs="Arial"/>
        </w:rPr>
        <w:tab/>
        <w:t>Public and Indian Housing (Assistance Listing 14.850)</w:t>
      </w:r>
    </w:p>
    <w:p w14:paraId="25AF57C2" w14:textId="77777777" w:rsidR="006D34C5" w:rsidRPr="006D34C5" w:rsidRDefault="006D34C5" w:rsidP="006D34C5">
      <w:pPr>
        <w:jc w:val="both"/>
        <w:rPr>
          <w:rFonts w:ascii="Arial" w:hAnsi="Arial" w:cs="Arial"/>
        </w:rPr>
      </w:pPr>
    </w:p>
    <w:p w14:paraId="52C66A8B" w14:textId="77777777" w:rsidR="006D34C5" w:rsidRPr="006D34C5" w:rsidRDefault="006D34C5" w:rsidP="006D34C5">
      <w:pPr>
        <w:jc w:val="both"/>
        <w:rPr>
          <w:rFonts w:ascii="Arial" w:hAnsi="Arial" w:cs="Arial"/>
        </w:rPr>
      </w:pPr>
      <w:r w:rsidRPr="006D34C5">
        <w:rPr>
          <w:rFonts w:ascii="Arial" w:hAnsi="Arial" w:cs="Arial"/>
        </w:rPr>
        <w:t>Depending on if a PHA is operating under an MTW Agreement or the MTW Operations Notice, the auditor should look to the MTW Agreement or the MTW Operations Notice, as applicable, to determine which funds are included. If Public Housing funds are transferred out of Public Housing, pursuant to either an MTW Agreement or the MTW Operations Notice, they are subject to the requirements of the MTW Agreement or the MTW Operations Notice and should not be included in the audit universe and total expenditures for Public Housing when determining Type-A programs. On the Schedule of Expenditures of Federal Awards, the amounts transferred out should not be shown as Public Housing expenditures but should be shown as expenditures for the MTW Demonstration program. Also, if other program funds are transferred into the Public Housing account pursuant to an MTW Agreement or the MTW Operations Notice, all the Public Housing funds would then be considered MTW funds.</w:t>
      </w:r>
    </w:p>
    <w:p w14:paraId="72C9179B" w14:textId="77777777" w:rsidR="006D34C5" w:rsidRDefault="006D34C5" w:rsidP="006D34C5">
      <w:pPr>
        <w:jc w:val="both"/>
        <w:rPr>
          <w:rFonts w:ascii="Arial" w:hAnsi="Arial" w:cs="Arial"/>
        </w:rPr>
      </w:pPr>
    </w:p>
    <w:p w14:paraId="69351982" w14:textId="5E5EB816" w:rsidR="006D34C5" w:rsidRPr="006D34C5" w:rsidRDefault="006D34C5" w:rsidP="006D34C5">
      <w:pPr>
        <w:jc w:val="both"/>
        <w:rPr>
          <w:rFonts w:ascii="Arial" w:hAnsi="Arial" w:cs="Arial"/>
        </w:rPr>
      </w:pPr>
      <w:r w:rsidRPr="006D34C5">
        <w:rPr>
          <w:rFonts w:ascii="Arial" w:hAnsi="Arial" w:cs="Arial"/>
        </w:rPr>
        <w:t>If the MTW agency does not transfer all the funds from Public Housing into the MTW account or another program, those funds would be considered and audited, under Public Housing.</w:t>
      </w:r>
    </w:p>
    <w:p w14:paraId="1FFDCA13" w14:textId="77777777" w:rsidR="006D34C5" w:rsidRDefault="006D34C5" w:rsidP="006D34C5">
      <w:pPr>
        <w:rPr>
          <w:rFonts w:ascii="Arial" w:hAnsi="Arial" w:cs="Arial"/>
          <w:b/>
          <w:bCs/>
        </w:rPr>
      </w:pPr>
    </w:p>
    <w:p w14:paraId="59D3057B" w14:textId="1920F258" w:rsidR="00227793" w:rsidRPr="006D34C5" w:rsidRDefault="00227793" w:rsidP="006D34C5">
      <w:pPr>
        <w:rPr>
          <w:rFonts w:ascii="Arial" w:hAnsi="Arial" w:cs="Arial"/>
          <w:b/>
          <w:bCs/>
        </w:rPr>
      </w:pPr>
      <w:r w:rsidRPr="006D34C5">
        <w:rPr>
          <w:rFonts w:ascii="Arial" w:hAnsi="Arial" w:cs="Arial"/>
          <w:b/>
          <w:bCs/>
        </w:rPr>
        <w:t>Availability of Other Program Information</w:t>
      </w:r>
    </w:p>
    <w:p w14:paraId="5B54BB29" w14:textId="77777777" w:rsidR="006D34C5" w:rsidRPr="00227793" w:rsidRDefault="006D34C5" w:rsidP="006D34C5"/>
    <w:p w14:paraId="281D8961" w14:textId="0109E88A" w:rsidR="00227793" w:rsidRDefault="00227793" w:rsidP="008B4BCE">
      <w:pPr>
        <w:pStyle w:val="ListParagraph"/>
        <w:widowControl w:val="0"/>
        <w:numPr>
          <w:ilvl w:val="0"/>
          <w:numId w:val="41"/>
        </w:numPr>
        <w:tabs>
          <w:tab w:val="left" w:pos="2259"/>
          <w:tab w:val="left" w:pos="2260"/>
        </w:tabs>
        <w:suppressAutoHyphens w:val="0"/>
        <w:adjustRightInd/>
        <w:ind w:right="451"/>
        <w:jc w:val="both"/>
        <w:rPr>
          <w:rFonts w:ascii="Arial" w:hAnsi="Arial" w:cs="Arial"/>
        </w:rPr>
      </w:pPr>
      <w:r w:rsidRPr="00352F20">
        <w:rPr>
          <w:rFonts w:ascii="Arial" w:hAnsi="Arial" w:cs="Arial"/>
        </w:rPr>
        <w:t>HUD maintains web pages</w:t>
      </w:r>
      <w:r w:rsidRPr="00352F20">
        <w:rPr>
          <w:rFonts w:ascii="Arial" w:hAnsi="Arial" w:cs="Arial"/>
          <w:color w:val="0000FF"/>
        </w:rPr>
        <w:t xml:space="preserve"> </w:t>
      </w:r>
      <w:hyperlink r:id="rId29">
        <w:r w:rsidRPr="00352F20">
          <w:rPr>
            <w:rFonts w:ascii="Arial" w:hAnsi="Arial" w:cs="Arial"/>
            <w:color w:val="0000FF"/>
            <w:u w:val="single" w:color="0000FF"/>
          </w:rPr>
          <w:t>Public Housing | HUD.gov / U.S. Department of Housing</w:t>
        </w:r>
      </w:hyperlink>
      <w:hyperlink r:id="rId30">
        <w:r w:rsidRPr="00352F20">
          <w:rPr>
            <w:rFonts w:ascii="Arial" w:hAnsi="Arial" w:cs="Arial"/>
            <w:color w:val="0000FF"/>
            <w:u w:val="single" w:color="0000FF"/>
          </w:rPr>
          <w:t xml:space="preserve"> and Urban Development (HUD)</w:t>
        </w:r>
        <w:r w:rsidRPr="00352F20">
          <w:rPr>
            <w:rFonts w:ascii="Arial" w:hAnsi="Arial" w:cs="Arial"/>
            <w:color w:val="0000FF"/>
          </w:rPr>
          <w:t xml:space="preserve"> </w:t>
        </w:r>
      </w:hyperlink>
      <w:r w:rsidRPr="00352F20">
        <w:rPr>
          <w:rFonts w:ascii="Arial" w:hAnsi="Arial" w:cs="Arial"/>
        </w:rPr>
        <w:t>and</w:t>
      </w:r>
      <w:hyperlink r:id="rId31">
        <w:r w:rsidRPr="00352F20">
          <w:rPr>
            <w:rFonts w:ascii="Arial" w:hAnsi="Arial" w:cs="Arial"/>
            <w:color w:val="0000FF"/>
          </w:rPr>
          <w:t xml:space="preserve"> </w:t>
        </w:r>
        <w:r w:rsidRPr="00352F20">
          <w:rPr>
            <w:rFonts w:ascii="Arial" w:hAnsi="Arial" w:cs="Arial"/>
            <w:color w:val="0000FF"/>
            <w:u w:val="single" w:color="0000FF"/>
          </w:rPr>
          <w:t>Library - Public and Indian Housing | HUD.gov /</w:t>
        </w:r>
      </w:hyperlink>
      <w:hyperlink r:id="rId32">
        <w:r w:rsidRPr="00352F20">
          <w:rPr>
            <w:rFonts w:ascii="Arial" w:hAnsi="Arial" w:cs="Arial"/>
            <w:color w:val="0000FF"/>
            <w:u w:val="single" w:color="0000FF"/>
          </w:rPr>
          <w:t xml:space="preserve"> U.S. Department of Housing and Urban Development (HUD)</w:t>
        </w:r>
      </w:hyperlink>
      <w:r w:rsidRPr="00352F20">
        <w:rPr>
          <w:rFonts w:ascii="Arial" w:hAnsi="Arial" w:cs="Arial"/>
        </w:rPr>
        <w:t>that provide general information about this</w:t>
      </w:r>
      <w:r w:rsidRPr="00352F20">
        <w:rPr>
          <w:rFonts w:ascii="Arial" w:hAnsi="Arial" w:cs="Arial"/>
          <w:spacing w:val="-3"/>
        </w:rPr>
        <w:t xml:space="preserve"> </w:t>
      </w:r>
      <w:r w:rsidRPr="00352F20">
        <w:rPr>
          <w:rFonts w:ascii="Arial" w:hAnsi="Arial" w:cs="Arial"/>
        </w:rPr>
        <w:t>program.</w:t>
      </w:r>
    </w:p>
    <w:p w14:paraId="23C2E56F" w14:textId="77777777" w:rsidR="006B5D76" w:rsidRPr="006B5D76" w:rsidRDefault="006B5D76" w:rsidP="006B5D76">
      <w:pPr>
        <w:pStyle w:val="ListParagraph"/>
        <w:widowControl w:val="0"/>
        <w:tabs>
          <w:tab w:val="left" w:pos="2259"/>
          <w:tab w:val="left" w:pos="2260"/>
        </w:tabs>
        <w:suppressAutoHyphens w:val="0"/>
        <w:adjustRightInd/>
        <w:ind w:left="2260" w:right="451"/>
        <w:jc w:val="both"/>
        <w:rPr>
          <w:rFonts w:ascii="Arial" w:hAnsi="Arial" w:cs="Arial"/>
        </w:rPr>
      </w:pPr>
    </w:p>
    <w:p w14:paraId="039DF768" w14:textId="3FFEAD1B" w:rsidR="00227793" w:rsidRDefault="00227793" w:rsidP="008B4BCE">
      <w:pPr>
        <w:pStyle w:val="ListParagraph"/>
        <w:widowControl w:val="0"/>
        <w:numPr>
          <w:ilvl w:val="0"/>
          <w:numId w:val="41"/>
        </w:numPr>
        <w:tabs>
          <w:tab w:val="left" w:pos="2259"/>
          <w:tab w:val="left" w:pos="2260"/>
        </w:tabs>
        <w:suppressAutoHyphens w:val="0"/>
        <w:adjustRightInd/>
        <w:ind w:right="403"/>
        <w:jc w:val="both"/>
        <w:rPr>
          <w:rFonts w:ascii="Arial" w:hAnsi="Arial" w:cs="Arial"/>
        </w:rPr>
      </w:pPr>
      <w:r w:rsidRPr="00352F20">
        <w:rPr>
          <w:rFonts w:ascii="Arial" w:hAnsi="Arial" w:cs="Arial"/>
        </w:rPr>
        <w:t>HUD’s Real Estate Assessment Center website is available at</w:t>
      </w:r>
      <w:r w:rsidRPr="00352F20">
        <w:rPr>
          <w:rFonts w:ascii="Arial" w:hAnsi="Arial" w:cs="Arial"/>
          <w:color w:val="0000FF"/>
        </w:rPr>
        <w:t xml:space="preserve"> </w:t>
      </w:r>
      <w:hyperlink r:id="rId33">
        <w:r w:rsidRPr="00352F20">
          <w:rPr>
            <w:rFonts w:ascii="Arial" w:hAnsi="Arial" w:cs="Arial"/>
            <w:color w:val="0000FF"/>
            <w:u w:val="single" w:color="0000FF"/>
          </w:rPr>
          <w:t>Real Estate</w:t>
        </w:r>
      </w:hyperlink>
      <w:hyperlink r:id="rId34">
        <w:r w:rsidRPr="00352F20">
          <w:rPr>
            <w:rFonts w:ascii="Arial" w:hAnsi="Arial" w:cs="Arial"/>
            <w:color w:val="0000FF"/>
            <w:u w:val="single" w:color="0000FF"/>
          </w:rPr>
          <w:t xml:space="preserve"> Assessment Center (REAC) | HUD.gov / U.S. Department of Housing and Urban</w:t>
        </w:r>
      </w:hyperlink>
      <w:hyperlink r:id="rId35">
        <w:r w:rsidRPr="00352F20">
          <w:rPr>
            <w:rFonts w:ascii="Arial" w:hAnsi="Arial" w:cs="Arial"/>
            <w:color w:val="0000FF"/>
            <w:u w:val="single" w:color="0000FF"/>
          </w:rPr>
          <w:t xml:space="preserve"> Development (HUD)</w:t>
        </w:r>
        <w:r w:rsidRPr="00352F20">
          <w:rPr>
            <w:rFonts w:ascii="Arial" w:hAnsi="Arial" w:cs="Arial"/>
          </w:rPr>
          <w:t xml:space="preserve">. </w:t>
        </w:r>
      </w:hyperlink>
      <w:r w:rsidRPr="00352F20">
        <w:rPr>
          <w:rFonts w:ascii="Arial" w:hAnsi="Arial" w:cs="Arial"/>
        </w:rPr>
        <w:t xml:space="preserve">Links to information </w:t>
      </w:r>
      <w:r w:rsidRPr="00352F20">
        <w:rPr>
          <w:rFonts w:ascii="Arial" w:hAnsi="Arial" w:cs="Arial"/>
          <w:spacing w:val="-3"/>
        </w:rPr>
        <w:t xml:space="preserve">concerning </w:t>
      </w:r>
      <w:r w:rsidRPr="00352F20">
        <w:rPr>
          <w:rFonts w:ascii="Arial" w:hAnsi="Arial" w:cs="Arial"/>
        </w:rPr>
        <w:t xml:space="preserve">PHAS and other </w:t>
      </w:r>
      <w:r w:rsidRPr="00352F20">
        <w:rPr>
          <w:rFonts w:ascii="Arial" w:hAnsi="Arial" w:cs="Arial"/>
          <w:spacing w:val="-3"/>
        </w:rPr>
        <w:t xml:space="preserve">important program information </w:t>
      </w:r>
      <w:r w:rsidRPr="00352F20">
        <w:rPr>
          <w:rFonts w:ascii="Arial" w:hAnsi="Arial" w:cs="Arial"/>
        </w:rPr>
        <w:t xml:space="preserve">are </w:t>
      </w:r>
      <w:r w:rsidRPr="00352F20">
        <w:rPr>
          <w:rFonts w:ascii="Arial" w:hAnsi="Arial" w:cs="Arial"/>
          <w:spacing w:val="-3"/>
        </w:rPr>
        <w:t xml:space="preserve">located </w:t>
      </w:r>
      <w:r w:rsidRPr="00352F20">
        <w:rPr>
          <w:rFonts w:ascii="Arial" w:hAnsi="Arial" w:cs="Arial"/>
        </w:rPr>
        <w:t>on this web page.</w:t>
      </w:r>
      <w:hyperlink r:id="rId36">
        <w:r w:rsidRPr="00352F20">
          <w:rPr>
            <w:rFonts w:ascii="Arial" w:hAnsi="Arial" w:cs="Arial"/>
            <w:color w:val="0000FF"/>
          </w:rPr>
          <w:t xml:space="preserve"> </w:t>
        </w:r>
        <w:r w:rsidRPr="00352F20">
          <w:rPr>
            <w:rFonts w:ascii="Arial" w:hAnsi="Arial" w:cs="Arial"/>
            <w:color w:val="0000FF"/>
            <w:u w:val="single" w:color="0000FF"/>
          </w:rPr>
          <w:t>The Supplement to Handbook</w:t>
        </w:r>
      </w:hyperlink>
      <w:hyperlink r:id="rId37">
        <w:r w:rsidRPr="00352F20">
          <w:rPr>
            <w:rFonts w:ascii="Arial" w:hAnsi="Arial" w:cs="Arial"/>
            <w:color w:val="0000FF"/>
            <w:u w:val="single" w:color="0000FF"/>
          </w:rPr>
          <w:t xml:space="preserve"> 7475.1</w:t>
        </w:r>
      </w:hyperlink>
      <w:r w:rsidRPr="00352F20">
        <w:rPr>
          <w:rFonts w:ascii="Arial" w:hAnsi="Arial" w:cs="Arial"/>
        </w:rPr>
        <w:t>, which was published in Notice PIH 2007-9 (April 10, 2007), provides detailed information on the financial reporting requirements for</w:t>
      </w:r>
      <w:r w:rsidRPr="00352F20">
        <w:rPr>
          <w:rFonts w:ascii="Arial" w:hAnsi="Arial" w:cs="Arial"/>
          <w:spacing w:val="-8"/>
        </w:rPr>
        <w:t xml:space="preserve"> </w:t>
      </w:r>
      <w:r w:rsidRPr="00352F20">
        <w:rPr>
          <w:rFonts w:ascii="Arial" w:hAnsi="Arial" w:cs="Arial"/>
        </w:rPr>
        <w:t>PHAs.</w:t>
      </w:r>
    </w:p>
    <w:p w14:paraId="35DE113D" w14:textId="77777777" w:rsidR="006B5D76" w:rsidRPr="006B5D76" w:rsidRDefault="006B5D76" w:rsidP="006B5D76">
      <w:pPr>
        <w:widowControl w:val="0"/>
        <w:tabs>
          <w:tab w:val="left" w:pos="2259"/>
          <w:tab w:val="left" w:pos="2260"/>
        </w:tabs>
        <w:ind w:right="403"/>
        <w:jc w:val="both"/>
        <w:rPr>
          <w:rFonts w:ascii="Arial" w:hAnsi="Arial" w:cs="Arial"/>
        </w:rPr>
      </w:pPr>
    </w:p>
    <w:p w14:paraId="65DA520D" w14:textId="7C58F6E8" w:rsidR="00227793" w:rsidRDefault="00227793" w:rsidP="008B4BCE">
      <w:pPr>
        <w:pStyle w:val="ListParagraph"/>
        <w:widowControl w:val="0"/>
        <w:numPr>
          <w:ilvl w:val="0"/>
          <w:numId w:val="41"/>
        </w:numPr>
        <w:tabs>
          <w:tab w:val="left" w:pos="2259"/>
          <w:tab w:val="left" w:pos="2260"/>
        </w:tabs>
        <w:suppressAutoHyphens w:val="0"/>
        <w:adjustRightInd/>
        <w:ind w:right="677"/>
        <w:jc w:val="both"/>
        <w:rPr>
          <w:rFonts w:ascii="Arial" w:hAnsi="Arial" w:cs="Arial"/>
        </w:rPr>
      </w:pPr>
      <w:r w:rsidRPr="00352F20">
        <w:rPr>
          <w:rFonts w:ascii="Arial" w:hAnsi="Arial" w:cs="Arial"/>
        </w:rPr>
        <w:t>Copies of HUD forms and notices are available at HUDCLIPS at</w:t>
      </w:r>
      <w:r w:rsidRPr="00352F20">
        <w:rPr>
          <w:rFonts w:ascii="Arial" w:hAnsi="Arial" w:cs="Arial"/>
          <w:color w:val="0000FF"/>
        </w:rPr>
        <w:t xml:space="preserve"> </w:t>
      </w:r>
      <w:hyperlink r:id="rId38">
        <w:r w:rsidRPr="00352F20">
          <w:rPr>
            <w:rFonts w:ascii="Arial" w:hAnsi="Arial" w:cs="Arial"/>
            <w:color w:val="0000FF"/>
            <w:u w:val="single" w:color="0000FF"/>
          </w:rPr>
          <w:t>HUDCLIPS |</w:t>
        </w:r>
      </w:hyperlink>
      <w:hyperlink r:id="rId39">
        <w:r w:rsidRPr="00352F20">
          <w:rPr>
            <w:rFonts w:ascii="Arial" w:hAnsi="Arial" w:cs="Arial"/>
            <w:color w:val="0000FF"/>
            <w:u w:val="single" w:color="0000FF"/>
          </w:rPr>
          <w:t xml:space="preserve"> HUD.gov / U.S. Department of Housing and Urban Development</w:t>
        </w:r>
        <w:r w:rsidRPr="00352F20">
          <w:rPr>
            <w:rFonts w:ascii="Arial" w:hAnsi="Arial" w:cs="Arial"/>
            <w:color w:val="0000FF"/>
            <w:spacing w:val="-12"/>
            <w:u w:val="single" w:color="0000FF"/>
          </w:rPr>
          <w:t xml:space="preserve"> </w:t>
        </w:r>
        <w:r w:rsidRPr="00352F20">
          <w:rPr>
            <w:rFonts w:ascii="Arial" w:hAnsi="Arial" w:cs="Arial"/>
            <w:color w:val="0000FF"/>
            <w:u w:val="single" w:color="0000FF"/>
          </w:rPr>
          <w:t>(HUD)</w:t>
        </w:r>
        <w:r w:rsidRPr="00352F20">
          <w:rPr>
            <w:rFonts w:ascii="Arial" w:hAnsi="Arial" w:cs="Arial"/>
          </w:rPr>
          <w:t>.</w:t>
        </w:r>
      </w:hyperlink>
    </w:p>
    <w:p w14:paraId="2DB72A2F" w14:textId="77777777" w:rsidR="006B5D76" w:rsidRPr="006B5D76" w:rsidRDefault="006B5D76" w:rsidP="006B5D76">
      <w:pPr>
        <w:widowControl w:val="0"/>
        <w:tabs>
          <w:tab w:val="left" w:pos="2259"/>
          <w:tab w:val="left" w:pos="2260"/>
        </w:tabs>
        <w:ind w:right="677"/>
        <w:jc w:val="both"/>
        <w:rPr>
          <w:rFonts w:ascii="Arial" w:hAnsi="Arial" w:cs="Arial"/>
        </w:rPr>
      </w:pPr>
    </w:p>
    <w:p w14:paraId="038ABBCE" w14:textId="77777777" w:rsidR="00227793" w:rsidRPr="00352F20" w:rsidRDefault="00227793" w:rsidP="008B4BCE">
      <w:pPr>
        <w:pStyle w:val="ListParagraph"/>
        <w:widowControl w:val="0"/>
        <w:numPr>
          <w:ilvl w:val="0"/>
          <w:numId w:val="41"/>
        </w:numPr>
        <w:tabs>
          <w:tab w:val="left" w:pos="2259"/>
          <w:tab w:val="left" w:pos="2260"/>
        </w:tabs>
        <w:suppressAutoHyphens w:val="0"/>
        <w:adjustRightInd/>
        <w:ind w:right="541"/>
        <w:jc w:val="both"/>
        <w:rPr>
          <w:rFonts w:ascii="Arial" w:hAnsi="Arial" w:cs="Arial"/>
        </w:rPr>
      </w:pPr>
      <w:r w:rsidRPr="00352F20">
        <w:rPr>
          <w:rFonts w:ascii="Arial" w:hAnsi="Arial" w:cs="Arial"/>
        </w:rPr>
        <w:t>HUD’s Rental Assistance Demonstration Program main website is available at</w:t>
      </w:r>
      <w:hyperlink r:id="rId40">
        <w:r w:rsidRPr="00352F20">
          <w:rPr>
            <w:rFonts w:ascii="Arial" w:hAnsi="Arial" w:cs="Arial"/>
            <w:color w:val="0000FF"/>
            <w:u w:val="single" w:color="0000FF"/>
          </w:rPr>
          <w:t xml:space="preserve"> Rental Assistance Demonstration | HUD.gov / U.S. Department of Housing and Urban</w:t>
        </w:r>
      </w:hyperlink>
      <w:hyperlink r:id="rId41">
        <w:r w:rsidRPr="00352F20">
          <w:rPr>
            <w:rFonts w:ascii="Arial" w:hAnsi="Arial" w:cs="Arial"/>
            <w:color w:val="0000FF"/>
            <w:u w:val="single" w:color="0000FF"/>
          </w:rPr>
          <w:t xml:space="preserve"> Development (HUD)</w:t>
        </w:r>
        <w:r w:rsidRPr="00352F20">
          <w:rPr>
            <w:rFonts w:ascii="Arial" w:hAnsi="Arial" w:cs="Arial"/>
          </w:rPr>
          <w:t>.</w:t>
        </w:r>
      </w:hyperlink>
    </w:p>
    <w:p w14:paraId="0593DAA1" w14:textId="77777777" w:rsidR="00227793" w:rsidRDefault="00227793" w:rsidP="0078513F">
      <w:pPr>
        <w:jc w:val="both"/>
        <w:rPr>
          <w:rFonts w:ascii="Arial" w:hAnsi="Arial" w:cs="Arial"/>
          <w:bCs/>
          <w:i/>
          <w:iCs/>
        </w:rPr>
      </w:pPr>
    </w:p>
    <w:p w14:paraId="07132476" w14:textId="2F0FA0AD" w:rsidR="00227793" w:rsidRPr="000F03FA" w:rsidRDefault="00227793" w:rsidP="00227793">
      <w:pPr>
        <w:spacing w:after="240"/>
        <w:jc w:val="both"/>
        <w:rPr>
          <w:rFonts w:ascii="Arial" w:hAnsi="Arial" w:cs="Arial"/>
          <w:bCs/>
          <w:i/>
          <w:iCs/>
        </w:rPr>
      </w:pPr>
      <w:r>
        <w:rPr>
          <w:rFonts w:ascii="Arial" w:hAnsi="Arial" w:cs="Arial"/>
          <w:bCs/>
          <w:i/>
          <w:iCs/>
        </w:rPr>
        <w:t>(Source: 2025 OMB Compliance Supplement, Part 4, HUD, #14.850 Public Housing Operating Fund)</w:t>
      </w: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42"/>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16" w:name="_Toc442267684"/>
      <w:bookmarkStart w:id="17" w:name="_Toc212473093"/>
      <w:r w:rsidRPr="00A0464C">
        <w:rPr>
          <w:rFonts w:cs="Arial"/>
          <w:sz w:val="24"/>
        </w:rPr>
        <w:lastRenderedPageBreak/>
        <w:t>Part II</w:t>
      </w:r>
      <w:bookmarkEnd w:id="16"/>
      <w:r w:rsidR="003644ED" w:rsidRPr="00A0464C">
        <w:rPr>
          <w:rFonts w:cs="Arial"/>
          <w:sz w:val="24"/>
        </w:rPr>
        <w:t xml:space="preserve"> – Pass through Agency and Grant Specific Information</w:t>
      </w:r>
      <w:bookmarkEnd w:id="17"/>
    </w:p>
    <w:p w14:paraId="7CDEBE27" w14:textId="5E447A41" w:rsidR="003644ED" w:rsidRPr="00DF10CF" w:rsidRDefault="00D04114" w:rsidP="006672EA">
      <w:pPr>
        <w:spacing w:after="240"/>
        <w:jc w:val="both"/>
        <w:rPr>
          <w:rFonts w:ascii="Arial" w:hAnsi="Arial" w:cs="Arial"/>
          <w:b/>
        </w:rPr>
      </w:pPr>
      <w:r w:rsidRPr="00DF10CF">
        <w:rPr>
          <w:rFonts w:ascii="Arial" w:hAnsi="Arial" w:cs="Arial"/>
          <w:b/>
          <w:highlight w:val="yellow"/>
        </w:rPr>
        <w:t xml:space="preserve">This section should contain introductory program specific information that is applicable to the program </w:t>
      </w:r>
      <w:r w:rsidR="00105E07" w:rsidRPr="00DF10CF">
        <w:rPr>
          <w:rFonts w:ascii="Arial" w:hAnsi="Arial" w:cs="Arial"/>
          <w:b/>
          <w:highlight w:val="yellow"/>
        </w:rPr>
        <w:t xml:space="preserve">AL </w:t>
      </w:r>
      <w:r w:rsidRPr="00DF10CF">
        <w:rPr>
          <w:rFonts w:ascii="Arial" w:hAnsi="Arial" w:cs="Arial"/>
          <w:b/>
          <w:highlight w:val="yellow"/>
        </w:rPr>
        <w:t xml:space="preserve">being tested from the </w:t>
      </w:r>
      <w:r w:rsidR="0019565C" w:rsidRPr="00DF10CF">
        <w:rPr>
          <w:rFonts w:ascii="Arial" w:hAnsi="Arial" w:cs="Arial"/>
          <w:b/>
          <w:highlight w:val="yellow"/>
        </w:rPr>
        <w:t>pass-through</w:t>
      </w:r>
      <w:r w:rsidRPr="00DF10CF">
        <w:rPr>
          <w:rFonts w:ascii="Arial" w:hAnsi="Arial" w:cs="Arial"/>
          <w:b/>
          <w:highlight w:val="yellow"/>
        </w:rPr>
        <w:t xml:space="preserve"> agency and contained within the individual grant agreement.</w:t>
      </w:r>
    </w:p>
    <w:p w14:paraId="0831D2D6" w14:textId="77777777" w:rsidR="003644ED" w:rsidRPr="00A0464C" w:rsidRDefault="003644ED" w:rsidP="006672EA">
      <w:pPr>
        <w:pStyle w:val="Heading3"/>
        <w:jc w:val="both"/>
        <w:rPr>
          <w:rFonts w:cs="Arial"/>
          <w:sz w:val="24"/>
          <w:szCs w:val="24"/>
        </w:rPr>
      </w:pPr>
      <w:bookmarkStart w:id="18" w:name="_Toc212473094"/>
      <w:r w:rsidRPr="00A0464C">
        <w:rPr>
          <w:rFonts w:cs="Arial"/>
          <w:sz w:val="24"/>
          <w:szCs w:val="24"/>
        </w:rPr>
        <w:t>Program Overview</w:t>
      </w:r>
      <w:bookmarkEnd w:id="18"/>
    </w:p>
    <w:p w14:paraId="7A72082C" w14:textId="77777777" w:rsidR="003644ED" w:rsidRPr="00F00D94" w:rsidRDefault="003644ED" w:rsidP="006672EA">
      <w:pPr>
        <w:spacing w:after="240"/>
        <w:jc w:val="both"/>
        <w:rPr>
          <w:rFonts w:ascii="Arial" w:hAnsi="Arial" w:cs="Arial"/>
        </w:rPr>
      </w:pPr>
    </w:p>
    <w:p w14:paraId="03B0752D" w14:textId="77777777" w:rsidR="003644ED" w:rsidRPr="00F00D94" w:rsidRDefault="003644ED" w:rsidP="006672EA">
      <w:pPr>
        <w:spacing w:after="240"/>
        <w:jc w:val="both"/>
        <w:rPr>
          <w:rFonts w:ascii="Arial" w:hAnsi="Arial" w:cs="Arial"/>
        </w:rPr>
      </w:pPr>
    </w:p>
    <w:p w14:paraId="238BF61F" w14:textId="77777777" w:rsidR="003644ED" w:rsidRPr="00A0464C" w:rsidRDefault="003644ED" w:rsidP="006672EA">
      <w:pPr>
        <w:pStyle w:val="Heading3"/>
        <w:jc w:val="both"/>
        <w:rPr>
          <w:rFonts w:cs="Arial"/>
          <w:sz w:val="24"/>
          <w:szCs w:val="24"/>
        </w:rPr>
      </w:pPr>
      <w:bookmarkStart w:id="19" w:name="_Toc212473095"/>
      <w:r w:rsidRPr="00A0464C">
        <w:rPr>
          <w:rFonts w:cs="Arial"/>
          <w:sz w:val="24"/>
          <w:szCs w:val="24"/>
        </w:rPr>
        <w:t>Testing Considerations</w:t>
      </w:r>
      <w:bookmarkEnd w:id="19"/>
    </w:p>
    <w:p w14:paraId="4B6DD4A2" w14:textId="77777777" w:rsidR="003644ED" w:rsidRPr="00F00D94" w:rsidRDefault="003644ED" w:rsidP="006672EA">
      <w:pPr>
        <w:spacing w:after="240"/>
        <w:jc w:val="both"/>
        <w:rPr>
          <w:rFonts w:ascii="Arial" w:hAnsi="Arial" w:cs="Arial"/>
        </w:rPr>
      </w:pPr>
    </w:p>
    <w:p w14:paraId="4F832EBB" w14:textId="77777777" w:rsidR="003644ED" w:rsidRPr="00F00D94" w:rsidRDefault="003644ED" w:rsidP="006672EA">
      <w:pPr>
        <w:spacing w:after="240"/>
        <w:jc w:val="both"/>
        <w:rPr>
          <w:rFonts w:ascii="Arial" w:hAnsi="Arial" w:cs="Arial"/>
        </w:rPr>
      </w:pPr>
    </w:p>
    <w:p w14:paraId="76A49AA4" w14:textId="77777777" w:rsidR="003644ED" w:rsidRPr="00A0464C" w:rsidRDefault="003644ED" w:rsidP="006672EA">
      <w:pPr>
        <w:pStyle w:val="Heading3"/>
        <w:jc w:val="both"/>
        <w:rPr>
          <w:rFonts w:cs="Arial"/>
          <w:sz w:val="24"/>
          <w:szCs w:val="24"/>
        </w:rPr>
      </w:pPr>
      <w:bookmarkStart w:id="20" w:name="_Toc212473096"/>
      <w:r w:rsidRPr="00A0464C">
        <w:rPr>
          <w:rFonts w:cs="Arial"/>
          <w:sz w:val="24"/>
          <w:szCs w:val="24"/>
        </w:rPr>
        <w:t>Reporting</w:t>
      </w:r>
      <w:bookmarkEnd w:id="20"/>
    </w:p>
    <w:p w14:paraId="098F526F" w14:textId="141A6D72" w:rsidR="002A4184" w:rsidRPr="0019565C" w:rsidRDefault="0047409E" w:rsidP="006672EA">
      <w:pPr>
        <w:spacing w:after="240"/>
        <w:jc w:val="both"/>
        <w:rPr>
          <w:rFonts w:ascii="Arial" w:hAnsi="Arial" w:cs="Arial"/>
          <w:b/>
        </w:rPr>
        <w:sectPr w:rsidR="002A4184" w:rsidRPr="0019565C" w:rsidSect="00FE4777">
          <w:headerReference w:type="default" r:id="rId43"/>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A022E3" w:rsidRPr="00306A2A">
        <w:rPr>
          <w:rFonts w:ascii="Arial" w:hAnsi="Arial" w:cs="Arial"/>
          <w:i/>
          <w:iCs/>
          <w:color w:val="002060"/>
        </w:rPr>
        <w:t>202</w:t>
      </w:r>
      <w:r w:rsidR="00A022E3">
        <w:rPr>
          <w:rFonts w:ascii="Arial" w:hAnsi="Arial" w:cs="Arial"/>
          <w:i/>
          <w:iCs/>
          <w:color w:val="002060"/>
        </w:rPr>
        <w:t>5</w:t>
      </w:r>
      <w:r w:rsidR="00A022E3"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44"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1" w:name="_Toc442267685"/>
      <w:bookmarkStart w:id="22" w:name="_Toc212473097"/>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1"/>
      <w:bookmarkEnd w:id="22"/>
    </w:p>
    <w:p w14:paraId="5009BB8E" w14:textId="77777777" w:rsidR="007E5B12" w:rsidRPr="00A0464C" w:rsidRDefault="007E5B12" w:rsidP="006672EA">
      <w:pPr>
        <w:pStyle w:val="Heading2"/>
        <w:jc w:val="both"/>
        <w:rPr>
          <w:rFonts w:cs="Arial"/>
          <w:sz w:val="24"/>
        </w:rPr>
      </w:pPr>
      <w:bookmarkStart w:id="23" w:name="_Toc442267686"/>
      <w:bookmarkStart w:id="24" w:name="_Toc212473098"/>
      <w:r w:rsidRPr="00A0464C">
        <w:rPr>
          <w:rFonts w:cs="Arial"/>
          <w:sz w:val="24"/>
        </w:rPr>
        <w:t>A.  ACTIVITIES ALLOWED OR UNALLOWED</w:t>
      </w:r>
      <w:bookmarkEnd w:id="23"/>
      <w:bookmarkEnd w:id="24"/>
    </w:p>
    <w:p w14:paraId="15499E2F" w14:textId="3214755D" w:rsidR="007E5B12" w:rsidRPr="00A0464C" w:rsidRDefault="006A15E5" w:rsidP="006672EA">
      <w:pPr>
        <w:pStyle w:val="Heading3"/>
        <w:jc w:val="both"/>
        <w:rPr>
          <w:rFonts w:cs="Arial"/>
          <w:sz w:val="24"/>
          <w:szCs w:val="24"/>
        </w:rPr>
      </w:pPr>
      <w:bookmarkStart w:id="25" w:name="_Toc442267687"/>
      <w:bookmarkStart w:id="26" w:name="_Toc212473099"/>
      <w:r w:rsidRPr="00A0464C">
        <w:rPr>
          <w:rFonts w:cs="Arial"/>
          <w:sz w:val="24"/>
          <w:szCs w:val="24"/>
        </w:rPr>
        <w:t xml:space="preserve">OMB </w:t>
      </w:r>
      <w:r w:rsidR="007E5B12" w:rsidRPr="00A0464C">
        <w:rPr>
          <w:rFonts w:cs="Arial"/>
          <w:sz w:val="24"/>
          <w:szCs w:val="24"/>
        </w:rPr>
        <w:t>Compliance Requirements</w:t>
      </w:r>
      <w:bookmarkEnd w:id="25"/>
      <w:bookmarkEnd w:id="26"/>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04C590FE"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w:t>
      </w:r>
      <w:r w:rsidR="001B6DDE">
        <w:rPr>
          <w:rFonts w:ascii="Arial" w:hAnsi="Arial" w:cs="Arial"/>
        </w:rPr>
        <w:t>f</w:t>
      </w:r>
      <w:r w:rsidRPr="00E8350F">
        <w:rPr>
          <w:rFonts w:ascii="Arial" w:hAnsi="Arial" w:cs="Arial"/>
        </w:rPr>
        <w:t xml:space="preserve">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w:t>
      </w:r>
      <w:r w:rsidR="001B6DDE">
        <w:rPr>
          <w:rFonts w:ascii="Arial" w:hAnsi="Arial" w:cs="Arial"/>
        </w:rPr>
        <w:t>f</w:t>
      </w:r>
      <w:r w:rsidRPr="00E8350F">
        <w:rPr>
          <w:rFonts w:ascii="Arial" w:hAnsi="Arial" w:cs="Arial"/>
        </w:rPr>
        <w:t xml:space="preserve">ederal award pertaining to the program. </w:t>
      </w:r>
    </w:p>
    <w:p w14:paraId="35ACB090" w14:textId="30C29AA2"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34B30AE6"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21294BF9"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095AB6">
        <w:rPr>
          <w:rFonts w:ascii="Arial" w:hAnsi="Arial" w:cs="Arial"/>
          <w:i/>
        </w:rPr>
        <w:t>.2</w:t>
      </w:r>
      <w:r w:rsidRPr="00F00D94">
        <w:rPr>
          <w:rFonts w:ascii="Arial" w:hAnsi="Arial" w:cs="Arial"/>
          <w:i/>
        </w:rPr>
        <w:t>)</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5D229A03" w14:textId="35282FAC" w:rsidR="00227793" w:rsidRPr="00227793" w:rsidRDefault="00227793" w:rsidP="00227793">
      <w:pPr>
        <w:jc w:val="both"/>
        <w:rPr>
          <w:rFonts w:ascii="Arial" w:eastAsia="Aptos" w:hAnsi="Arial" w:cs="Arial"/>
          <w:i/>
          <w:iCs/>
          <w:kern w:val="2"/>
          <w14:ligatures w14:val="standardContextual"/>
        </w:rPr>
      </w:pPr>
      <w:r w:rsidRPr="00227793">
        <w:rPr>
          <w:rFonts w:ascii="Arial" w:eastAsia="Aptos" w:hAnsi="Arial" w:cs="Arial"/>
          <w:i/>
          <w:iCs/>
          <w:kern w:val="2"/>
          <w14:ligatures w14:val="standardContextual"/>
        </w:rPr>
        <w:t>1.</w:t>
      </w:r>
      <w:r w:rsidRPr="00227793">
        <w:rPr>
          <w:rFonts w:ascii="Arial" w:eastAsia="Aptos" w:hAnsi="Arial" w:cs="Arial"/>
          <w:i/>
          <w:iCs/>
          <w:kern w:val="2"/>
          <w14:ligatures w14:val="standardContextual"/>
        </w:rPr>
        <w:tab/>
        <w:t>Project-Specific Operating Expenses</w:t>
      </w:r>
    </w:p>
    <w:p w14:paraId="137B58D2" w14:textId="77777777" w:rsidR="00227793" w:rsidRPr="00227793" w:rsidRDefault="00227793" w:rsidP="00CF656F">
      <w:pPr>
        <w:spacing w:line="278" w:lineRule="auto"/>
        <w:jc w:val="both"/>
        <w:rPr>
          <w:rFonts w:ascii="Arial" w:eastAsia="Aptos" w:hAnsi="Arial" w:cs="Arial"/>
          <w:kern w:val="2"/>
          <w14:ligatures w14:val="standardContextual"/>
        </w:rPr>
      </w:pPr>
    </w:p>
    <w:p w14:paraId="7E0B257C" w14:textId="77777777" w:rsidR="00227793" w:rsidRPr="00227793" w:rsidRDefault="00227793" w:rsidP="00227793">
      <w:pPr>
        <w:spacing w:after="160" w:line="278" w:lineRule="auto"/>
        <w:ind w:left="1440" w:hanging="720"/>
        <w:jc w:val="both"/>
        <w:rPr>
          <w:rFonts w:ascii="Arial" w:eastAsia="Aptos" w:hAnsi="Arial" w:cs="Arial"/>
          <w:kern w:val="2"/>
          <w14:ligatures w14:val="standardContextual"/>
        </w:rPr>
      </w:pPr>
      <w:r w:rsidRPr="00227793">
        <w:rPr>
          <w:rFonts w:ascii="Arial" w:eastAsia="Aptos" w:hAnsi="Arial" w:cs="Arial"/>
          <w:kern w:val="2"/>
          <w14:ligatures w14:val="standardContextual"/>
        </w:rPr>
        <w:t>a.</w:t>
      </w:r>
      <w:r w:rsidRPr="00227793">
        <w:rPr>
          <w:rFonts w:ascii="Arial" w:eastAsia="Aptos" w:hAnsi="Arial" w:cs="Arial"/>
          <w:kern w:val="2"/>
          <w14:ligatures w14:val="standardContextual"/>
        </w:rPr>
        <w:tab/>
        <w:t>Project-specific operating expenses include, but are not limited to, direct administrative costs, utilities costs, maintenance costs (maintenance must be either decentralized or, if centralized, recovered via fee-for-service), tenant services, protective services, general expenses, non-routine or capital expenses, and other PHA- or HUD-identified costs which are project-specific for management purposes.</w:t>
      </w:r>
    </w:p>
    <w:p w14:paraId="0CAA04E7" w14:textId="77777777" w:rsidR="00227793" w:rsidRPr="00227793" w:rsidRDefault="00227793" w:rsidP="00227793">
      <w:pPr>
        <w:spacing w:after="160" w:line="278" w:lineRule="auto"/>
        <w:ind w:left="1440" w:hanging="720"/>
        <w:jc w:val="both"/>
        <w:rPr>
          <w:rFonts w:ascii="Arial" w:eastAsia="Aptos" w:hAnsi="Arial" w:cs="Arial"/>
          <w:kern w:val="2"/>
          <w14:ligatures w14:val="standardContextual"/>
        </w:rPr>
      </w:pPr>
      <w:r w:rsidRPr="00227793">
        <w:rPr>
          <w:rFonts w:ascii="Arial" w:eastAsia="Aptos" w:hAnsi="Arial" w:cs="Arial"/>
          <w:kern w:val="2"/>
          <w14:ligatures w14:val="standardContextual"/>
        </w:rPr>
        <w:t>b.</w:t>
      </w:r>
      <w:r w:rsidRPr="00227793">
        <w:rPr>
          <w:rFonts w:ascii="Arial" w:eastAsia="Aptos" w:hAnsi="Arial" w:cs="Arial"/>
          <w:kern w:val="2"/>
          <w14:ligatures w14:val="standardContextual"/>
        </w:rPr>
        <w:tab/>
        <w:t>Project-specific operating expenses include a property management fee for each project to fund central office operations. If the PHA contracts with a private management company to manage a project, the PHA may use the difference between the property management fee paid to the private management company and the fee that is reasonable to fund operations of the central office and other eligible purposes.</w:t>
      </w:r>
    </w:p>
    <w:p w14:paraId="718AD952" w14:textId="77777777" w:rsidR="00227793" w:rsidRPr="00227793" w:rsidRDefault="00227793" w:rsidP="00227793">
      <w:pPr>
        <w:spacing w:after="160" w:line="278" w:lineRule="auto"/>
        <w:ind w:firstLine="720"/>
        <w:jc w:val="both"/>
        <w:rPr>
          <w:rFonts w:ascii="Arial" w:eastAsia="Aptos" w:hAnsi="Arial" w:cs="Arial"/>
          <w:kern w:val="2"/>
          <w14:ligatures w14:val="standardContextual"/>
        </w:rPr>
      </w:pPr>
      <w:r w:rsidRPr="00227793">
        <w:rPr>
          <w:rFonts w:ascii="Arial" w:eastAsia="Aptos" w:hAnsi="Arial" w:cs="Arial"/>
          <w:kern w:val="2"/>
          <w14:ligatures w14:val="standardContextual"/>
        </w:rPr>
        <w:t>c.</w:t>
      </w:r>
      <w:r w:rsidRPr="00227793">
        <w:rPr>
          <w:rFonts w:ascii="Arial" w:eastAsia="Aptos" w:hAnsi="Arial" w:cs="Arial"/>
          <w:kern w:val="2"/>
          <w14:ligatures w14:val="standardContextual"/>
        </w:rPr>
        <w:tab/>
        <w:t>Proceeds under Sections 18 and 22 of the 1937 Act</w:t>
      </w:r>
    </w:p>
    <w:p w14:paraId="76C022F6" w14:textId="77777777" w:rsidR="00227793" w:rsidRPr="00227793" w:rsidRDefault="00227793" w:rsidP="00227793">
      <w:pPr>
        <w:spacing w:after="160" w:line="278" w:lineRule="auto"/>
        <w:ind w:left="2160" w:hanging="720"/>
        <w:jc w:val="both"/>
        <w:rPr>
          <w:rFonts w:ascii="Arial" w:eastAsia="Aptos" w:hAnsi="Arial" w:cs="Arial"/>
          <w:kern w:val="2"/>
          <w14:ligatures w14:val="standardContextual"/>
        </w:rPr>
      </w:pPr>
      <w:r w:rsidRPr="00227793">
        <w:rPr>
          <w:rFonts w:ascii="Arial" w:eastAsia="Aptos" w:hAnsi="Arial" w:cs="Arial"/>
          <w:kern w:val="2"/>
          <w14:ligatures w14:val="standardContextual"/>
        </w:rPr>
        <w:lastRenderedPageBreak/>
        <w:t>(1)</w:t>
      </w:r>
      <w:r w:rsidRPr="00227793">
        <w:rPr>
          <w:rFonts w:ascii="Arial" w:eastAsia="Aptos" w:hAnsi="Arial" w:cs="Arial"/>
          <w:kern w:val="2"/>
          <w14:ligatures w14:val="standardContextual"/>
        </w:rPr>
        <w:tab/>
        <w:t>PHAs may obtain proceeds from public housing real property dispositions under sections 18 and 22 of the 1937 Act. If approved by HUD, PHAs may deduct relocation costs and reasonable disposition costs (transaction costs from the gross proceeds (the result being the net proceeds). The reasonableness of disposition costs for this purpose is evidenced by the HUD approval of the deduction. PHAs may use net proceeds for the provision of low- income housing, to benefit the public housing residents of the PHA, or to leverage amounts for securing commercial enterprises on-site in public housing projects as appropriate to serve the needs of the public housing residents. A PHA's use of proceeds is subject to HUD approval. PHAs shall not use proceeds without obtaining written approval from HUD's Special Applications Center (SAC). Until expended, PHAs must deposit the proceeds into an account subject to the HUD General Depository Agreement HUD- 51999 (GDA)(4/18).</w:t>
      </w:r>
    </w:p>
    <w:p w14:paraId="440A2117" w14:textId="77777777" w:rsidR="00227793" w:rsidRPr="00227793" w:rsidRDefault="00227793" w:rsidP="00227793">
      <w:pPr>
        <w:spacing w:after="160" w:line="278" w:lineRule="auto"/>
        <w:jc w:val="both"/>
        <w:rPr>
          <w:rFonts w:ascii="Arial" w:eastAsia="Aptos" w:hAnsi="Arial" w:cs="Arial"/>
          <w:i/>
          <w:iCs/>
          <w:kern w:val="2"/>
          <w14:ligatures w14:val="standardContextual"/>
        </w:rPr>
      </w:pPr>
      <w:r w:rsidRPr="00227793">
        <w:rPr>
          <w:rFonts w:ascii="Arial" w:eastAsia="Aptos" w:hAnsi="Arial" w:cs="Arial"/>
          <w:i/>
          <w:iCs/>
          <w:kern w:val="2"/>
          <w14:ligatures w14:val="standardContextual"/>
        </w:rPr>
        <w:t>2.</w:t>
      </w:r>
      <w:r w:rsidRPr="00227793">
        <w:rPr>
          <w:rFonts w:ascii="Arial" w:eastAsia="Aptos" w:hAnsi="Arial" w:cs="Arial"/>
          <w:i/>
          <w:iCs/>
          <w:kern w:val="2"/>
          <w14:ligatures w14:val="standardContextual"/>
        </w:rPr>
        <w:tab/>
        <w:t>Use of Excess Cash</w:t>
      </w:r>
    </w:p>
    <w:p w14:paraId="53A45495" w14:textId="471FF66D" w:rsidR="00227793" w:rsidRPr="00227793" w:rsidRDefault="00227793" w:rsidP="00227793">
      <w:pPr>
        <w:spacing w:after="160" w:line="278" w:lineRule="auto"/>
        <w:ind w:left="720"/>
        <w:jc w:val="both"/>
        <w:rPr>
          <w:rFonts w:ascii="Arial" w:eastAsia="Aptos" w:hAnsi="Arial" w:cs="Arial"/>
          <w:kern w:val="2"/>
          <w14:ligatures w14:val="standardContextual"/>
        </w:rPr>
      </w:pPr>
      <w:r w:rsidRPr="00227793">
        <w:rPr>
          <w:rFonts w:ascii="Arial" w:eastAsia="Aptos" w:hAnsi="Arial" w:cs="Arial"/>
          <w:kern w:val="2"/>
          <w14:ligatures w14:val="standardContextual"/>
        </w:rPr>
        <w:t xml:space="preserve">With the Operating Funds calculated at a project level, the Operating Funds can be transferred as the PHA determines during the PHA’s fiscal year to another ACC project(s) if a project’s financial information meets the requirements described in </w:t>
      </w:r>
      <w:hyperlink r:id="rId45" w:history="1">
        <w:r w:rsidRPr="00227793">
          <w:rPr>
            <w:rStyle w:val="Hyperlink"/>
            <w:rFonts w:eastAsia="Aptos" w:cs="Arial"/>
            <w:kern w:val="2"/>
            <w14:ligatures w14:val="standardContextual"/>
          </w:rPr>
          <w:t>24 CFR section 990.280</w:t>
        </w:r>
      </w:hyperlink>
      <w:r w:rsidRPr="00227793">
        <w:rPr>
          <w:rFonts w:ascii="Arial" w:eastAsia="Aptos" w:hAnsi="Arial" w:cs="Arial"/>
          <w:kern w:val="2"/>
          <w14:ligatures w14:val="standardContextual"/>
        </w:rPr>
        <w:t>. The transfers cannot be more than the excess cash the project generates (24 CFR section 990.205(a)). Excess cash is calculated at the end of the project’s prior fiscal year for use in the current fiscal year, if applicable. Excess cash represents the sum of certain current asset accounts, minus current liabilities, and minus one month’s worth of operating expenses for the project.</w:t>
      </w:r>
    </w:p>
    <w:p w14:paraId="624DC12D" w14:textId="77777777" w:rsidR="00227793" w:rsidRPr="00227793" w:rsidRDefault="00227793" w:rsidP="00227793">
      <w:pPr>
        <w:spacing w:after="160" w:line="278" w:lineRule="auto"/>
        <w:ind w:left="720"/>
        <w:jc w:val="both"/>
        <w:rPr>
          <w:rFonts w:ascii="Arial" w:eastAsia="Aptos" w:hAnsi="Arial" w:cs="Arial"/>
          <w:kern w:val="2"/>
          <w14:ligatures w14:val="standardContextual"/>
        </w:rPr>
      </w:pPr>
      <w:r w:rsidRPr="00227793">
        <w:rPr>
          <w:rFonts w:ascii="Arial" w:eastAsia="Aptos" w:hAnsi="Arial" w:cs="Arial"/>
          <w:kern w:val="2"/>
          <w14:ligatures w14:val="standardContextual"/>
        </w:rPr>
        <w:t>HUD has provided guidance on using excess cash in sections 6.1 through 6.6 in the Supplement to HUD Handbook 7475.1. This guidance has been developed using the norms in the broader multi-family management industry (24 CFR section 990.225).</w:t>
      </w:r>
    </w:p>
    <w:p w14:paraId="5BF8CE83" w14:textId="77777777" w:rsidR="00227793" w:rsidRPr="00227793" w:rsidRDefault="00227793" w:rsidP="00227793">
      <w:pPr>
        <w:spacing w:after="160" w:line="278" w:lineRule="auto"/>
        <w:ind w:firstLine="720"/>
        <w:jc w:val="both"/>
        <w:rPr>
          <w:rFonts w:ascii="Arial" w:eastAsia="Aptos" w:hAnsi="Arial" w:cs="Arial"/>
          <w:kern w:val="2"/>
          <w14:ligatures w14:val="standardContextual"/>
        </w:rPr>
      </w:pPr>
      <w:r w:rsidRPr="00227793">
        <w:rPr>
          <w:rFonts w:ascii="Arial" w:eastAsia="Aptos" w:hAnsi="Arial" w:cs="Arial"/>
          <w:kern w:val="2"/>
          <w14:ligatures w14:val="standardContextual"/>
        </w:rPr>
        <w:t>a.</w:t>
      </w:r>
      <w:r w:rsidRPr="00227793">
        <w:rPr>
          <w:rFonts w:ascii="Arial" w:eastAsia="Aptos" w:hAnsi="Arial" w:cs="Arial"/>
          <w:kern w:val="2"/>
          <w14:ligatures w14:val="standardContextual"/>
        </w:rPr>
        <w:tab/>
        <w:t>Excess cash may be used for the following purposes:</w:t>
      </w:r>
    </w:p>
    <w:p w14:paraId="73175865" w14:textId="77777777" w:rsidR="00227793" w:rsidRPr="00227793" w:rsidRDefault="00227793" w:rsidP="00227793">
      <w:pPr>
        <w:spacing w:after="160" w:line="278" w:lineRule="auto"/>
        <w:ind w:left="720" w:firstLine="720"/>
        <w:jc w:val="both"/>
        <w:rPr>
          <w:rFonts w:ascii="Arial" w:eastAsia="Aptos" w:hAnsi="Arial" w:cs="Arial"/>
          <w:kern w:val="2"/>
          <w14:ligatures w14:val="standardContextual"/>
        </w:rPr>
      </w:pPr>
      <w:r w:rsidRPr="00227793">
        <w:rPr>
          <w:rFonts w:ascii="Arial" w:eastAsia="Aptos" w:hAnsi="Arial" w:cs="Arial"/>
          <w:kern w:val="2"/>
          <w14:ligatures w14:val="standardContextual"/>
        </w:rPr>
        <w:t>(1)</w:t>
      </w:r>
      <w:r w:rsidRPr="00227793">
        <w:rPr>
          <w:rFonts w:ascii="Arial" w:eastAsia="Aptos" w:hAnsi="Arial" w:cs="Arial"/>
          <w:kern w:val="2"/>
          <w14:ligatures w14:val="standardContextual"/>
        </w:rPr>
        <w:tab/>
        <w:t>Retention for future use;</w:t>
      </w:r>
    </w:p>
    <w:p w14:paraId="60E82A25" w14:textId="61B9B0E3" w:rsidR="00227793" w:rsidRPr="00227793" w:rsidRDefault="00227793" w:rsidP="00CF656F">
      <w:pPr>
        <w:spacing w:after="160" w:line="278" w:lineRule="auto"/>
        <w:ind w:left="720" w:firstLine="720"/>
        <w:jc w:val="both"/>
        <w:rPr>
          <w:rFonts w:ascii="Arial" w:eastAsia="Aptos" w:hAnsi="Arial" w:cs="Arial"/>
          <w:kern w:val="2"/>
          <w14:ligatures w14:val="standardContextual"/>
        </w:rPr>
      </w:pPr>
      <w:r w:rsidRPr="00227793">
        <w:rPr>
          <w:rFonts w:ascii="Arial" w:eastAsia="Aptos" w:hAnsi="Arial" w:cs="Arial"/>
          <w:kern w:val="2"/>
          <w14:ligatures w14:val="standardContextual"/>
        </w:rPr>
        <w:t>(2)</w:t>
      </w:r>
      <w:r w:rsidRPr="00227793">
        <w:rPr>
          <w:rFonts w:ascii="Arial" w:eastAsia="Aptos" w:hAnsi="Arial" w:cs="Arial"/>
          <w:kern w:val="2"/>
          <w14:ligatures w14:val="standardContextual"/>
        </w:rPr>
        <w:tab/>
        <w:t>Transfer to other projects;</w:t>
      </w:r>
    </w:p>
    <w:p w14:paraId="45A5C57A" w14:textId="77777777" w:rsidR="00227793" w:rsidRPr="00227793" w:rsidRDefault="00227793" w:rsidP="00227793">
      <w:pPr>
        <w:spacing w:after="160" w:line="278" w:lineRule="auto"/>
        <w:ind w:left="720" w:firstLine="720"/>
        <w:jc w:val="both"/>
        <w:rPr>
          <w:rFonts w:ascii="Arial" w:eastAsia="Aptos" w:hAnsi="Arial" w:cs="Arial"/>
          <w:kern w:val="2"/>
          <w14:ligatures w14:val="standardContextual"/>
        </w:rPr>
      </w:pPr>
      <w:r w:rsidRPr="00227793">
        <w:rPr>
          <w:rFonts w:ascii="Arial" w:eastAsia="Aptos" w:hAnsi="Arial" w:cs="Arial"/>
          <w:kern w:val="2"/>
          <w14:ligatures w14:val="standardContextual"/>
        </w:rPr>
        <w:t>(3)</w:t>
      </w:r>
      <w:r w:rsidRPr="00227793">
        <w:rPr>
          <w:rFonts w:ascii="Arial" w:eastAsia="Aptos" w:hAnsi="Arial" w:cs="Arial"/>
          <w:kern w:val="2"/>
          <w14:ligatures w14:val="standardContextual"/>
        </w:rPr>
        <w:tab/>
        <w:t>Payment of an asset management fee to the COCC; and</w:t>
      </w:r>
    </w:p>
    <w:p w14:paraId="0395B2B7" w14:textId="77777777" w:rsidR="00227793" w:rsidRPr="00227793" w:rsidRDefault="00227793" w:rsidP="00227793">
      <w:pPr>
        <w:spacing w:after="160" w:line="278" w:lineRule="auto"/>
        <w:ind w:left="720" w:firstLine="720"/>
        <w:jc w:val="both"/>
        <w:rPr>
          <w:rFonts w:ascii="Arial" w:eastAsia="Aptos" w:hAnsi="Arial" w:cs="Arial"/>
          <w:kern w:val="2"/>
          <w14:ligatures w14:val="standardContextual"/>
        </w:rPr>
      </w:pPr>
      <w:r w:rsidRPr="00227793">
        <w:rPr>
          <w:rFonts w:ascii="Arial" w:eastAsia="Aptos" w:hAnsi="Arial" w:cs="Arial"/>
          <w:kern w:val="2"/>
          <w14:ligatures w14:val="standardContextual"/>
        </w:rPr>
        <w:t>(4)</w:t>
      </w:r>
      <w:r w:rsidRPr="00227793">
        <w:rPr>
          <w:rFonts w:ascii="Arial" w:eastAsia="Aptos" w:hAnsi="Arial" w:cs="Arial"/>
          <w:kern w:val="2"/>
          <w14:ligatures w14:val="standardContextual"/>
        </w:rPr>
        <w:tab/>
        <w:t>Other HUD-approved eligible purposes, including, but not limited to—</w:t>
      </w:r>
    </w:p>
    <w:p w14:paraId="20F5BE58" w14:textId="77777777" w:rsidR="00227793" w:rsidRPr="00227793" w:rsidRDefault="00227793" w:rsidP="00227793">
      <w:pPr>
        <w:spacing w:after="160" w:line="278" w:lineRule="auto"/>
        <w:ind w:left="2880" w:hanging="720"/>
        <w:jc w:val="both"/>
        <w:rPr>
          <w:rFonts w:ascii="Arial" w:eastAsia="Aptos" w:hAnsi="Arial" w:cs="Arial"/>
          <w:kern w:val="2"/>
          <w14:ligatures w14:val="standardContextual"/>
        </w:rPr>
      </w:pPr>
      <w:r w:rsidRPr="00227793">
        <w:rPr>
          <w:rFonts w:ascii="Arial" w:eastAsia="Aptos" w:hAnsi="Arial" w:cs="Arial"/>
          <w:kern w:val="2"/>
          <w14:ligatures w14:val="standardContextual"/>
        </w:rPr>
        <w:t>(a)</w:t>
      </w:r>
      <w:r w:rsidRPr="00227793">
        <w:rPr>
          <w:rFonts w:ascii="Arial" w:eastAsia="Aptos" w:hAnsi="Arial" w:cs="Arial"/>
          <w:kern w:val="2"/>
          <w14:ligatures w14:val="standardContextual"/>
        </w:rPr>
        <w:tab/>
        <w:t>Financing costs for the development of new units (to the extent allowed under program requirements),</w:t>
      </w:r>
    </w:p>
    <w:p w14:paraId="0E9401B9" w14:textId="77777777" w:rsidR="00227793" w:rsidRPr="00227793" w:rsidRDefault="00227793" w:rsidP="00227793">
      <w:pPr>
        <w:spacing w:after="160" w:line="278" w:lineRule="auto"/>
        <w:ind w:left="2880" w:hanging="720"/>
        <w:jc w:val="both"/>
        <w:rPr>
          <w:rFonts w:ascii="Arial" w:eastAsia="Aptos" w:hAnsi="Arial" w:cs="Arial"/>
          <w:kern w:val="2"/>
          <w14:ligatures w14:val="standardContextual"/>
        </w:rPr>
      </w:pPr>
      <w:r w:rsidRPr="00227793">
        <w:rPr>
          <w:rFonts w:ascii="Arial" w:eastAsia="Aptos" w:hAnsi="Arial" w:cs="Arial"/>
          <w:kern w:val="2"/>
          <w14:ligatures w14:val="standardContextual"/>
        </w:rPr>
        <w:t>(b)</w:t>
      </w:r>
      <w:r w:rsidRPr="00227793">
        <w:rPr>
          <w:rFonts w:ascii="Arial" w:eastAsia="Aptos" w:hAnsi="Arial" w:cs="Arial"/>
          <w:kern w:val="2"/>
          <w14:ligatures w14:val="standardContextual"/>
        </w:rPr>
        <w:tab/>
        <w:t>If approved by HUD HQ Counsel and concurred upon by the assistant secretary or general deputy assistant secretary, costs of pursuing PHA-wide lawsuits and addressing legal issues incurred prior to asset management that cannot be charged to specific projects or other programs with any degree of accuracy or fairness, and</w:t>
      </w:r>
    </w:p>
    <w:p w14:paraId="5F12E22F" w14:textId="77777777" w:rsidR="00227793" w:rsidRPr="00227793" w:rsidRDefault="00227793" w:rsidP="00227793">
      <w:pPr>
        <w:spacing w:after="160" w:line="278" w:lineRule="auto"/>
        <w:ind w:left="2880" w:hanging="720"/>
        <w:jc w:val="both"/>
        <w:rPr>
          <w:rFonts w:ascii="Arial" w:eastAsia="Aptos" w:hAnsi="Arial" w:cs="Arial"/>
          <w:kern w:val="2"/>
          <w14:ligatures w14:val="standardContextual"/>
        </w:rPr>
      </w:pPr>
      <w:r w:rsidRPr="00227793">
        <w:rPr>
          <w:rFonts w:ascii="Arial" w:eastAsia="Aptos" w:hAnsi="Arial" w:cs="Arial"/>
          <w:kern w:val="2"/>
          <w14:ligatures w14:val="standardContextual"/>
        </w:rPr>
        <w:t>(c)</w:t>
      </w:r>
      <w:r w:rsidRPr="00227793">
        <w:rPr>
          <w:rFonts w:ascii="Arial" w:eastAsia="Aptos" w:hAnsi="Arial" w:cs="Arial"/>
          <w:kern w:val="2"/>
          <w14:ligatures w14:val="standardContextual"/>
        </w:rPr>
        <w:tab/>
        <w:t>Provided 2 CFR Part 200 is followed, benefits including pensions, retirement benefits liabilities, and other “legacy costs” incurred prior to adoption of asset management (24 CFR section 990.280(b)(5)). (Also see Section 6.2 in the Supplement to HUD Handbook 7475.1.)</w:t>
      </w:r>
    </w:p>
    <w:p w14:paraId="727C05F4" w14:textId="77777777" w:rsidR="00227793" w:rsidRPr="00227793" w:rsidRDefault="00227793" w:rsidP="00227793">
      <w:pPr>
        <w:spacing w:after="160" w:line="278" w:lineRule="auto"/>
        <w:ind w:left="1440" w:hanging="720"/>
        <w:jc w:val="both"/>
        <w:rPr>
          <w:rFonts w:ascii="Arial" w:eastAsia="Aptos" w:hAnsi="Arial" w:cs="Arial"/>
          <w:kern w:val="2"/>
          <w14:ligatures w14:val="standardContextual"/>
        </w:rPr>
      </w:pPr>
      <w:r w:rsidRPr="00227793">
        <w:rPr>
          <w:rFonts w:ascii="Arial" w:eastAsia="Aptos" w:hAnsi="Arial" w:cs="Arial"/>
          <w:kern w:val="2"/>
          <w14:ligatures w14:val="standardContextual"/>
        </w:rPr>
        <w:lastRenderedPageBreak/>
        <w:t>b.</w:t>
      </w:r>
      <w:r w:rsidRPr="00227793">
        <w:rPr>
          <w:rFonts w:ascii="Arial" w:eastAsia="Aptos" w:hAnsi="Arial" w:cs="Arial"/>
          <w:kern w:val="2"/>
          <w14:ligatures w14:val="standardContextual"/>
        </w:rPr>
        <w:tab/>
        <w:t>Proceeds from asset disposals of a project (e.g., the sale of a project’s maintenance vehicle) are assets of the projects and not of the COCC. With HUD approval, certain proceeds may be transferred to the COCC but may still be governed by other restrictions (2 CFR Part 200; section 990.280(b)(5)). (Also see Section 6.3 in the Supplement to HUD Handbook 7475.1.)</w:t>
      </w:r>
    </w:p>
    <w:p w14:paraId="1AFD5C87" w14:textId="77777777" w:rsidR="00227793" w:rsidRPr="00227793" w:rsidRDefault="00227793" w:rsidP="00227793">
      <w:pPr>
        <w:spacing w:after="160" w:line="278" w:lineRule="auto"/>
        <w:ind w:left="1440" w:hanging="720"/>
        <w:jc w:val="both"/>
        <w:rPr>
          <w:rFonts w:ascii="Arial" w:eastAsia="Aptos" w:hAnsi="Arial" w:cs="Arial"/>
          <w:kern w:val="2"/>
          <w14:ligatures w14:val="standardContextual"/>
        </w:rPr>
      </w:pPr>
      <w:r w:rsidRPr="00227793">
        <w:rPr>
          <w:rFonts w:ascii="Arial" w:eastAsia="Aptos" w:hAnsi="Arial" w:cs="Arial"/>
          <w:kern w:val="2"/>
          <w14:ligatures w14:val="standardContextual"/>
        </w:rPr>
        <w:t>c.</w:t>
      </w:r>
      <w:r w:rsidRPr="00227793">
        <w:rPr>
          <w:rFonts w:ascii="Arial" w:eastAsia="Aptos" w:hAnsi="Arial" w:cs="Arial"/>
          <w:kern w:val="2"/>
          <w14:ligatures w14:val="standardContextual"/>
        </w:rPr>
        <w:tab/>
        <w:t>Excess cash cannot be used for loans or transfers to the COCC except through payment of asset management fees.</w:t>
      </w:r>
    </w:p>
    <w:p w14:paraId="04D35654" w14:textId="77777777" w:rsidR="00227793" w:rsidRPr="00227793" w:rsidRDefault="00227793" w:rsidP="00227793">
      <w:pPr>
        <w:spacing w:after="160" w:line="278" w:lineRule="auto"/>
        <w:jc w:val="both"/>
        <w:rPr>
          <w:rFonts w:ascii="Arial" w:eastAsia="Aptos" w:hAnsi="Arial" w:cs="Arial"/>
          <w:i/>
          <w:iCs/>
          <w:kern w:val="2"/>
          <w14:ligatures w14:val="standardContextual"/>
        </w:rPr>
      </w:pPr>
      <w:r w:rsidRPr="00227793">
        <w:rPr>
          <w:rFonts w:ascii="Arial" w:eastAsia="Aptos" w:hAnsi="Arial" w:cs="Arial"/>
          <w:i/>
          <w:iCs/>
          <w:kern w:val="2"/>
          <w14:ligatures w14:val="standardContextual"/>
        </w:rPr>
        <w:t>3.</w:t>
      </w:r>
      <w:r w:rsidRPr="00227793">
        <w:rPr>
          <w:rFonts w:ascii="Arial" w:eastAsia="Aptos" w:hAnsi="Arial" w:cs="Arial"/>
          <w:i/>
          <w:iCs/>
          <w:kern w:val="2"/>
          <w14:ligatures w14:val="standardContextual"/>
        </w:rPr>
        <w:tab/>
        <w:t>Use of Operating Funds</w:t>
      </w:r>
    </w:p>
    <w:p w14:paraId="3AA3793B" w14:textId="77777777" w:rsidR="00227793" w:rsidRPr="00227793" w:rsidRDefault="00227793" w:rsidP="00227793">
      <w:pPr>
        <w:spacing w:after="160" w:line="278" w:lineRule="auto"/>
        <w:ind w:left="1440" w:hanging="720"/>
        <w:jc w:val="both"/>
        <w:rPr>
          <w:rFonts w:ascii="Arial" w:eastAsia="Aptos" w:hAnsi="Arial" w:cs="Arial"/>
          <w:kern w:val="2"/>
          <w14:ligatures w14:val="standardContextual"/>
        </w:rPr>
      </w:pPr>
      <w:r w:rsidRPr="00227793">
        <w:rPr>
          <w:rFonts w:ascii="Arial" w:eastAsia="Aptos" w:hAnsi="Arial" w:cs="Arial"/>
          <w:kern w:val="2"/>
          <w14:ligatures w14:val="standardContextual"/>
        </w:rPr>
        <w:t>a.</w:t>
      </w:r>
      <w:r w:rsidRPr="00227793">
        <w:rPr>
          <w:rFonts w:ascii="Arial" w:eastAsia="Aptos" w:hAnsi="Arial" w:cs="Arial"/>
          <w:kern w:val="2"/>
          <w14:ligatures w14:val="standardContextual"/>
        </w:rPr>
        <w:tab/>
        <w:t>The Operating Fund was established for the purpose of making assistance available to PHAs for the operation and management of public housing. Per the ACC, funds are not fungible between programs except as approved by HUD (PHAs may use Operating Funds as outlined by sections 9(e), 9(g) and 9(l) of the 1937 Act, as amended (42 USC 1437d(j), 42 USC 1437g, and 42 USC 3535(d)), HUD regulations and Moving to Work (MTW) agreements. PHAs may use Capital Funds as outlined by Section 9(d), 9(g), and 9(l) of the 1937 Act and HUD regulations) and consistent with HUD Requirements.</w:t>
      </w:r>
    </w:p>
    <w:p w14:paraId="2C6EA66D" w14:textId="77777777" w:rsidR="00227793" w:rsidRPr="00227793" w:rsidRDefault="00227793" w:rsidP="006B5D76">
      <w:pPr>
        <w:spacing w:after="160" w:line="278" w:lineRule="auto"/>
        <w:ind w:left="1440"/>
        <w:jc w:val="both"/>
        <w:rPr>
          <w:rFonts w:ascii="Arial" w:eastAsia="Aptos" w:hAnsi="Arial" w:cs="Arial"/>
          <w:kern w:val="2"/>
          <w14:ligatures w14:val="standardContextual"/>
        </w:rPr>
      </w:pPr>
      <w:r w:rsidRPr="00227793">
        <w:rPr>
          <w:rFonts w:ascii="Arial" w:eastAsia="Aptos" w:hAnsi="Arial" w:cs="Arial"/>
          <w:kern w:val="2"/>
          <w14:ligatures w14:val="standardContextual"/>
        </w:rPr>
        <w:t>Transfers out of the Operating Fund can only occur in very limited circumstances, such as outlined by the documents of a RAD conversion and for when PHAs participate in the Moving to Work Demonstration Program (Assistance Listing 14.881) authorized by 204(c)(1) of Title II of the Omnibus Consolidated Rescissions and Appropriations Act of 1996, Pub. L. No. 104-134, 110 Stat. 1321-282.</w:t>
      </w:r>
    </w:p>
    <w:p w14:paraId="2BF35CD8" w14:textId="77777777" w:rsidR="00227793" w:rsidRPr="00227793" w:rsidRDefault="00227793" w:rsidP="006B5D76">
      <w:pPr>
        <w:spacing w:after="160" w:line="278" w:lineRule="auto"/>
        <w:ind w:left="1440"/>
        <w:jc w:val="both"/>
        <w:rPr>
          <w:rFonts w:ascii="Arial" w:eastAsia="Aptos" w:hAnsi="Arial" w:cs="Arial"/>
          <w:kern w:val="2"/>
          <w14:ligatures w14:val="standardContextual"/>
        </w:rPr>
      </w:pPr>
      <w:r w:rsidRPr="00227793">
        <w:rPr>
          <w:rFonts w:ascii="Arial" w:eastAsia="Aptos" w:hAnsi="Arial" w:cs="Arial"/>
          <w:kern w:val="2"/>
          <w14:ligatures w14:val="standardContextual"/>
        </w:rPr>
        <w:t>This precludes PHAs from using Operating Funds to provide temporary loans to other programs within the PHA through inter-fund inter-program transactions (Due To/Due From) or to external affiliates such as to Discretely Presented Component Units (DCUs) through affiliate receivable/payable transactions. It also precludes PHAs from using Operating Funds to temporarily cover or support non-Public Housing program activities through central payor type arrangements such as Paymaster and Revolving Fund Accounts. While allowed to be pooled in an account such as the General Fund, Public Housing Operating funds cannot be advanced from the pooled account in excess of the Public Housing Operating fund program’s expenditure rate as per the ACC.</w:t>
      </w:r>
    </w:p>
    <w:p w14:paraId="323D9B9E" w14:textId="77777777" w:rsidR="00227793" w:rsidRPr="00227793" w:rsidRDefault="00227793" w:rsidP="006B5D76">
      <w:pPr>
        <w:spacing w:after="160" w:line="278" w:lineRule="auto"/>
        <w:ind w:left="1440"/>
        <w:jc w:val="both"/>
        <w:rPr>
          <w:rFonts w:ascii="Arial" w:eastAsia="Aptos" w:hAnsi="Arial" w:cs="Arial"/>
          <w:kern w:val="2"/>
          <w14:ligatures w14:val="standardContextual"/>
        </w:rPr>
      </w:pPr>
      <w:r w:rsidRPr="00227793">
        <w:rPr>
          <w:rFonts w:ascii="Arial" w:eastAsia="Aptos" w:hAnsi="Arial" w:cs="Arial"/>
          <w:kern w:val="2"/>
          <w14:ligatures w14:val="standardContextual"/>
        </w:rPr>
        <w:t>Inter-fund and affiliate receivable/payable transactions recorded in a PHA’s books of account may indicate the existence of temporary loans which introduce the risk for the potential misuse of Operating funds for nonprogram purposes. This financial activity should be reviewed to determine whether the balances and transactions represent the allowable use of unrestricted resources or if the activity represents the ineligible use of Operating funds representing program noncompliance. Additionally, related financial transactions or adjustments that result in the elimination of Operating Fund receivables (such as write-downs, write-offs, equity and prior period adjustments, and operating transfers out ) should be reviewed to determine if eliminations and transfers are appropriate and proper authorization from HUD is documented (42 USC 1437g(e)).</w:t>
      </w:r>
    </w:p>
    <w:p w14:paraId="0087CB61" w14:textId="77777777" w:rsidR="00227793" w:rsidRPr="00227793" w:rsidRDefault="00227793" w:rsidP="00227793">
      <w:pPr>
        <w:spacing w:after="160" w:line="278" w:lineRule="auto"/>
        <w:ind w:left="1440" w:hanging="720"/>
        <w:jc w:val="both"/>
        <w:rPr>
          <w:rFonts w:ascii="Arial" w:eastAsia="Aptos" w:hAnsi="Arial" w:cs="Arial"/>
          <w:kern w:val="2"/>
          <w14:ligatures w14:val="standardContextual"/>
        </w:rPr>
      </w:pPr>
      <w:r w:rsidRPr="00227793">
        <w:rPr>
          <w:rFonts w:ascii="Arial" w:eastAsia="Aptos" w:hAnsi="Arial" w:cs="Arial"/>
          <w:kern w:val="2"/>
          <w14:ligatures w14:val="standardContextual"/>
        </w:rPr>
        <w:t>b.</w:t>
      </w:r>
      <w:r w:rsidRPr="00227793">
        <w:rPr>
          <w:rFonts w:ascii="Arial" w:eastAsia="Aptos" w:hAnsi="Arial" w:cs="Arial"/>
          <w:kern w:val="2"/>
          <w14:ligatures w14:val="standardContextual"/>
        </w:rPr>
        <w:tab/>
        <w:t>Operating subsidy received by the PHA under prior ACCs and transferred to the new RAD property as outlined by the documents of the RAD conversion are eligible and allowable costs of the respective program.</w:t>
      </w:r>
    </w:p>
    <w:p w14:paraId="7491E695" w14:textId="77777777" w:rsidR="00227793" w:rsidRPr="00227793" w:rsidRDefault="00227793" w:rsidP="00227793">
      <w:pPr>
        <w:spacing w:after="160" w:line="278" w:lineRule="auto"/>
        <w:jc w:val="both"/>
        <w:rPr>
          <w:rFonts w:ascii="Arial" w:eastAsia="Aptos" w:hAnsi="Arial" w:cs="Arial"/>
          <w:kern w:val="2"/>
          <w14:ligatures w14:val="standardContextual"/>
        </w:rPr>
      </w:pPr>
      <w:r w:rsidRPr="00227793">
        <w:rPr>
          <w:rFonts w:ascii="Arial" w:eastAsia="Aptos" w:hAnsi="Arial" w:cs="Arial"/>
          <w:kern w:val="2"/>
          <w14:ligatures w14:val="standardContextual"/>
        </w:rPr>
        <w:t>4.</w:t>
      </w:r>
      <w:r w:rsidRPr="00227793">
        <w:rPr>
          <w:rFonts w:ascii="Arial" w:eastAsia="Aptos" w:hAnsi="Arial" w:cs="Arial"/>
          <w:kern w:val="2"/>
          <w14:ligatures w14:val="standardContextual"/>
        </w:rPr>
        <w:tab/>
        <w:t>Use of Operating Funds for Capital Improvements</w:t>
      </w:r>
    </w:p>
    <w:p w14:paraId="1C47D1A0" w14:textId="77777777" w:rsidR="00227793" w:rsidRPr="00227793" w:rsidRDefault="00227793" w:rsidP="00227793">
      <w:pPr>
        <w:spacing w:after="160" w:line="278" w:lineRule="auto"/>
        <w:ind w:left="1440" w:hanging="720"/>
        <w:jc w:val="both"/>
        <w:rPr>
          <w:rFonts w:ascii="Arial" w:eastAsia="Aptos" w:hAnsi="Arial" w:cs="Arial"/>
          <w:kern w:val="2"/>
          <w14:ligatures w14:val="standardContextual"/>
        </w:rPr>
      </w:pPr>
      <w:r w:rsidRPr="00227793">
        <w:rPr>
          <w:rFonts w:ascii="Arial" w:eastAsia="Aptos" w:hAnsi="Arial" w:cs="Arial"/>
          <w:kern w:val="2"/>
          <w14:ligatures w14:val="standardContextual"/>
        </w:rPr>
        <w:lastRenderedPageBreak/>
        <w:t>a.</w:t>
      </w:r>
      <w:r w:rsidRPr="00227793">
        <w:rPr>
          <w:rFonts w:ascii="Arial" w:eastAsia="Aptos" w:hAnsi="Arial" w:cs="Arial"/>
          <w:kern w:val="2"/>
          <w14:ligatures w14:val="standardContextual"/>
        </w:rPr>
        <w:tab/>
        <w:t>PHAs with less than 250 public housing units (and that are not designated as troubled and are, in the determination of HUD, operating and maintaining public housing in a safe, clean, and healthy condition) may use their Operating Funds for capital improvements (Section 9(g)(2) of the 1937 Act (42 USC 1357g(g)(2)).</w:t>
      </w:r>
    </w:p>
    <w:p w14:paraId="0A41B0EF" w14:textId="77777777" w:rsidR="00227793" w:rsidRPr="00227793" w:rsidRDefault="00227793" w:rsidP="00227793">
      <w:pPr>
        <w:spacing w:after="160" w:line="278" w:lineRule="auto"/>
        <w:ind w:left="1440" w:hanging="720"/>
        <w:jc w:val="both"/>
        <w:rPr>
          <w:rFonts w:ascii="Arial" w:eastAsia="Aptos" w:hAnsi="Arial" w:cs="Arial"/>
          <w:kern w:val="2"/>
          <w14:ligatures w14:val="standardContextual"/>
        </w:rPr>
      </w:pPr>
      <w:r w:rsidRPr="00227793">
        <w:rPr>
          <w:rFonts w:ascii="Arial" w:eastAsia="Aptos" w:hAnsi="Arial" w:cs="Arial"/>
          <w:kern w:val="2"/>
          <w14:ligatures w14:val="standardContextual"/>
        </w:rPr>
        <w:t>b.</w:t>
      </w:r>
      <w:r w:rsidRPr="00227793">
        <w:rPr>
          <w:rFonts w:ascii="Arial" w:eastAsia="Aptos" w:hAnsi="Arial" w:cs="Arial"/>
          <w:kern w:val="2"/>
          <w14:ligatures w14:val="standardContextual"/>
        </w:rPr>
        <w:tab/>
        <w:t>PHAs with 250 or more public housing units are permitted to use 20 percent of their Operating Funds for allowable and eligible CFP activities under Section 9(d) of the Act except to (1) transfer Operating Subsidy from one project to another or (2) support a Capital Fund management fee on the Operating Subsidy used for CFP activities.</w:t>
      </w:r>
    </w:p>
    <w:p w14:paraId="59DCE6D7" w14:textId="2BC3DD07" w:rsidR="00225F9C" w:rsidRPr="00227793" w:rsidRDefault="00227793" w:rsidP="006672EA">
      <w:pPr>
        <w:spacing w:after="240"/>
        <w:jc w:val="both"/>
        <w:rPr>
          <w:rFonts w:ascii="Arial" w:hAnsi="Arial" w:cs="Arial"/>
          <w:bCs/>
          <w:i/>
          <w:iCs/>
        </w:rPr>
      </w:pPr>
      <w:r>
        <w:rPr>
          <w:rFonts w:ascii="Arial" w:hAnsi="Arial" w:cs="Arial"/>
          <w:bCs/>
          <w:i/>
          <w:iCs/>
        </w:rPr>
        <w:t>(Source: 2025 OMB Compliance Supplement, Part 4, HUD, #14.850 Public Housing</w:t>
      </w:r>
      <w:r w:rsidR="007D76AB">
        <w:rPr>
          <w:rFonts w:ascii="Arial" w:hAnsi="Arial" w:cs="Arial"/>
          <w:bCs/>
          <w:i/>
          <w:iCs/>
        </w:rPr>
        <w:t xml:space="preserve"> Operating Fund</w:t>
      </w:r>
      <w:r>
        <w:rPr>
          <w:rFonts w:ascii="Arial" w:hAnsi="Arial" w:cs="Arial"/>
          <w:bCs/>
          <w:i/>
          <w:iCs/>
        </w:rPr>
        <w:t>)</w:t>
      </w:r>
    </w:p>
    <w:p w14:paraId="0A90B4EE" w14:textId="77777777" w:rsidR="00A712B0" w:rsidRPr="00A0464C" w:rsidRDefault="00A712B0" w:rsidP="006672EA">
      <w:pPr>
        <w:pStyle w:val="Heading3"/>
        <w:jc w:val="both"/>
        <w:rPr>
          <w:rFonts w:cs="Arial"/>
          <w:sz w:val="24"/>
          <w:szCs w:val="24"/>
        </w:rPr>
      </w:pPr>
      <w:bookmarkStart w:id="27" w:name="_Toc442267688"/>
      <w:bookmarkStart w:id="28" w:name="_Toc212473100"/>
      <w:r w:rsidRPr="00A0464C">
        <w:rPr>
          <w:rFonts w:cs="Arial"/>
          <w:sz w:val="24"/>
          <w:szCs w:val="24"/>
        </w:rPr>
        <w:t>Additional Program Specific Information</w:t>
      </w:r>
      <w:bookmarkEnd w:id="27"/>
      <w:bookmarkEnd w:id="28"/>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6955CC42" w:rsidR="00AA5B05" w:rsidRPr="00AA5B05" w:rsidRDefault="00AA5B05" w:rsidP="008B4BCE">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7A4055E" w14:textId="61CC2821" w:rsidR="00AA5B05" w:rsidRPr="00227793" w:rsidRDefault="00AA5B05" w:rsidP="008B4BCE">
      <w:pPr>
        <w:pStyle w:val="ListParagraph"/>
        <w:numPr>
          <w:ilvl w:val="0"/>
          <w:numId w:val="32"/>
        </w:numPr>
        <w:spacing w:after="240"/>
        <w:jc w:val="both"/>
        <w:rPr>
          <w:rFonts w:ascii="Arial" w:hAnsi="Arial" w:cs="Arial"/>
          <w:b/>
          <w:highlight w:val="yellow"/>
        </w:rPr>
      </w:pPr>
      <w:r w:rsidRPr="00227793">
        <w:rPr>
          <w:rFonts w:ascii="Arial" w:hAnsi="Arial" w:cs="Arial"/>
          <w:b/>
          <w:highlight w:val="yellow"/>
        </w:rPr>
        <w:t>T</w:t>
      </w:r>
      <w:r w:rsidR="003644ED" w:rsidRPr="00227793">
        <w:rPr>
          <w:rFonts w:ascii="Arial" w:hAnsi="Arial" w:cs="Arial"/>
          <w:b/>
          <w:highlight w:val="yellow"/>
        </w:rPr>
        <w:t>he pass-through agency</w:t>
      </w:r>
      <w:r w:rsidRPr="00227793">
        <w:rPr>
          <w:rFonts w:ascii="Arial" w:hAnsi="Arial" w:cs="Arial"/>
          <w:b/>
          <w:highlight w:val="yellow"/>
        </w:rPr>
        <w:t>, and</w:t>
      </w:r>
    </w:p>
    <w:p w14:paraId="07493970" w14:textId="0D18E487" w:rsidR="00AA5B05" w:rsidRPr="00AA5B05" w:rsidRDefault="00AA5B05" w:rsidP="008B4BCE">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Pr="00AA5B05"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57EFB075" w14:textId="77777777" w:rsidR="00E41AA1" w:rsidRPr="00A0464C" w:rsidRDefault="00072C5E" w:rsidP="00F00D94">
      <w:pPr>
        <w:pStyle w:val="Heading3"/>
        <w:rPr>
          <w:sz w:val="24"/>
          <w:szCs w:val="24"/>
        </w:rPr>
      </w:pPr>
      <w:bookmarkStart w:id="29" w:name="_Toc212473101"/>
      <w:r w:rsidRPr="00A0464C">
        <w:rPr>
          <w:sz w:val="24"/>
          <w:szCs w:val="24"/>
        </w:rPr>
        <w:t>Audit Objectives</w:t>
      </w:r>
      <w:r w:rsidR="00EF51CC" w:rsidRPr="00A0464C">
        <w:rPr>
          <w:sz w:val="24"/>
          <w:szCs w:val="24"/>
        </w:rPr>
        <w:t xml:space="preserve"> and Control Testing</w:t>
      </w:r>
      <w:bookmarkEnd w:id="29"/>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8B4BCE">
      <w:pPr>
        <w:pStyle w:val="ListParagraph"/>
        <w:widowControl w:val="0"/>
        <w:numPr>
          <w:ilvl w:val="0"/>
          <w:numId w:val="23"/>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11450F8D" w:rsidR="00B85001" w:rsidRPr="00F00D94" w:rsidRDefault="00B85001" w:rsidP="008B4BCE">
      <w:pPr>
        <w:pStyle w:val="ListParagraph"/>
        <w:widowControl w:val="0"/>
        <w:numPr>
          <w:ilvl w:val="0"/>
          <w:numId w:val="23"/>
        </w:numPr>
        <w:suppressAutoHyphens w:val="0"/>
        <w:adjustRightInd/>
        <w:spacing w:after="240"/>
        <w:ind w:left="360" w:hanging="360"/>
        <w:jc w:val="both"/>
        <w:rPr>
          <w:rFonts w:ascii="Arial" w:hAnsi="Arial" w:cs="Arial"/>
        </w:rPr>
      </w:pPr>
      <w:r w:rsidRPr="00F00D94">
        <w:rPr>
          <w:rFonts w:ascii="Arial" w:hAnsi="Arial" w:cs="Arial"/>
        </w:rPr>
        <w:t xml:space="preserve">Determine whether </w:t>
      </w:r>
      <w:r w:rsidR="001B6DDE">
        <w:rPr>
          <w:rFonts w:ascii="Arial" w:hAnsi="Arial" w:cs="Arial"/>
        </w:rPr>
        <w:t>f</w:t>
      </w:r>
      <w:r w:rsidRPr="00F00D94">
        <w:rPr>
          <w:rFonts w:ascii="Arial" w:hAnsi="Arial" w:cs="Arial"/>
        </w:rPr>
        <w:t>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280FCFCC" w:rsidR="007942F3" w:rsidRDefault="00B85001" w:rsidP="00B85001">
      <w:pPr>
        <w:spacing w:after="240"/>
        <w:jc w:val="both"/>
        <w:rPr>
          <w:rFonts w:ascii="Arial" w:hAnsi="Arial" w:cs="Arial"/>
          <w:i/>
        </w:rPr>
      </w:pPr>
      <w:r w:rsidRPr="00F00D94">
        <w:rPr>
          <w:rFonts w:ascii="Arial" w:hAnsi="Arial" w:cs="Arial"/>
          <w:i/>
        </w:rPr>
        <w:t xml:space="preserve">(Source: </w:t>
      </w:r>
      <w:r w:rsidR="007D0ADA" w:rsidRPr="00F00D94">
        <w:rPr>
          <w:rFonts w:ascii="Arial" w:hAnsi="Arial" w:cs="Arial"/>
          <w:i/>
        </w:rPr>
        <w:t>202</w:t>
      </w:r>
      <w:r w:rsidR="007D0ADA">
        <w:rPr>
          <w:rFonts w:ascii="Arial" w:hAnsi="Arial" w:cs="Arial"/>
          <w:i/>
        </w:rPr>
        <w:t>5</w:t>
      </w:r>
      <w:r w:rsidR="007D0ADA"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0" w:name="_Toc212473102"/>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0"/>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01A390F1"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7D0ADA">
              <w:rPr>
                <w:rFonts w:ascii="Arial" w:hAnsi="Arial" w:cs="Arial"/>
                <w:i/>
                <w:sz w:val="20"/>
                <w:szCs w:val="20"/>
              </w:rPr>
              <w:t xml:space="preserve">2025 </w:t>
            </w:r>
            <w:r>
              <w:rPr>
                <w:rFonts w:ascii="Arial" w:hAnsi="Arial" w:cs="Arial"/>
                <w:i/>
                <w:sz w:val="20"/>
                <w:szCs w:val="20"/>
              </w:rPr>
              <w:t>OMB Compliance Supplement Part 3</w:t>
            </w:r>
            <w:r w:rsidR="00095AB6">
              <w:rPr>
                <w:rFonts w:ascii="Arial" w:hAnsi="Arial" w:cs="Arial"/>
                <w:i/>
                <w:sz w:val="20"/>
                <w:szCs w:val="20"/>
              </w:rPr>
              <w:t>.2</w:t>
            </w:r>
            <w:r>
              <w:rPr>
                <w:rFonts w:ascii="Arial" w:hAnsi="Arial" w:cs="Arial"/>
                <w:i/>
                <w:sz w:val="20"/>
                <w:szCs w:val="20"/>
              </w:rPr>
              <w:t>)</w:t>
            </w:r>
          </w:p>
          <w:p w14:paraId="456BC01A" w14:textId="2377EE22" w:rsidR="002B1229" w:rsidRPr="002B1229" w:rsidRDefault="002B1229" w:rsidP="0021268E">
            <w:pPr>
              <w:spacing w:after="240"/>
              <w:jc w:val="both"/>
              <w:rPr>
                <w:rFonts w:ascii="Arial" w:hAnsi="Arial" w:cs="Arial"/>
                <w:bCs/>
                <w:i/>
                <w:iCs/>
                <w:color w:val="002060"/>
                <w:sz w:val="20"/>
                <w:szCs w:val="20"/>
              </w:rPr>
            </w:pPr>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w:t>
            </w:r>
            <w:r w:rsidR="00152373" w:rsidRPr="00ED04C6">
              <w:rPr>
                <w:rFonts w:ascii="Arial" w:hAnsi="Arial" w:cs="Arial"/>
                <w:bCs/>
                <w:i/>
                <w:iCs/>
                <w:color w:val="002060"/>
                <w:sz w:val="20"/>
                <w:szCs w:val="20"/>
              </w:rPr>
              <w:t>Steps marked with an asterisk (*) are</w:t>
            </w:r>
            <w:r w:rsidRPr="00ED04C6">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1" w:name="_Toc212473103"/>
      <w:r w:rsidRPr="00A0464C">
        <w:rPr>
          <w:rFonts w:cs="Arial"/>
          <w:sz w:val="24"/>
          <w:szCs w:val="24"/>
        </w:rPr>
        <w:t>Audit Implications Summary</w:t>
      </w:r>
      <w:bookmarkEnd w:id="31"/>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4690437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4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8B4BCE">
            <w:pPr>
              <w:pStyle w:val="ListParagraph"/>
              <w:widowControl w:val="0"/>
              <w:numPr>
                <w:ilvl w:val="0"/>
                <w:numId w:val="16"/>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8B4BCE">
            <w:pPr>
              <w:widowControl w:val="0"/>
              <w:numPr>
                <w:ilvl w:val="0"/>
                <w:numId w:val="16"/>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8B4BCE">
            <w:pPr>
              <w:widowControl w:val="0"/>
              <w:numPr>
                <w:ilvl w:val="0"/>
                <w:numId w:val="16"/>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8B4BCE">
            <w:pPr>
              <w:widowControl w:val="0"/>
              <w:numPr>
                <w:ilvl w:val="0"/>
                <w:numId w:val="1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8B4BCE">
            <w:pPr>
              <w:widowControl w:val="0"/>
              <w:numPr>
                <w:ilvl w:val="0"/>
                <w:numId w:val="1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47"/>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2" w:name="_Toc442267689"/>
      <w:bookmarkStart w:id="33" w:name="_Toc212473104"/>
      <w:r w:rsidRPr="00A0464C">
        <w:rPr>
          <w:rFonts w:cs="Arial"/>
          <w:sz w:val="24"/>
        </w:rPr>
        <w:lastRenderedPageBreak/>
        <w:t>B.  ALLOWABLE COSTS/COST PRINCIPLES</w:t>
      </w:r>
      <w:bookmarkEnd w:id="32"/>
      <w:bookmarkEnd w:id="33"/>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3AAD61F4" w14:textId="6D12455C" w:rsidR="00E13AE2" w:rsidRDefault="00E13AE2" w:rsidP="00B9146A">
      <w:pPr>
        <w:spacing w:after="240"/>
        <w:jc w:val="both"/>
        <w:rPr>
          <w:rFonts w:ascii="Arial" w:hAnsi="Arial" w:cs="Arial"/>
        </w:rPr>
      </w:pPr>
      <w:r w:rsidRPr="00E93D6E">
        <w:rPr>
          <w:rFonts w:ascii="Arial" w:hAnsi="Arial" w:cs="Arial"/>
        </w:rPr>
        <w:t xml:space="preserve">2 CFR Part 200, Subpart E and appendices III–VII </w:t>
      </w:r>
      <w:r w:rsidR="002F1157">
        <w:rPr>
          <w:rFonts w:ascii="Arial" w:hAnsi="Arial" w:cs="Arial"/>
        </w:rPr>
        <w:t xml:space="preserve">and IX </w:t>
      </w:r>
      <w:r w:rsidRPr="00E93D6E">
        <w:rPr>
          <w:rFonts w:ascii="Arial" w:hAnsi="Arial" w:cs="Arial"/>
        </w:rPr>
        <w:t>establish principles and standards for determining allowable direct and indirect costs for federal awards. This section is organized into the following areas of allowable costs: states and local government and Indian Tribe costs (direct and indirect); state/local government central service costs; and state public assistance agency costs.</w:t>
      </w:r>
      <w:r w:rsidRPr="00E93D6E" w:rsidDel="00E13AE2">
        <w:rPr>
          <w:rFonts w:ascii="Arial" w:hAnsi="Arial" w:cs="Arial"/>
        </w:rPr>
        <w:t xml:space="preserve"> </w:t>
      </w:r>
    </w:p>
    <w:p w14:paraId="1F9E65AD" w14:textId="70FBBAC7" w:rsidR="00B9146A" w:rsidRPr="00B9146A" w:rsidRDefault="00B9146A" w:rsidP="00B9146A">
      <w:pPr>
        <w:spacing w:after="240"/>
        <w:jc w:val="both"/>
        <w:rPr>
          <w:rFonts w:ascii="Arial" w:hAnsi="Arial" w:cs="Arial"/>
          <w:i/>
          <w:iCs/>
        </w:rPr>
      </w:pPr>
      <w:r>
        <w:rPr>
          <w:rFonts w:ascii="Arial" w:hAnsi="Arial" w:cs="Arial"/>
          <w:i/>
          <w:iCs/>
        </w:rPr>
        <w:t xml:space="preserve">(Source: </w:t>
      </w:r>
      <w:r w:rsidR="00530A17">
        <w:rPr>
          <w:rFonts w:ascii="Arial" w:hAnsi="Arial" w:cs="Arial"/>
          <w:i/>
          <w:iCs/>
        </w:rPr>
        <w:t xml:space="preserve">2025 </w:t>
      </w:r>
      <w:r>
        <w:rPr>
          <w:rFonts w:ascii="Arial" w:hAnsi="Arial" w:cs="Arial"/>
          <w:i/>
          <w:iCs/>
        </w:rPr>
        <w:t xml:space="preserve">OMB Compliance Supplement </w:t>
      </w:r>
      <w:r w:rsidR="00EA2EF9">
        <w:rPr>
          <w:rFonts w:ascii="Arial" w:hAnsi="Arial" w:cs="Arial"/>
          <w:i/>
          <w:iCs/>
        </w:rPr>
        <w:t>Part 3</w:t>
      </w:r>
      <w:r w:rsidR="002F1157">
        <w:rPr>
          <w:rFonts w:ascii="Arial" w:hAnsi="Arial" w:cs="Arial"/>
          <w:i/>
          <w:iCs/>
        </w:rPr>
        <w:t>.2</w:t>
      </w:r>
      <w:r w:rsidR="00EA2EF9">
        <w:rPr>
          <w:rFonts w:ascii="Arial" w:hAnsi="Arial" w:cs="Arial"/>
          <w:i/>
          <w:iCs/>
        </w:rPr>
        <w:t>)</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8B4BCE">
      <w:pPr>
        <w:pStyle w:val="ListParagraph"/>
        <w:numPr>
          <w:ilvl w:val="0"/>
          <w:numId w:val="31"/>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296D08D3"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48"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49"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8B4BCE">
      <w:pPr>
        <w:pStyle w:val="ListParagraph"/>
        <w:numPr>
          <w:ilvl w:val="0"/>
          <w:numId w:val="31"/>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8B4BCE">
      <w:pPr>
        <w:pStyle w:val="ListParagraph"/>
        <w:numPr>
          <w:ilvl w:val="1"/>
          <w:numId w:val="31"/>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8B4BCE">
      <w:pPr>
        <w:pStyle w:val="ListParagraph"/>
        <w:numPr>
          <w:ilvl w:val="1"/>
          <w:numId w:val="31"/>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8B4BCE">
      <w:pPr>
        <w:pStyle w:val="ListParagraph"/>
        <w:numPr>
          <w:ilvl w:val="1"/>
          <w:numId w:val="31"/>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8B4BCE">
      <w:pPr>
        <w:pStyle w:val="ListParagraph"/>
        <w:numPr>
          <w:ilvl w:val="0"/>
          <w:numId w:val="31"/>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8B4BCE">
      <w:pPr>
        <w:pStyle w:val="ListParagraph"/>
        <w:numPr>
          <w:ilvl w:val="1"/>
          <w:numId w:val="31"/>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8B4BCE">
      <w:pPr>
        <w:pStyle w:val="ListParagraph"/>
        <w:numPr>
          <w:ilvl w:val="1"/>
          <w:numId w:val="31"/>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8B4BCE">
      <w:pPr>
        <w:pStyle w:val="ListParagraph"/>
        <w:numPr>
          <w:ilvl w:val="1"/>
          <w:numId w:val="3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8B4BCE">
      <w:pPr>
        <w:pStyle w:val="ListParagraph"/>
        <w:numPr>
          <w:ilvl w:val="0"/>
          <w:numId w:val="31"/>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8B4BCE">
      <w:pPr>
        <w:pStyle w:val="ListParagraph"/>
        <w:numPr>
          <w:ilvl w:val="1"/>
          <w:numId w:val="31"/>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BDBA5AB" w:rsidR="005F60CA" w:rsidRDefault="00650D18" w:rsidP="008B4BCE">
      <w:pPr>
        <w:pStyle w:val="ListParagraph"/>
        <w:numPr>
          <w:ilvl w:val="2"/>
          <w:numId w:val="31"/>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 xml:space="preserve">all costs allocated or incurred by the State agency except expenditures for financial assistance, medical </w:t>
      </w:r>
      <w:r w:rsidR="002F1157">
        <w:rPr>
          <w:rFonts w:ascii="Arial" w:hAnsi="Arial" w:cs="Arial"/>
          <w:i/>
          <w:iCs/>
          <w:color w:val="002060"/>
        </w:rPr>
        <w:t xml:space="preserve">contractor </w:t>
      </w:r>
      <w:r>
        <w:rPr>
          <w:rFonts w:ascii="Arial" w:hAnsi="Arial" w:cs="Arial"/>
          <w:i/>
          <w:iCs/>
          <w:color w:val="002060"/>
        </w:rPr>
        <w:t xml:space="preserve">payments, and payments for service and goods provided directly to program recipients and (2) normally charged to </w:t>
      </w:r>
      <w:r w:rsidR="001B6DDE">
        <w:rPr>
          <w:rFonts w:ascii="Arial" w:hAnsi="Arial" w:cs="Arial"/>
          <w:i/>
          <w:iCs/>
          <w:color w:val="002060"/>
        </w:rPr>
        <w:t>f</w:t>
      </w:r>
      <w:r>
        <w:rPr>
          <w:rFonts w:ascii="Arial" w:hAnsi="Arial" w:cs="Arial"/>
          <w:i/>
          <w:iCs/>
          <w:color w:val="002060"/>
        </w:rPr>
        <w:t>ederal awards by implementing the public assistance cost allocation plan (CAP).</w:t>
      </w:r>
    </w:p>
    <w:p w14:paraId="72E6FC68" w14:textId="18C852C4" w:rsidR="000A41D3" w:rsidRDefault="000A41D3" w:rsidP="008B4BCE">
      <w:pPr>
        <w:pStyle w:val="ListParagraph"/>
        <w:numPr>
          <w:ilvl w:val="2"/>
          <w:numId w:val="31"/>
        </w:numPr>
        <w:jc w:val="both"/>
        <w:rPr>
          <w:rFonts w:ascii="Arial" w:hAnsi="Arial" w:cs="Arial"/>
          <w:i/>
          <w:iCs/>
          <w:color w:val="002060"/>
        </w:rPr>
      </w:pPr>
      <w:r>
        <w:rPr>
          <w:rFonts w:ascii="Arial" w:hAnsi="Arial" w:cs="Arial"/>
          <w:i/>
          <w:iCs/>
          <w:color w:val="002060"/>
        </w:rPr>
        <w:t xml:space="preserve">This </w:t>
      </w:r>
      <w:r w:rsidR="002F1157">
        <w:rPr>
          <w:rFonts w:ascii="Arial" w:hAnsi="Arial" w:cs="Arial"/>
          <w:i/>
          <w:iCs/>
          <w:color w:val="002060"/>
        </w:rPr>
        <w:t>is not expected to apply</w:t>
      </w:r>
      <w:r>
        <w:rPr>
          <w:rFonts w:ascii="Arial" w:hAnsi="Arial" w:cs="Arial"/>
          <w:i/>
          <w:iCs/>
          <w:color w:val="002060"/>
        </w:rPr>
        <w:t xml:space="preserve"> at the local level </w:t>
      </w:r>
      <w:r w:rsidR="002F1157">
        <w:rPr>
          <w:rFonts w:ascii="Arial" w:hAnsi="Arial" w:cs="Arial"/>
          <w:i/>
          <w:iCs/>
          <w:color w:val="002060"/>
        </w:rPr>
        <w:t xml:space="preserve">as the majority of the steps apply specifically to the State’s Cost Allocation Plan and remaining steps are already addressed in the </w:t>
      </w:r>
      <w:r w:rsidR="002F1157" w:rsidRPr="002F1157">
        <w:rPr>
          <w:rFonts w:ascii="Arial" w:hAnsi="Arial" w:cs="Arial"/>
          <w:color w:val="002060"/>
        </w:rPr>
        <w:t>Cost Principles for States, Local Governments, and Indian Tribes</w:t>
      </w:r>
      <w:r w:rsidR="002F1157">
        <w:rPr>
          <w:rFonts w:ascii="Arial" w:hAnsi="Arial" w:cs="Arial"/>
          <w:i/>
          <w:iCs/>
          <w:color w:val="002060"/>
        </w:rPr>
        <w:t xml:space="preserve"> section included in the FACCR.</w:t>
      </w:r>
    </w:p>
    <w:p w14:paraId="7ACFF52F" w14:textId="77777777" w:rsidR="00AA5B05" w:rsidRDefault="00650D18" w:rsidP="008B4BCE">
      <w:pPr>
        <w:pStyle w:val="ListParagraph"/>
        <w:numPr>
          <w:ilvl w:val="1"/>
          <w:numId w:val="31"/>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8B4BCE">
      <w:pPr>
        <w:pStyle w:val="ListParagraph"/>
        <w:numPr>
          <w:ilvl w:val="1"/>
          <w:numId w:val="3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8B4BCE">
      <w:pPr>
        <w:pStyle w:val="ListParagraph"/>
        <w:numPr>
          <w:ilvl w:val="0"/>
          <w:numId w:val="31"/>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8B4BCE">
      <w:pPr>
        <w:pStyle w:val="ListParagraph"/>
        <w:numPr>
          <w:ilvl w:val="1"/>
          <w:numId w:val="31"/>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8B4BCE">
      <w:pPr>
        <w:pStyle w:val="ListParagraph"/>
        <w:numPr>
          <w:ilvl w:val="1"/>
          <w:numId w:val="31"/>
        </w:numPr>
        <w:jc w:val="both"/>
        <w:rPr>
          <w:rFonts w:ascii="Arial" w:hAnsi="Arial" w:cs="Arial"/>
          <w:i/>
          <w:iCs/>
          <w:color w:val="002060"/>
        </w:rPr>
      </w:pPr>
      <w:r>
        <w:rPr>
          <w:rFonts w:ascii="Arial" w:hAnsi="Arial" w:cs="Arial"/>
          <w:i/>
          <w:iCs/>
          <w:color w:val="002060"/>
        </w:rPr>
        <w:lastRenderedPageBreak/>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8B4BCE">
      <w:pPr>
        <w:pStyle w:val="ListParagraph"/>
        <w:numPr>
          <w:ilvl w:val="1"/>
          <w:numId w:val="3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4" w:name="B___ALLOWABLE_COSTS_COST_PRINCIPLES"/>
      <w:bookmarkStart w:id="35" w:name="_Toc212473105"/>
      <w:bookmarkEnd w:id="34"/>
      <w:r w:rsidRPr="009365AA">
        <w:rPr>
          <w:rFonts w:cs="Arial"/>
          <w:sz w:val="24"/>
          <w:szCs w:val="24"/>
        </w:rPr>
        <w:t>Applicability of Cost Principles</w:t>
      </w:r>
      <w:bookmarkEnd w:id="35"/>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94F9A42"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w:t>
      </w:r>
      <w:r w:rsidR="001B6DDE">
        <w:rPr>
          <w:rFonts w:ascii="Arial" w:hAnsi="Arial" w:cs="Arial"/>
          <w:i/>
          <w:iCs/>
          <w:color w:val="002060"/>
        </w:rPr>
        <w:t>f</w:t>
      </w:r>
      <w:r w:rsidRPr="00B5691F">
        <w:rPr>
          <w:rFonts w:ascii="Arial" w:hAnsi="Arial" w:cs="Arial"/>
          <w:i/>
          <w:iCs/>
          <w:color w:val="002060"/>
        </w:rPr>
        <w:t xml:space="preserve">ederal program and are found in the laws, regulations, and the provisions of the </w:t>
      </w:r>
      <w:r w:rsidR="001B6DDE">
        <w:rPr>
          <w:rFonts w:ascii="Arial" w:hAnsi="Arial" w:cs="Arial"/>
          <w:i/>
          <w:iCs/>
          <w:color w:val="002060"/>
        </w:rPr>
        <w:t>f</w:t>
      </w:r>
      <w:r w:rsidRPr="00B5691F">
        <w:rPr>
          <w:rFonts w:ascii="Arial" w:hAnsi="Arial" w:cs="Arial"/>
          <w:i/>
          <w:iCs/>
          <w:color w:val="002060"/>
        </w:rPr>
        <w:t xml:space="preserve">ederal award contracts or grant agreements pertaining to the program. </w:t>
      </w:r>
    </w:p>
    <w:p w14:paraId="2C2AA48F" w14:textId="77777777" w:rsidR="00F168FF" w:rsidRPr="00F168FF" w:rsidRDefault="00F168FF" w:rsidP="00F168FF">
      <w:pPr>
        <w:spacing w:after="240"/>
        <w:jc w:val="both"/>
        <w:rPr>
          <w:rFonts w:ascii="Arial" w:hAnsi="Arial" w:cs="Arial"/>
        </w:rPr>
      </w:pPr>
      <w:r w:rsidRPr="00F168FF">
        <w:rPr>
          <w:rFonts w:ascii="Arial" w:hAnsi="Arial" w:cs="Arial"/>
        </w:rPr>
        <w:t>The cost principles in 2 CFR Part 200, Subpart E (Cost Principles), prescribe the cost accounting requirements associated with the administration of federal awards by:</w:t>
      </w:r>
    </w:p>
    <w:p w14:paraId="7AF7C66E" w14:textId="77777777" w:rsidR="00F168FF" w:rsidRPr="00F168FF" w:rsidRDefault="00F168FF" w:rsidP="00E13AE2">
      <w:pPr>
        <w:spacing w:after="240"/>
        <w:ind w:firstLine="720"/>
        <w:jc w:val="both"/>
        <w:rPr>
          <w:rFonts w:ascii="Arial" w:hAnsi="Arial" w:cs="Arial"/>
        </w:rPr>
      </w:pPr>
      <w:r w:rsidRPr="00F168FF">
        <w:rPr>
          <w:rFonts w:ascii="Arial" w:hAnsi="Arial" w:cs="Arial"/>
        </w:rPr>
        <w:t>a. States, local governments, and Indian Tribes</w:t>
      </w:r>
    </w:p>
    <w:p w14:paraId="0E846AEA" w14:textId="77777777" w:rsidR="00F168FF" w:rsidRPr="00F168FF" w:rsidRDefault="00F168FF" w:rsidP="00E13AE2">
      <w:pPr>
        <w:spacing w:after="240"/>
        <w:ind w:firstLine="720"/>
        <w:jc w:val="both"/>
        <w:rPr>
          <w:rFonts w:ascii="Arial" w:hAnsi="Arial" w:cs="Arial"/>
        </w:rPr>
      </w:pPr>
      <w:r w:rsidRPr="00F168FF">
        <w:rPr>
          <w:rFonts w:ascii="Arial" w:hAnsi="Arial" w:cs="Arial"/>
        </w:rPr>
        <w:t>b. Institutions of higher education (IHEs)</w:t>
      </w:r>
    </w:p>
    <w:p w14:paraId="09065DB7" w14:textId="77777777" w:rsidR="00F168FF" w:rsidRPr="00F168FF" w:rsidRDefault="00F168FF" w:rsidP="00E13AE2">
      <w:pPr>
        <w:spacing w:after="240"/>
        <w:ind w:firstLine="720"/>
        <w:jc w:val="both"/>
        <w:rPr>
          <w:rFonts w:ascii="Arial" w:hAnsi="Arial" w:cs="Arial"/>
        </w:rPr>
      </w:pPr>
      <w:r w:rsidRPr="00F168FF">
        <w:rPr>
          <w:rFonts w:ascii="Arial" w:hAnsi="Arial" w:cs="Arial"/>
        </w:rPr>
        <w:t>c. Nonprofit organizations</w:t>
      </w:r>
    </w:p>
    <w:p w14:paraId="263D7A62" w14:textId="1C68FE48" w:rsidR="00F168FF" w:rsidRPr="00F00D94" w:rsidRDefault="00F168FF" w:rsidP="00F168FF">
      <w:pPr>
        <w:spacing w:after="240"/>
        <w:jc w:val="both"/>
        <w:rPr>
          <w:rFonts w:ascii="Arial" w:hAnsi="Arial" w:cs="Arial"/>
        </w:rPr>
      </w:pPr>
      <w:r w:rsidRPr="00F168FF">
        <w:rPr>
          <w:rFonts w:ascii="Arial" w:hAnsi="Arial" w:cs="Arial"/>
        </w:rPr>
        <w:t>As provided in 2 CFR 200.101(b)(4), the cost principles requirements apply to grant agreements and cooperative agreements. The cost principles do not apply to fixed amount awards (except for four sections as noted in 2 CFR 200.101(b)(4)(ii)); the food commodities provided through grants and cooperative agreements; agreements for loans, loan guarantees, interest subsidies, and insurance; and programs listed in 2 CFR 200.101(e) (see Appendix I of this Supplement). Federal awards administered by publicly owned hospitals and other providers of medical care are exempt from 2 CFR Part 200, Subpart E, but are subject to the requirements in 2 CFR Part 200, Appendix IX, Hospital Cost Principles. The cost principles applicable to a recipient or subrecipient apply to all federal awards and subawards received by the entity. For this purpose, federal awards include cost-reimbursement contracts under the Federal Acquisition Regulation (FAR). Although, as noted above, the cost principles have limited applicability to fixed amount awards, the cost principles do not apply to other federal awards under which a recipient or subrecipient is not required to account to the federal agency or pass-through entity for actual costs incurred. (See 2 CFR 200.401(a)).</w:t>
      </w:r>
      <w:r w:rsidRPr="00F168FF" w:rsidDel="00F168FF">
        <w:rPr>
          <w:rFonts w:ascii="Arial" w:hAnsi="Arial" w:cs="Arial"/>
        </w:rPr>
        <w:t xml:space="preserve"> </w:t>
      </w:r>
    </w:p>
    <w:p w14:paraId="109A8847" w14:textId="1F199749" w:rsidR="000B3168" w:rsidRPr="00F00D94" w:rsidRDefault="000B3168" w:rsidP="000B3168">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Pr="00F00D94">
        <w:rPr>
          <w:rFonts w:ascii="Arial" w:hAnsi="Arial" w:cs="Arial"/>
          <w:i/>
        </w:rPr>
        <w:t>OMB Compliance Supplement Part 3</w:t>
      </w:r>
      <w:r w:rsidR="007251F7">
        <w:rPr>
          <w:rFonts w:ascii="Arial" w:hAnsi="Arial" w:cs="Arial"/>
          <w:i/>
        </w:rPr>
        <w:t>.2</w:t>
      </w:r>
      <w:r w:rsidRPr="00F00D94">
        <w:rPr>
          <w:rFonts w:ascii="Arial" w:hAnsi="Arial" w:cs="Arial"/>
          <w:i/>
        </w:rPr>
        <w:t>)</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5A1E050B" w14:textId="77777777" w:rsidR="00D5234C" w:rsidRPr="00D5234C" w:rsidRDefault="00D5234C" w:rsidP="00D5234C">
      <w:pPr>
        <w:spacing w:after="240"/>
        <w:rPr>
          <w:rFonts w:ascii="Arial" w:hAnsi="Arial" w:cs="Arial"/>
        </w:rPr>
      </w:pPr>
      <w:r w:rsidRPr="00D5234C">
        <w:rPr>
          <w:rFonts w:ascii="Arial" w:hAnsi="Arial" w:cs="Arial"/>
        </w:rPr>
        <w:t xml:space="preserve">The requirements for allowable costs and cost principles are contained in 2 CFR Part 200, Subpart E, program legislation, federal agency regulations, and the terms and conditions of the award. </w:t>
      </w:r>
    </w:p>
    <w:p w14:paraId="4CB46703" w14:textId="77777777" w:rsidR="00D5234C" w:rsidRPr="00D5234C" w:rsidRDefault="00D5234C" w:rsidP="00D5234C">
      <w:pPr>
        <w:spacing w:after="240"/>
        <w:rPr>
          <w:rFonts w:ascii="Arial" w:hAnsi="Arial" w:cs="Arial"/>
        </w:rPr>
      </w:pPr>
      <w:r w:rsidRPr="00D5234C">
        <w:rPr>
          <w:rFonts w:ascii="Arial" w:hAnsi="Arial" w:cs="Arial"/>
        </w:rPr>
        <w:lastRenderedPageBreak/>
        <w:t xml:space="preserve">The requirements for the development and submission of indirect (facilities and administration (F&amp;A)) cost rate proposals and cost allocation plans (CAPs) are contained in 2 CFR Part 200, in the following appendices: </w:t>
      </w:r>
    </w:p>
    <w:p w14:paraId="3FE0CD22" w14:textId="33CD910E" w:rsidR="00D5234C" w:rsidRPr="00533025" w:rsidRDefault="00D5234C" w:rsidP="008B4BCE">
      <w:pPr>
        <w:pStyle w:val="ListParagraph"/>
        <w:numPr>
          <w:ilvl w:val="1"/>
          <w:numId w:val="24"/>
        </w:numPr>
        <w:spacing w:after="240"/>
        <w:ind w:left="720"/>
        <w:rPr>
          <w:rFonts w:ascii="Arial" w:hAnsi="Arial" w:cs="Arial"/>
        </w:rPr>
      </w:pPr>
      <w:r w:rsidRPr="00533025">
        <w:rPr>
          <w:rFonts w:ascii="Arial" w:hAnsi="Arial" w:cs="Arial"/>
        </w:rPr>
        <w:t xml:space="preserve">Appendix III to Part 200—Indirect (F&amp;A) Costs Identification and Assignment, and Rate Determination for Institutions of Higher Education (IHEs). </w:t>
      </w:r>
    </w:p>
    <w:p w14:paraId="2E2A7289" w14:textId="70428F23" w:rsidR="00D5234C" w:rsidRPr="00533025" w:rsidRDefault="00D5234C" w:rsidP="008B4BCE">
      <w:pPr>
        <w:pStyle w:val="ListParagraph"/>
        <w:numPr>
          <w:ilvl w:val="1"/>
          <w:numId w:val="24"/>
        </w:numPr>
        <w:spacing w:after="240"/>
        <w:ind w:left="720"/>
        <w:rPr>
          <w:rFonts w:ascii="Arial" w:hAnsi="Arial" w:cs="Arial"/>
        </w:rPr>
      </w:pPr>
      <w:r w:rsidRPr="00533025">
        <w:rPr>
          <w:rFonts w:ascii="Arial" w:hAnsi="Arial" w:cs="Arial"/>
        </w:rPr>
        <w:t xml:space="preserve">Appendix IV to Part 200—Indirect (F&amp;A) Costs Identification and Assignment, and Rate Determination for Nonprofit Organizations </w:t>
      </w:r>
    </w:p>
    <w:p w14:paraId="2D78BBCD" w14:textId="447A35BD" w:rsidR="00D5234C" w:rsidRPr="00533025" w:rsidRDefault="00D5234C" w:rsidP="008B4BCE">
      <w:pPr>
        <w:pStyle w:val="ListParagraph"/>
        <w:numPr>
          <w:ilvl w:val="1"/>
          <w:numId w:val="24"/>
        </w:numPr>
        <w:spacing w:after="240"/>
        <w:ind w:left="720"/>
        <w:rPr>
          <w:rFonts w:ascii="Arial" w:hAnsi="Arial" w:cs="Arial"/>
        </w:rPr>
      </w:pPr>
      <w:r w:rsidRPr="00533025">
        <w:rPr>
          <w:rFonts w:ascii="Arial" w:hAnsi="Arial" w:cs="Arial"/>
        </w:rPr>
        <w:t xml:space="preserve">Appendix V to Part 200—State/Local Government-Wide Central Service Cost Allocation Plans </w:t>
      </w:r>
    </w:p>
    <w:p w14:paraId="10CF29D0" w14:textId="1F6C6F99" w:rsidR="00D5234C" w:rsidRPr="00533025" w:rsidRDefault="00D5234C" w:rsidP="008B4BCE">
      <w:pPr>
        <w:pStyle w:val="ListParagraph"/>
        <w:numPr>
          <w:ilvl w:val="1"/>
          <w:numId w:val="24"/>
        </w:numPr>
        <w:spacing w:after="240"/>
        <w:ind w:left="720"/>
        <w:jc w:val="both"/>
        <w:rPr>
          <w:rFonts w:ascii="Arial" w:hAnsi="Arial" w:cs="Arial"/>
        </w:rPr>
      </w:pPr>
      <w:r w:rsidRPr="00533025">
        <w:rPr>
          <w:rFonts w:ascii="Arial" w:hAnsi="Arial" w:cs="Arial"/>
        </w:rPr>
        <w:t xml:space="preserve">Appendix VI to Part 200—Public Assistance Cost Allocation Plans </w:t>
      </w:r>
    </w:p>
    <w:p w14:paraId="72E2FB8D" w14:textId="1E02158E" w:rsidR="00D5234C" w:rsidRDefault="00D5234C" w:rsidP="008B4BCE">
      <w:pPr>
        <w:pStyle w:val="ListParagraph"/>
        <w:numPr>
          <w:ilvl w:val="1"/>
          <w:numId w:val="24"/>
        </w:numPr>
        <w:spacing w:after="240"/>
        <w:ind w:left="720"/>
        <w:jc w:val="both"/>
        <w:rPr>
          <w:rFonts w:ascii="Arial" w:hAnsi="Arial" w:cs="Arial"/>
        </w:rPr>
      </w:pPr>
      <w:r w:rsidRPr="00533025">
        <w:rPr>
          <w:rFonts w:ascii="Arial" w:hAnsi="Arial" w:cs="Arial"/>
        </w:rPr>
        <w:t xml:space="preserve">Appendix VII to Part 200—States and Local Government and Indian Tribe Indirect Cost Proposals </w:t>
      </w:r>
    </w:p>
    <w:p w14:paraId="091C3F78" w14:textId="24F613BF" w:rsidR="00533025" w:rsidRPr="00533025" w:rsidRDefault="00533025" w:rsidP="008B4BCE">
      <w:pPr>
        <w:pStyle w:val="ListParagraph"/>
        <w:numPr>
          <w:ilvl w:val="1"/>
          <w:numId w:val="24"/>
        </w:numPr>
        <w:spacing w:after="240"/>
        <w:ind w:left="720"/>
        <w:jc w:val="both"/>
        <w:rPr>
          <w:rFonts w:ascii="Arial" w:hAnsi="Arial" w:cs="Arial"/>
        </w:rPr>
      </w:pPr>
      <w:r w:rsidRPr="00533025">
        <w:rPr>
          <w:rFonts w:ascii="Arial" w:hAnsi="Arial" w:cs="Arial"/>
        </w:rPr>
        <w:t>Appendix IX to Part 200</w:t>
      </w:r>
      <w:r>
        <w:rPr>
          <w:rFonts w:ascii="Arial" w:hAnsi="Arial" w:cs="Arial"/>
        </w:rPr>
        <w:t>–</w:t>
      </w:r>
      <w:r w:rsidRPr="00533025">
        <w:rPr>
          <w:rFonts w:ascii="Arial" w:hAnsi="Arial" w:cs="Arial"/>
        </w:rPr>
        <w:t>Hospital Cost Principles</w:t>
      </w:r>
    </w:p>
    <w:p w14:paraId="6C2CE73B" w14:textId="595692D4" w:rsidR="00D5234C" w:rsidRPr="00F00D94" w:rsidRDefault="00D5234C" w:rsidP="00D5234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5234C">
        <w:rPr>
          <w:rFonts w:ascii="Arial" w:hAnsi="Arial" w:cs="Arial"/>
        </w:rPr>
        <w:t>Except for the requirements identified below under “Basic Considerations,” which are applicable to all types of recipients and subrecipients, this compliance requirement is divided into sections based on the type of</w:t>
      </w:r>
      <w:r w:rsidR="00D74A1B">
        <w:rPr>
          <w:rFonts w:ascii="Arial" w:hAnsi="Arial" w:cs="Arial"/>
        </w:rPr>
        <w:t xml:space="preserve"> recipient or subrecipient</w:t>
      </w:r>
      <w:r w:rsidRPr="00D5234C">
        <w:rPr>
          <w:rFonts w:ascii="Arial" w:hAnsi="Arial" w:cs="Arial"/>
        </w:rPr>
        <w:t xml:space="preserve">. The differences that exist are necessary because of the nature of the recipient and subrecipient organizational structures, programs administered, and breadth of services offered by some recipients and subrecipients and not others. </w:t>
      </w:r>
    </w:p>
    <w:p w14:paraId="7AF446BF" w14:textId="3808EE0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3C8628AA" w14:textId="499FE698" w:rsidR="00CE7224" w:rsidRPr="0072683A" w:rsidRDefault="00CE7224" w:rsidP="006672EA">
      <w:pPr>
        <w:spacing w:after="240"/>
        <w:jc w:val="both"/>
        <w:rPr>
          <w:rFonts w:ascii="Arial" w:hAnsi="Arial" w:cs="Arial"/>
          <w:b/>
        </w:rPr>
      </w:pPr>
      <w:r w:rsidRPr="0072683A">
        <w:rPr>
          <w:rFonts w:ascii="Arial" w:hAnsi="Arial" w:cs="Arial"/>
          <w:b/>
        </w:rPr>
        <w:t xml:space="preserve">Basic </w:t>
      </w:r>
      <w:r w:rsidR="00632B00">
        <w:rPr>
          <w:rFonts w:ascii="Arial" w:hAnsi="Arial" w:cs="Arial"/>
          <w:b/>
        </w:rPr>
        <w:t>Considerations</w:t>
      </w:r>
    </w:p>
    <w:p w14:paraId="686F08CD" w14:textId="77777777" w:rsidR="00632B00" w:rsidRPr="00632B00" w:rsidRDefault="00632B00" w:rsidP="00632B00">
      <w:pPr>
        <w:spacing w:after="240"/>
        <w:jc w:val="both"/>
        <w:rPr>
          <w:rFonts w:ascii="Arial" w:hAnsi="Arial" w:cs="Arial"/>
        </w:rPr>
      </w:pPr>
      <w:r w:rsidRPr="00632B00">
        <w:rPr>
          <w:rFonts w:ascii="Arial" w:hAnsi="Arial" w:cs="Arial"/>
        </w:rPr>
        <w:t xml:space="preserve">Except where otherwise authorized by statute, cost must meet the following general criteria to be allowable under federal awards; </w:t>
      </w:r>
    </w:p>
    <w:p w14:paraId="6FFFFE5E" w14:textId="77777777" w:rsidR="00E13AE2" w:rsidRDefault="00632B00" w:rsidP="008B4BCE">
      <w:pPr>
        <w:pStyle w:val="ListParagraph"/>
        <w:numPr>
          <w:ilvl w:val="0"/>
          <w:numId w:val="37"/>
        </w:numPr>
        <w:spacing w:after="240"/>
        <w:jc w:val="both"/>
        <w:rPr>
          <w:rFonts w:ascii="Arial" w:hAnsi="Arial" w:cs="Arial"/>
        </w:rPr>
      </w:pPr>
      <w:r w:rsidRPr="00E13AE2">
        <w:rPr>
          <w:rFonts w:ascii="Arial" w:hAnsi="Arial" w:cs="Arial"/>
        </w:rPr>
        <w:t xml:space="preserve">Be necessary and reasonable for the performance of the federal award and be allocable thereto under the principles in 2 CFR Part 200, Subpart E. </w:t>
      </w:r>
    </w:p>
    <w:p w14:paraId="30AA103C" w14:textId="77777777" w:rsidR="00E13AE2" w:rsidRDefault="00632B00" w:rsidP="008B4BCE">
      <w:pPr>
        <w:pStyle w:val="ListParagraph"/>
        <w:numPr>
          <w:ilvl w:val="0"/>
          <w:numId w:val="37"/>
        </w:numPr>
        <w:spacing w:after="240"/>
        <w:jc w:val="both"/>
        <w:rPr>
          <w:rFonts w:ascii="Arial" w:hAnsi="Arial" w:cs="Arial"/>
        </w:rPr>
      </w:pPr>
      <w:r w:rsidRPr="00E13AE2">
        <w:rPr>
          <w:rFonts w:ascii="Arial" w:hAnsi="Arial" w:cs="Arial"/>
        </w:rPr>
        <w:t xml:space="preserve">Conform to any limitations or exclusions set forth in 2 CFR Part 200, Subpart E or in the federal award as to types or amount of cost items. </w:t>
      </w:r>
    </w:p>
    <w:p w14:paraId="3EC0F7E4" w14:textId="77777777" w:rsidR="00E13AE2" w:rsidRDefault="00632B00" w:rsidP="008B4BCE">
      <w:pPr>
        <w:pStyle w:val="ListParagraph"/>
        <w:numPr>
          <w:ilvl w:val="0"/>
          <w:numId w:val="37"/>
        </w:numPr>
        <w:spacing w:after="240"/>
        <w:jc w:val="both"/>
        <w:rPr>
          <w:rFonts w:ascii="Arial" w:hAnsi="Arial" w:cs="Arial"/>
        </w:rPr>
      </w:pPr>
      <w:r w:rsidRPr="00E13AE2">
        <w:rPr>
          <w:rFonts w:ascii="Arial" w:hAnsi="Arial" w:cs="Arial"/>
        </w:rPr>
        <w:t xml:space="preserve">Be consistent with policies and procedures that apply uniformly to both federally financed and other activities of the recipient or subrecipient. </w:t>
      </w:r>
    </w:p>
    <w:p w14:paraId="12AB5E8B" w14:textId="77777777" w:rsidR="00E13AE2" w:rsidRDefault="00632B00" w:rsidP="008B4BCE">
      <w:pPr>
        <w:pStyle w:val="ListParagraph"/>
        <w:numPr>
          <w:ilvl w:val="0"/>
          <w:numId w:val="37"/>
        </w:numPr>
        <w:spacing w:after="240"/>
        <w:jc w:val="both"/>
        <w:rPr>
          <w:rFonts w:ascii="Arial" w:hAnsi="Arial" w:cs="Arial"/>
        </w:rPr>
      </w:pPr>
      <w:r w:rsidRPr="00E13AE2">
        <w:rPr>
          <w:rFonts w:ascii="Arial" w:hAnsi="Arial" w:cs="Arial"/>
        </w:rPr>
        <w:t xml:space="preserve">Be accorded consistent treatment. For example, a cost must not be assigned to a federal award as a direct cost if any other cost incurred for the same purpose in like circumstances has been allocated to the federal award as an indirect cost. </w:t>
      </w:r>
    </w:p>
    <w:p w14:paraId="4FF0A136" w14:textId="77777777" w:rsidR="00E13AE2" w:rsidRDefault="00632B00" w:rsidP="008B4BCE">
      <w:pPr>
        <w:pStyle w:val="ListParagraph"/>
        <w:numPr>
          <w:ilvl w:val="0"/>
          <w:numId w:val="37"/>
        </w:numPr>
        <w:spacing w:after="240"/>
        <w:jc w:val="both"/>
        <w:rPr>
          <w:rFonts w:ascii="Arial" w:hAnsi="Arial" w:cs="Arial"/>
        </w:rPr>
      </w:pPr>
      <w:r w:rsidRPr="00E13AE2">
        <w:rPr>
          <w:rFonts w:ascii="Arial" w:hAnsi="Arial" w:cs="Arial"/>
        </w:rPr>
        <w:t xml:space="preserve">Be determined in accordance with generally accepted accounting principles (GAAP), except for State and local governments and Indian Tribes only as otherwise provided for in 2 CFR Part 200. </w:t>
      </w:r>
    </w:p>
    <w:p w14:paraId="22ECAB6F" w14:textId="77777777" w:rsidR="00E13AE2" w:rsidRDefault="00632B00" w:rsidP="008B4BCE">
      <w:pPr>
        <w:pStyle w:val="ListParagraph"/>
        <w:numPr>
          <w:ilvl w:val="0"/>
          <w:numId w:val="37"/>
        </w:numPr>
        <w:spacing w:after="240"/>
        <w:jc w:val="both"/>
        <w:rPr>
          <w:rFonts w:ascii="Arial" w:hAnsi="Arial" w:cs="Arial"/>
        </w:rPr>
      </w:pPr>
      <w:r w:rsidRPr="00E13AE2">
        <w:rPr>
          <w:rFonts w:ascii="Arial" w:hAnsi="Arial" w:cs="Arial"/>
        </w:rPr>
        <w:t xml:space="preserve">Not be included as a cost or used to meet cost-sharing requirements of any other federally financed program in either the current or a prior period. (2 CFR Part 200.306 (b)). </w:t>
      </w:r>
    </w:p>
    <w:p w14:paraId="58BC7A28" w14:textId="73CD3810" w:rsidR="00632B00" w:rsidRPr="00E13AE2" w:rsidRDefault="00632B00" w:rsidP="008B4BCE">
      <w:pPr>
        <w:pStyle w:val="ListParagraph"/>
        <w:numPr>
          <w:ilvl w:val="0"/>
          <w:numId w:val="37"/>
        </w:numPr>
        <w:spacing w:after="240"/>
        <w:jc w:val="both"/>
        <w:rPr>
          <w:rFonts w:ascii="Arial" w:hAnsi="Arial" w:cs="Arial"/>
        </w:rPr>
      </w:pPr>
      <w:r w:rsidRPr="00E13AE2">
        <w:rPr>
          <w:rFonts w:ascii="Arial" w:hAnsi="Arial" w:cs="Arial"/>
        </w:rPr>
        <w:t xml:space="preserve">Be adequately documented. (2 CFR Part 200.300 through 200.309). </w:t>
      </w:r>
    </w:p>
    <w:p w14:paraId="3605F25C" w14:textId="7B00A8A4" w:rsidR="00632B00" w:rsidRPr="00F00D94" w:rsidRDefault="00632B00" w:rsidP="008B4BCE">
      <w:pPr>
        <w:pStyle w:val="ListParagraph"/>
        <w:numPr>
          <w:ilvl w:val="0"/>
          <w:numId w:val="37"/>
        </w:numPr>
        <w:spacing w:after="240"/>
        <w:jc w:val="both"/>
      </w:pPr>
      <w:r w:rsidRPr="00E13AE2">
        <w:rPr>
          <w:rFonts w:ascii="Arial" w:hAnsi="Arial" w:cs="Arial"/>
        </w:rPr>
        <w:t xml:space="preserve">Per 2 CFR 200.403(h), administrative closeout costs may be incurred until the due date of the final report(s). If incurred, these costs must be liquidated prior to the due date of the final report(s) and charged to the final budget period of the award unless otherwise specified by the federal agency. </w:t>
      </w:r>
      <w:r w:rsidRPr="00E13AE2">
        <w:rPr>
          <w:rFonts w:ascii="Arial" w:hAnsi="Arial" w:cs="Arial"/>
        </w:rPr>
        <w:lastRenderedPageBreak/>
        <w:t xml:space="preserve">All other costs must be incurred during the approved budget period. At its discretion, the federal agency is authorized, to waive prior written approvals to carry forward unobligated balances to subsequent budget periods. (2 CFR 200.308(g)(3)). </w:t>
      </w:r>
    </w:p>
    <w:p w14:paraId="661C9B5F" w14:textId="2FA2BD64" w:rsidR="007948E6" w:rsidRPr="00F00D94" w:rsidRDefault="007948E6" w:rsidP="007948E6">
      <w:pPr>
        <w:spacing w:after="240"/>
        <w:jc w:val="both"/>
        <w:rPr>
          <w:rFonts w:ascii="Arial" w:hAnsi="Arial" w:cs="Arial"/>
          <w:i/>
        </w:rPr>
      </w:pPr>
      <w:r w:rsidRPr="00F00D94">
        <w:rPr>
          <w:rFonts w:ascii="Arial" w:hAnsi="Arial" w:cs="Arial"/>
          <w:i/>
        </w:rPr>
        <w:t xml:space="preserve">(Source: </w:t>
      </w:r>
      <w:r w:rsidR="00632B00" w:rsidRPr="00F00D94">
        <w:rPr>
          <w:rFonts w:ascii="Arial" w:hAnsi="Arial" w:cs="Arial"/>
          <w:i/>
        </w:rPr>
        <w:t>202</w:t>
      </w:r>
      <w:r w:rsidR="00632B00">
        <w:rPr>
          <w:rFonts w:ascii="Arial" w:hAnsi="Arial" w:cs="Arial"/>
          <w:i/>
        </w:rPr>
        <w:t>5</w:t>
      </w:r>
      <w:r w:rsidR="00632B00" w:rsidRPr="00F00D94">
        <w:rPr>
          <w:rFonts w:ascii="Arial" w:hAnsi="Arial" w:cs="Arial"/>
          <w:i/>
        </w:rPr>
        <w:t xml:space="preserve"> </w:t>
      </w:r>
      <w:r w:rsidRPr="00F00D94">
        <w:rPr>
          <w:rFonts w:ascii="Arial" w:hAnsi="Arial" w:cs="Arial"/>
          <w:i/>
        </w:rPr>
        <w:t>OMB Compliance Supplement Part 3</w:t>
      </w:r>
      <w:r w:rsidR="00533025">
        <w:rPr>
          <w:rFonts w:ascii="Arial" w:hAnsi="Arial" w:cs="Arial"/>
          <w:i/>
        </w:rPr>
        <w:t>.2</w:t>
      </w:r>
      <w:r w:rsidRPr="00F00D94">
        <w:rPr>
          <w:rFonts w:ascii="Arial" w:hAnsi="Arial" w:cs="Arial"/>
          <w:i/>
        </w:rPr>
        <w:t>)</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798A497C" w14:textId="68F74A44" w:rsidR="000321D8" w:rsidRPr="00F00D94" w:rsidRDefault="000321D8" w:rsidP="006672EA">
      <w:pPr>
        <w:spacing w:after="240"/>
        <w:jc w:val="both"/>
        <w:rPr>
          <w:rFonts w:ascii="Arial" w:hAnsi="Arial" w:cs="Arial"/>
        </w:rPr>
      </w:pPr>
      <w:r w:rsidRPr="000321D8">
        <w:rPr>
          <w:rFonts w:ascii="Arial" w:hAnsi="Arial" w:cs="Arial"/>
        </w:rPr>
        <w:t>2 CFR 200.420 through 200.476 provide the principles to be applied in establishing the allowability of certain items involved in determining cost, in addition to the basic considerations identified above. (For a listing of costs refer to Exhibit 1 of this part of the Supplement.) These principles apply whether or not a particular item of cost is treated as a direct cost or indirect cost. Failure to mention a particular item of cost, including as an example in certain sections, is not intended to imply that it is either allowable or unallowable. When determining the allowability for an item of cost, each case should be based on the treatment provided for similar or related items of cost and the principles described in 2 CFR 200.402 through 200.411.</w:t>
      </w:r>
    </w:p>
    <w:p w14:paraId="22B68113" w14:textId="7928A1EF" w:rsidR="00545700" w:rsidRPr="00F00D94" w:rsidRDefault="00545700" w:rsidP="006672EA">
      <w:pPr>
        <w:spacing w:after="240"/>
        <w:jc w:val="both"/>
        <w:rPr>
          <w:rFonts w:ascii="Arial" w:hAnsi="Arial" w:cs="Arial"/>
        </w:rPr>
      </w:pPr>
      <w:hyperlink r:id="rId50" w:history="1">
        <w:r w:rsidRPr="00F00D94">
          <w:rPr>
            <w:rStyle w:val="Hyperlink"/>
            <w:rFonts w:cs="Arial"/>
          </w:rPr>
          <w:t>List of Selected Items of Cost Contained in 2 CFR Part 200</w:t>
        </w:r>
      </w:hyperlink>
    </w:p>
    <w:p w14:paraId="4E82688E" w14:textId="793F6B43"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0321D8" w:rsidRPr="00F00D94">
        <w:rPr>
          <w:rFonts w:ascii="Arial" w:hAnsi="Arial" w:cs="Arial"/>
          <w:i/>
        </w:rPr>
        <w:t>202</w:t>
      </w:r>
      <w:r w:rsidR="000321D8">
        <w:rPr>
          <w:rFonts w:ascii="Arial" w:hAnsi="Arial" w:cs="Arial"/>
          <w:i/>
        </w:rPr>
        <w:t>5</w:t>
      </w:r>
      <w:r w:rsidR="000321D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7548F8BC" w14:textId="452884F7" w:rsidR="006B5D76" w:rsidRPr="006B5D76" w:rsidRDefault="006B5D76" w:rsidP="006B5D76">
      <w:pPr>
        <w:spacing w:after="240"/>
        <w:jc w:val="both"/>
        <w:rPr>
          <w:rFonts w:ascii="Arial" w:hAnsi="Arial" w:cs="Arial"/>
          <w:bCs/>
        </w:rPr>
      </w:pPr>
      <w:r w:rsidRPr="006B5D76">
        <w:rPr>
          <w:rFonts w:ascii="Arial" w:hAnsi="Arial" w:cs="Arial"/>
          <w:bCs/>
        </w:rPr>
        <w:t>The amount of salary, including bonuses, of PHA chief executive officers, other officers, and employees paid with Section 8 Housing Choice Vouchers administrative fees and Section 9 Capital and Operating Funds may not exceed the annual rate of basic pay payable for a federal position at Level IV of the Executive Schedule (currently $183,250) (Section 227 of Pub. L. No. 113-235, 128 Stat. 2756, December 16, 2014, and if carried forward in each subsequent appropriations act). Implementing guidance has been issued in PIH Notice 2016-14, “Guidance on the Public Housing Agency (PHA) salary restriction in HUD’s annual appropriations” (</w:t>
      </w:r>
      <w:hyperlink r:id="rId51" w:history="1">
        <w:r w:rsidR="0062713F">
          <w:rPr>
            <w:rStyle w:val="Hyperlink"/>
            <w:rFonts w:cs="Arial"/>
            <w:bCs/>
          </w:rPr>
          <w:t>https://www.hud.gov/sites/documents/16-14pihn.pdf</w:t>
        </w:r>
      </w:hyperlink>
      <w:r w:rsidRPr="006B5D76">
        <w:rPr>
          <w:rFonts w:ascii="Arial" w:hAnsi="Arial" w:cs="Arial"/>
          <w:bCs/>
        </w:rPr>
        <w:t xml:space="preserve">). OPM Salary tables are located here: </w:t>
      </w:r>
      <w:hyperlink r:id="rId52" w:history="1">
        <w:r w:rsidRPr="006B5D76">
          <w:rPr>
            <w:rStyle w:val="Hyperlink"/>
            <w:rFonts w:cs="Arial"/>
            <w:bCs/>
          </w:rPr>
          <w:t>https://www.opm.gov/policy-data-oversight/pay-leave/salaries-wages/</w:t>
        </w:r>
      </w:hyperlink>
      <w:r w:rsidRPr="006B5D76">
        <w:rPr>
          <w:rFonts w:ascii="Arial" w:hAnsi="Arial" w:cs="Arial"/>
          <w:bCs/>
        </w:rPr>
        <w:t>.</w:t>
      </w:r>
    </w:p>
    <w:p w14:paraId="0F763CEA" w14:textId="50271312" w:rsidR="006B5D76" w:rsidRPr="006B5D76" w:rsidRDefault="006B5D76" w:rsidP="006B5D76">
      <w:pPr>
        <w:spacing w:after="240"/>
        <w:ind w:firstLine="720"/>
        <w:jc w:val="both"/>
        <w:rPr>
          <w:rFonts w:ascii="Arial" w:hAnsi="Arial" w:cs="Arial"/>
          <w:bCs/>
        </w:rPr>
      </w:pPr>
      <w:r w:rsidRPr="006B5D76">
        <w:rPr>
          <w:rFonts w:ascii="Arial" w:hAnsi="Arial" w:cs="Arial"/>
          <w:bCs/>
        </w:rPr>
        <w:t>1.</w:t>
      </w:r>
      <w:r w:rsidRPr="006B5D76">
        <w:rPr>
          <w:rFonts w:ascii="Arial" w:hAnsi="Arial" w:cs="Arial"/>
          <w:bCs/>
        </w:rPr>
        <w:tab/>
        <w:t>Chargeable Fees under the Fee-for-Service Approach</w:t>
      </w:r>
    </w:p>
    <w:p w14:paraId="43B2E23B" w14:textId="49DD24E6" w:rsidR="006B5D76" w:rsidRPr="006B5D76" w:rsidRDefault="006B5D76" w:rsidP="006B5D76">
      <w:pPr>
        <w:spacing w:after="240"/>
        <w:ind w:left="2160" w:hanging="720"/>
        <w:jc w:val="both"/>
        <w:rPr>
          <w:rFonts w:ascii="Arial" w:hAnsi="Arial" w:cs="Arial"/>
          <w:bCs/>
        </w:rPr>
      </w:pPr>
      <w:r w:rsidRPr="006B5D76">
        <w:rPr>
          <w:rFonts w:ascii="Arial" w:hAnsi="Arial" w:cs="Arial"/>
          <w:bCs/>
        </w:rPr>
        <w:t>a.</w:t>
      </w:r>
      <w:r w:rsidRPr="006B5D76">
        <w:rPr>
          <w:rFonts w:ascii="Arial" w:hAnsi="Arial" w:cs="Arial"/>
          <w:bCs/>
        </w:rPr>
        <w:tab/>
        <w:t>The PHA may charge each project an asset management fee that may be used to fund operations of the central office (24 CFR section 990.280(b)(5)(ii)).</w:t>
      </w:r>
    </w:p>
    <w:p w14:paraId="7DF40BF9" w14:textId="7E6D497D" w:rsidR="006B5D76" w:rsidRPr="006B5D76" w:rsidRDefault="006B5D76" w:rsidP="006B5D76">
      <w:pPr>
        <w:spacing w:after="240"/>
        <w:ind w:left="2160" w:hanging="720"/>
        <w:jc w:val="both"/>
        <w:rPr>
          <w:rFonts w:ascii="Arial" w:hAnsi="Arial" w:cs="Arial"/>
          <w:bCs/>
        </w:rPr>
      </w:pPr>
      <w:r w:rsidRPr="006B5D76">
        <w:rPr>
          <w:rFonts w:ascii="Arial" w:hAnsi="Arial" w:cs="Arial"/>
          <w:bCs/>
        </w:rPr>
        <w:t>b.</w:t>
      </w:r>
      <w:r w:rsidRPr="006B5D76">
        <w:rPr>
          <w:rFonts w:ascii="Arial" w:hAnsi="Arial" w:cs="Arial"/>
          <w:bCs/>
        </w:rPr>
        <w:tab/>
        <w:t>In addition to project-specific records, PHAs may establish COCCs to account for non-project specific costs (e.g., human resources, executive director’s office). Those costs shall be funded from the property management fees received from each property and the asset management fees to the extent these are available (24 CFR section 990.280(c)). PHAs opting to fund centralized costs with capital funds must allocate overhead to projects through FDS line item 91810, “Allocated Overhead.”</w:t>
      </w:r>
    </w:p>
    <w:p w14:paraId="7E93D659" w14:textId="2EBE263B" w:rsidR="006B5D76" w:rsidRPr="006B5D76" w:rsidRDefault="006B5D76" w:rsidP="006B5D76">
      <w:pPr>
        <w:spacing w:after="240"/>
        <w:ind w:left="2160" w:hanging="720"/>
        <w:jc w:val="both"/>
        <w:rPr>
          <w:rFonts w:ascii="Arial" w:hAnsi="Arial" w:cs="Arial"/>
          <w:bCs/>
        </w:rPr>
      </w:pPr>
      <w:r w:rsidRPr="006B5D76">
        <w:rPr>
          <w:rFonts w:ascii="Arial" w:hAnsi="Arial" w:cs="Arial"/>
          <w:bCs/>
        </w:rPr>
        <w:t>c.</w:t>
      </w:r>
      <w:r w:rsidRPr="006B5D76">
        <w:rPr>
          <w:rFonts w:ascii="Arial" w:hAnsi="Arial" w:cs="Arial"/>
          <w:bCs/>
        </w:rPr>
        <w:tab/>
        <w:t xml:space="preserve">If a PHA chooses to centralize functions under asset management, it must charge each project using a fee-for-service approach unless proration is permitted. HUD has specified that the costs for rent collections, resident services, security/protective services, waiting lists, and work order processing may be prorated. (See III.N.6, “Fees Charged for Centralized Services,” and III.N.7, “Prorating Front-Line Centralized Services.”) With the exception of a central waiting list, resident services, and security/protective services, a project may not pay for the cost of a supervisor overseeing a front-line task that is performed centrally (see Section 7.10 Assignment of Costs per Supplement, Prorating Front-Line Administrative Costs, in the Supplement to HUD Handbook 7475.1 for </w:t>
      </w:r>
      <w:r w:rsidRPr="006B5D76">
        <w:rPr>
          <w:rFonts w:ascii="Arial" w:hAnsi="Arial" w:cs="Arial"/>
          <w:bCs/>
        </w:rPr>
        <w:lastRenderedPageBreak/>
        <w:t>exceptions). Each project shall be charged for the actual services received and only to the extent that such amounts are reasonable (24 CFR section</w:t>
      </w:r>
      <w:r>
        <w:rPr>
          <w:rFonts w:ascii="Arial" w:hAnsi="Arial" w:cs="Arial"/>
          <w:bCs/>
        </w:rPr>
        <w:t xml:space="preserve"> </w:t>
      </w:r>
      <w:r w:rsidRPr="006B5D76">
        <w:rPr>
          <w:rFonts w:ascii="Arial" w:hAnsi="Arial" w:cs="Arial"/>
          <w:bCs/>
        </w:rPr>
        <w:t>990.280 (d)).</w:t>
      </w:r>
    </w:p>
    <w:p w14:paraId="0AA1FEE3" w14:textId="63E9311C" w:rsidR="006B5D76" w:rsidRPr="006B5D76" w:rsidRDefault="006B5D76" w:rsidP="006B5D76">
      <w:pPr>
        <w:spacing w:after="240"/>
        <w:ind w:left="2160" w:hanging="720"/>
        <w:jc w:val="both"/>
        <w:rPr>
          <w:rFonts w:ascii="Arial" w:hAnsi="Arial" w:cs="Arial"/>
          <w:bCs/>
        </w:rPr>
      </w:pPr>
      <w:r w:rsidRPr="006B5D76">
        <w:rPr>
          <w:rFonts w:ascii="Arial" w:hAnsi="Arial" w:cs="Arial"/>
          <w:bCs/>
        </w:rPr>
        <w:t>d.</w:t>
      </w:r>
      <w:r w:rsidRPr="006B5D76">
        <w:rPr>
          <w:rFonts w:ascii="Arial" w:hAnsi="Arial" w:cs="Arial"/>
          <w:bCs/>
        </w:rPr>
        <w:tab/>
        <w:t>PHAs that own and operate 250 or more dwelling rental units under Title I of the US Housing Act of 1937, including units managed by a third-party entity (for example, a resident management corporation) but excluding Section 8 units, are required to operate using an asset management model consistent with Subpart H of 24 CFR Part 990 (24 CFR section 990.260(a)). PHAs that own and operate 400 or fewer public housing units may elect to be exempt from any asset management requirement imposed by HUD in connection with the operating fund rule, provided that an agency seeking a discontinuance of a reduction of subsidy (stop-loss) under the operating fund formula shall not be exempt from asset management requirements (Section 225 of Title II of the HUD portion of the Consolidated Appropriations Act, 2008 (Pub. L. No. 110-161) and if carried forward in all subsequent Appropriations Acts).</w:t>
      </w:r>
    </w:p>
    <w:p w14:paraId="5D603FDA" w14:textId="50579230" w:rsidR="006B5D76" w:rsidRPr="006B5D76" w:rsidRDefault="006B5D76" w:rsidP="006B5D76">
      <w:pPr>
        <w:spacing w:after="240"/>
        <w:ind w:left="2160" w:hanging="720"/>
        <w:jc w:val="both"/>
        <w:rPr>
          <w:rFonts w:ascii="Arial" w:hAnsi="Arial" w:cs="Arial"/>
          <w:bCs/>
        </w:rPr>
      </w:pPr>
      <w:r w:rsidRPr="006B5D76">
        <w:rPr>
          <w:rFonts w:ascii="Arial" w:hAnsi="Arial" w:cs="Arial"/>
          <w:bCs/>
        </w:rPr>
        <w:t>e.</w:t>
      </w:r>
      <w:r w:rsidRPr="006B5D76">
        <w:rPr>
          <w:rFonts w:ascii="Arial" w:hAnsi="Arial" w:cs="Arial"/>
          <w:bCs/>
        </w:rPr>
        <w:tab/>
        <w:t>For PHAs implementing asset management under fee-for-service, costs are classified as either a front-line expense (an expense of the project) or a fee expense (an expense of the management company (i.e., the COCC)) (see Table 7.2 and sections 5.2, 5.3, and 7.10 in the Supplement to Handbook 7475.1 for classifying costs) (24 CFR section 990.280(d)). Certain front-line project administrative expenses may be performed centrally and “charged back” (expense proration or fee-for-service) to the affected project(s). Centralized maintenance services can only be charged as a fee-for-service. Centralized indirect costs, on the other hand, are recoverable only from designated fees charged by the COCC (management, bookkeeping, asset management) (24 CFR sections 990.275 and 990.280). Project support costs should be properly classified as fee expense recoverable from management, bookkeeping, and asset management fees, or front-line project expense, recoverable through expense proration, as a shared resource cost or fee-for-service (required for centralized maintenance services). For PHAs that have established a COCC, HUD has established the following as the fees the COCC can charge projects or programs (see Section 7.1 to the Supplement to HUD Handbook 7475.1):</w:t>
      </w:r>
    </w:p>
    <w:p w14:paraId="1E49FD59" w14:textId="73518619" w:rsidR="006B5D76" w:rsidRPr="006B5D76" w:rsidRDefault="006B5D76" w:rsidP="006B5D76">
      <w:pPr>
        <w:spacing w:after="240"/>
        <w:ind w:left="1440" w:firstLine="720"/>
        <w:jc w:val="both"/>
        <w:rPr>
          <w:rFonts w:ascii="Arial" w:hAnsi="Arial" w:cs="Arial"/>
          <w:bCs/>
        </w:rPr>
      </w:pPr>
      <w:r w:rsidRPr="006B5D76">
        <w:rPr>
          <w:rFonts w:ascii="Arial" w:hAnsi="Arial" w:cs="Arial"/>
          <w:bCs/>
        </w:rPr>
        <w:t>(1)</w:t>
      </w:r>
      <w:r w:rsidRPr="006B5D76">
        <w:rPr>
          <w:rFonts w:ascii="Arial" w:hAnsi="Arial" w:cs="Arial"/>
          <w:bCs/>
        </w:rPr>
        <w:tab/>
        <w:t>Property (project) management fee;</w:t>
      </w:r>
    </w:p>
    <w:p w14:paraId="7C1F9DA2" w14:textId="3D94B46C" w:rsidR="006B5D76" w:rsidRPr="006B5D76" w:rsidRDefault="006B5D76" w:rsidP="006B5D76">
      <w:pPr>
        <w:spacing w:after="240"/>
        <w:ind w:left="1440" w:firstLine="720"/>
        <w:jc w:val="both"/>
        <w:rPr>
          <w:rFonts w:ascii="Arial" w:hAnsi="Arial" w:cs="Arial"/>
          <w:bCs/>
        </w:rPr>
      </w:pPr>
      <w:r w:rsidRPr="006B5D76">
        <w:rPr>
          <w:rFonts w:ascii="Arial" w:hAnsi="Arial" w:cs="Arial"/>
          <w:bCs/>
        </w:rPr>
        <w:t>(2)</w:t>
      </w:r>
      <w:r w:rsidRPr="006B5D76">
        <w:rPr>
          <w:rFonts w:ascii="Arial" w:hAnsi="Arial" w:cs="Arial"/>
          <w:bCs/>
        </w:rPr>
        <w:tab/>
        <w:t>Bookkeeping fees;</w:t>
      </w:r>
    </w:p>
    <w:p w14:paraId="709C86DC" w14:textId="08F0267B" w:rsidR="006B5D76" w:rsidRPr="006B5D76" w:rsidRDefault="006B5D76" w:rsidP="006B5D76">
      <w:pPr>
        <w:spacing w:after="240"/>
        <w:ind w:left="1440" w:firstLine="720"/>
        <w:jc w:val="both"/>
        <w:rPr>
          <w:rFonts w:ascii="Arial" w:hAnsi="Arial" w:cs="Arial"/>
          <w:bCs/>
        </w:rPr>
      </w:pPr>
      <w:r w:rsidRPr="006B5D76">
        <w:rPr>
          <w:rFonts w:ascii="Arial" w:hAnsi="Arial" w:cs="Arial"/>
          <w:bCs/>
        </w:rPr>
        <w:t>(3)</w:t>
      </w:r>
      <w:r w:rsidRPr="006B5D76">
        <w:rPr>
          <w:rFonts w:ascii="Arial" w:hAnsi="Arial" w:cs="Arial"/>
          <w:bCs/>
        </w:rPr>
        <w:tab/>
        <w:t>Fees for centrally provided direct services (front-line expenses);</w:t>
      </w:r>
    </w:p>
    <w:p w14:paraId="3FB01F3C" w14:textId="1B78021A" w:rsidR="006B5D76" w:rsidRPr="006B5D76" w:rsidRDefault="006B5D76" w:rsidP="006B5D76">
      <w:pPr>
        <w:spacing w:after="240"/>
        <w:ind w:left="1440" w:firstLine="720"/>
        <w:jc w:val="both"/>
        <w:rPr>
          <w:rFonts w:ascii="Arial" w:hAnsi="Arial" w:cs="Arial"/>
          <w:bCs/>
        </w:rPr>
      </w:pPr>
      <w:r w:rsidRPr="006B5D76">
        <w:rPr>
          <w:rFonts w:ascii="Arial" w:hAnsi="Arial" w:cs="Arial"/>
          <w:bCs/>
        </w:rPr>
        <w:t>(4)</w:t>
      </w:r>
      <w:r w:rsidRPr="006B5D76">
        <w:rPr>
          <w:rFonts w:ascii="Arial" w:hAnsi="Arial" w:cs="Arial"/>
          <w:bCs/>
        </w:rPr>
        <w:tab/>
        <w:t>Asset management fees;</w:t>
      </w:r>
    </w:p>
    <w:p w14:paraId="57F05EFB" w14:textId="695EE6E4" w:rsidR="006B5D76" w:rsidRPr="006B5D76" w:rsidRDefault="006B5D76" w:rsidP="006B5D76">
      <w:pPr>
        <w:spacing w:after="240"/>
        <w:ind w:left="1440" w:firstLine="720"/>
        <w:jc w:val="both"/>
        <w:rPr>
          <w:rFonts w:ascii="Arial" w:hAnsi="Arial" w:cs="Arial"/>
          <w:bCs/>
        </w:rPr>
      </w:pPr>
      <w:r w:rsidRPr="006B5D76">
        <w:rPr>
          <w:rFonts w:ascii="Arial" w:hAnsi="Arial" w:cs="Arial"/>
          <w:bCs/>
        </w:rPr>
        <w:t>(5)</w:t>
      </w:r>
      <w:r w:rsidRPr="006B5D76">
        <w:rPr>
          <w:rFonts w:ascii="Arial" w:hAnsi="Arial" w:cs="Arial"/>
          <w:bCs/>
        </w:rPr>
        <w:tab/>
        <w:t>Capital Fund Program management fees; and</w:t>
      </w:r>
    </w:p>
    <w:p w14:paraId="3B78B7C6" w14:textId="77777777" w:rsidR="006B5D76" w:rsidRPr="006B5D76" w:rsidRDefault="006B5D76" w:rsidP="006B5D76">
      <w:pPr>
        <w:spacing w:after="240"/>
        <w:ind w:left="1440" w:firstLine="720"/>
        <w:jc w:val="both"/>
        <w:rPr>
          <w:rFonts w:ascii="Arial" w:hAnsi="Arial" w:cs="Arial"/>
          <w:bCs/>
        </w:rPr>
      </w:pPr>
      <w:r w:rsidRPr="006B5D76">
        <w:rPr>
          <w:rFonts w:ascii="Arial" w:hAnsi="Arial" w:cs="Arial"/>
          <w:bCs/>
        </w:rPr>
        <w:t>(6)</w:t>
      </w:r>
      <w:r w:rsidRPr="006B5D76">
        <w:rPr>
          <w:rFonts w:ascii="Arial" w:hAnsi="Arial" w:cs="Arial"/>
          <w:bCs/>
        </w:rPr>
        <w:tab/>
        <w:t>Management fees for other programs.</w:t>
      </w:r>
    </w:p>
    <w:p w14:paraId="2120EF8E" w14:textId="24D22AAE" w:rsidR="006B5D76" w:rsidRPr="006B5D76" w:rsidRDefault="006B5D76" w:rsidP="006B5D76">
      <w:pPr>
        <w:spacing w:after="240"/>
        <w:ind w:left="2880"/>
        <w:jc w:val="both"/>
        <w:rPr>
          <w:rFonts w:ascii="Arial" w:hAnsi="Arial" w:cs="Arial"/>
          <w:bCs/>
        </w:rPr>
      </w:pPr>
      <w:r w:rsidRPr="006B5D76">
        <w:rPr>
          <w:rFonts w:ascii="Arial" w:hAnsi="Arial" w:cs="Arial"/>
          <w:bCs/>
        </w:rPr>
        <w:t xml:space="preserve">Property management fee rates established by HUD are available at </w:t>
      </w:r>
      <w:hyperlink r:id="rId53" w:history="1">
        <w:r w:rsidRPr="006B5D76">
          <w:rPr>
            <w:rStyle w:val="Hyperlink"/>
            <w:rFonts w:cs="Arial"/>
            <w:bCs/>
          </w:rPr>
          <w:t>Project-Based Accounting - Asset Management - HUD | HUD.gov / U.S. Department of Housing and Urban Development (HUD)</w:t>
        </w:r>
      </w:hyperlink>
      <w:r w:rsidRPr="006B5D76">
        <w:rPr>
          <w:rFonts w:ascii="Arial" w:hAnsi="Arial" w:cs="Arial"/>
          <w:bCs/>
        </w:rPr>
        <w:t xml:space="preserve">. </w:t>
      </w:r>
    </w:p>
    <w:p w14:paraId="2246C4DC" w14:textId="3DE00D15" w:rsidR="006B5D76" w:rsidRPr="000F03FA" w:rsidRDefault="006B5D76" w:rsidP="006B5D76">
      <w:pPr>
        <w:spacing w:after="240"/>
        <w:jc w:val="both"/>
        <w:rPr>
          <w:rFonts w:ascii="Arial" w:hAnsi="Arial" w:cs="Arial"/>
          <w:bCs/>
          <w:i/>
          <w:iCs/>
        </w:rPr>
      </w:pPr>
      <w:r>
        <w:rPr>
          <w:rFonts w:ascii="Arial" w:hAnsi="Arial" w:cs="Arial"/>
          <w:bCs/>
          <w:i/>
          <w:iCs/>
        </w:rPr>
        <w:t>(Source: 2025 OMB Compliance Supplement, Part 4, HUD, #14.850 Public Housing Operating Fund)</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0B06FAF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lastRenderedPageBreak/>
        <w:t>2 CFR 200.302</w:t>
      </w:r>
      <w:r w:rsidR="00B328D1" w:rsidRPr="00D0258A">
        <w:rPr>
          <w:rFonts w:ascii="Arial" w:hAnsi="Arial" w:cs="Arial"/>
          <w:i/>
          <w:iCs/>
          <w:color w:val="002060"/>
        </w:rPr>
        <w:t xml:space="preserve">(b)(7) requires written procedures for determining the allowability of costs in accordance with Subpart E and the terms and conditions of the </w:t>
      </w:r>
      <w:r w:rsidR="007E77CE">
        <w:rPr>
          <w:rFonts w:ascii="Arial" w:hAnsi="Arial" w:cs="Arial"/>
          <w:i/>
          <w:iCs/>
          <w:color w:val="002060"/>
        </w:rPr>
        <w:t>f</w:t>
      </w:r>
      <w:r w:rsidR="00B328D1" w:rsidRPr="00D0258A">
        <w:rPr>
          <w:rFonts w:ascii="Arial" w:hAnsi="Arial" w:cs="Arial"/>
          <w:i/>
          <w:iCs/>
          <w:color w:val="002060"/>
        </w:rPr>
        <w:t>ederal award.</w:t>
      </w:r>
    </w:p>
    <w:p w14:paraId="5290B39D" w14:textId="703B5D78"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w:t>
      </w:r>
      <w:r w:rsidR="00425137">
        <w:rPr>
          <w:rFonts w:ascii="Arial" w:hAnsi="Arial" w:cs="Arial"/>
          <w:i/>
          <w:iCs/>
          <w:color w:val="002060"/>
        </w:rPr>
        <w:t xml:space="preserve">recipient or subrecipient </w:t>
      </w:r>
      <w:r w:rsidR="00B328D1" w:rsidRPr="00D0258A">
        <w:rPr>
          <w:rFonts w:ascii="Arial" w:hAnsi="Arial" w:cs="Arial"/>
          <w:i/>
          <w:iCs/>
          <w:color w:val="002060"/>
        </w:rPr>
        <w:t xml:space="preserve">consistently applied to both </w:t>
      </w:r>
      <w:r w:rsidR="007E77CE">
        <w:rPr>
          <w:rFonts w:ascii="Arial" w:hAnsi="Arial" w:cs="Arial"/>
          <w:i/>
          <w:iCs/>
          <w:color w:val="002060"/>
        </w:rPr>
        <w:t>f</w:t>
      </w:r>
      <w:r w:rsidR="00B328D1" w:rsidRPr="00D0258A">
        <w:rPr>
          <w:rFonts w:ascii="Arial" w:hAnsi="Arial" w:cs="Arial"/>
          <w:i/>
          <w:iCs/>
          <w:color w:val="002060"/>
        </w:rPr>
        <w:t>ederal and non-</w:t>
      </w:r>
      <w:r w:rsidR="007E77CE">
        <w:rPr>
          <w:rFonts w:ascii="Arial" w:hAnsi="Arial" w:cs="Arial"/>
          <w:i/>
          <w:iCs/>
          <w:color w:val="002060"/>
        </w:rPr>
        <w:t>f</w:t>
      </w:r>
      <w:r w:rsidR="00B328D1" w:rsidRPr="00D0258A">
        <w:rPr>
          <w:rFonts w:ascii="Arial" w:hAnsi="Arial" w:cs="Arial"/>
          <w:i/>
          <w:iCs/>
          <w:color w:val="002060"/>
        </w:rPr>
        <w:t>ederal activities; (2) Follows an appointment made in accordance with</w:t>
      </w:r>
      <w:r w:rsidR="00425137">
        <w:rPr>
          <w:rFonts w:ascii="Arial" w:hAnsi="Arial" w:cs="Arial"/>
          <w:i/>
          <w:iCs/>
          <w:color w:val="002060"/>
        </w:rPr>
        <w:t xml:space="preserve"> the recipient’s or subrecipient’s </w:t>
      </w:r>
      <w:r w:rsidR="00B328D1" w:rsidRPr="00D0258A">
        <w:rPr>
          <w:rFonts w:ascii="Arial" w:hAnsi="Arial" w:cs="Arial"/>
          <w:i/>
          <w:iCs/>
          <w:color w:val="002060"/>
        </w:rPr>
        <w:t>laws</w:t>
      </w:r>
      <w:r w:rsidR="00425137">
        <w:rPr>
          <w:rFonts w:ascii="Arial" w:hAnsi="Arial" w:cs="Arial"/>
          <w:i/>
          <w:iCs/>
          <w:color w:val="002060"/>
        </w:rPr>
        <w:t xml:space="preserve">, </w:t>
      </w:r>
      <w:r w:rsidR="00B328D1" w:rsidRPr="00D0258A">
        <w:rPr>
          <w:rFonts w:ascii="Arial" w:hAnsi="Arial" w:cs="Arial"/>
          <w:i/>
          <w:iCs/>
          <w:color w:val="002060"/>
        </w:rPr>
        <w:t>rules or written policies and meets the requirements of Federal statute, where applicable; and (3) Is determined and supported as provided in paragraph (</w:t>
      </w:r>
      <w:r w:rsidR="00425137">
        <w:rPr>
          <w:rFonts w:ascii="Arial" w:hAnsi="Arial" w:cs="Arial"/>
          <w:i/>
          <w:iCs/>
          <w:color w:val="002060"/>
        </w:rPr>
        <w:t>g</w:t>
      </w:r>
      <w:r w:rsidR="00B328D1" w:rsidRPr="00D0258A">
        <w:rPr>
          <w:rFonts w:ascii="Arial" w:hAnsi="Arial" w:cs="Arial"/>
          <w:i/>
          <w:iCs/>
          <w:color w:val="002060"/>
        </w:rPr>
        <w:t>) of this section, Standards for Documentation of Personnel Expenses, when applicable.</w:t>
      </w:r>
    </w:p>
    <w:p w14:paraId="1447816D" w14:textId="60F9D58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w:t>
      </w:r>
      <w:r w:rsidR="005F0D0C">
        <w:rPr>
          <w:rFonts w:ascii="Arial" w:hAnsi="Arial" w:cs="Arial"/>
          <w:i/>
          <w:iCs/>
          <w:color w:val="002060"/>
        </w:rPr>
        <w:t xml:space="preserve"> the cost of</w:t>
      </w:r>
      <w:r w:rsidR="00B328D1" w:rsidRPr="00D0258A">
        <w:rPr>
          <w:rFonts w:ascii="Arial" w:hAnsi="Arial" w:cs="Arial"/>
          <w:i/>
          <w:iCs/>
          <w:color w:val="002060"/>
        </w:rPr>
        <w:t xml:space="preserve"> fringe benefits</w:t>
      </w:r>
      <w:r w:rsidR="005F0D0C" w:rsidRPr="005F0D0C">
        <w:t xml:space="preserve"> </w:t>
      </w:r>
      <w:r w:rsidR="005F0D0C" w:rsidRPr="005F0D0C">
        <w:rPr>
          <w:rFonts w:ascii="Arial" w:hAnsi="Arial" w:cs="Arial"/>
          <w:i/>
          <w:iCs/>
          <w:color w:val="002060"/>
        </w:rPr>
        <w:t>in the form of regular compensation paid to employees during periods of authorized absences from the job, such as for annual leave, family-related leave, sick leave, holidays, court leave, military leave, administrative leave, and other similar benefits</w:t>
      </w:r>
      <w:r w:rsidR="00B328D1" w:rsidRPr="00D0258A">
        <w:rPr>
          <w:rFonts w:ascii="Arial" w:hAnsi="Arial" w:cs="Arial"/>
          <w:i/>
          <w:iCs/>
          <w:color w:val="002060"/>
        </w:rPr>
        <w:t xml:space="preserve">. </w:t>
      </w:r>
    </w:p>
    <w:p w14:paraId="163D01F3" w14:textId="4A06864C"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consistently followed by the employer. </w:t>
      </w:r>
    </w:p>
    <w:p w14:paraId="3D808877" w14:textId="4973FB1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w:t>
      </w:r>
      <w:r w:rsidR="005F0D0C">
        <w:rPr>
          <w:rFonts w:ascii="Arial" w:hAnsi="Arial" w:cs="Arial"/>
          <w:i/>
          <w:iCs/>
          <w:color w:val="002060"/>
        </w:rPr>
        <w:t>travel costs</w:t>
      </w:r>
      <w:r w:rsidR="00B328D1" w:rsidRPr="00D0258A">
        <w:rPr>
          <w:rFonts w:ascii="Arial" w:hAnsi="Arial" w:cs="Arial"/>
          <w:i/>
          <w:iCs/>
          <w:color w:val="002060"/>
        </w:rPr>
        <w:t xml:space="preserve"> to be </w:t>
      </w:r>
      <w:r w:rsidR="005F0D0C">
        <w:rPr>
          <w:rFonts w:ascii="Arial" w:hAnsi="Arial" w:cs="Arial"/>
          <w:i/>
          <w:iCs/>
          <w:color w:val="002060"/>
        </w:rPr>
        <w:t xml:space="preserve">charged using a method </w:t>
      </w:r>
      <w:r w:rsidR="00B328D1" w:rsidRPr="00D0258A">
        <w:rPr>
          <w:rFonts w:ascii="Arial" w:hAnsi="Arial" w:cs="Arial"/>
          <w:i/>
          <w:iCs/>
          <w:color w:val="002060"/>
        </w:rPr>
        <w:t>consistent with those normally allowed in like circumstances in the</w:t>
      </w:r>
      <w:r w:rsidR="00425137">
        <w:rPr>
          <w:rFonts w:ascii="Arial" w:hAnsi="Arial" w:cs="Arial"/>
          <w:i/>
          <w:iCs/>
          <w:color w:val="002060"/>
        </w:rPr>
        <w:t xml:space="preserve"> recipient’s or subrecipient’s</w:t>
      </w:r>
      <w:r w:rsidR="00B328D1" w:rsidRPr="00D0258A">
        <w:rPr>
          <w:rFonts w:ascii="Arial" w:hAnsi="Arial" w:cs="Arial"/>
          <w:i/>
          <w:iCs/>
          <w:color w:val="002060"/>
        </w:rPr>
        <w:t xml:space="preserve"> </w:t>
      </w:r>
      <w:r w:rsidR="00425137">
        <w:rPr>
          <w:rFonts w:ascii="Arial" w:hAnsi="Arial" w:cs="Arial"/>
          <w:i/>
          <w:iCs/>
          <w:color w:val="002060"/>
        </w:rPr>
        <w:t xml:space="preserve">other </w:t>
      </w:r>
      <w:r w:rsidR="00B328D1" w:rsidRPr="00D0258A">
        <w:rPr>
          <w:rFonts w:ascii="Arial" w:hAnsi="Arial" w:cs="Arial"/>
          <w:i/>
          <w:iCs/>
          <w:color w:val="002060"/>
        </w:rPr>
        <w:t>activities and in accordance with</w:t>
      </w:r>
      <w:r w:rsidR="00425137">
        <w:rPr>
          <w:rFonts w:ascii="Arial" w:hAnsi="Arial" w:cs="Arial"/>
          <w:i/>
          <w:iCs/>
          <w:color w:val="002060"/>
        </w:rPr>
        <w:t xml:space="preserve"> the recipient’s or subrecipient’s</w:t>
      </w:r>
      <w:r w:rsidR="00B328D1" w:rsidRPr="00D0258A">
        <w:rPr>
          <w:rFonts w:ascii="Arial" w:hAnsi="Arial" w:cs="Arial"/>
          <w:i/>
          <w:iCs/>
          <w:color w:val="002060"/>
        </w:rPr>
        <w:t xml:space="preserve"> written policies. </w:t>
      </w:r>
    </w:p>
    <w:p w14:paraId="29AA1D67" w14:textId="77777777" w:rsidR="007F204B" w:rsidRPr="00FA4759" w:rsidRDefault="007F204B" w:rsidP="00F13178">
      <w:pPr>
        <w:pStyle w:val="Heading3"/>
        <w:spacing w:line="240" w:lineRule="auto"/>
        <w:jc w:val="both"/>
        <w:rPr>
          <w:rFonts w:cs="Arial"/>
          <w:sz w:val="24"/>
          <w:szCs w:val="24"/>
        </w:rPr>
      </w:pPr>
      <w:bookmarkStart w:id="36" w:name="_Toc212473106"/>
      <w:r w:rsidRPr="00FA4759">
        <w:rPr>
          <w:rFonts w:cs="Arial"/>
          <w:sz w:val="24"/>
          <w:szCs w:val="24"/>
        </w:rPr>
        <w:t>Additional Program Specific Information</w:t>
      </w:r>
      <w:bookmarkEnd w:id="36"/>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3EA58A1B" w:rsidR="00CD5DC7" w:rsidRPr="00AA5B05" w:rsidRDefault="00CD5DC7" w:rsidP="008B4BCE">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01B12A82" w14:textId="77777777" w:rsidR="00CD5DC7" w:rsidRPr="006B5D76" w:rsidRDefault="00CD5DC7" w:rsidP="008B4BCE">
      <w:pPr>
        <w:pStyle w:val="ListParagraph"/>
        <w:numPr>
          <w:ilvl w:val="0"/>
          <w:numId w:val="32"/>
        </w:numPr>
        <w:spacing w:after="240"/>
        <w:jc w:val="both"/>
        <w:rPr>
          <w:rFonts w:ascii="Arial" w:hAnsi="Arial" w:cs="Arial"/>
          <w:b/>
          <w:highlight w:val="yellow"/>
        </w:rPr>
      </w:pPr>
      <w:r w:rsidRPr="006B5D76">
        <w:rPr>
          <w:rFonts w:ascii="Arial" w:hAnsi="Arial" w:cs="Arial"/>
          <w:b/>
          <w:highlight w:val="yellow"/>
        </w:rPr>
        <w:t>The pass-through agency, and</w:t>
      </w:r>
    </w:p>
    <w:p w14:paraId="0E249625" w14:textId="7B016CD0" w:rsidR="006E46AD" w:rsidRPr="00AA5B05" w:rsidRDefault="006E46AD" w:rsidP="008B4BCE">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Pr="00086A78"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2148D788" w14:textId="070F5306" w:rsidR="000723D6" w:rsidRPr="00FA4759" w:rsidRDefault="000723D6" w:rsidP="006672EA">
      <w:pPr>
        <w:pStyle w:val="Heading3"/>
        <w:jc w:val="both"/>
        <w:rPr>
          <w:rFonts w:cs="Arial"/>
          <w:sz w:val="24"/>
          <w:szCs w:val="24"/>
        </w:rPr>
      </w:pPr>
      <w:bookmarkStart w:id="37" w:name="_Toc212473107"/>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37"/>
    </w:p>
    <w:p w14:paraId="2C5C23C1" w14:textId="77777777" w:rsidR="00B01E70" w:rsidRPr="00A0464C" w:rsidRDefault="00B01E70" w:rsidP="00B01E70">
      <w:pPr>
        <w:pStyle w:val="Heading3"/>
        <w:jc w:val="both"/>
        <w:rPr>
          <w:rFonts w:cs="Arial"/>
          <w:sz w:val="24"/>
          <w:szCs w:val="24"/>
        </w:rPr>
      </w:pPr>
      <w:bookmarkStart w:id="38" w:name="_Toc212473108"/>
      <w:r w:rsidRPr="00A0464C">
        <w:rPr>
          <w:rFonts w:cs="Arial"/>
          <w:sz w:val="24"/>
          <w:szCs w:val="24"/>
        </w:rPr>
        <w:t>OMB Compliance Requirements</w:t>
      </w:r>
      <w:bookmarkEnd w:id="38"/>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8B4BCE">
      <w:pPr>
        <w:pStyle w:val="ListParagraph"/>
        <w:numPr>
          <w:ilvl w:val="0"/>
          <w:numId w:val="35"/>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8B4BCE">
      <w:pPr>
        <w:pStyle w:val="ListParagraph"/>
        <w:numPr>
          <w:ilvl w:val="0"/>
          <w:numId w:val="35"/>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0174C873" w:rsidR="00EE3469" w:rsidRPr="00EE3469" w:rsidRDefault="00EE3469" w:rsidP="00EE3469">
      <w:pPr>
        <w:spacing w:after="240"/>
        <w:jc w:val="both"/>
        <w:rPr>
          <w:rFonts w:ascii="Arial" w:hAnsi="Arial" w:cs="Arial"/>
          <w:szCs w:val="24"/>
        </w:rPr>
      </w:pPr>
      <w:r w:rsidRPr="00EE3469">
        <w:rPr>
          <w:rFonts w:ascii="Arial" w:hAnsi="Arial" w:cs="Arial"/>
          <w:i/>
        </w:rPr>
        <w:t xml:space="preserve">(Source: </w:t>
      </w:r>
      <w:r w:rsidR="00425137" w:rsidRPr="00EE3469">
        <w:rPr>
          <w:rFonts w:ascii="Arial" w:hAnsi="Arial" w:cs="Arial"/>
          <w:i/>
        </w:rPr>
        <w:t>202</w:t>
      </w:r>
      <w:r w:rsidR="00425137">
        <w:rPr>
          <w:rFonts w:ascii="Arial" w:hAnsi="Arial" w:cs="Arial"/>
          <w:i/>
        </w:rPr>
        <w:t>5</w:t>
      </w:r>
      <w:r w:rsidR="00425137" w:rsidRPr="00EE3469">
        <w:rPr>
          <w:rFonts w:ascii="Arial" w:hAnsi="Arial" w:cs="Arial"/>
          <w:i/>
        </w:rPr>
        <w:t xml:space="preserve"> </w:t>
      </w:r>
      <w:r w:rsidRPr="00EE3469">
        <w:rPr>
          <w:rFonts w:ascii="Arial" w:hAnsi="Arial" w:cs="Arial"/>
          <w:i/>
        </w:rPr>
        <w:t>OMB Compliance Supplement Part 3</w:t>
      </w:r>
      <w:r w:rsidR="005F0D0C">
        <w:rPr>
          <w:rFonts w:ascii="Arial" w:hAnsi="Arial" w:cs="Arial"/>
          <w:i/>
        </w:rPr>
        <w:t>.2</w:t>
      </w:r>
      <w:r w:rsidRPr="00EE3469">
        <w:rPr>
          <w:rFonts w:ascii="Arial" w:hAnsi="Arial" w:cs="Arial"/>
          <w:i/>
        </w:rPr>
        <w:t>)</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8B4BCE">
      <w:pPr>
        <w:pStyle w:val="ListParagraph"/>
        <w:numPr>
          <w:ilvl w:val="1"/>
          <w:numId w:val="33"/>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8B4BCE">
      <w:pPr>
        <w:pStyle w:val="ListParagraph"/>
        <w:numPr>
          <w:ilvl w:val="0"/>
          <w:numId w:val="36"/>
        </w:numPr>
        <w:spacing w:after="240"/>
        <w:jc w:val="both"/>
        <w:rPr>
          <w:rFonts w:ascii="Arial" w:hAnsi="Arial" w:cs="Arial"/>
        </w:rPr>
      </w:pPr>
      <w:r w:rsidRPr="008E42D7">
        <w:rPr>
          <w:rFonts w:ascii="Arial" w:hAnsi="Arial" w:cs="Arial"/>
        </w:rPr>
        <w:lastRenderedPageBreak/>
        <w:t>The specific methods for allocating indirect costs and computing indirect cost rates are as follows:</w:t>
      </w:r>
    </w:p>
    <w:p w14:paraId="1D01A770" w14:textId="7358F764" w:rsidR="00E13AE2" w:rsidRPr="00E13AE2" w:rsidRDefault="00E13AE2" w:rsidP="008B4BCE">
      <w:pPr>
        <w:pStyle w:val="ListParagraph"/>
        <w:numPr>
          <w:ilvl w:val="1"/>
          <w:numId w:val="36"/>
        </w:numPr>
        <w:jc w:val="both"/>
        <w:rPr>
          <w:rFonts w:ascii="Arial" w:hAnsi="Arial" w:cs="Arial"/>
        </w:rPr>
      </w:pPr>
      <w:r w:rsidRPr="00E13AE2">
        <w:rPr>
          <w:rFonts w:ascii="Arial" w:hAnsi="Arial" w:cs="Arial"/>
          <w:i/>
          <w:iCs/>
        </w:rPr>
        <w:t>Simplified Method</w:t>
      </w:r>
      <w:r w:rsidRPr="00E13AE2">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 or Appendix IX, as appropriate.</w:t>
      </w:r>
    </w:p>
    <w:p w14:paraId="1D70552A" w14:textId="77777777" w:rsidR="00E13AE2" w:rsidRPr="00E13AE2" w:rsidRDefault="00E13AE2" w:rsidP="00E13AE2">
      <w:pPr>
        <w:jc w:val="both"/>
        <w:rPr>
          <w:rFonts w:ascii="Arial" w:hAnsi="Arial" w:cs="Arial"/>
        </w:rPr>
      </w:pPr>
    </w:p>
    <w:p w14:paraId="683C31FF" w14:textId="7B56928B" w:rsidR="00E13AE2" w:rsidRPr="00E13AE2" w:rsidRDefault="00E13AE2" w:rsidP="008B4BCE">
      <w:pPr>
        <w:pStyle w:val="ListParagraph"/>
        <w:numPr>
          <w:ilvl w:val="1"/>
          <w:numId w:val="36"/>
        </w:numPr>
        <w:jc w:val="both"/>
        <w:rPr>
          <w:rFonts w:ascii="Arial" w:hAnsi="Arial" w:cs="Arial"/>
        </w:rPr>
      </w:pPr>
      <w:r w:rsidRPr="00E13AE2">
        <w:rPr>
          <w:rFonts w:ascii="Arial" w:hAnsi="Arial" w:cs="Arial"/>
          <w:i/>
          <w:iCs/>
        </w:rPr>
        <w:t>Multiple Allocation Base Method</w:t>
      </w:r>
      <w:r w:rsidRPr="00E13AE2">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 which best measures the relative degree of benefit. (For detailed information, refer to 2 CFR Part 200, Appendix VII, paragraph C.3.)</w:t>
      </w:r>
    </w:p>
    <w:p w14:paraId="7CF65B1F" w14:textId="77777777" w:rsidR="00E13AE2" w:rsidRPr="00E13AE2" w:rsidRDefault="00E13AE2" w:rsidP="00E13AE2">
      <w:pPr>
        <w:jc w:val="both"/>
        <w:rPr>
          <w:rFonts w:ascii="Arial" w:hAnsi="Arial" w:cs="Arial"/>
        </w:rPr>
      </w:pPr>
    </w:p>
    <w:p w14:paraId="70F5AECF" w14:textId="5CFDAB7A" w:rsidR="00E13AE2" w:rsidRPr="00E13AE2" w:rsidRDefault="00E13AE2" w:rsidP="008B4BCE">
      <w:pPr>
        <w:pStyle w:val="ListParagraph"/>
        <w:numPr>
          <w:ilvl w:val="1"/>
          <w:numId w:val="36"/>
        </w:numPr>
        <w:spacing w:after="240"/>
        <w:jc w:val="both"/>
        <w:rPr>
          <w:rFonts w:ascii="Arial" w:hAnsi="Arial" w:cs="Arial"/>
        </w:rPr>
      </w:pPr>
      <w:r w:rsidRPr="00E13AE2">
        <w:rPr>
          <w:rFonts w:ascii="Arial" w:hAnsi="Arial" w:cs="Arial"/>
          <w:i/>
          <w:iCs/>
        </w:rPr>
        <w:t>Special Indirect Cost Rates</w:t>
      </w:r>
      <w:r w:rsidRPr="00E13AE2">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052BD71C" w14:textId="11802704" w:rsidR="00E13AE2" w:rsidRPr="00E13AE2" w:rsidRDefault="00E13AE2" w:rsidP="008B4BCE">
      <w:pPr>
        <w:pStyle w:val="ListParagraph"/>
        <w:numPr>
          <w:ilvl w:val="1"/>
          <w:numId w:val="36"/>
        </w:numPr>
        <w:jc w:val="both"/>
        <w:rPr>
          <w:rFonts w:ascii="Arial" w:hAnsi="Arial" w:cs="Arial"/>
        </w:rPr>
      </w:pPr>
      <w:r w:rsidRPr="00E13AE2">
        <w:rPr>
          <w:rFonts w:ascii="Arial" w:hAnsi="Arial" w:cs="Arial"/>
          <w:i/>
          <w:iCs/>
        </w:rPr>
        <w:t xml:space="preserve">Cost Allocation Plans – </w:t>
      </w:r>
      <w:r w:rsidRPr="00E13AE2">
        <w:rPr>
          <w:rFonts w:ascii="Arial" w:hAnsi="Arial" w:cs="Arial"/>
        </w:rPr>
        <w:t>In certain cases, the cognizant agency for indirect costs may require a state or local government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49D7031B" w14:textId="77777777" w:rsidR="00E13AE2" w:rsidRPr="00E13AE2" w:rsidRDefault="00E13AE2" w:rsidP="00E13AE2">
      <w:pPr>
        <w:pStyle w:val="ListParagraph"/>
        <w:ind w:left="1440"/>
        <w:jc w:val="both"/>
        <w:rPr>
          <w:rFonts w:ascii="Arial" w:hAnsi="Arial" w:cs="Arial"/>
          <w:i/>
          <w:iCs/>
        </w:rPr>
      </w:pPr>
    </w:p>
    <w:p w14:paraId="1F74274A" w14:textId="753BCEEC" w:rsidR="00723298" w:rsidRPr="00E93D6E" w:rsidRDefault="00AA6A4A" w:rsidP="008B4BCE">
      <w:pPr>
        <w:pStyle w:val="ListParagraph"/>
        <w:numPr>
          <w:ilvl w:val="1"/>
          <w:numId w:val="33"/>
        </w:numPr>
        <w:spacing w:after="240"/>
        <w:ind w:left="360"/>
        <w:jc w:val="both"/>
        <w:rPr>
          <w:rFonts w:ascii="Arial" w:hAnsi="Arial" w:cs="Arial"/>
          <w:i/>
          <w:iCs/>
        </w:rPr>
      </w:pPr>
      <w:r w:rsidRPr="00E93D6E">
        <w:rPr>
          <w:rFonts w:ascii="Arial" w:hAnsi="Arial" w:cs="Arial"/>
          <w:i/>
          <w:iCs/>
        </w:rPr>
        <w:t>S</w:t>
      </w:r>
      <w:r w:rsidR="00723298" w:rsidRPr="00E93D6E">
        <w:rPr>
          <w:rFonts w:ascii="Arial" w:hAnsi="Arial" w:cs="Arial"/>
          <w:i/>
          <w:iCs/>
        </w:rPr>
        <w:t>ubmission Requirements</w:t>
      </w:r>
    </w:p>
    <w:p w14:paraId="6E602D10" w14:textId="3666FF72" w:rsidR="00E93D6E" w:rsidRPr="00E93D6E" w:rsidRDefault="00E93D6E" w:rsidP="008B4BCE">
      <w:pPr>
        <w:pStyle w:val="ListParagraph"/>
        <w:numPr>
          <w:ilvl w:val="0"/>
          <w:numId w:val="34"/>
        </w:numPr>
        <w:jc w:val="both"/>
        <w:rPr>
          <w:rFonts w:ascii="Arial" w:hAnsi="Arial" w:cs="Arial"/>
        </w:rPr>
      </w:pPr>
      <w:r w:rsidRPr="00E93D6E">
        <w:rPr>
          <w:rFonts w:ascii="Arial" w:hAnsi="Arial" w:cs="Arial"/>
        </w:rPr>
        <w:t>Submission requirements are identified in 2 CFR Part 200, Appendix VII, paragraph D.1, and Appendix IX. All departments or agencies of a governmental unit claiming indirect costs under federal awards must prepare an ICRP and related documentation to support those costs.</w:t>
      </w:r>
    </w:p>
    <w:p w14:paraId="230AD2F7" w14:textId="77777777" w:rsidR="00E93D6E" w:rsidRPr="00E93D6E" w:rsidRDefault="00E93D6E" w:rsidP="00E93D6E">
      <w:pPr>
        <w:pStyle w:val="ListParagraph"/>
        <w:jc w:val="both"/>
        <w:rPr>
          <w:rFonts w:ascii="Arial" w:hAnsi="Arial" w:cs="Arial"/>
        </w:rPr>
      </w:pPr>
    </w:p>
    <w:p w14:paraId="47CE343E" w14:textId="3710DC4D" w:rsidR="00E93D6E" w:rsidRPr="005F0D0C" w:rsidRDefault="00E93D6E" w:rsidP="008B4BCE">
      <w:pPr>
        <w:pStyle w:val="ListParagraph"/>
        <w:numPr>
          <w:ilvl w:val="0"/>
          <w:numId w:val="34"/>
        </w:numPr>
        <w:jc w:val="both"/>
        <w:rPr>
          <w:rFonts w:ascii="Arial" w:hAnsi="Arial" w:cs="Arial"/>
        </w:rPr>
      </w:pPr>
      <w:r w:rsidRPr="005F0D0C">
        <w:rPr>
          <w:rFonts w:ascii="Arial" w:hAnsi="Arial" w:cs="Arial"/>
        </w:rPr>
        <w:t>A state/local department or agency or Indian Tribe that receives more than</w:t>
      </w:r>
      <w:r w:rsidR="005F0D0C">
        <w:rPr>
          <w:rFonts w:ascii="Arial" w:hAnsi="Arial" w:cs="Arial"/>
        </w:rPr>
        <w:t xml:space="preserve"> </w:t>
      </w:r>
      <w:r w:rsidRPr="005F0D0C">
        <w:rPr>
          <w:rFonts w:ascii="Arial" w:hAnsi="Arial" w:cs="Arial"/>
        </w:rPr>
        <w:t>$35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052BFAD4" w14:textId="77777777" w:rsidR="00E93D6E" w:rsidRPr="00E93D6E" w:rsidRDefault="00E93D6E" w:rsidP="00E93D6E">
      <w:pPr>
        <w:jc w:val="both"/>
        <w:rPr>
          <w:rFonts w:ascii="Arial" w:hAnsi="Arial" w:cs="Arial"/>
        </w:rPr>
      </w:pPr>
    </w:p>
    <w:p w14:paraId="6C5029C5" w14:textId="77777777" w:rsidR="00E93D6E" w:rsidRDefault="00E93D6E" w:rsidP="008B4BCE">
      <w:pPr>
        <w:pStyle w:val="ListParagraph"/>
        <w:numPr>
          <w:ilvl w:val="0"/>
          <w:numId w:val="34"/>
        </w:numPr>
        <w:jc w:val="both"/>
        <w:rPr>
          <w:rFonts w:ascii="Arial" w:hAnsi="Arial" w:cs="Arial"/>
        </w:rPr>
      </w:pPr>
      <w:r w:rsidRPr="00E93D6E">
        <w:rPr>
          <w:rFonts w:ascii="Arial" w:hAnsi="Arial" w:cs="Arial"/>
        </w:rPr>
        <w:t>Where a government receives funds as a subrecipient only, the pass- through entity will be responsible for the indirect cost rate used. (2 CFR 200.332(b)(4)).</w:t>
      </w:r>
    </w:p>
    <w:p w14:paraId="20BD485C" w14:textId="77777777" w:rsidR="00E93D6E" w:rsidRPr="00E93D6E" w:rsidRDefault="00E93D6E" w:rsidP="00E93D6E">
      <w:pPr>
        <w:pStyle w:val="ListParagraph"/>
        <w:jc w:val="both"/>
        <w:rPr>
          <w:rFonts w:ascii="Arial" w:hAnsi="Arial" w:cs="Arial"/>
        </w:rPr>
      </w:pPr>
    </w:p>
    <w:p w14:paraId="1B6AEDDD" w14:textId="346E9576" w:rsidR="00E93D6E" w:rsidRDefault="00E93D6E" w:rsidP="008B4BCE">
      <w:pPr>
        <w:pStyle w:val="ListParagraph"/>
        <w:numPr>
          <w:ilvl w:val="0"/>
          <w:numId w:val="34"/>
        </w:numPr>
        <w:jc w:val="both"/>
        <w:rPr>
          <w:rFonts w:ascii="Arial" w:hAnsi="Arial" w:cs="Arial"/>
        </w:rPr>
      </w:pPr>
      <w:r w:rsidRPr="00E93D6E">
        <w:rPr>
          <w:rFonts w:ascii="Arial" w:hAnsi="Arial" w:cs="Arial"/>
        </w:rPr>
        <w:t>Each Indian Tribe desiring reimbursement of indirect costs must submit its ICRP to the DOI (its cognizant agency for indirect costs).</w:t>
      </w:r>
    </w:p>
    <w:p w14:paraId="746028BA" w14:textId="77777777" w:rsidR="00E93D6E" w:rsidRPr="00E93D6E" w:rsidRDefault="00E93D6E" w:rsidP="00E93D6E">
      <w:pPr>
        <w:pStyle w:val="ListParagraph"/>
        <w:jc w:val="both"/>
        <w:rPr>
          <w:rFonts w:ascii="Arial" w:hAnsi="Arial" w:cs="Arial"/>
        </w:rPr>
      </w:pPr>
    </w:p>
    <w:p w14:paraId="4F4FA8DF" w14:textId="4244455D" w:rsidR="00E93D6E" w:rsidRDefault="00E93D6E" w:rsidP="008B4BCE">
      <w:pPr>
        <w:pStyle w:val="ListParagraph"/>
        <w:numPr>
          <w:ilvl w:val="0"/>
          <w:numId w:val="34"/>
        </w:numPr>
        <w:jc w:val="both"/>
        <w:rPr>
          <w:rFonts w:ascii="Arial" w:hAnsi="Arial" w:cs="Arial"/>
        </w:rPr>
      </w:pPr>
      <w:r w:rsidRPr="00E93D6E">
        <w:rPr>
          <w:rFonts w:ascii="Arial" w:hAnsi="Arial" w:cs="Arial"/>
        </w:rPr>
        <w:t>ICRPs must be developed (and, when required, submitted) within 6 months after the close of the governmental unit’s fiscal year, unless an exception is approved by the cognizant agency for indirect costs.</w:t>
      </w:r>
    </w:p>
    <w:p w14:paraId="4E0422E3" w14:textId="77777777" w:rsidR="00E93D6E" w:rsidRPr="00E93D6E" w:rsidRDefault="00E93D6E" w:rsidP="00E93D6E">
      <w:pPr>
        <w:pStyle w:val="ListParagraph"/>
        <w:rPr>
          <w:rFonts w:ascii="Arial" w:hAnsi="Arial" w:cs="Arial"/>
        </w:rPr>
      </w:pPr>
    </w:p>
    <w:p w14:paraId="631523CF" w14:textId="0BEA3F4D" w:rsidR="008E42D7" w:rsidRPr="00C9230A" w:rsidRDefault="008E42D7" w:rsidP="008B4BCE">
      <w:pPr>
        <w:pStyle w:val="ListParagraph"/>
        <w:numPr>
          <w:ilvl w:val="1"/>
          <w:numId w:val="33"/>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6A87ACA2" w:rsidR="00723298" w:rsidRPr="00723298" w:rsidRDefault="008E42D7" w:rsidP="00C9230A">
      <w:pPr>
        <w:spacing w:after="240"/>
        <w:ind w:left="360"/>
        <w:jc w:val="both"/>
        <w:rPr>
          <w:rFonts w:ascii="Arial" w:hAnsi="Arial" w:cs="Arial"/>
        </w:rPr>
      </w:pPr>
      <w:r w:rsidRPr="008E42D7">
        <w:rPr>
          <w:rFonts w:ascii="Arial" w:hAnsi="Arial" w:cs="Arial"/>
        </w:rPr>
        <w:lastRenderedPageBreak/>
        <w:t>The documentation and certification requirements for ICRPs are included in 2 CFR Part 200, Appendix VII, paragraphs D.2 and 3, respectively</w:t>
      </w:r>
      <w:r w:rsidR="005F0D0C">
        <w:rPr>
          <w:rFonts w:ascii="Arial" w:hAnsi="Arial" w:cs="Arial"/>
        </w:rPr>
        <w:t xml:space="preserve"> and Appendix IX</w:t>
      </w:r>
      <w:r w:rsidRPr="008E42D7">
        <w:rPr>
          <w:rFonts w:ascii="Arial" w:hAnsi="Arial" w:cs="Arial"/>
        </w:rPr>
        <w:t>.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5AB1475B" w:rsidR="000D1028" w:rsidRPr="00F00D94" w:rsidRDefault="000D1028" w:rsidP="000D1028">
      <w:pPr>
        <w:spacing w:after="240"/>
        <w:jc w:val="both"/>
        <w:rPr>
          <w:rFonts w:ascii="Arial" w:hAnsi="Arial" w:cs="Arial"/>
          <w:szCs w:val="24"/>
        </w:rPr>
      </w:pPr>
      <w:r w:rsidRPr="00F00D94">
        <w:rPr>
          <w:rFonts w:ascii="Arial" w:hAnsi="Arial" w:cs="Arial"/>
          <w:i/>
        </w:rPr>
        <w:t xml:space="preserve">(Source: </w:t>
      </w:r>
      <w:r w:rsidR="00E93D6E" w:rsidRPr="00F00D94">
        <w:rPr>
          <w:rFonts w:ascii="Arial" w:hAnsi="Arial" w:cs="Arial"/>
          <w:i/>
        </w:rPr>
        <w:t>202</w:t>
      </w:r>
      <w:r w:rsidR="00E93D6E">
        <w:rPr>
          <w:rFonts w:ascii="Arial" w:hAnsi="Arial" w:cs="Arial"/>
          <w:i/>
        </w:rPr>
        <w:t>5</w:t>
      </w:r>
      <w:r w:rsidR="00E93D6E"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5F8FFB55" w14:textId="77777777" w:rsidR="00D9475D" w:rsidRPr="00D9475D" w:rsidRDefault="00D9475D" w:rsidP="00D9475D">
      <w:pPr>
        <w:spacing w:after="240"/>
        <w:jc w:val="both"/>
        <w:rPr>
          <w:rFonts w:ascii="Arial" w:hAnsi="Arial" w:cs="Arial"/>
        </w:rPr>
      </w:pPr>
      <w:r w:rsidRPr="00D9475D">
        <w:rPr>
          <w:rFonts w:ascii="Arial" w:hAnsi="Arial" w:cs="Arial"/>
        </w:rPr>
        <w:t>2 CFR Part 200, Appendix V, paragraph F, provides the guidelines to use when determining the federal agency that will serve as the cognizant agency for indirect costs for states, local governments, and Indian Tribes. References to the “cognizant agency for indirect costs” are not equivalent to the cognizant agency for audit responsibilities, which is defined in 2 CFR 200.1.</w:t>
      </w:r>
    </w:p>
    <w:p w14:paraId="5C7CCE33" w14:textId="77777777" w:rsidR="00D9475D" w:rsidRPr="00D9475D" w:rsidRDefault="00D9475D" w:rsidP="00D9475D">
      <w:pPr>
        <w:spacing w:after="240"/>
        <w:jc w:val="both"/>
        <w:rPr>
          <w:rFonts w:ascii="Arial" w:hAnsi="Arial" w:cs="Arial"/>
        </w:rPr>
      </w:pPr>
      <w:r w:rsidRPr="00D9475D">
        <w:rPr>
          <w:rFonts w:ascii="Arial" w:hAnsi="Arial" w:cs="Arial"/>
        </w:rPr>
        <w:t xml:space="preserve">For indirect cost rates and departmental indirect cost allocation plans, the cognizant agency is generally the federal agency with the largest value of </w:t>
      </w:r>
      <w:r w:rsidRPr="005F0D0C">
        <w:rPr>
          <w:rFonts w:ascii="Arial" w:hAnsi="Arial" w:cs="Arial"/>
          <w:i/>
          <w:iCs/>
        </w:rPr>
        <w:t>direct</w:t>
      </w:r>
      <w:r w:rsidRPr="00D9475D">
        <w:rPr>
          <w:rFonts w:ascii="Arial" w:hAnsi="Arial" w:cs="Arial"/>
        </w:rPr>
        <w:t xml:space="preserve"> federal awards (excluding pass- through awards) with a governmental unit or component, as appropriate. In general, unless different arrangements are agreed to by the concerned federal agencies or described in 2 CFR Part 200, Appendix V, paragraph F, the cognizant agency for central service cost allocation plans is the federal agency with the largest dollar value of </w:t>
      </w:r>
      <w:r w:rsidRPr="005F0D0C">
        <w:rPr>
          <w:rFonts w:ascii="Arial" w:hAnsi="Arial" w:cs="Arial"/>
          <w:i/>
          <w:iCs/>
        </w:rPr>
        <w:t>total</w:t>
      </w:r>
      <w:r w:rsidRPr="00D9475D">
        <w:rPr>
          <w:rFonts w:ascii="Arial" w:hAnsi="Arial" w:cs="Arial"/>
        </w:rPr>
        <w:t xml:space="preserve"> federal awards (including pass-through awards) with a governmental unit.</w:t>
      </w:r>
    </w:p>
    <w:p w14:paraId="0F775D93" w14:textId="64EEE2D0" w:rsidR="00D9475D" w:rsidRPr="00F00D94" w:rsidRDefault="00D9475D" w:rsidP="00D9475D">
      <w:pPr>
        <w:spacing w:after="240"/>
        <w:jc w:val="both"/>
        <w:rPr>
          <w:rFonts w:ascii="Arial" w:hAnsi="Arial" w:cs="Arial"/>
        </w:rPr>
      </w:pPr>
      <w:r w:rsidRPr="00D9475D">
        <w:rPr>
          <w:rFonts w:ascii="Arial" w:hAnsi="Arial" w:cs="Arial"/>
        </w:rPr>
        <w:t>Once designated as the cognizant agency for indirect costs, the federal agency remains so for a period of five years. In addition, 2 CFR Part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 and the Department of the Interior (DOI) is cognizant for all Indian tribal governments, territorial governments, and state and local park and recreational districts.</w:t>
      </w:r>
      <w:r w:rsidRPr="00D9475D" w:rsidDel="00D9475D">
        <w:rPr>
          <w:rFonts w:ascii="Arial" w:hAnsi="Arial" w:cs="Arial"/>
        </w:rPr>
        <w:t xml:space="preserve"> </w:t>
      </w:r>
    </w:p>
    <w:p w14:paraId="7EDA0CC5" w14:textId="50690FCC"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D9475D" w:rsidRPr="00F00D94">
        <w:rPr>
          <w:rFonts w:ascii="Arial" w:hAnsi="Arial" w:cs="Arial"/>
          <w:i/>
        </w:rPr>
        <w:t>202</w:t>
      </w:r>
      <w:r w:rsidR="00D9475D">
        <w:rPr>
          <w:rFonts w:ascii="Arial" w:hAnsi="Arial" w:cs="Arial"/>
          <w:i/>
        </w:rPr>
        <w:t>5</w:t>
      </w:r>
      <w:r w:rsidR="00D9475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72A9CD46" w14:textId="77777777" w:rsidR="00470646" w:rsidRPr="00582433" w:rsidRDefault="00470646" w:rsidP="00470646">
      <w:pPr>
        <w:jc w:val="both"/>
        <w:rPr>
          <w:rFonts w:ascii="Arial" w:hAnsi="Arial" w:cs="Arial"/>
        </w:rPr>
      </w:pPr>
      <w:r w:rsidRPr="00582433">
        <w:rPr>
          <w:rFonts w:ascii="Arial" w:hAnsi="Arial" w:cs="Arial"/>
        </w:rPr>
        <w:t>Each state/local government/Indian Tribe department or agency that receives a federal award is responsible for the administration of that federal award. In order to receive cost reimbursement under federal awards, the department or agency usually submits claims asserting that allowable and eligible costs (direct and indirect) have been incurred in accordance with 2 CFR Part 200, Subpart E.</w:t>
      </w:r>
    </w:p>
    <w:p w14:paraId="7734DF2D" w14:textId="77777777" w:rsidR="00470646" w:rsidRPr="00582433" w:rsidRDefault="00470646" w:rsidP="00470646">
      <w:pPr>
        <w:jc w:val="both"/>
        <w:rPr>
          <w:rFonts w:ascii="Arial" w:hAnsi="Arial" w:cs="Arial"/>
        </w:rPr>
      </w:pPr>
    </w:p>
    <w:p w14:paraId="2B506130" w14:textId="4E709E28" w:rsidR="00470646" w:rsidRPr="00F00D94" w:rsidRDefault="00470646" w:rsidP="005F0D0C">
      <w:pPr>
        <w:spacing w:after="240"/>
        <w:jc w:val="both"/>
        <w:rPr>
          <w:rFonts w:ascii="Arial" w:hAnsi="Arial" w:cs="Arial"/>
        </w:rPr>
      </w:pPr>
      <w:r w:rsidRPr="00582433">
        <w:rPr>
          <w:rFonts w:ascii="Arial" w:hAnsi="Arial" w:cs="Arial"/>
        </w:rPr>
        <w:t>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2 CFR Part 200, Appendix VII, paragraph B).</w:t>
      </w:r>
    </w:p>
    <w:p w14:paraId="4ADFCBD7" w14:textId="0B0242B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470646" w:rsidRPr="00F00D94">
        <w:rPr>
          <w:rFonts w:ascii="Arial" w:hAnsi="Arial" w:cs="Arial"/>
          <w:i/>
        </w:rPr>
        <w:t>202</w:t>
      </w:r>
      <w:r w:rsidR="00470646">
        <w:rPr>
          <w:rFonts w:ascii="Arial" w:hAnsi="Arial" w:cs="Arial"/>
          <w:i/>
        </w:rPr>
        <w:t>5</w:t>
      </w:r>
      <w:r w:rsidR="0047064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8B4BCE">
      <w:pPr>
        <w:pStyle w:val="BodyText"/>
        <w:widowControl w:val="0"/>
        <w:numPr>
          <w:ilvl w:val="0"/>
          <w:numId w:val="30"/>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8B4BCE">
      <w:pPr>
        <w:pStyle w:val="ListParagraph"/>
        <w:widowControl w:val="0"/>
        <w:numPr>
          <w:ilvl w:val="0"/>
          <w:numId w:val="30"/>
        </w:numPr>
        <w:tabs>
          <w:tab w:val="left" w:pos="820"/>
          <w:tab w:val="left" w:pos="821"/>
        </w:tabs>
        <w:spacing w:after="240"/>
        <w:ind w:right="58"/>
        <w:jc w:val="both"/>
        <w:rPr>
          <w:rFonts w:ascii="Arial" w:hAnsi="Arial" w:cs="Arial"/>
        </w:rPr>
      </w:pPr>
      <w:r w:rsidRPr="006C2DCB">
        <w:rPr>
          <w:rFonts w:ascii="Arial" w:hAnsi="Arial" w:cs="Arial"/>
        </w:rPr>
        <w:lastRenderedPageBreak/>
        <w:t>Determine whether the organization complied with the provisions of 2 CFR Part 200 as follows:</w:t>
      </w:r>
    </w:p>
    <w:p w14:paraId="56C05630" w14:textId="5BC988B2" w:rsidR="00B85001" w:rsidRPr="00F00D94" w:rsidRDefault="00B85001" w:rsidP="008B4BCE">
      <w:pPr>
        <w:pStyle w:val="ListParagraph"/>
        <w:widowControl w:val="0"/>
        <w:numPr>
          <w:ilvl w:val="0"/>
          <w:numId w:val="25"/>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8B4BCE">
      <w:pPr>
        <w:pStyle w:val="ListParagraph"/>
        <w:widowControl w:val="0"/>
        <w:numPr>
          <w:ilvl w:val="0"/>
          <w:numId w:val="25"/>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8B4BCE">
      <w:pPr>
        <w:pStyle w:val="ListParagraph"/>
        <w:widowControl w:val="0"/>
        <w:numPr>
          <w:ilvl w:val="0"/>
          <w:numId w:val="30"/>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8B4BCE">
      <w:pPr>
        <w:pStyle w:val="ListParagraph"/>
        <w:widowControl w:val="0"/>
        <w:numPr>
          <w:ilvl w:val="0"/>
          <w:numId w:val="26"/>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8B4BCE">
      <w:pPr>
        <w:pStyle w:val="ListParagraph"/>
        <w:widowControl w:val="0"/>
        <w:numPr>
          <w:ilvl w:val="0"/>
          <w:numId w:val="26"/>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8B4BCE">
      <w:pPr>
        <w:pStyle w:val="ListParagraph"/>
        <w:widowControl w:val="0"/>
        <w:numPr>
          <w:ilvl w:val="0"/>
          <w:numId w:val="26"/>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639D5BBC" w:rsidR="00B85001" w:rsidRPr="00F00D94" w:rsidRDefault="00B85001" w:rsidP="008B4BCE">
      <w:pPr>
        <w:pStyle w:val="ListParagraph"/>
        <w:widowControl w:val="0"/>
        <w:numPr>
          <w:ilvl w:val="0"/>
          <w:numId w:val="26"/>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005F0D0C">
        <w:rPr>
          <w:rFonts w:ascii="Arial" w:hAnsi="Arial" w:cs="Arial"/>
        </w:rPr>
        <w:t>s</w:t>
      </w:r>
      <w:r w:rsidR="005F0D0C" w:rsidRPr="00F00D94">
        <w:rPr>
          <w:rFonts w:ascii="Arial" w:hAnsi="Arial" w:cs="Arial"/>
        </w:rPr>
        <w:t>tate</w:t>
      </w:r>
      <w:r w:rsidRPr="00F00D94">
        <w:rPr>
          <w:rFonts w:ascii="Arial" w:hAnsi="Arial" w:cs="Arial"/>
        </w:rPr>
        <w:t>/local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 xml:space="preserve">the cognizant agency for indirect costs (those that receive less than $35 million in direct </w:t>
      </w:r>
      <w:r w:rsidR="007E77CE">
        <w:rPr>
          <w:rFonts w:ascii="Arial" w:hAnsi="Arial" w:cs="Arial"/>
        </w:rPr>
        <w:t>f</w:t>
      </w:r>
      <w:r w:rsidRPr="00F00D94">
        <w:rPr>
          <w:rFonts w:ascii="Arial" w:hAnsi="Arial" w:cs="Arial"/>
        </w:rPr>
        <w:t>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740396F7"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716B2F" w:rsidRPr="00F00D94">
        <w:rPr>
          <w:rFonts w:ascii="Arial" w:hAnsi="Arial" w:cs="Arial"/>
          <w:i/>
        </w:rPr>
        <w:t>202</w:t>
      </w:r>
      <w:r w:rsidR="00716B2F">
        <w:rPr>
          <w:rFonts w:ascii="Arial" w:hAnsi="Arial" w:cs="Arial"/>
          <w:i/>
        </w:rPr>
        <w:t>5</w:t>
      </w:r>
      <w:r w:rsidR="00716B2F"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25F2FFD3" w14:textId="77777777" w:rsidR="009138DB" w:rsidRPr="00BF0246" w:rsidRDefault="009138DB" w:rsidP="009138DB">
      <w:pPr>
        <w:spacing w:after="240"/>
        <w:rPr>
          <w:rStyle w:val="Hyperlink"/>
          <w:rFonts w:cs="Arial"/>
          <w:i/>
          <w:iCs/>
          <w:color w:val="002060"/>
          <w:u w:val="none"/>
        </w:rPr>
      </w:pPr>
      <w:bookmarkStart w:id="39" w:name="_Hlk135059089"/>
      <w:r w:rsidRPr="00BF0246">
        <w:rPr>
          <w:rStyle w:val="Hyperlink"/>
          <w:rFonts w:cs="Arial"/>
          <w:b/>
          <w:i/>
          <w:iCs/>
          <w:color w:val="002060"/>
        </w:rPr>
        <w:t>Additional Control Test Objectives for Written Procedures</w:t>
      </w:r>
    </w:p>
    <w:bookmarkEnd w:id="39"/>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8B4BCE">
      <w:pPr>
        <w:pStyle w:val="ListParagraph"/>
        <w:numPr>
          <w:ilvl w:val="0"/>
          <w:numId w:val="22"/>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143B313D" w:rsidR="009138DB" w:rsidRPr="00BF0246" w:rsidRDefault="009138DB" w:rsidP="008B4BCE">
      <w:pPr>
        <w:pStyle w:val="AuditProcedureHeading"/>
        <w:numPr>
          <w:ilvl w:val="0"/>
          <w:numId w:val="22"/>
        </w:numPr>
        <w:spacing w:after="240"/>
        <w:jc w:val="both"/>
        <w:rPr>
          <w:rFonts w:cs="Arial"/>
          <w:bCs/>
          <w:i/>
          <w:iCs/>
          <w:color w:val="002060"/>
          <w:szCs w:val="20"/>
        </w:rPr>
      </w:pPr>
      <w:r w:rsidRPr="00BF0246">
        <w:rPr>
          <w:rFonts w:cs="Arial"/>
          <w:bCs/>
          <w:i/>
          <w:iCs/>
          <w:color w:val="002060"/>
          <w:szCs w:val="20"/>
        </w:rPr>
        <w:t xml:space="preserve">Document whether the </w:t>
      </w:r>
      <w:r w:rsidR="00577260">
        <w:rPr>
          <w:rFonts w:cs="Arial"/>
          <w:bCs/>
          <w:i/>
          <w:iCs/>
          <w:color w:val="002060"/>
          <w:szCs w:val="20"/>
        </w:rPr>
        <w:t xml:space="preserve">recipient or subrecipient </w:t>
      </w:r>
      <w:r w:rsidRPr="00BF0246">
        <w:rPr>
          <w:rFonts w:cs="Arial"/>
          <w:bCs/>
          <w:i/>
          <w:iCs/>
          <w:color w:val="002060"/>
          <w:szCs w:val="20"/>
        </w:rPr>
        <w:t>established written procedures consistent with the following requirements:</w:t>
      </w:r>
    </w:p>
    <w:p w14:paraId="742E6DB9" w14:textId="77777777" w:rsidR="009138DB" w:rsidRDefault="009138DB" w:rsidP="008B4BCE">
      <w:pPr>
        <w:pStyle w:val="AuditProcedureHeading"/>
        <w:numPr>
          <w:ilvl w:val="1"/>
          <w:numId w:val="22"/>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8B4BCE">
      <w:pPr>
        <w:pStyle w:val="ListParagraph"/>
        <w:numPr>
          <w:ilvl w:val="2"/>
          <w:numId w:val="22"/>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8B4BCE">
      <w:pPr>
        <w:pStyle w:val="AuditProcedureHeading"/>
        <w:numPr>
          <w:ilvl w:val="1"/>
          <w:numId w:val="22"/>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8B4BCE">
      <w:pPr>
        <w:pStyle w:val="ListParagraph"/>
        <w:numPr>
          <w:ilvl w:val="2"/>
          <w:numId w:val="2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8B4BCE">
      <w:pPr>
        <w:pStyle w:val="AuditProcedureHeading"/>
        <w:numPr>
          <w:ilvl w:val="1"/>
          <w:numId w:val="22"/>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8B4BCE">
      <w:pPr>
        <w:pStyle w:val="ListParagraph"/>
        <w:numPr>
          <w:ilvl w:val="2"/>
          <w:numId w:val="2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8B4BCE">
      <w:pPr>
        <w:pStyle w:val="AuditProcedureHeading"/>
        <w:numPr>
          <w:ilvl w:val="1"/>
          <w:numId w:val="22"/>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8B4BCE">
      <w:pPr>
        <w:pStyle w:val="ListParagraph"/>
        <w:numPr>
          <w:ilvl w:val="2"/>
          <w:numId w:val="22"/>
        </w:numPr>
        <w:spacing w:after="240"/>
        <w:jc w:val="both"/>
        <w:rPr>
          <w:rFonts w:ascii="Arial" w:hAnsi="Arial" w:cs="Arial"/>
          <w:i/>
          <w:iCs/>
          <w:color w:val="002060"/>
        </w:rPr>
      </w:pPr>
      <w:r>
        <w:rPr>
          <w:rFonts w:ascii="Arial" w:hAnsi="Arial" w:cs="Arial"/>
          <w:i/>
          <w:iCs/>
          <w:color w:val="002060"/>
        </w:rPr>
        <w:lastRenderedPageBreak/>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8B4BCE">
      <w:pPr>
        <w:pStyle w:val="AuditProcedureHeading"/>
        <w:numPr>
          <w:ilvl w:val="1"/>
          <w:numId w:val="22"/>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8B4BCE">
      <w:pPr>
        <w:pStyle w:val="ListParagraph"/>
        <w:numPr>
          <w:ilvl w:val="2"/>
          <w:numId w:val="2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8B4BCE">
      <w:pPr>
        <w:pStyle w:val="AuditProcedureHeading"/>
        <w:numPr>
          <w:ilvl w:val="0"/>
          <w:numId w:val="2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8B4BCE">
      <w:pPr>
        <w:pStyle w:val="AuditProcedureHeading"/>
        <w:numPr>
          <w:ilvl w:val="1"/>
          <w:numId w:val="2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8B4BCE">
      <w:pPr>
        <w:pStyle w:val="AuditProcedureHeading"/>
        <w:numPr>
          <w:ilvl w:val="1"/>
          <w:numId w:val="2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8B4BCE">
      <w:pPr>
        <w:pStyle w:val="ListParagraph"/>
        <w:numPr>
          <w:ilvl w:val="2"/>
          <w:numId w:val="22"/>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lastRenderedPageBreak/>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0"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3DDCA7E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77260">
              <w:rPr>
                <w:rFonts w:ascii="Arial" w:hAnsi="Arial" w:cs="Arial"/>
                <w:i/>
                <w:sz w:val="20"/>
                <w:szCs w:val="20"/>
              </w:rPr>
              <w:t xml:space="preserve">2025 </w:t>
            </w:r>
            <w:r>
              <w:rPr>
                <w:rFonts w:ascii="Arial" w:hAnsi="Arial" w:cs="Arial"/>
                <w:i/>
                <w:sz w:val="20"/>
                <w:szCs w:val="20"/>
              </w:rPr>
              <w:t>OMB Compliance Supplement Part 3</w:t>
            </w:r>
            <w:r w:rsidR="005F0D0C">
              <w:rPr>
                <w:rFonts w:ascii="Arial" w:hAnsi="Arial" w:cs="Arial"/>
                <w:i/>
                <w:sz w:val="20"/>
                <w:szCs w:val="20"/>
              </w:rPr>
              <w:t>.2</w:t>
            </w:r>
            <w:r>
              <w:rPr>
                <w:rFonts w:ascii="Arial" w:hAnsi="Arial" w:cs="Arial"/>
                <w:i/>
                <w:sz w:val="20"/>
                <w:szCs w:val="20"/>
              </w:rPr>
              <w:t>)</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1" w:name="_Hlk137028588"/>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payroll and non-payroll Federal Testing Templates available on the Intranet.</w:t>
            </w:r>
            <w:bookmarkEnd w:id="41"/>
          </w:p>
          <w:bookmarkEnd w:id="40"/>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5709B464" w:rsidR="001E4E2E" w:rsidRPr="005F0D0C" w:rsidRDefault="001E4E2E" w:rsidP="00C9230A">
            <w:pPr>
              <w:spacing w:after="240"/>
              <w:jc w:val="both"/>
              <w:rPr>
                <w:rFonts w:ascii="Arial" w:hAnsi="Arial" w:cs="Arial"/>
                <w:sz w:val="20"/>
                <w:szCs w:val="20"/>
              </w:rPr>
            </w:pPr>
            <w:r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Pr="00F00D94">
              <w:rPr>
                <w:rFonts w:ascii="Arial" w:hAnsi="Arial" w:cs="Arial"/>
                <w:sz w:val="20"/>
              </w:rPr>
              <w:t xml:space="preserve">art 200, as </w:t>
            </w:r>
            <w:r w:rsidRPr="005F0D0C">
              <w:rPr>
                <w:rFonts w:ascii="Arial" w:hAnsi="Arial" w:cs="Arial"/>
                <w:sz w:val="20"/>
                <w:szCs w:val="20"/>
              </w:rPr>
              <w:t>applicable:</w:t>
            </w:r>
          </w:p>
          <w:p w14:paraId="24FD60CA" w14:textId="06D16E3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*a.</w:t>
            </w:r>
            <w:r w:rsidRPr="005F0D0C">
              <w:rPr>
                <w:rFonts w:ascii="Arial" w:hAnsi="Arial" w:cs="Arial"/>
                <w:sz w:val="20"/>
              </w:rPr>
              <w:tab/>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5C4CA8C6" w14:textId="59DA7764"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*b.</w:t>
            </w:r>
            <w:r w:rsidRPr="005F0D0C">
              <w:rPr>
                <w:rFonts w:ascii="Arial" w:hAnsi="Arial" w:cs="Arial"/>
                <w:sz w:val="20"/>
              </w:rPr>
              <w:tab/>
              <w:t xml:space="preserve">Costs were approved by the </w:t>
            </w:r>
            <w:r w:rsidR="007E77CE">
              <w:rPr>
                <w:rFonts w:ascii="Arial" w:hAnsi="Arial" w:cs="Arial"/>
                <w:sz w:val="20"/>
              </w:rPr>
              <w:t>f</w:t>
            </w:r>
            <w:r w:rsidRPr="005F0D0C">
              <w:rPr>
                <w:rFonts w:ascii="Arial" w:hAnsi="Arial" w:cs="Arial"/>
                <w:sz w:val="20"/>
              </w:rPr>
              <w:t>ederal awarding agency, if required (see the above table (Selected Items of Cost, Exhibit 1) or 2 CFR 200.407 for selected items of cost that require prior written approval).</w:t>
            </w:r>
          </w:p>
          <w:p w14:paraId="1E290E67" w14:textId="3442CD1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*c.</w:t>
            </w:r>
            <w:r w:rsidRPr="005F0D0C">
              <w:rPr>
                <w:rFonts w:ascii="Arial" w:hAnsi="Arial" w:cs="Arial"/>
                <w:sz w:val="20"/>
              </w:rPr>
              <w:tab/>
              <w:t>Costs did not consist of improper payments, including (1) payments that should not have been made or that were made in incorrect amounts (including overpayments and underpayments) under statutory, contractual, administrative,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379DF60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d.</w:t>
            </w:r>
            <w:r w:rsidR="001E4E2E" w:rsidRPr="00F00D94">
              <w:rPr>
                <w:rFonts w:ascii="Arial" w:hAnsi="Arial" w:cs="Arial"/>
                <w:sz w:val="20"/>
              </w:rPr>
              <w:tab/>
              <w:t xml:space="preserve">Costs were necessary and reasonable for the performance of the </w:t>
            </w:r>
            <w:r w:rsidR="007E77CE">
              <w:rPr>
                <w:rFonts w:ascii="Arial" w:hAnsi="Arial" w:cs="Arial"/>
                <w:sz w:val="20"/>
              </w:rPr>
              <w:t>f</w:t>
            </w:r>
            <w:r w:rsidR="001E4E2E" w:rsidRPr="00F00D94">
              <w:rPr>
                <w:rFonts w:ascii="Arial" w:hAnsi="Arial" w:cs="Arial"/>
                <w:sz w:val="20"/>
              </w:rPr>
              <w:t xml:space="preserve">ederal award and allocable under the principles of </w:t>
            </w:r>
            <w:r w:rsidR="00135ACC" w:rsidRPr="00F00D94">
              <w:rPr>
                <w:rFonts w:ascii="Arial" w:hAnsi="Arial" w:cs="Arial"/>
                <w:sz w:val="20"/>
              </w:rPr>
              <w:t>2 CFR Part 200, Subpart E</w:t>
            </w:r>
            <w:r w:rsidR="001E4E2E" w:rsidRPr="00F00D94">
              <w:rPr>
                <w:rFonts w:ascii="Arial" w:hAnsi="Arial" w:cs="Arial"/>
                <w:sz w:val="20"/>
              </w:rPr>
              <w:t>.</w:t>
            </w:r>
          </w:p>
          <w:p w14:paraId="52E72D8A" w14:textId="653AC29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e.</w:t>
            </w:r>
            <w:r w:rsidR="001E4E2E"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001E4E2E" w:rsidRPr="00F00D94">
              <w:rPr>
                <w:rFonts w:ascii="Arial" w:hAnsi="Arial" w:cs="Arial"/>
                <w:sz w:val="20"/>
              </w:rPr>
              <w:t xml:space="preserve">art 200, </w:t>
            </w:r>
            <w:r w:rsidR="00135ACC" w:rsidRPr="00F00D94">
              <w:rPr>
                <w:rFonts w:ascii="Arial" w:hAnsi="Arial" w:cs="Arial"/>
                <w:sz w:val="20"/>
              </w:rPr>
              <w:t>S</w:t>
            </w:r>
            <w:r w:rsidR="001E4E2E" w:rsidRPr="00F00D94">
              <w:rPr>
                <w:rFonts w:ascii="Arial" w:hAnsi="Arial" w:cs="Arial"/>
                <w:sz w:val="20"/>
              </w:rPr>
              <w:t xml:space="preserve">ubpart E, or in the </w:t>
            </w:r>
            <w:r w:rsidR="007E77CE">
              <w:rPr>
                <w:rFonts w:ascii="Arial" w:hAnsi="Arial" w:cs="Arial"/>
                <w:sz w:val="20"/>
              </w:rPr>
              <w:t>f</w:t>
            </w:r>
            <w:r w:rsidR="001E4E2E" w:rsidRPr="00F00D94">
              <w:rPr>
                <w:rFonts w:ascii="Arial" w:hAnsi="Arial" w:cs="Arial"/>
                <w:sz w:val="20"/>
              </w:rPr>
              <w:t>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3CFE0E29"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f.</w:t>
            </w:r>
            <w:r w:rsidR="001E4E2E" w:rsidRPr="00F00D94">
              <w:rPr>
                <w:rFonts w:ascii="Arial" w:hAnsi="Arial" w:cs="Arial"/>
                <w:sz w:val="20"/>
              </w:rPr>
              <w:tab/>
            </w:r>
            <w:r w:rsidR="00577260" w:rsidRPr="00577260">
              <w:rPr>
                <w:rFonts w:ascii="Arial" w:hAnsi="Arial" w:cs="Arial"/>
                <w:sz w:val="20"/>
              </w:rPr>
              <w:t>Costs were consistent with policies and procedures that apply uniformly to both federally financed and other activities of the entity.</w:t>
            </w:r>
          </w:p>
          <w:p w14:paraId="474537B6" w14:textId="66BF7BD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lastRenderedPageBreak/>
              <w:t>*</w:t>
            </w:r>
            <w:r w:rsidR="001E4E2E" w:rsidRPr="00F00D94">
              <w:rPr>
                <w:rFonts w:ascii="Arial" w:hAnsi="Arial" w:cs="Arial"/>
                <w:sz w:val="20"/>
              </w:rPr>
              <w:t>g.</w:t>
            </w:r>
            <w:r w:rsidR="001E4E2E" w:rsidRPr="00F00D94">
              <w:rPr>
                <w:rFonts w:ascii="Arial" w:hAnsi="Arial" w:cs="Arial"/>
                <w:sz w:val="20"/>
              </w:rPr>
              <w:tab/>
              <w:t xml:space="preserve">Costs were accorded consistent treatment.  Costs were not assigned to a </w:t>
            </w:r>
            <w:r w:rsidR="007E77CE">
              <w:rPr>
                <w:rFonts w:ascii="Arial" w:hAnsi="Arial" w:cs="Arial"/>
                <w:sz w:val="20"/>
              </w:rPr>
              <w:t>f</w:t>
            </w:r>
            <w:r w:rsidR="001E4E2E" w:rsidRPr="00F00D94">
              <w:rPr>
                <w:rFonts w:ascii="Arial" w:hAnsi="Arial" w:cs="Arial"/>
                <w:sz w:val="20"/>
              </w:rPr>
              <w:t>ederal award as a direct cost if any other cost incurred for the same purpose in like circumstances was allocated to the Federal award as an indirect cost.</w:t>
            </w:r>
          </w:p>
          <w:p w14:paraId="45770A79" w14:textId="222FBD3E"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h.</w:t>
            </w:r>
            <w:r w:rsidR="001E4E2E" w:rsidRPr="00F00D94">
              <w:rPr>
                <w:rFonts w:ascii="Arial" w:hAnsi="Arial" w:cs="Arial"/>
                <w:sz w:val="20"/>
              </w:rPr>
              <w:tab/>
              <w:t>Costs were not included as a cost of any other federally financed program in either the current or a prior period.</w:t>
            </w:r>
          </w:p>
          <w:p w14:paraId="02D99722" w14:textId="5E0AFA5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i.</w:t>
            </w:r>
            <w:r w:rsidR="001E4E2E" w:rsidRPr="00F00D94">
              <w:rPr>
                <w:rFonts w:ascii="Arial" w:hAnsi="Arial" w:cs="Arial"/>
                <w:sz w:val="20"/>
              </w:rPr>
              <w:tab/>
              <w:t xml:space="preserve">Costs were not used to meet the cost-sharing or matching requirements of another </w:t>
            </w:r>
            <w:r w:rsidR="007E77CE">
              <w:rPr>
                <w:rFonts w:ascii="Arial" w:hAnsi="Arial" w:cs="Arial"/>
                <w:sz w:val="20"/>
              </w:rPr>
              <w:t>f</w:t>
            </w:r>
            <w:r w:rsidR="001E4E2E" w:rsidRPr="00F00D94">
              <w:rPr>
                <w:rFonts w:ascii="Arial" w:hAnsi="Arial" w:cs="Arial"/>
                <w:sz w:val="20"/>
              </w:rPr>
              <w:t xml:space="preserve">ederal program, except where authorized by </w:t>
            </w:r>
            <w:r>
              <w:rPr>
                <w:rFonts w:ascii="Arial" w:hAnsi="Arial" w:cs="Arial"/>
                <w:sz w:val="20"/>
              </w:rPr>
              <w:t>f</w:t>
            </w:r>
            <w:r w:rsidR="001E4E2E" w:rsidRPr="00F00D94">
              <w:rPr>
                <w:rFonts w:ascii="Arial" w:hAnsi="Arial" w:cs="Arial"/>
                <w:sz w:val="20"/>
              </w:rPr>
              <w:t>ederal statute.</w:t>
            </w:r>
          </w:p>
          <w:p w14:paraId="7087984A" w14:textId="161EB04C" w:rsidR="001E4E2E" w:rsidRDefault="005F0D0C"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j.</w:t>
            </w:r>
            <w:r w:rsidR="001E4E2E" w:rsidRPr="00F00D94">
              <w:rPr>
                <w:rFonts w:ascii="Arial" w:hAnsi="Arial" w:cs="Arial"/>
                <w:sz w:val="20"/>
              </w:rPr>
              <w:tab/>
              <w:t>Costs were adequately documented.</w:t>
            </w:r>
          </w:p>
          <w:p w14:paraId="6CC35766" w14:textId="7F5B859F" w:rsidR="00577260" w:rsidRDefault="00577260"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577260">
              <w:rPr>
                <w:rFonts w:ascii="Arial" w:hAnsi="Arial" w:cs="Arial"/>
                <w:sz w:val="20"/>
              </w:rPr>
              <w:t>k.</w:t>
            </w:r>
            <w:r w:rsidRPr="00577260">
              <w:rPr>
                <w:rFonts w:ascii="Arial" w:hAnsi="Arial" w:cs="Arial"/>
                <w:sz w:val="20"/>
              </w:rPr>
              <w:tab/>
              <w:t>Administrative closeout costs were incurred and charged in accordance with 2 CFR 200.403(h).</w:t>
            </w:r>
          </w:p>
          <w:p w14:paraId="273CB833" w14:textId="73C63B2D" w:rsidR="00314FD2" w:rsidRPr="00314FD2" w:rsidRDefault="00314FD2" w:rsidP="004E072E">
            <w:pPr>
              <w:pBdr>
                <w:top w:val="single" w:sz="6" w:space="0" w:color="FFFFFF"/>
                <w:left w:val="single" w:sz="6" w:space="0" w:color="FFFFFF"/>
                <w:bottom w:val="single" w:sz="6" w:space="0" w:color="FFFFFF"/>
                <w:right w:val="single" w:sz="6" w:space="0" w:color="FFFFFF"/>
              </w:pBdr>
              <w:tabs>
                <w:tab w:val="left" w:pos="720"/>
              </w:tabs>
              <w:spacing w:after="240"/>
              <w:ind w:left="1440" w:hanging="30"/>
              <w:jc w:val="both"/>
              <w:rPr>
                <w:rFonts w:ascii="Arial" w:hAnsi="Arial" w:cs="Arial"/>
                <w:i/>
                <w:iCs/>
                <w:color w:val="002060"/>
                <w:sz w:val="20"/>
              </w:rPr>
            </w:pPr>
            <w:r>
              <w:rPr>
                <w:rFonts w:ascii="Arial" w:hAnsi="Arial" w:cs="Arial"/>
                <w:i/>
                <w:iCs/>
                <w:color w:val="002060"/>
                <w:sz w:val="20"/>
              </w:rPr>
              <w:t>Step k only applies to funding subject to the 2024 Revisions to the Uniform Guidance</w:t>
            </w:r>
            <w:r w:rsidR="004E072E">
              <w:rPr>
                <w:rFonts w:ascii="Arial" w:hAnsi="Arial" w:cs="Arial"/>
                <w:i/>
                <w:iCs/>
                <w:color w:val="002060"/>
                <w:sz w:val="20"/>
              </w:rPr>
              <w:t xml:space="preserve">. Auditors should not include this step as an attribute when testing payroll or non-payroll expenditures charged to the grant. Doing so would result lead to “Not Applicable” responses, requiring replacement expenditures to satisfy sampling requirements. Instead, step k should be tested separately (either through sampling or a 100% test) for administrative closeout costs. </w:t>
            </w:r>
            <w:r>
              <w:rPr>
                <w:rFonts w:ascii="Arial" w:hAnsi="Arial" w:cs="Arial"/>
                <w:i/>
                <w:iCs/>
                <w:color w:val="002060"/>
                <w:sz w:val="20"/>
              </w:rPr>
              <w:t xml:space="preserve"> </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24580AF9"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xml:space="preserve">– The following procedures apply to charges to cost pools that are allocated wholly or partially to </w:t>
            </w:r>
            <w:r w:rsidR="007E77CE">
              <w:rPr>
                <w:rFonts w:ascii="Arial" w:hAnsi="Arial" w:cs="Arial"/>
                <w:sz w:val="20"/>
              </w:rPr>
              <w:t>f</w:t>
            </w:r>
            <w:r w:rsidRPr="00F00D94">
              <w:rPr>
                <w:rFonts w:ascii="Arial" w:hAnsi="Arial" w:cs="Arial"/>
                <w:sz w:val="20"/>
              </w:rPr>
              <w:t xml:space="preserve">ederal awards or used in formulating indirect cost rates used for recovering indirect costs under </w:t>
            </w:r>
            <w:r w:rsidR="007E77CE">
              <w:rPr>
                <w:rFonts w:ascii="Arial" w:hAnsi="Arial" w:cs="Arial"/>
                <w:sz w:val="20"/>
              </w:rPr>
              <w:t>f</w:t>
            </w:r>
            <w:r w:rsidRPr="00F00D94">
              <w:rPr>
                <w:rFonts w:ascii="Arial" w:hAnsi="Arial" w:cs="Arial"/>
                <w:sz w:val="20"/>
              </w:rPr>
              <w:t>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w:t>
            </w:r>
            <w:r w:rsidRPr="00F00D94">
              <w:rPr>
                <w:rFonts w:ascii="Arial" w:hAnsi="Arial" w:cs="Arial"/>
                <w:sz w:val="20"/>
              </w:rPr>
              <w:lastRenderedPageBreak/>
              <w:t>occupancy costs related to unallowable general costs of government are also unallowable.</w:t>
            </w:r>
          </w:p>
          <w:p w14:paraId="527099CC" w14:textId="5015438E"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54"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7A29DB11"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00314FD2">
              <w:rPr>
                <w:rFonts w:ascii="Arial" w:hAnsi="Arial" w:cs="Arial"/>
                <w:sz w:val="20"/>
              </w:rPr>
              <w:t>, or Appendix IX as appropriate</w:t>
            </w:r>
            <w:r w:rsidRPr="00F00D94">
              <w:rPr>
                <w:rFonts w:ascii="Arial" w:hAnsi="Arial" w:cs="Arial"/>
                <w:sz w:val="20"/>
              </w:rPr>
              <w:t>.</w:t>
            </w:r>
          </w:p>
          <w:p w14:paraId="6DA0C2AC" w14:textId="54A1BEB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 xml:space="preserve">art 200).  </w:t>
            </w:r>
            <w:r w:rsidR="007D2691" w:rsidRPr="007D2691">
              <w:rPr>
                <w:rFonts w:ascii="Arial" w:hAnsi="Arial" w:cs="Arial"/>
                <w:sz w:val="20"/>
              </w:rPr>
              <w:t>If there are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are in compliance with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5C1DFCD2" w:rsidR="001E4E2E"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r>
            <w:r w:rsidR="007D2691" w:rsidRPr="007D2691">
              <w:rPr>
                <w:rFonts w:ascii="Arial" w:hAnsi="Arial" w:cs="Arial"/>
                <w:sz w:val="20"/>
              </w:rPr>
              <w:t>If the direct cost base is not limited to direct salaries and wages, determine that distorting items are excluded from the base. Examples of distorting items include capital expenditures, flow-through funds (such as benefit payments), and subaward costs in excess of $50,000 per subaward (if the 2024 revisions to the Uniform Guidance apply).</w:t>
            </w:r>
          </w:p>
          <w:p w14:paraId="3216DBF3" w14:textId="26E8FAC2" w:rsidR="00314FD2" w:rsidRPr="00314FD2" w:rsidRDefault="00314FD2" w:rsidP="00314FD2">
            <w:pPr>
              <w:spacing w:after="240"/>
              <w:ind w:left="3577" w:hanging="7"/>
              <w:jc w:val="both"/>
              <w:rPr>
                <w:rFonts w:ascii="Arial" w:hAnsi="Arial" w:cs="Arial"/>
                <w:i/>
                <w:iCs/>
                <w:color w:val="002060"/>
                <w:sz w:val="20"/>
              </w:rPr>
            </w:pPr>
            <w:r>
              <w:rPr>
                <w:rFonts w:ascii="Arial" w:hAnsi="Arial" w:cs="Arial"/>
                <w:i/>
                <w:iCs/>
                <w:color w:val="002060"/>
                <w:sz w:val="20"/>
              </w:rPr>
              <w:lastRenderedPageBreak/>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prior to the 2024 Revisions, subaward costs in excess of $25,000 are considered distorting items. </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6A9F8D58"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w:t>
            </w:r>
            <w:r w:rsidR="007E77CE">
              <w:rPr>
                <w:rFonts w:ascii="Arial" w:hAnsi="Arial" w:cs="Arial"/>
                <w:sz w:val="20"/>
              </w:rPr>
              <w:t>f</w:t>
            </w:r>
            <w:r w:rsidRPr="00F00D94">
              <w:rPr>
                <w:rFonts w:ascii="Arial" w:hAnsi="Arial" w:cs="Arial"/>
                <w:sz w:val="20"/>
              </w:rPr>
              <w:t>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2" w:name="_Toc212473109"/>
      <w:r w:rsidRPr="00FA4759">
        <w:rPr>
          <w:rFonts w:cs="Arial"/>
          <w:sz w:val="24"/>
          <w:szCs w:val="24"/>
        </w:rPr>
        <w:t>Audit Implications Summary</w:t>
      </w:r>
      <w:bookmarkEnd w:id="42"/>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 xml:space="preserve">Consider the adequacy of the system and controls, and the effect on sample size, significant </w:t>
            </w:r>
            <w:r>
              <w:rPr>
                <w:rFonts w:ascii="Arial" w:hAnsi="Arial" w:cs="Arial"/>
                <w:i/>
                <w:iCs/>
                <w:color w:val="002060"/>
                <w:sz w:val="20"/>
                <w:szCs w:val="20"/>
              </w:rPr>
              <w:lastRenderedPageBreak/>
              <w:t>deficiencies/material weaknesses, material non-compliance and management letter comments.</w:t>
            </w:r>
          </w:p>
          <w:p w14:paraId="459EC801" w14:textId="624DFE48"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5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8B4BCE">
            <w:pPr>
              <w:pStyle w:val="ListParagraph"/>
              <w:widowControl w:val="0"/>
              <w:numPr>
                <w:ilvl w:val="0"/>
                <w:numId w:val="17"/>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8B4BCE">
            <w:pPr>
              <w:widowControl w:val="0"/>
              <w:numPr>
                <w:ilvl w:val="0"/>
                <w:numId w:val="1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8B4BCE">
            <w:pPr>
              <w:widowControl w:val="0"/>
              <w:numPr>
                <w:ilvl w:val="0"/>
                <w:numId w:val="17"/>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8B4BCE">
            <w:pPr>
              <w:widowControl w:val="0"/>
              <w:numPr>
                <w:ilvl w:val="0"/>
                <w:numId w:val="1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8B4BCE">
            <w:pPr>
              <w:widowControl w:val="0"/>
              <w:numPr>
                <w:ilvl w:val="0"/>
                <w:numId w:val="1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56"/>
          <w:pgSz w:w="12240" w:h="15840" w:code="1"/>
          <w:pgMar w:top="1440" w:right="1440" w:bottom="1440" w:left="1440" w:header="720" w:footer="720" w:gutter="0"/>
          <w:cols w:space="720"/>
          <w:noEndnote/>
        </w:sectPr>
      </w:pPr>
    </w:p>
    <w:p w14:paraId="474FDBAB" w14:textId="77777777" w:rsidR="007E5B12" w:rsidRPr="00220BD0" w:rsidRDefault="007E5B12" w:rsidP="006672EA">
      <w:pPr>
        <w:pStyle w:val="Heading2"/>
        <w:jc w:val="both"/>
        <w:rPr>
          <w:rFonts w:cs="Arial"/>
          <w:sz w:val="24"/>
        </w:rPr>
      </w:pPr>
      <w:bookmarkStart w:id="43" w:name="B__LIST_OF_SELECTED_ITEMS"/>
      <w:bookmarkStart w:id="44" w:name="C___CASH_MANAGEMENT"/>
      <w:bookmarkStart w:id="45" w:name="_Toc212473110"/>
      <w:bookmarkEnd w:id="43"/>
      <w:bookmarkEnd w:id="44"/>
      <w:r w:rsidRPr="00220BD0">
        <w:rPr>
          <w:rFonts w:cs="Arial"/>
          <w:sz w:val="24"/>
        </w:rPr>
        <w:lastRenderedPageBreak/>
        <w:t xml:space="preserve">E.  </w:t>
      </w:r>
      <w:bookmarkStart w:id="46" w:name="_Toc442267695"/>
      <w:r w:rsidRPr="00220BD0">
        <w:rPr>
          <w:rFonts w:cs="Arial"/>
          <w:sz w:val="24"/>
        </w:rPr>
        <w:t>ELIGIBILITY</w:t>
      </w:r>
      <w:bookmarkEnd w:id="46"/>
      <w:bookmarkEnd w:id="45"/>
    </w:p>
    <w:p w14:paraId="5DAB0DE7" w14:textId="77777777" w:rsidR="007E5B12" w:rsidRPr="00220BD0" w:rsidRDefault="004655E0" w:rsidP="006672EA">
      <w:pPr>
        <w:pStyle w:val="Heading3"/>
        <w:jc w:val="both"/>
        <w:rPr>
          <w:rFonts w:cs="Arial"/>
          <w:sz w:val="24"/>
          <w:szCs w:val="24"/>
        </w:rPr>
      </w:pPr>
      <w:bookmarkStart w:id="47" w:name="_Toc212473111"/>
      <w:r w:rsidRPr="00220BD0">
        <w:rPr>
          <w:rFonts w:cs="Arial"/>
          <w:sz w:val="24"/>
          <w:szCs w:val="24"/>
        </w:rPr>
        <w:t xml:space="preserve">OMB </w:t>
      </w:r>
      <w:r w:rsidR="007E5B12" w:rsidRPr="00220BD0">
        <w:rPr>
          <w:rFonts w:cs="Arial"/>
          <w:sz w:val="24"/>
          <w:szCs w:val="24"/>
        </w:rPr>
        <w:t>Compliance Requirements</w:t>
      </w:r>
      <w:bookmarkEnd w:id="47"/>
    </w:p>
    <w:p w14:paraId="21CEBFA5" w14:textId="220E5568" w:rsidR="00AC366B" w:rsidRPr="00F00D94" w:rsidRDefault="00AC366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C366B">
        <w:rPr>
          <w:rFonts w:ascii="Arial" w:hAnsi="Arial" w:cs="Arial"/>
        </w:rPr>
        <w:t>The specific requirements for eligibility are unique to each federal program and are found in the statutes, regulations, and the terms and conditions of the federal award pertaining to the program. For programs listed in the Supplement, these specific requirements are in Part 4, “Agency Program Requirements,” or Part 5, “Clusters of Programs,” as applicable. This compliance requirement specifies the criteria for determining the individuals, groups of individuals (including area of service delivery), or subrecipients that can participate in the program and the amounts for which they qualify.</w:t>
      </w:r>
    </w:p>
    <w:p w14:paraId="126D80CF"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0DF345CA" w14:textId="5F9FCF53"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eligibility are contained in program legislation, </w:t>
      </w:r>
      <w:r w:rsidR="007E77CE">
        <w:rPr>
          <w:rFonts w:ascii="Arial" w:hAnsi="Arial" w:cs="Arial"/>
        </w:rPr>
        <w:t>f</w:t>
      </w:r>
      <w:r w:rsidRPr="00F00D94">
        <w:rPr>
          <w:rFonts w:ascii="Arial" w:hAnsi="Arial" w:cs="Arial"/>
        </w:rPr>
        <w:t>ederal awarding agency regulations, and the terms and conditions of the award.</w:t>
      </w:r>
    </w:p>
    <w:p w14:paraId="48C91FE3" w14:textId="3ADF99D6"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AC366B" w:rsidRPr="00F00D94">
        <w:rPr>
          <w:rFonts w:ascii="Arial" w:hAnsi="Arial" w:cs="Arial"/>
          <w:i/>
        </w:rPr>
        <w:t>202</w:t>
      </w:r>
      <w:r w:rsidR="00AC366B">
        <w:rPr>
          <w:rFonts w:ascii="Arial" w:hAnsi="Arial" w:cs="Arial"/>
          <w:i/>
        </w:rPr>
        <w:t>5</w:t>
      </w:r>
      <w:r w:rsidR="00AC366B"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A1BB1" w:rsidRPr="00F00D94">
        <w:rPr>
          <w:rFonts w:ascii="Arial" w:hAnsi="Arial" w:cs="Arial"/>
          <w:i/>
        </w:rPr>
        <w:t xml:space="preserve">Part </w:t>
      </w:r>
      <w:r w:rsidRPr="00F00D94">
        <w:rPr>
          <w:rFonts w:ascii="Arial" w:hAnsi="Arial" w:cs="Arial"/>
          <w:i/>
        </w:rPr>
        <w:t>3</w:t>
      </w:r>
      <w:r w:rsidR="00B93219">
        <w:rPr>
          <w:rFonts w:ascii="Arial" w:hAnsi="Arial" w:cs="Arial"/>
          <w:i/>
        </w:rPr>
        <w:t>.2</w:t>
      </w:r>
      <w:r w:rsidRPr="00F00D94">
        <w:rPr>
          <w:rFonts w:ascii="Arial" w:hAnsi="Arial" w:cs="Arial"/>
          <w:i/>
        </w:rPr>
        <w:t>)</w:t>
      </w:r>
    </w:p>
    <w:p w14:paraId="66D92892" w14:textId="16D71FE1"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64CC4D62" w14:textId="26FD6C60" w:rsidR="006B5D76" w:rsidRDefault="006B5D76" w:rsidP="006B5D76">
      <w:pPr>
        <w:jc w:val="both"/>
        <w:rPr>
          <w:rFonts w:ascii="Arial" w:eastAsia="Aptos" w:hAnsi="Arial" w:cs="Arial"/>
          <w:b/>
          <w:bCs/>
          <w:kern w:val="2"/>
          <w14:ligatures w14:val="standardContextual"/>
        </w:rPr>
      </w:pPr>
      <w:r w:rsidRPr="006B5D76">
        <w:rPr>
          <w:rFonts w:ascii="Arial" w:eastAsia="Aptos" w:hAnsi="Arial" w:cs="Arial"/>
          <w:b/>
          <w:bCs/>
          <w:kern w:val="2"/>
          <w14:ligatures w14:val="standardContextual"/>
        </w:rPr>
        <w:t>1.</w:t>
      </w:r>
      <w:r w:rsidRPr="006B5D76">
        <w:rPr>
          <w:rFonts w:ascii="Arial" w:eastAsia="Aptos" w:hAnsi="Arial" w:cs="Arial"/>
          <w:b/>
          <w:bCs/>
          <w:kern w:val="2"/>
          <w14:ligatures w14:val="standardContextual"/>
        </w:rPr>
        <w:tab/>
        <w:t>Eligibility for Individuals</w:t>
      </w:r>
    </w:p>
    <w:p w14:paraId="63B08DB9" w14:textId="77777777" w:rsidR="006B5D76" w:rsidRPr="006B5D76" w:rsidRDefault="006B5D76" w:rsidP="006B5D76">
      <w:pPr>
        <w:jc w:val="both"/>
        <w:rPr>
          <w:rFonts w:ascii="Arial" w:eastAsia="Aptos" w:hAnsi="Arial" w:cs="Arial"/>
          <w:b/>
          <w:bCs/>
          <w:kern w:val="2"/>
          <w14:ligatures w14:val="standardContextual"/>
        </w:rPr>
      </w:pPr>
    </w:p>
    <w:p w14:paraId="0CC18464" w14:textId="4DA4AE6A" w:rsidR="006B5D76" w:rsidRPr="006B5D76" w:rsidRDefault="006B5D76" w:rsidP="006B5D76">
      <w:pPr>
        <w:spacing w:after="160" w:line="278" w:lineRule="auto"/>
        <w:ind w:left="1440" w:hanging="720"/>
        <w:jc w:val="both"/>
        <w:rPr>
          <w:rFonts w:ascii="Arial" w:eastAsia="Aptos" w:hAnsi="Arial" w:cs="Arial"/>
          <w:kern w:val="2"/>
          <w14:ligatures w14:val="standardContextual"/>
        </w:rPr>
      </w:pPr>
      <w:r w:rsidRPr="006B5D76">
        <w:rPr>
          <w:rFonts w:ascii="Arial" w:eastAsia="Aptos" w:hAnsi="Arial" w:cs="Arial"/>
          <w:kern w:val="2"/>
          <w14:ligatures w14:val="standardContextual"/>
        </w:rPr>
        <w:t>a.</w:t>
      </w:r>
      <w:r w:rsidRPr="006B5D76">
        <w:rPr>
          <w:rFonts w:ascii="Arial" w:eastAsia="Aptos" w:hAnsi="Arial" w:cs="Arial"/>
          <w:kern w:val="2"/>
          <w14:ligatures w14:val="standardContextual"/>
        </w:rPr>
        <w:tab/>
        <w:t xml:space="preserve">Most PHAs devise their own application forms filled out by the PHA staff during an interview with the tenant. The head of household signs (a) a certification that the information provided to the PHA is correct; (b) one or more release forms to allow the PHA to get information from third parties; (c) a federally prescribed general release form for employment information; and (d) a privacy notice. Under some circumstances, other members of the family may be required to sign these forms (24 CFR sections 5.212, 5.230, and 5.601 through 5.615). Elaboration on consent form requirements, including additional consent form requirements, can be found here: </w:t>
      </w:r>
      <w:hyperlink r:id="rId57" w:anchor="p-5.230(a)" w:history="1">
        <w:r w:rsidRPr="0062713F">
          <w:rPr>
            <w:rStyle w:val="Hyperlink"/>
            <w:rFonts w:eastAsia="Aptos" w:cs="Arial"/>
            <w:kern w:val="2"/>
            <w14:ligatures w14:val="standardContextual"/>
          </w:rPr>
          <w:t>https://www.ecfr.gov/current/title-24/subtitle-A/part- 5/subpart-B/subject-group-ECFR571d9c483519586/section-5.230#p- 5.230(a)</w:t>
        </w:r>
      </w:hyperlink>
    </w:p>
    <w:p w14:paraId="7700B75B" w14:textId="77777777" w:rsidR="006B5D76" w:rsidRPr="006B5D76" w:rsidRDefault="006B5D76" w:rsidP="006B5D76">
      <w:pPr>
        <w:spacing w:after="160" w:line="278" w:lineRule="auto"/>
        <w:ind w:firstLine="720"/>
        <w:jc w:val="both"/>
        <w:rPr>
          <w:rFonts w:ascii="Arial" w:eastAsia="Aptos" w:hAnsi="Arial" w:cs="Arial"/>
          <w:kern w:val="2"/>
          <w14:ligatures w14:val="standardContextual"/>
        </w:rPr>
      </w:pPr>
      <w:r w:rsidRPr="006B5D76">
        <w:rPr>
          <w:rFonts w:ascii="Arial" w:eastAsia="Aptos" w:hAnsi="Arial" w:cs="Arial"/>
          <w:kern w:val="2"/>
          <w14:ligatures w14:val="standardContextual"/>
        </w:rPr>
        <w:t>b.</w:t>
      </w:r>
      <w:r w:rsidRPr="006B5D76">
        <w:rPr>
          <w:rFonts w:ascii="Arial" w:eastAsia="Aptos" w:hAnsi="Arial" w:cs="Arial"/>
          <w:kern w:val="2"/>
          <w14:ligatures w14:val="standardContextual"/>
        </w:rPr>
        <w:tab/>
        <w:t>Eligibility Determination:</w:t>
      </w:r>
    </w:p>
    <w:p w14:paraId="718725C0" w14:textId="77777777" w:rsidR="006B5D76" w:rsidRPr="006B5D76" w:rsidRDefault="006B5D76" w:rsidP="006B5D76">
      <w:pPr>
        <w:spacing w:after="160" w:line="278" w:lineRule="auto"/>
        <w:ind w:left="2160" w:hanging="720"/>
        <w:jc w:val="both"/>
        <w:rPr>
          <w:rFonts w:ascii="Arial" w:eastAsia="Aptos" w:hAnsi="Arial" w:cs="Arial"/>
          <w:kern w:val="2"/>
          <w14:ligatures w14:val="standardContextual"/>
        </w:rPr>
      </w:pPr>
      <w:r w:rsidRPr="006B5D76">
        <w:rPr>
          <w:rFonts w:ascii="Arial" w:eastAsia="Aptos" w:hAnsi="Arial" w:cs="Arial"/>
          <w:kern w:val="2"/>
          <w14:ligatures w14:val="standardContextual"/>
        </w:rPr>
        <w:t>(1)</w:t>
      </w:r>
      <w:r w:rsidRPr="006B5D76">
        <w:rPr>
          <w:rFonts w:ascii="Arial" w:eastAsia="Aptos" w:hAnsi="Arial" w:cs="Arial"/>
          <w:kern w:val="2"/>
          <w14:ligatures w14:val="standardContextual"/>
        </w:rPr>
        <w:tab/>
        <w:t>The admission or continued occupancy requires the tenant and other family members to provide the necessary information, documentation, and releases for the PHA to verify income eligibility (24 CFR sections 5.230, 5.609, and 960.259).</w:t>
      </w:r>
    </w:p>
    <w:p w14:paraId="68C03527" w14:textId="77777777" w:rsidR="006B5D76" w:rsidRPr="006B5D76" w:rsidRDefault="006B5D76" w:rsidP="006B5D76">
      <w:pPr>
        <w:spacing w:after="160" w:line="278" w:lineRule="auto"/>
        <w:ind w:left="2160" w:hanging="720"/>
        <w:jc w:val="both"/>
        <w:rPr>
          <w:rFonts w:ascii="Arial" w:eastAsia="Aptos" w:hAnsi="Arial" w:cs="Arial"/>
          <w:kern w:val="2"/>
          <w14:ligatures w14:val="standardContextual"/>
        </w:rPr>
      </w:pPr>
      <w:r w:rsidRPr="006B5D76">
        <w:rPr>
          <w:rFonts w:ascii="Arial" w:eastAsia="Aptos" w:hAnsi="Arial" w:cs="Arial"/>
          <w:kern w:val="2"/>
          <w14:ligatures w14:val="standardContextual"/>
        </w:rPr>
        <w:t>(2)</w:t>
      </w:r>
      <w:r w:rsidRPr="006B5D76">
        <w:rPr>
          <w:rFonts w:ascii="Arial" w:eastAsia="Aptos" w:hAnsi="Arial" w:cs="Arial"/>
          <w:kern w:val="2"/>
          <w14:ligatures w14:val="standardContextual"/>
        </w:rPr>
        <w:tab/>
        <w:t>For both family income examinations and reexaminations, obtain and document in the family file third-party verification of (a) reported family annual income, (b) the value of assets, (c) expenses related to deductions from annual income, and (d) other factors that affect the determination of adjusted income or income-based rent (24 CFR section 960.259).</w:t>
      </w:r>
    </w:p>
    <w:p w14:paraId="30C4037E" w14:textId="77777777" w:rsidR="006B5D76" w:rsidRPr="006B5D76" w:rsidRDefault="006B5D76" w:rsidP="006B5D76">
      <w:pPr>
        <w:spacing w:after="160" w:line="278" w:lineRule="auto"/>
        <w:ind w:left="2160" w:hanging="720"/>
        <w:jc w:val="both"/>
        <w:rPr>
          <w:rFonts w:ascii="Arial" w:eastAsia="Aptos" w:hAnsi="Arial" w:cs="Arial"/>
          <w:kern w:val="2"/>
          <w14:ligatures w14:val="standardContextual"/>
        </w:rPr>
      </w:pPr>
      <w:r w:rsidRPr="006B5D76">
        <w:rPr>
          <w:rFonts w:ascii="Arial" w:eastAsia="Aptos" w:hAnsi="Arial" w:cs="Arial"/>
          <w:kern w:val="2"/>
          <w14:ligatures w14:val="standardContextual"/>
        </w:rPr>
        <w:t>(3)</w:t>
      </w:r>
      <w:r w:rsidRPr="006B5D76">
        <w:rPr>
          <w:rFonts w:ascii="Arial" w:eastAsia="Aptos" w:hAnsi="Arial" w:cs="Arial"/>
          <w:kern w:val="2"/>
          <w14:ligatures w14:val="standardContextual"/>
        </w:rPr>
        <w:tab/>
        <w:t>Determine income eligibility and calculate the tenant’s rent payment using the documentation from third-party verification in accordance with 24 CFR Part 5, Subpart F (24 CFR sections 5.601 et seq., and 24 CFR Subpart C sections 960.253, 960.255, and 960.259).</w:t>
      </w:r>
    </w:p>
    <w:p w14:paraId="6AC6C8F2" w14:textId="77777777" w:rsidR="006B5D76" w:rsidRPr="006B5D76" w:rsidRDefault="006B5D76" w:rsidP="006B5D76">
      <w:pPr>
        <w:spacing w:after="160" w:line="278" w:lineRule="auto"/>
        <w:ind w:left="2160" w:hanging="720"/>
        <w:jc w:val="both"/>
        <w:rPr>
          <w:rFonts w:ascii="Arial" w:eastAsia="Aptos" w:hAnsi="Arial" w:cs="Arial"/>
          <w:kern w:val="2"/>
          <w14:ligatures w14:val="standardContextual"/>
        </w:rPr>
      </w:pPr>
      <w:r w:rsidRPr="006B5D76">
        <w:rPr>
          <w:rFonts w:ascii="Arial" w:eastAsia="Aptos" w:hAnsi="Arial" w:cs="Arial"/>
          <w:kern w:val="2"/>
          <w14:ligatures w14:val="standardContextual"/>
        </w:rPr>
        <w:t>(4)</w:t>
      </w:r>
      <w:r w:rsidRPr="006B5D76">
        <w:rPr>
          <w:rFonts w:ascii="Arial" w:eastAsia="Aptos" w:hAnsi="Arial" w:cs="Arial"/>
          <w:kern w:val="2"/>
          <w14:ligatures w14:val="standardContextual"/>
        </w:rPr>
        <w:tab/>
        <w:t>Tenants must be from the public housing waiting list (see III.N.2, “Special Tests and Provisions – Public Housing Waiting List”) (24 CFR sections 960.206 and 960.208).</w:t>
      </w:r>
    </w:p>
    <w:p w14:paraId="18157753" w14:textId="25A57411" w:rsidR="006B5D76" w:rsidRPr="006B5D76" w:rsidRDefault="006B5D76" w:rsidP="006B5D76">
      <w:pPr>
        <w:spacing w:after="160" w:line="278" w:lineRule="auto"/>
        <w:ind w:left="2160" w:hanging="720"/>
        <w:jc w:val="both"/>
        <w:rPr>
          <w:rFonts w:ascii="Arial" w:eastAsia="Aptos" w:hAnsi="Arial" w:cs="Arial"/>
          <w:kern w:val="2"/>
          <w14:ligatures w14:val="standardContextual"/>
        </w:rPr>
      </w:pPr>
      <w:r w:rsidRPr="006B5D76">
        <w:rPr>
          <w:rFonts w:ascii="Arial" w:eastAsia="Aptos" w:hAnsi="Arial" w:cs="Arial"/>
          <w:kern w:val="2"/>
          <w14:ligatures w14:val="standardContextual"/>
        </w:rPr>
        <w:lastRenderedPageBreak/>
        <w:t>(5)</w:t>
      </w:r>
      <w:r w:rsidRPr="006B5D76">
        <w:rPr>
          <w:rFonts w:ascii="Arial" w:eastAsia="Aptos" w:hAnsi="Arial" w:cs="Arial"/>
          <w:kern w:val="2"/>
          <w14:ligatures w14:val="standardContextual"/>
        </w:rPr>
        <w:tab/>
        <w:t>Reexamine family income and composition at least once every 12 months and adjust the tenant rent and housing assistance payment as necessary using the documentation from third-party verification (24 CFR sections 960.253, 960.257, and 960.259).</w:t>
      </w:r>
    </w:p>
    <w:p w14:paraId="0A8F7662" w14:textId="77777777" w:rsidR="006B5D76" w:rsidRPr="006B5D76" w:rsidRDefault="006B5D76" w:rsidP="006B5D76">
      <w:pPr>
        <w:spacing w:after="160" w:line="278" w:lineRule="auto"/>
        <w:ind w:left="2880" w:hanging="720"/>
        <w:jc w:val="both"/>
        <w:rPr>
          <w:rFonts w:ascii="Arial" w:eastAsia="Aptos" w:hAnsi="Arial" w:cs="Arial"/>
          <w:kern w:val="2"/>
          <w14:ligatures w14:val="standardContextual"/>
        </w:rPr>
      </w:pPr>
      <w:r w:rsidRPr="006B5D76">
        <w:rPr>
          <w:rFonts w:ascii="Arial" w:eastAsia="Aptos" w:hAnsi="Arial" w:cs="Arial"/>
          <w:kern w:val="2"/>
          <w14:ligatures w14:val="standardContextual"/>
        </w:rPr>
        <w:t>(a)</w:t>
      </w:r>
      <w:r w:rsidRPr="006B5D76">
        <w:rPr>
          <w:rFonts w:ascii="Arial" w:eastAsia="Aptos" w:hAnsi="Arial" w:cs="Arial"/>
          <w:kern w:val="2"/>
          <w14:ligatures w14:val="standardContextual"/>
        </w:rPr>
        <w:tab/>
        <w:t>The Rental Demonstration program prohibits PHAs from rescreening or requiring tenant recertification due solely to a RAD conversion. However, this requirement does not eliminate the scheduled recertification (normally annually).</w:t>
      </w:r>
    </w:p>
    <w:p w14:paraId="4592D5A0" w14:textId="6F83EE3C" w:rsidR="006B5D76" w:rsidRPr="006B5D76" w:rsidRDefault="006B5D76" w:rsidP="006B5D76">
      <w:pPr>
        <w:spacing w:after="160" w:line="278" w:lineRule="auto"/>
        <w:ind w:left="2880"/>
        <w:jc w:val="both"/>
        <w:rPr>
          <w:rFonts w:ascii="Arial" w:eastAsia="Aptos" w:hAnsi="Arial" w:cs="Arial"/>
          <w:kern w:val="2"/>
          <w14:ligatures w14:val="standardContextual"/>
        </w:rPr>
      </w:pPr>
      <w:r w:rsidRPr="006B5D76">
        <w:rPr>
          <w:rFonts w:ascii="Arial" w:eastAsia="Aptos" w:hAnsi="Arial" w:cs="Arial"/>
          <w:kern w:val="2"/>
          <w14:ligatures w14:val="standardContextual"/>
        </w:rPr>
        <w:t>Recertifications must be performed as part of the normal tenant recertification process that occurs after the RAD conversion but before the end of the calendar year will be conducted under the selected conversion program (PBV or PBRA) and not Public Housing. These recertifications are to be conducted to ensure that tenant payments are appropriate under the new program. Any testing that results in an audit finding should be a finding of the PBV or PBRA program, not the public housing program.</w:t>
      </w:r>
    </w:p>
    <w:p w14:paraId="2D1A2D06" w14:textId="77777777" w:rsidR="006B5D76" w:rsidRPr="006B5D76" w:rsidRDefault="006B5D76" w:rsidP="006B5D76">
      <w:pPr>
        <w:spacing w:after="160" w:line="278" w:lineRule="auto"/>
        <w:ind w:left="2880" w:hanging="720"/>
        <w:jc w:val="both"/>
        <w:rPr>
          <w:rFonts w:ascii="Arial" w:eastAsia="Aptos" w:hAnsi="Arial" w:cs="Arial"/>
          <w:kern w:val="2"/>
          <w14:ligatures w14:val="standardContextual"/>
        </w:rPr>
      </w:pPr>
      <w:r w:rsidRPr="006B5D76">
        <w:rPr>
          <w:rFonts w:ascii="Arial" w:eastAsia="Aptos" w:hAnsi="Arial" w:cs="Arial"/>
          <w:kern w:val="2"/>
          <w14:ligatures w14:val="standardContextual"/>
        </w:rPr>
        <w:t>(b)</w:t>
      </w:r>
      <w:r w:rsidRPr="006B5D76">
        <w:rPr>
          <w:rFonts w:ascii="Arial" w:eastAsia="Aptos" w:hAnsi="Arial" w:cs="Arial"/>
          <w:kern w:val="2"/>
          <w14:ligatures w14:val="standardContextual"/>
        </w:rPr>
        <w:tab/>
        <w:t>Eligible beneficiaries are lower- income families, which include citizens or eligible immigrants. “Families” include, but are not limited to, (1) a family with or without children; (2) an elderly family (head, spouse, or sole member 62 years or older); (3) near-elderly family (head, spouse, or sole member 50 years old but less than 62 years old); (4) a disabled family; (5) a displaced family; (6) the remaining member of a tenant family; or (7) a single person who is not elderly, near-elderly, displaced, or a person with disabilities.</w:t>
      </w:r>
    </w:p>
    <w:p w14:paraId="603E071C" w14:textId="77777777" w:rsidR="006B5D76" w:rsidRPr="006B5D76" w:rsidRDefault="006B5D76" w:rsidP="006B5D76">
      <w:pPr>
        <w:spacing w:after="160" w:line="278" w:lineRule="auto"/>
        <w:jc w:val="both"/>
        <w:rPr>
          <w:rFonts w:ascii="Arial" w:eastAsia="Aptos" w:hAnsi="Arial" w:cs="Arial"/>
          <w:kern w:val="2"/>
          <w14:ligatures w14:val="standardContextual"/>
        </w:rPr>
      </w:pPr>
      <w:r w:rsidRPr="006B5D76">
        <w:rPr>
          <w:rFonts w:ascii="Arial" w:eastAsia="Aptos" w:hAnsi="Arial" w:cs="Arial"/>
          <w:b/>
          <w:bCs/>
          <w:kern w:val="2"/>
          <w14:ligatures w14:val="standardContextual"/>
        </w:rPr>
        <w:t>2.</w:t>
      </w:r>
      <w:r w:rsidRPr="006B5D76">
        <w:rPr>
          <w:rFonts w:ascii="Arial" w:eastAsia="Aptos" w:hAnsi="Arial" w:cs="Arial"/>
          <w:b/>
          <w:bCs/>
          <w:kern w:val="2"/>
          <w14:ligatures w14:val="standardContextual"/>
        </w:rPr>
        <w:tab/>
        <w:t>Eligibility for Group of Individuals or Area of Service Delivery</w:t>
      </w:r>
      <w:r w:rsidRPr="006B5D76">
        <w:rPr>
          <w:rFonts w:ascii="Arial" w:eastAsia="Aptos" w:hAnsi="Arial" w:cs="Arial"/>
          <w:kern w:val="2"/>
          <w14:ligatures w14:val="standardContextual"/>
        </w:rPr>
        <w:t xml:space="preserve"> - Not Applicable</w:t>
      </w:r>
    </w:p>
    <w:p w14:paraId="46A3A566" w14:textId="77777777" w:rsidR="006B5D76" w:rsidRPr="006B5D76" w:rsidRDefault="006B5D76" w:rsidP="006B5D76">
      <w:pPr>
        <w:spacing w:after="160" w:line="278" w:lineRule="auto"/>
        <w:jc w:val="both"/>
        <w:rPr>
          <w:rFonts w:ascii="Arial" w:eastAsia="Aptos" w:hAnsi="Arial" w:cs="Arial"/>
          <w:kern w:val="2"/>
          <w14:ligatures w14:val="standardContextual"/>
        </w:rPr>
      </w:pPr>
      <w:r w:rsidRPr="006B5D76">
        <w:rPr>
          <w:rFonts w:ascii="Arial" w:eastAsia="Aptos" w:hAnsi="Arial" w:cs="Arial"/>
          <w:b/>
          <w:bCs/>
          <w:kern w:val="2"/>
          <w14:ligatures w14:val="standardContextual"/>
        </w:rPr>
        <w:t>3.</w:t>
      </w:r>
      <w:r w:rsidRPr="006B5D76">
        <w:rPr>
          <w:rFonts w:ascii="Arial" w:eastAsia="Aptos" w:hAnsi="Arial" w:cs="Arial"/>
          <w:b/>
          <w:bCs/>
          <w:kern w:val="2"/>
          <w14:ligatures w14:val="standardContextual"/>
        </w:rPr>
        <w:tab/>
        <w:t>Eligibility for Subrecipients</w:t>
      </w:r>
      <w:r w:rsidRPr="006B5D76">
        <w:rPr>
          <w:rFonts w:ascii="Arial" w:eastAsia="Aptos" w:hAnsi="Arial" w:cs="Arial"/>
          <w:kern w:val="2"/>
          <w14:ligatures w14:val="standardContextual"/>
        </w:rPr>
        <w:t xml:space="preserve"> - Not Applicable</w:t>
      </w:r>
    </w:p>
    <w:p w14:paraId="7485D40B" w14:textId="3AE8F4EE" w:rsidR="006B5D76" w:rsidRPr="006B5D76" w:rsidRDefault="006B5D76" w:rsidP="00D74E6A">
      <w:pPr>
        <w:spacing w:after="240"/>
        <w:jc w:val="both"/>
        <w:rPr>
          <w:rFonts w:ascii="Arial" w:hAnsi="Arial" w:cs="Arial"/>
          <w:bCs/>
          <w:i/>
          <w:iCs/>
        </w:rPr>
      </w:pPr>
      <w:r>
        <w:rPr>
          <w:rFonts w:ascii="Arial" w:hAnsi="Arial" w:cs="Arial"/>
          <w:bCs/>
          <w:i/>
          <w:iCs/>
        </w:rPr>
        <w:t>(Source: 2025 OMB Compliance Supplement, Part 4, HUD, #14.850 Public Housing</w:t>
      </w:r>
      <w:r w:rsidR="007D76AB">
        <w:rPr>
          <w:rFonts w:ascii="Arial" w:hAnsi="Arial" w:cs="Arial"/>
          <w:bCs/>
          <w:i/>
          <w:iCs/>
        </w:rPr>
        <w:t xml:space="preserve"> Operating Fund</w:t>
      </w:r>
      <w:r>
        <w:rPr>
          <w:rFonts w:ascii="Arial" w:hAnsi="Arial" w:cs="Arial"/>
          <w:bCs/>
          <w:i/>
          <w:iCs/>
        </w:rPr>
        <w:t>)</w:t>
      </w:r>
    </w:p>
    <w:p w14:paraId="0BC66884" w14:textId="77777777" w:rsidR="00E039F3" w:rsidRPr="00220BD0" w:rsidRDefault="00E039F3" w:rsidP="006672EA">
      <w:pPr>
        <w:pStyle w:val="Heading3"/>
        <w:jc w:val="both"/>
        <w:rPr>
          <w:rFonts w:cs="Arial"/>
          <w:sz w:val="24"/>
          <w:szCs w:val="24"/>
        </w:rPr>
      </w:pPr>
      <w:bookmarkStart w:id="48" w:name="_Toc212473112"/>
      <w:r w:rsidRPr="00220BD0">
        <w:rPr>
          <w:rFonts w:cs="Arial"/>
          <w:sz w:val="24"/>
          <w:szCs w:val="24"/>
        </w:rPr>
        <w:t>Additional Program Specific Information</w:t>
      </w:r>
      <w:bookmarkEnd w:id="48"/>
    </w:p>
    <w:p w14:paraId="74AAD40A"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895893B" w14:textId="5413E2F3" w:rsidR="00CD5DC7" w:rsidRPr="00AA5B05" w:rsidRDefault="00CD5DC7" w:rsidP="008B4BCE">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7BBE712D" w14:textId="7825671D" w:rsidR="00CD5DC7" w:rsidRPr="00AA5B05" w:rsidRDefault="00CD5DC7" w:rsidP="008B4BCE">
      <w:pPr>
        <w:pStyle w:val="ListParagraph"/>
        <w:numPr>
          <w:ilvl w:val="0"/>
          <w:numId w:val="3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0BAD7EED" w14:textId="622D6DA6" w:rsidR="006E46AD" w:rsidRPr="00AA5B05" w:rsidRDefault="006E46AD" w:rsidP="008B4BCE">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D36F76B"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A7977D9" w14:textId="77777777" w:rsidR="000A19FC" w:rsidRPr="00220BD0" w:rsidRDefault="00DD3AF7" w:rsidP="006672EA">
      <w:pPr>
        <w:pStyle w:val="Heading3"/>
        <w:jc w:val="both"/>
        <w:rPr>
          <w:rFonts w:cs="Arial"/>
          <w:sz w:val="24"/>
          <w:szCs w:val="24"/>
        </w:rPr>
      </w:pPr>
      <w:bookmarkStart w:id="49" w:name="_Toc212473113"/>
      <w:r w:rsidRPr="00220BD0">
        <w:rPr>
          <w:rFonts w:cs="Arial"/>
          <w:sz w:val="24"/>
          <w:szCs w:val="24"/>
        </w:rPr>
        <w:t xml:space="preserve">Audit Objectives </w:t>
      </w:r>
      <w:r w:rsidR="001F23FF" w:rsidRPr="00220BD0">
        <w:rPr>
          <w:rFonts w:cs="Arial"/>
          <w:sz w:val="24"/>
          <w:szCs w:val="24"/>
        </w:rPr>
        <w:t>and Control Testing</w:t>
      </w:r>
      <w:bookmarkEnd w:id="49"/>
    </w:p>
    <w:p w14:paraId="5692DBCA"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B06C885"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6425124" w14:textId="77777777" w:rsidR="008F7129" w:rsidRPr="00F00D94" w:rsidRDefault="008F7129" w:rsidP="00D631C9">
      <w:pPr>
        <w:tabs>
          <w:tab w:val="left" w:pos="720"/>
        </w:tabs>
        <w:spacing w:after="240"/>
        <w:ind w:left="360" w:hanging="360"/>
        <w:jc w:val="both"/>
        <w:rPr>
          <w:rFonts w:ascii="Arial" w:eastAsia="Arial" w:hAnsi="Arial" w:cs="Arial"/>
        </w:rPr>
      </w:pPr>
      <w:r w:rsidRPr="00F00D94">
        <w:rPr>
          <w:rFonts w:ascii="Arial" w:eastAsia="Arial" w:hAnsi="Arial" w:cs="Arial"/>
          <w:spacing w:val="1"/>
        </w:rPr>
        <w:lastRenderedPageBreak/>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4"/>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ility</w:t>
      </w:r>
      <w:r w:rsidRPr="00F00D94">
        <w:rPr>
          <w:rFonts w:ascii="Arial" w:eastAsia="Arial" w:hAnsi="Arial" w:cs="Arial"/>
          <w:spacing w:val="-2"/>
        </w:rPr>
        <w:t xml:space="preserv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spacing w:val="-3"/>
        </w:rPr>
        <w:t>i</w:t>
      </w:r>
      <w:r w:rsidRPr="00F00D94">
        <w:rPr>
          <w:rFonts w:ascii="Arial" w:eastAsia="Arial" w:hAnsi="Arial" w:cs="Arial"/>
          <w:spacing w:val="1"/>
        </w:rPr>
        <w:t>na</w:t>
      </w:r>
      <w:r w:rsidRPr="00F00D94">
        <w:rPr>
          <w:rFonts w:ascii="Arial" w:eastAsia="Arial" w:hAnsi="Arial" w:cs="Arial"/>
        </w:rPr>
        <w:t>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ng ob</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3"/>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am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1"/>
        </w:rPr>
        <w:t>n</w:t>
      </w:r>
      <w:r w:rsidRPr="00F00D94">
        <w:rPr>
          <w:rFonts w:ascii="Arial" w:eastAsia="Arial" w:hAnsi="Arial" w:cs="Arial"/>
        </w:rPr>
        <w:t xml:space="preserve">ts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4"/>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a</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de</w:t>
      </w:r>
      <w:r w:rsidRPr="00F00D94">
        <w:rPr>
          <w:rFonts w:ascii="Arial" w:eastAsia="Arial" w:hAnsi="Arial" w:cs="Arial"/>
        </w:rPr>
        <w:t>liv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y</w:t>
      </w:r>
      <w:r w:rsidRPr="00F00D94">
        <w:rPr>
          <w:rFonts w:ascii="Arial" w:eastAsia="Arial" w:hAnsi="Arial" w:cs="Arial"/>
        </w:rPr>
        <w:t>)</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b</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spacing w:val="2"/>
        </w:rPr>
        <w:t>l</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 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rPr>
        <w:t>.</w:t>
      </w:r>
    </w:p>
    <w:p w14:paraId="68F9790B" w14:textId="7CF4C66E" w:rsidR="008F7129" w:rsidRPr="00263E78" w:rsidRDefault="008F7129" w:rsidP="008F7129">
      <w:pPr>
        <w:spacing w:after="240"/>
        <w:ind w:left="360" w:right="-20" w:hanging="360"/>
        <w:jc w:val="both"/>
        <w:rPr>
          <w:rFonts w:ascii="Arial" w:eastAsia="Arial" w:hAnsi="Arial" w:cs="Arial"/>
          <w:i/>
          <w:iCs/>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spacing w:val="1"/>
        </w:rPr>
        <w:t>ba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spacing w:val="1"/>
        </w:rPr>
        <w:t>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to</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ub</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ci</w:t>
      </w:r>
      <w:r w:rsidRPr="00F00D94">
        <w:rPr>
          <w:rFonts w:ascii="Arial" w:eastAsia="Arial" w:hAnsi="Arial" w:cs="Arial"/>
          <w:spacing w:val="1"/>
        </w:rPr>
        <w:t>p</w:t>
      </w:r>
      <w:r w:rsidRPr="00F00D94">
        <w:rPr>
          <w:rFonts w:ascii="Arial" w:eastAsia="Arial" w:hAnsi="Arial" w:cs="Arial"/>
          <w:spacing w:val="-3"/>
        </w:rPr>
        <w:t>i</w:t>
      </w:r>
      <w:r w:rsidRPr="00F00D94">
        <w:rPr>
          <w:rFonts w:ascii="Arial" w:eastAsia="Arial" w:hAnsi="Arial" w:cs="Arial"/>
          <w:spacing w:val="1"/>
        </w:rPr>
        <w:t>en</w:t>
      </w:r>
      <w:r w:rsidRPr="00F00D94">
        <w:rPr>
          <w:rFonts w:ascii="Arial" w:eastAsia="Arial" w:hAnsi="Arial" w:cs="Arial"/>
        </w:rPr>
        <w:t>ts.</w:t>
      </w:r>
      <w:r w:rsidR="00263E78">
        <w:rPr>
          <w:rFonts w:ascii="Arial" w:eastAsia="Arial" w:hAnsi="Arial" w:cs="Arial"/>
        </w:rPr>
        <w:t xml:space="preserve"> </w:t>
      </w:r>
      <w:r w:rsidR="00263E78" w:rsidRPr="00263E78">
        <w:rPr>
          <w:rFonts w:ascii="Arial" w:eastAsia="Arial" w:hAnsi="Arial" w:cs="Arial"/>
          <w:i/>
          <w:iCs/>
          <w:color w:val="002060"/>
        </w:rPr>
        <w:t xml:space="preserve">Not Applicable </w:t>
      </w:r>
    </w:p>
    <w:p w14:paraId="77E4A2E2" w14:textId="77777777" w:rsidR="008F7129" w:rsidRPr="00F00D94" w:rsidRDefault="008F7129" w:rsidP="008F7129">
      <w:pPr>
        <w:tabs>
          <w:tab w:val="left" w:pos="720"/>
        </w:tabs>
        <w:spacing w:after="240" w:line="242" w:lineRule="auto"/>
        <w:ind w:left="360" w:right="39"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spacing w:val="1"/>
        </w:rPr>
        <w:t>oun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rPr>
        <w:t>o</w:t>
      </w:r>
      <w:r w:rsidRPr="00F00D94">
        <w:rPr>
          <w:rFonts w:ascii="Arial" w:eastAsia="Arial" w:hAnsi="Arial" w:cs="Arial"/>
          <w:spacing w:val="1"/>
        </w:rPr>
        <w:t xml:space="preserve"> 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be</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spacing w:val="-3"/>
        </w:rPr>
        <w:t>l</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w:t>
      </w:r>
      <w:r w:rsidRPr="00F00D94">
        <w:rPr>
          <w:rFonts w:ascii="Arial" w:eastAsia="Arial" w:hAnsi="Arial" w:cs="Arial"/>
          <w:spacing w:val="-2"/>
        </w:rPr>
        <w:t>c</w:t>
      </w:r>
      <w:r w:rsidRPr="00F00D94">
        <w:rPr>
          <w:rFonts w:ascii="Arial" w:eastAsia="Arial" w:hAnsi="Arial" w:cs="Arial"/>
        </w:rPr>
        <w:t>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 xml:space="preserve">or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c</w:t>
      </w:r>
      <w:r w:rsidRPr="00F00D94">
        <w:rPr>
          <w:rFonts w:ascii="Arial" w:eastAsia="Arial" w:hAnsi="Arial" w:cs="Arial"/>
          <w:spacing w:val="1"/>
        </w:rPr>
        <w:t>a</w:t>
      </w:r>
      <w:r w:rsidRPr="00F00D94">
        <w:rPr>
          <w:rFonts w:ascii="Arial" w:eastAsia="Arial" w:hAnsi="Arial" w:cs="Arial"/>
        </w:rPr>
        <w:t>lc</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2"/>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rPr>
        <w:t xml:space="preserve">m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2"/>
        </w:rPr>
        <w:t>s</w:t>
      </w:r>
      <w:r w:rsidRPr="00F00D94">
        <w:rPr>
          <w:rFonts w:ascii="Arial" w:eastAsia="Arial" w:hAnsi="Arial" w:cs="Arial"/>
        </w:rPr>
        <w:t>.</w:t>
      </w:r>
    </w:p>
    <w:p w14:paraId="60F78058" w14:textId="72E44143" w:rsidR="00870676"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AC366B" w:rsidRPr="00F00D94">
        <w:rPr>
          <w:rFonts w:ascii="Arial" w:hAnsi="Arial" w:cs="Arial"/>
          <w:i/>
        </w:rPr>
        <w:t>202</w:t>
      </w:r>
      <w:r w:rsidR="00AC366B">
        <w:rPr>
          <w:rFonts w:ascii="Arial" w:hAnsi="Arial" w:cs="Arial"/>
          <w:i/>
        </w:rPr>
        <w:t>5</w:t>
      </w:r>
      <w:r w:rsidR="00AC366B" w:rsidRPr="00F00D94">
        <w:rPr>
          <w:rFonts w:ascii="Arial" w:hAnsi="Arial" w:cs="Arial"/>
          <w:i/>
        </w:rPr>
        <w:t xml:space="preserve"> </w:t>
      </w:r>
      <w:r w:rsidRPr="00F00D94">
        <w:rPr>
          <w:rFonts w:ascii="Arial" w:hAnsi="Arial" w:cs="Arial"/>
          <w:i/>
        </w:rPr>
        <w:t>OMB Compliance Supplement Part 3</w:t>
      </w:r>
      <w:r w:rsidR="00FD0E37">
        <w:rPr>
          <w:rFonts w:ascii="Arial" w:hAnsi="Arial" w:cs="Arial"/>
          <w:i/>
        </w:rPr>
        <w:t>.2</w:t>
      </w:r>
      <w:r w:rsidRPr="00F00D94">
        <w:rPr>
          <w:rFonts w:ascii="Arial" w:hAnsi="Arial" w:cs="Arial"/>
          <w:i/>
        </w:rPr>
        <w:t>)</w:t>
      </w:r>
    </w:p>
    <w:p w14:paraId="425F9AF0" w14:textId="67E95E31" w:rsidR="00D056C1" w:rsidRPr="00D056C1" w:rsidRDefault="00D056C1" w:rsidP="00D056C1">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297F275A" w14:textId="77777777" w:rsidTr="00E0350C">
        <w:tc>
          <w:tcPr>
            <w:tcW w:w="5000" w:type="pct"/>
          </w:tcPr>
          <w:p w14:paraId="7E449740" w14:textId="77777777" w:rsidR="00D056C1" w:rsidRPr="006F5FFA" w:rsidRDefault="00D056C1" w:rsidP="00D056C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86B6EB5"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82E45B" w14:textId="77777777" w:rsidR="00D056C1" w:rsidRPr="00F00D94" w:rsidRDefault="00D056C1" w:rsidP="00D056C1">
            <w:pPr>
              <w:pStyle w:val="AuditProcedureHeading"/>
              <w:spacing w:after="240"/>
              <w:jc w:val="both"/>
              <w:rPr>
                <w:rFonts w:cs="Arial"/>
                <w:b/>
                <w:bCs/>
                <w:szCs w:val="20"/>
                <w:u w:val="single"/>
              </w:rPr>
            </w:pPr>
          </w:p>
          <w:p w14:paraId="047F3F4B" w14:textId="67D6BC32" w:rsidR="00D056C1" w:rsidRPr="00F00D94" w:rsidRDefault="00D056C1" w:rsidP="00D056C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C6726">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20ABD79F" w14:textId="77777777" w:rsidR="00D056C1" w:rsidRPr="00F00D94" w:rsidRDefault="00D056C1" w:rsidP="00D056C1">
            <w:pPr>
              <w:pStyle w:val="AuditProcedureHeading"/>
              <w:spacing w:after="240"/>
              <w:jc w:val="both"/>
              <w:rPr>
                <w:rFonts w:cs="Arial"/>
                <w:b/>
                <w:bCs/>
                <w:szCs w:val="20"/>
                <w:u w:val="single"/>
              </w:rPr>
            </w:pPr>
          </w:p>
          <w:p w14:paraId="7B7BAB27"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261E071" w14:textId="77777777" w:rsidR="00D056C1" w:rsidRPr="00F00D94" w:rsidRDefault="00D056C1" w:rsidP="00D056C1">
            <w:pPr>
              <w:spacing w:after="240"/>
              <w:jc w:val="both"/>
              <w:rPr>
                <w:rFonts w:ascii="Arial" w:hAnsi="Arial" w:cs="Arial"/>
                <w:b/>
                <w:sz w:val="20"/>
                <w:u w:val="single"/>
              </w:rPr>
            </w:pPr>
          </w:p>
          <w:p w14:paraId="0FEC30D6" w14:textId="77777777" w:rsidR="00D056C1" w:rsidRPr="00F00D94" w:rsidRDefault="00D056C1" w:rsidP="00D056C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24CDB20" w14:textId="77777777" w:rsidR="00D96E56" w:rsidRPr="008D4BC3" w:rsidRDefault="00D96E56" w:rsidP="006672EA">
            <w:pPr>
              <w:spacing w:after="240"/>
              <w:jc w:val="both"/>
              <w:rPr>
                <w:rFonts w:ascii="Arial" w:eastAsiaTheme="minorHAnsi" w:hAnsi="Arial" w:cs="Arial"/>
                <w:sz w:val="20"/>
                <w:szCs w:val="20"/>
              </w:rPr>
            </w:pPr>
          </w:p>
        </w:tc>
      </w:tr>
    </w:tbl>
    <w:p w14:paraId="19AC5C13" w14:textId="77777777" w:rsidR="001F0603" w:rsidRPr="00F00D94" w:rsidRDefault="001F060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p>
    <w:p w14:paraId="6A173670" w14:textId="483B5FAC" w:rsidR="000A19FC" w:rsidRPr="00220BD0" w:rsidRDefault="000A19FC" w:rsidP="00F00D94">
      <w:pPr>
        <w:pStyle w:val="Heading3"/>
        <w:rPr>
          <w:rFonts w:cs="Arial"/>
          <w:sz w:val="24"/>
          <w:szCs w:val="24"/>
        </w:rPr>
      </w:pPr>
      <w:bookmarkStart w:id="50" w:name="_Toc212473114"/>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50"/>
    </w:p>
    <w:tbl>
      <w:tblPr>
        <w:tblStyle w:val="TableGrid"/>
        <w:tblW w:w="5000" w:type="pct"/>
        <w:tblLook w:val="04A0" w:firstRow="1" w:lastRow="0" w:firstColumn="1" w:lastColumn="0" w:noHBand="0" w:noVBand="1"/>
      </w:tblPr>
      <w:tblGrid>
        <w:gridCol w:w="9350"/>
      </w:tblGrid>
      <w:tr w:rsidR="0063267C" w:rsidRPr="00F00D94" w14:paraId="6C8B61C5" w14:textId="77777777" w:rsidTr="00E0350C">
        <w:tc>
          <w:tcPr>
            <w:tcW w:w="5000" w:type="pct"/>
          </w:tcPr>
          <w:p w14:paraId="4CD6AC5A"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4BD9D32" w14:textId="39A89BD1" w:rsidR="00BA169C" w:rsidRDefault="00AC7B25" w:rsidP="00BA169C">
            <w:pPr>
              <w:spacing w:after="240"/>
              <w:jc w:val="both"/>
              <w:rPr>
                <w:rFonts w:ascii="Arial" w:hAnsi="Arial" w:cs="Arial"/>
                <w:bCs/>
                <w:i/>
                <w:iCs/>
                <w:color w:val="002060"/>
                <w:sz w:val="20"/>
              </w:rPr>
            </w:pPr>
            <w:r>
              <w:rPr>
                <w:rFonts w:ascii="Arial" w:hAnsi="Arial" w:cs="Arial"/>
                <w:i/>
                <w:sz w:val="20"/>
                <w:szCs w:val="20"/>
              </w:rPr>
              <w:t xml:space="preserve">(Source: </w:t>
            </w:r>
            <w:r w:rsidR="00AC366B">
              <w:rPr>
                <w:rFonts w:ascii="Arial" w:hAnsi="Arial" w:cs="Arial"/>
                <w:i/>
                <w:sz w:val="20"/>
                <w:szCs w:val="20"/>
              </w:rPr>
              <w:t xml:space="preserve">2025 </w:t>
            </w:r>
            <w:r>
              <w:rPr>
                <w:rFonts w:ascii="Arial" w:hAnsi="Arial" w:cs="Arial"/>
                <w:i/>
                <w:sz w:val="20"/>
                <w:szCs w:val="20"/>
              </w:rPr>
              <w:t>OMB Compliance Supplement Part 3</w:t>
            </w:r>
            <w:r w:rsidR="00FD0E37">
              <w:rPr>
                <w:rFonts w:ascii="Arial" w:hAnsi="Arial" w:cs="Arial"/>
                <w:i/>
                <w:sz w:val="20"/>
                <w:szCs w:val="20"/>
              </w:rPr>
              <w:t>.2</w:t>
            </w:r>
            <w:r>
              <w:rPr>
                <w:rFonts w:ascii="Arial" w:hAnsi="Arial" w:cs="Arial"/>
                <w:i/>
                <w:sz w:val="20"/>
                <w:szCs w:val="20"/>
              </w:rPr>
              <w:t>)</w:t>
            </w:r>
          </w:p>
          <w:p w14:paraId="0E7DD396" w14:textId="0F70857A"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 xml:space="preserve">Eligibility for Individuals </w:t>
            </w:r>
          </w:p>
          <w:p w14:paraId="0C2AEC93" w14:textId="146E7586"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r>
            <w:r w:rsidR="00AC366B" w:rsidRPr="00AC366B">
              <w:rPr>
                <w:rFonts w:ascii="Arial" w:hAnsi="Arial" w:cs="Arial"/>
                <w:sz w:val="20"/>
              </w:rPr>
              <w:t>For some federal programs with a large number of people receiving benefits, the recipient or subrecipient may use a computer system for processing individual eligibility determinations and delivery of benefits. Often these computer systems are complex and will be separate from the recipient or subrecipient’s regular financial accounting system. Typical functions that a computer system used for determining eligibility may perform are:</w:t>
            </w:r>
          </w:p>
          <w:p w14:paraId="65C27707"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lastRenderedPageBreak/>
              <w:t>-</w:t>
            </w:r>
            <w:r w:rsidRPr="00F00D94">
              <w:rPr>
                <w:rFonts w:ascii="Arial" w:hAnsi="Arial" w:cs="Arial"/>
                <w:sz w:val="20"/>
              </w:rPr>
              <w:tab/>
              <w:t>Perform calculations to assist in determining who is eligible and the amount of benefits</w:t>
            </w:r>
          </w:p>
          <w:p w14:paraId="705D2726"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Pay benefits (e.g., write checks)</w:t>
            </w:r>
          </w:p>
          <w:p w14:paraId="40B3D451"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Maintain eligibility records, including information about each individual and benefits paid to or on behalf of the individual (regular payments, refunds, and adjustments)</w:t>
            </w:r>
          </w:p>
          <w:p w14:paraId="4DE4F679" w14:textId="19A1BAE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 xml:space="preserve">Track the period of time during which an individual is eligible to receive benefits, </w:t>
            </w:r>
            <w:r w:rsidR="00AC366B">
              <w:rPr>
                <w:rFonts w:ascii="Arial" w:hAnsi="Arial" w:cs="Arial"/>
                <w:sz w:val="20"/>
              </w:rPr>
              <w:t>(</w:t>
            </w:r>
            <w:r w:rsidRPr="00F00D94">
              <w:rPr>
                <w:rFonts w:ascii="Arial" w:hAnsi="Arial" w:cs="Arial"/>
                <w:sz w:val="20"/>
              </w:rPr>
              <w:t>i.e., from the beginning date of eligibility through the date when those benefits stop, generally at the end of a predetermined period, unless there is a redetermination of eligibility</w:t>
            </w:r>
            <w:r w:rsidR="00AC366B">
              <w:rPr>
                <w:rFonts w:ascii="Arial" w:hAnsi="Arial" w:cs="Arial"/>
                <w:sz w:val="20"/>
              </w:rPr>
              <w:t>)</w:t>
            </w:r>
            <w:r w:rsidRPr="00F00D94">
              <w:rPr>
                <w:rFonts w:ascii="Arial" w:hAnsi="Arial" w:cs="Arial"/>
                <w:sz w:val="20"/>
              </w:rPr>
              <w:t xml:space="preserve"> </w:t>
            </w:r>
          </w:p>
          <w:p w14:paraId="63D071F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matches with other computer databases to verify eligibility (e.g., matches to verify earnings or identify individuals who are deceased)</w:t>
            </w:r>
          </w:p>
          <w:p w14:paraId="4EB22F02"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Control who is authorized to approve benefits for eligible individuals (e.g., an employee may be approving benefits on-line and this process may be controlled by passwords or other access controls)</w:t>
            </w:r>
          </w:p>
          <w:p w14:paraId="24C244BB"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Produce exception reports indicating likely errors that need follow-up (e.g., when benefits exceed a certain amount, would not be appropriate for a particular classification of individuals, or are paid more frequently than normal)</w:t>
            </w:r>
          </w:p>
          <w:p w14:paraId="4BD38E14" w14:textId="04ECD350" w:rsidR="0063267C" w:rsidRPr="00F00D94" w:rsidRDefault="0063267C" w:rsidP="00AC366B">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 xml:space="preserve">Because of the diversity of computer systems, both hardware and software, it is not practical for this Supplement to provide suggested audit procedures to address each system.  However, generally accepted auditing standards provide guidance for the auditor when computer processing relates to accounting information that can materially affect the financial statements being audited.  Similarly, when eligibility is material to a major program, and a computer system is integral to eligibility compliance, the auditor should follow this guidance and consider the </w:t>
            </w:r>
            <w:r w:rsidR="00AC366B" w:rsidRPr="00FD0E37">
              <w:rPr>
                <w:rFonts w:ascii="Arial" w:hAnsi="Arial" w:cs="Arial"/>
                <w:sz w:val="20"/>
                <w:szCs w:val="20"/>
              </w:rPr>
              <w:t>recipient or subrecipient’s</w:t>
            </w:r>
            <w:r w:rsidR="00AC366B">
              <w:t xml:space="preserve"> </w:t>
            </w:r>
            <w:r w:rsidRPr="00F00D94">
              <w:rPr>
                <w:rFonts w:ascii="Arial" w:hAnsi="Arial" w:cs="Arial"/>
                <w:sz w:val="20"/>
              </w:rPr>
              <w:t>computer processing.</w:t>
            </w:r>
            <w:r w:rsidR="00AC366B">
              <w:rPr>
                <w:rFonts w:ascii="Arial" w:hAnsi="Arial" w:cs="Arial"/>
                <w:sz w:val="20"/>
              </w:rPr>
              <w:t xml:space="preserve"> </w:t>
            </w:r>
            <w:r w:rsidRPr="00F00D94">
              <w:rPr>
                <w:rFonts w:ascii="Arial" w:hAnsi="Arial" w:cs="Arial"/>
                <w:sz w:val="20"/>
              </w:rPr>
              <w:t>The auditor should perform audit procedures relative to the computer system for eligibility as necessary to support the opinion on compliance for the major program.  Due to the nature and controls of computer systems, the auditor may choose to perform these tests of the computer systems as part of testing the internal controls for eligibility.</w:t>
            </w:r>
          </w:p>
          <w:p w14:paraId="0DFE6E6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Split Eligibility Determination Functions</w:t>
            </w:r>
          </w:p>
          <w:p w14:paraId="74DF51A4" w14:textId="394AC27E"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r>
            <w:r w:rsidR="00AC366B" w:rsidRPr="00AC366B">
              <w:rPr>
                <w:rFonts w:ascii="Arial" w:hAnsi="Arial" w:cs="Arial"/>
                <w:i/>
                <w:sz w:val="20"/>
              </w:rPr>
              <w:t xml:space="preserve">Background – </w:t>
            </w:r>
            <w:r w:rsidR="00AC366B" w:rsidRPr="00FD0E37">
              <w:rPr>
                <w:rFonts w:ascii="Arial" w:hAnsi="Arial" w:cs="Arial"/>
                <w:iCs/>
                <w:sz w:val="20"/>
              </w:rPr>
              <w:t xml:space="preserve">Some recipient or subrecipient entities pay the federal benefits to the eligible participants but arrange with another entity to perform part or all of the eligibility determination. For example, a state arranges with local government social services agencies to perform the “intake function” (e.g., the meeting with the social services client to determine income and categorical eligibility), while the state maintains the computer systems supporting the eligibility determination process and actually pays the benefits to the participants. In such cases, the state is fully responsible for federal compliance for the eligibility determination, as the benefits are paid by the state. Moreover, the state shows the benefits paid as federal awards expended on the state’s Schedule of Expenditures of </w:t>
            </w:r>
            <w:r w:rsidR="007E77CE">
              <w:rPr>
                <w:rFonts w:ascii="Arial" w:hAnsi="Arial" w:cs="Arial"/>
                <w:iCs/>
                <w:sz w:val="20"/>
              </w:rPr>
              <w:t>f</w:t>
            </w:r>
            <w:r w:rsidR="00AC366B" w:rsidRPr="00FD0E37">
              <w:rPr>
                <w:rFonts w:ascii="Arial" w:hAnsi="Arial" w:cs="Arial"/>
                <w:iCs/>
                <w:sz w:val="20"/>
              </w:rPr>
              <w:t xml:space="preserve">ederal Awards. Therefore, the auditor of the state is responsible for meeting the internal control and compliance audit objectives for eligibility. This may require the auditor of the state to perform, coordinate, or arrange for additional procedures to ensure compliant eligibility determinations when another entity performs part of the eligibility determination functions. The </w:t>
            </w:r>
            <w:r w:rsidR="00AC366B" w:rsidRPr="00FD0E37">
              <w:rPr>
                <w:rFonts w:ascii="Arial" w:hAnsi="Arial" w:cs="Arial"/>
                <w:iCs/>
                <w:sz w:val="20"/>
              </w:rPr>
              <w:lastRenderedPageBreak/>
              <w:t>responsibility of the auditor of the state for auditing eligibility does not relieve the auditor of the other entity (e.g., local government) from responsibility for meeting those internal control and compliance audit objectives for eligibility that apply to the other entity’s responsibilities. An exception occurs when the auditor of the other entity confirms with the auditor of the state that certain procedures are not necessary.</w:t>
            </w:r>
          </w:p>
          <w:p w14:paraId="364BFF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Ensure that eligibility testing includes all benefit payments regardless of whether another entity, by arrangement, performs part of the eligibility determination functions. </w:t>
            </w:r>
          </w:p>
          <w:p w14:paraId="1C84AD4E" w14:textId="6B5B7D41"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r>
            <w:r w:rsidR="00AC366B" w:rsidRPr="00AC366B">
              <w:rPr>
                <w:rFonts w:ascii="Arial" w:hAnsi="Arial" w:cs="Arial"/>
                <w:sz w:val="20"/>
              </w:rPr>
              <w:t>Perform procedures to ascertain if the recipient or subrecipient’s records/database includes all individuals receiving benefits during the audit period (e.g., that the population of individuals receiving benefits is complete).</w:t>
            </w:r>
          </w:p>
          <w:p w14:paraId="28F94E6C"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Select a sample of individuals receiving benefits and perform tests to ascertain if </w:t>
            </w:r>
          </w:p>
          <w:p w14:paraId="7F424AD7" w14:textId="1423E116"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The required eligibility determinations and redeterminations, (including obtaining any required documentation/verifications) were performed and the individual was determined to be eligible in accordance with the compliance requirements of the program.  (Note that some programs have both initial and continuing eligibility requirements and the auditor should design and perform appropriate tests for both. Also, some programs require periodic redeterminations of eligibility, which should also be tested.)</w:t>
            </w:r>
          </w:p>
          <w:p w14:paraId="2D3E107E" w14:textId="77777777"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Benefits paid to or on behalf of the individuals were calculated correctly and in compliance with the requirements of the program.</w:t>
            </w:r>
          </w:p>
          <w:p w14:paraId="410B8B50"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Benefits were discontinued when the period of eligibility expired.</w:t>
            </w:r>
          </w:p>
          <w:p w14:paraId="72EC5839" w14:textId="2FE107B9"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r>
            <w:r w:rsidR="00AC366B" w:rsidRPr="00AC366B">
              <w:rPr>
                <w:rFonts w:ascii="Arial" w:hAnsi="Arial" w:cs="Arial"/>
                <w:sz w:val="20"/>
              </w:rPr>
              <w:t>In some programs, the recipient and subrecipient is required to use a quality control process to obtain assurances about eligibility. Review the quality control process and perform tests to ascertain if it is operating to effectively meet the objectives of the process and in compliance with applicable program requirements.</w:t>
            </w:r>
          </w:p>
          <w:p w14:paraId="70016C94" w14:textId="723A4FA8"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2.</w:t>
            </w:r>
            <w:r w:rsidRPr="00F00D94">
              <w:rPr>
                <w:rFonts w:ascii="Arial" w:hAnsi="Arial" w:cs="Arial"/>
                <w:sz w:val="20"/>
              </w:rPr>
              <w:tab/>
            </w:r>
            <w:r w:rsidRPr="00F00D94">
              <w:rPr>
                <w:rFonts w:ascii="Arial" w:hAnsi="Arial" w:cs="Arial"/>
                <w:i/>
                <w:sz w:val="20"/>
              </w:rPr>
              <w:t xml:space="preserve">Eligibility for Group of Individuals or Area of Service Delivery </w:t>
            </w:r>
            <w:r w:rsidR="00263E78" w:rsidRPr="00263E78">
              <w:rPr>
                <w:rFonts w:ascii="Arial" w:hAnsi="Arial" w:cs="Arial"/>
                <w:i/>
                <w:color w:val="002060"/>
                <w:sz w:val="20"/>
              </w:rPr>
              <w:t xml:space="preserve">– Not Applicable </w:t>
            </w:r>
          </w:p>
          <w:p w14:paraId="14990077" w14:textId="3A250A2C" w:rsidR="0063267C"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3.</w:t>
            </w:r>
            <w:r w:rsidRPr="00F00D94">
              <w:rPr>
                <w:rFonts w:ascii="Arial" w:hAnsi="Arial" w:cs="Arial"/>
                <w:sz w:val="20"/>
              </w:rPr>
              <w:tab/>
            </w:r>
            <w:r w:rsidRPr="00F00D94">
              <w:rPr>
                <w:rFonts w:ascii="Arial" w:hAnsi="Arial" w:cs="Arial"/>
                <w:i/>
                <w:sz w:val="20"/>
              </w:rPr>
              <w:t>Eligibility for Subrecipients</w:t>
            </w:r>
            <w:r w:rsidR="00263E78">
              <w:rPr>
                <w:rFonts w:ascii="Arial" w:hAnsi="Arial" w:cs="Arial"/>
                <w:i/>
                <w:sz w:val="20"/>
              </w:rPr>
              <w:t xml:space="preserve"> </w:t>
            </w:r>
            <w:r w:rsidR="00263E78" w:rsidRPr="00263E78">
              <w:rPr>
                <w:rFonts w:ascii="Arial" w:hAnsi="Arial" w:cs="Arial"/>
                <w:i/>
                <w:color w:val="002060"/>
                <w:sz w:val="20"/>
              </w:rPr>
              <w:t>– Not Applicable</w:t>
            </w:r>
          </w:p>
          <w:p w14:paraId="3C56E491" w14:textId="77777777" w:rsidR="0063267C" w:rsidRPr="00F00D94" w:rsidRDefault="0063267C" w:rsidP="00263E78">
            <w:pPr>
              <w:pBdr>
                <w:top w:val="single" w:sz="6" w:space="0" w:color="FFFFFF"/>
                <w:left w:val="single" w:sz="6" w:space="0" w:color="FFFFFF"/>
                <w:bottom w:val="single" w:sz="6" w:space="0" w:color="FFFFFF"/>
                <w:right w:val="single" w:sz="6" w:space="0" w:color="FFFFFF"/>
              </w:pBdr>
              <w:spacing w:after="240"/>
              <w:ind w:left="1440" w:hanging="720"/>
              <w:jc w:val="both"/>
              <w:rPr>
                <w:rFonts w:cs="Arial"/>
                <w:b/>
              </w:rPr>
            </w:pPr>
          </w:p>
        </w:tc>
      </w:tr>
    </w:tbl>
    <w:p w14:paraId="3A32AD4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0A8533EF" w14:textId="77777777" w:rsidR="005578EC" w:rsidRPr="00220BD0" w:rsidRDefault="005578EC" w:rsidP="006672EA">
      <w:pPr>
        <w:pStyle w:val="Heading3"/>
        <w:jc w:val="both"/>
        <w:rPr>
          <w:rFonts w:cs="Arial"/>
          <w:b w:val="0"/>
          <w:sz w:val="24"/>
          <w:szCs w:val="24"/>
        </w:rPr>
      </w:pPr>
      <w:bookmarkStart w:id="51" w:name="_Toc212473115"/>
      <w:r w:rsidRPr="00220BD0">
        <w:rPr>
          <w:rFonts w:cs="Arial"/>
          <w:sz w:val="24"/>
          <w:szCs w:val="24"/>
        </w:rPr>
        <w:t>Audit Implications Summary</w:t>
      </w:r>
      <w:bookmarkEnd w:id="51"/>
    </w:p>
    <w:tbl>
      <w:tblPr>
        <w:tblStyle w:val="TableGrid"/>
        <w:tblW w:w="5000" w:type="pct"/>
        <w:tblLook w:val="04A0" w:firstRow="1" w:lastRow="0" w:firstColumn="1" w:lastColumn="0" w:noHBand="0" w:noVBand="1"/>
      </w:tblPr>
      <w:tblGrid>
        <w:gridCol w:w="9350"/>
      </w:tblGrid>
      <w:tr w:rsidR="005578EC" w:rsidRPr="00F00D94" w14:paraId="4C2B3BE7" w14:textId="77777777" w:rsidTr="00E0350C">
        <w:tc>
          <w:tcPr>
            <w:tcW w:w="5000" w:type="pct"/>
          </w:tcPr>
          <w:p w14:paraId="056DBACC" w14:textId="36D14C9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8A8BE45" w14:textId="2430F9E6"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1A3EF3C" w14:textId="681CD4B7" w:rsidR="005578EC" w:rsidRPr="006E46AD" w:rsidRDefault="005578EC" w:rsidP="008B4BCE">
            <w:pPr>
              <w:pStyle w:val="ListParagraph"/>
              <w:widowControl w:val="0"/>
              <w:numPr>
                <w:ilvl w:val="0"/>
                <w:numId w:val="18"/>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491DB128" w14:textId="77777777" w:rsidR="005578EC" w:rsidRPr="006E46AD" w:rsidRDefault="005578EC" w:rsidP="006672EA">
            <w:pPr>
              <w:widowControl w:val="0"/>
              <w:spacing w:after="240"/>
              <w:ind w:left="720"/>
              <w:jc w:val="both"/>
              <w:rPr>
                <w:rFonts w:ascii="Arial" w:hAnsi="Arial" w:cs="Arial"/>
                <w:b/>
                <w:sz w:val="20"/>
                <w:szCs w:val="20"/>
              </w:rPr>
            </w:pPr>
          </w:p>
          <w:p w14:paraId="132215A3" w14:textId="77777777" w:rsidR="005578EC" w:rsidRPr="006E46AD" w:rsidRDefault="005578EC" w:rsidP="008B4BCE">
            <w:pPr>
              <w:widowControl w:val="0"/>
              <w:numPr>
                <w:ilvl w:val="0"/>
                <w:numId w:val="1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DA4DA58" w14:textId="77777777" w:rsidR="005578EC" w:rsidRPr="00F00D94" w:rsidRDefault="005578EC" w:rsidP="006672EA">
            <w:pPr>
              <w:pStyle w:val="ListParagraph"/>
              <w:spacing w:after="240"/>
              <w:jc w:val="both"/>
              <w:rPr>
                <w:rFonts w:ascii="Arial" w:hAnsi="Arial" w:cs="Arial"/>
                <w:b/>
              </w:rPr>
            </w:pPr>
          </w:p>
          <w:p w14:paraId="58592A6C" w14:textId="0EEE6389" w:rsidR="005578EC" w:rsidRPr="00F00D94" w:rsidRDefault="005578EC" w:rsidP="008B4BCE">
            <w:pPr>
              <w:widowControl w:val="0"/>
              <w:numPr>
                <w:ilvl w:val="0"/>
                <w:numId w:val="18"/>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9C6726">
              <w:rPr>
                <w:rFonts w:ascii="Arial" w:hAnsi="Arial" w:cs="Arial"/>
                <w:b/>
                <w:sz w:val="20"/>
              </w:rPr>
              <w:t xml:space="preserve"> Test</w:t>
            </w:r>
            <w:r w:rsidRPr="00F00D94">
              <w:rPr>
                <w:rFonts w:ascii="Arial" w:hAnsi="Arial" w:cs="Arial"/>
                <w:b/>
                <w:sz w:val="20"/>
              </w:rPr>
              <w:t xml:space="preserve"> including Sample Size:</w:t>
            </w:r>
          </w:p>
          <w:p w14:paraId="6FBD63DF" w14:textId="77777777" w:rsidR="005578EC" w:rsidRPr="00F00D94" w:rsidRDefault="005578EC" w:rsidP="006672EA">
            <w:pPr>
              <w:pStyle w:val="ListParagraph"/>
              <w:spacing w:after="240"/>
              <w:jc w:val="both"/>
              <w:rPr>
                <w:rFonts w:ascii="Arial" w:hAnsi="Arial" w:cs="Arial"/>
                <w:b/>
              </w:rPr>
            </w:pPr>
          </w:p>
          <w:p w14:paraId="4FAD5EC4" w14:textId="6A6D250E" w:rsidR="005578EC" w:rsidRPr="00F00D94" w:rsidRDefault="005578EC" w:rsidP="008B4BCE">
            <w:pPr>
              <w:widowControl w:val="0"/>
              <w:numPr>
                <w:ilvl w:val="0"/>
                <w:numId w:val="1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9196FAD" w14:textId="77777777" w:rsidR="005578EC" w:rsidRPr="00F00D94" w:rsidRDefault="005578EC" w:rsidP="006672EA">
            <w:pPr>
              <w:pStyle w:val="ListParagraph"/>
              <w:spacing w:after="240"/>
              <w:jc w:val="both"/>
              <w:rPr>
                <w:rFonts w:ascii="Arial" w:hAnsi="Arial" w:cs="Arial"/>
                <w:b/>
              </w:rPr>
            </w:pPr>
          </w:p>
          <w:p w14:paraId="6FDE1DF4" w14:textId="77777777" w:rsidR="005578EC" w:rsidRPr="00F00D94" w:rsidRDefault="005578EC" w:rsidP="008B4BCE">
            <w:pPr>
              <w:widowControl w:val="0"/>
              <w:numPr>
                <w:ilvl w:val="0"/>
                <w:numId w:val="1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301F3D" w14:textId="77777777" w:rsidR="005578EC" w:rsidRPr="00F00D94" w:rsidRDefault="005578EC" w:rsidP="006672EA">
            <w:pPr>
              <w:pStyle w:val="APStepItem"/>
              <w:numPr>
                <w:ilvl w:val="0"/>
                <w:numId w:val="0"/>
              </w:numPr>
              <w:spacing w:after="240"/>
              <w:rPr>
                <w:rFonts w:cs="Arial"/>
                <w:b/>
                <w:szCs w:val="20"/>
              </w:rPr>
            </w:pPr>
          </w:p>
        </w:tc>
      </w:tr>
    </w:tbl>
    <w:p w14:paraId="31A5F778"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59"/>
          <w:pgSz w:w="12240" w:h="15840" w:code="1"/>
          <w:pgMar w:top="1440" w:right="1440" w:bottom="1440" w:left="1440" w:header="720" w:footer="720" w:gutter="0"/>
          <w:cols w:space="720"/>
          <w:noEndnote/>
        </w:sectPr>
      </w:pPr>
    </w:p>
    <w:p w14:paraId="7F30FCD6" w14:textId="77777777" w:rsidR="007E5B12" w:rsidRPr="00220BD0" w:rsidRDefault="007E5B12" w:rsidP="006672EA">
      <w:pPr>
        <w:pStyle w:val="Heading2"/>
        <w:jc w:val="both"/>
        <w:rPr>
          <w:rFonts w:cs="Arial"/>
          <w:sz w:val="24"/>
        </w:rPr>
      </w:pPr>
      <w:bookmarkStart w:id="52" w:name="_Toc442267699"/>
      <w:bookmarkStart w:id="53" w:name="_Toc212473116"/>
      <w:r w:rsidRPr="00220BD0">
        <w:rPr>
          <w:rFonts w:cs="Arial"/>
          <w:sz w:val="24"/>
        </w:rPr>
        <w:lastRenderedPageBreak/>
        <w:t>I.  PROCUREMENT AND SUSPENSION AND DEBARMENT</w:t>
      </w:r>
      <w:bookmarkEnd w:id="52"/>
      <w:bookmarkEnd w:id="53"/>
    </w:p>
    <w:p w14:paraId="1560ABE2" w14:textId="77777777" w:rsidR="00DC3468" w:rsidRPr="00220BD0" w:rsidRDefault="004655E0" w:rsidP="006672EA">
      <w:pPr>
        <w:pStyle w:val="Heading3"/>
        <w:jc w:val="both"/>
        <w:rPr>
          <w:rFonts w:cs="Arial"/>
          <w:sz w:val="24"/>
          <w:szCs w:val="24"/>
        </w:rPr>
      </w:pPr>
      <w:bookmarkStart w:id="54" w:name="_Toc212473117"/>
      <w:r w:rsidRPr="00220BD0">
        <w:rPr>
          <w:rFonts w:cs="Arial"/>
          <w:sz w:val="24"/>
          <w:szCs w:val="24"/>
        </w:rPr>
        <w:t xml:space="preserve">OMB </w:t>
      </w:r>
      <w:r w:rsidR="00DC3468" w:rsidRPr="00220BD0">
        <w:rPr>
          <w:rFonts w:cs="Arial"/>
          <w:sz w:val="24"/>
          <w:szCs w:val="24"/>
        </w:rPr>
        <w:t xml:space="preserve">Compliance Requirements </w:t>
      </w:r>
      <w:r w:rsidR="009A0AA4" w:rsidRPr="00220BD0">
        <w:rPr>
          <w:rFonts w:cs="Arial"/>
          <w:sz w:val="24"/>
          <w:szCs w:val="24"/>
        </w:rPr>
        <w:t>–</w:t>
      </w:r>
      <w:r w:rsidR="00DC3468" w:rsidRPr="00220BD0">
        <w:rPr>
          <w:rFonts w:cs="Arial"/>
          <w:sz w:val="24"/>
          <w:szCs w:val="24"/>
        </w:rPr>
        <w:t xml:space="preserve"> Procurement</w:t>
      </w:r>
      <w:bookmarkEnd w:id="54"/>
    </w:p>
    <w:p w14:paraId="2406096B" w14:textId="3A14ACF3" w:rsidR="00DC3468" w:rsidRPr="000F1417" w:rsidRDefault="00DC3468"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0F1417">
        <w:rPr>
          <w:rFonts w:ascii="Arial" w:hAnsi="Arial" w:cs="Arial"/>
          <w:b/>
          <w:i/>
          <w:iCs/>
        </w:rPr>
        <w:t>Procurement—Grants and Cooperative Agreements</w:t>
      </w:r>
    </w:p>
    <w:p w14:paraId="16A410EF" w14:textId="2762BFD3" w:rsidR="00DC3468" w:rsidRPr="00F00D94" w:rsidRDefault="000F1417"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0F1417">
        <w:rPr>
          <w:rFonts w:ascii="Arial" w:hAnsi="Arial" w:cs="Arial"/>
          <w:i/>
        </w:rPr>
        <w:t>Recipients and Subrecipients-Other than States and Indian Tribes</w:t>
      </w:r>
    </w:p>
    <w:p w14:paraId="68165C40" w14:textId="2A52966D" w:rsidR="000F1417" w:rsidRPr="00EA6EC8" w:rsidRDefault="000F1417" w:rsidP="00EA6EC8">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A6EC8">
        <w:rPr>
          <w:rFonts w:ascii="Arial" w:hAnsi="Arial" w:cs="Arial"/>
        </w:rPr>
        <w:t>Recipients and Subrecipients other than states and Indian Tribes, including those operating federal programs as subrecipients of states and Indian Tribes, must follow the procurement standards set out at 2 CFR 200.318 through 200.327. They must use their own documented procurement procedures, which reflect applicable state and local laws and regulations, or tribal laws and procedures, provided that the procurements conform to applicable federal statutes and the procurement requirements identified in 2 CFR Part 200. A recipient or subrecipient must:</w:t>
      </w:r>
    </w:p>
    <w:p w14:paraId="791A69CE" w14:textId="77777777" w:rsidR="000F1417" w:rsidRDefault="000F1417" w:rsidP="008B4BCE">
      <w:pPr>
        <w:pStyle w:val="ListParagraph"/>
        <w:numPr>
          <w:ilvl w:val="0"/>
          <w:numId w:val="38"/>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Meet the general procurement standards in 2 CFR 200.318, which include oversight of contractors’ performance, maintaining written standards of conduct for employees involved in contracting, awarding contracts only to responsible contractors, and maintaining records to document history of procurements.</w:t>
      </w:r>
    </w:p>
    <w:p w14:paraId="1F4401C7" w14:textId="77777777" w:rsidR="000F1417" w:rsidRDefault="000F1417" w:rsidP="008B4BCE">
      <w:pPr>
        <w:pStyle w:val="ListParagraph"/>
        <w:numPr>
          <w:ilvl w:val="0"/>
          <w:numId w:val="38"/>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Conduct all procurement transactions in a manner providing full and open competition, in accordance with 2 CFR 200.319.</w:t>
      </w:r>
    </w:p>
    <w:p w14:paraId="3A6842F7" w14:textId="77777777" w:rsidR="000F1417" w:rsidRDefault="000F1417" w:rsidP="008B4BCE">
      <w:pPr>
        <w:pStyle w:val="ListParagraph"/>
        <w:numPr>
          <w:ilvl w:val="0"/>
          <w:numId w:val="38"/>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Use the micro-purchase and simplified acquisitions methods only for procurements that meet the applicable criteria under 2 CFR 200.320(a)(1) and (2). Under the micro- purchase method, the aggregate dollar amount does not exceed $10,000 ($2,000 in the case of acquisition for construction subject to the Wage Rate Requirements (Davis-Bacon Act)), unless the recipient established a higher threshold in accordance with 2 CFR 200.320(a)(1)(iv) and (v). Simplified acquisitions procedures are used for purchases that exceed the micro-purchase amount but do not exceed the simplified acquisition threshold ($250,000). Micro-purchases may be awarded without soliciting competitive quotations if the recipient or subrecipient considers the price to be reasonable (2 CFR 200.320(a)(1)). If simplified acquisitions procedures are used, price or rate quotations must be obtained from an adequate number of qualified sources (2 CFR 200.320(a)(2)(i)).</w:t>
      </w:r>
    </w:p>
    <w:p w14:paraId="1D3E948C" w14:textId="2AF907EC" w:rsidR="00437101" w:rsidRDefault="00437101" w:rsidP="00437101">
      <w:pPr>
        <w:pStyle w:val="ListParagraph"/>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34C78">
        <w:rPr>
          <w:rFonts w:ascii="Arial" w:hAnsi="Arial" w:cs="Arial"/>
          <w:i/>
          <w:iCs/>
          <w:color w:val="002060"/>
        </w:rPr>
        <w:t>The Federal Acquisition Regulation (FAR) was updated</w:t>
      </w:r>
      <w:r>
        <w:rPr>
          <w:rFonts w:ascii="Arial" w:hAnsi="Arial" w:cs="Arial"/>
          <w:i/>
          <w:iCs/>
          <w:color w:val="002060"/>
        </w:rPr>
        <w:t xml:space="preserve"> effective</w:t>
      </w:r>
      <w:r w:rsidRPr="00434C78">
        <w:rPr>
          <w:rFonts w:ascii="Arial" w:hAnsi="Arial" w:cs="Arial"/>
          <w:i/>
          <w:iCs/>
          <w:color w:val="002060"/>
        </w:rPr>
        <w:t xml:space="preserve"> October 1, 2025 to</w:t>
      </w:r>
      <w:r>
        <w:rPr>
          <w:rFonts w:ascii="Arial" w:hAnsi="Arial" w:cs="Arial"/>
          <w:i/>
          <w:iCs/>
          <w:color w:val="002060"/>
        </w:rPr>
        <w:t xml:space="preserve"> increase</w:t>
      </w:r>
      <w:r w:rsidRPr="00434C78">
        <w:rPr>
          <w:rFonts w:ascii="Arial" w:hAnsi="Arial" w:cs="Arial"/>
          <w:i/>
          <w:iCs/>
          <w:color w:val="002060"/>
        </w:rPr>
        <w:t xml:space="preserve"> the micro-purchase and simplified acquisition thresholds. Under the </w:t>
      </w:r>
      <w:r>
        <w:rPr>
          <w:rFonts w:ascii="Arial" w:hAnsi="Arial" w:cs="Arial"/>
          <w:i/>
          <w:iCs/>
          <w:color w:val="002060"/>
        </w:rPr>
        <w:t>revised</w:t>
      </w:r>
      <w:r w:rsidRPr="00434C78">
        <w:rPr>
          <w:rFonts w:ascii="Arial" w:hAnsi="Arial" w:cs="Arial"/>
          <w:i/>
          <w:iCs/>
          <w:color w:val="002060"/>
        </w:rPr>
        <w:t xml:space="preserve"> FAR, the micro-purchase threshold is $15,000 and the simplified acquisition threshold is $350,000.</w:t>
      </w:r>
      <w:r>
        <w:rPr>
          <w:rFonts w:ascii="Arial" w:hAnsi="Arial" w:cs="Arial"/>
          <w:i/>
          <w:iCs/>
          <w:color w:val="002060"/>
        </w:rPr>
        <w:t xml:space="preserve"> See </w:t>
      </w:r>
      <w:r w:rsidRPr="007262D9">
        <w:rPr>
          <w:rFonts w:ascii="Arial" w:hAnsi="Arial" w:cs="Arial"/>
          <w:i/>
          <w:iCs/>
          <w:color w:val="002060"/>
        </w:rPr>
        <w:t>48 CFR Subpart 2.1, “Definitions”</w:t>
      </w:r>
      <w:r>
        <w:rPr>
          <w:rFonts w:ascii="Arial" w:hAnsi="Arial" w:cs="Arial"/>
          <w:i/>
          <w:iCs/>
          <w:color w:val="002060"/>
        </w:rPr>
        <w:t>.</w:t>
      </w:r>
    </w:p>
    <w:p w14:paraId="4CCA3F59" w14:textId="3D618F17" w:rsidR="000F1417" w:rsidRDefault="000F1417" w:rsidP="008B4BCE">
      <w:pPr>
        <w:pStyle w:val="ListParagraph"/>
        <w:numPr>
          <w:ilvl w:val="0"/>
          <w:numId w:val="38"/>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For acquisitions exceeding the simplified acquisition threshold, the recipient or subrecipient must use one of the following procurement methods: the sealed bid method if the acquisition meets the criteria in 2 CFR 200.320(b)(1); the competitive proposals method under the conditions specified in 2 CFR 200.320(b)(2); or the noncompetitive</w:t>
      </w:r>
      <w:r>
        <w:rPr>
          <w:rFonts w:ascii="Arial" w:hAnsi="Arial" w:cs="Arial"/>
        </w:rPr>
        <w:t xml:space="preserve"> </w:t>
      </w:r>
      <w:r w:rsidRPr="000F1417">
        <w:rPr>
          <w:rFonts w:ascii="Arial" w:hAnsi="Arial" w:cs="Arial"/>
        </w:rPr>
        <w:t>procurement method (i.e., solicit a proposal from only one source) but only when one or more of five circumstances are met, in accordance with 2 CFR 200.320(c)).</w:t>
      </w:r>
    </w:p>
    <w:p w14:paraId="2F0AB23B" w14:textId="77777777" w:rsidR="000F1417" w:rsidRDefault="000F1417" w:rsidP="008B4BCE">
      <w:pPr>
        <w:pStyle w:val="ListParagraph"/>
        <w:numPr>
          <w:ilvl w:val="0"/>
          <w:numId w:val="38"/>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Perform a cost or price analysis in connection with every procurement transaction, including contract modifications, in excess of the simplified acquisition threshold (2 CFR 200.324(a)). The cost plus a percentage of cost and percentage of construction cost methods of contracting must not be used (2 CFR 200.324(c)).</w:t>
      </w:r>
    </w:p>
    <w:p w14:paraId="36F05385" w14:textId="3F23D1E5" w:rsidR="000F1417" w:rsidRPr="000F1417" w:rsidRDefault="000F1417" w:rsidP="008B4BCE">
      <w:pPr>
        <w:pStyle w:val="ListParagraph"/>
        <w:numPr>
          <w:ilvl w:val="0"/>
          <w:numId w:val="38"/>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Ensure that every purchase order or other contract made by a </w:t>
      </w:r>
      <w:r w:rsidR="00D74A1B">
        <w:rPr>
          <w:rFonts w:ascii="Arial" w:hAnsi="Arial" w:cs="Arial"/>
        </w:rPr>
        <w:t>recipient or subrecipient</w:t>
      </w:r>
      <w:r w:rsidRPr="000F1417">
        <w:rPr>
          <w:rFonts w:ascii="Arial" w:hAnsi="Arial" w:cs="Arial"/>
        </w:rPr>
        <w:t xml:space="preserve">  includes applicable provisions required by 2 CFR 200.327. These provisions are described in Appendix II to 2 CFR Part 200, “Contract Provisions for Contracts Under Federal Awards.”</w:t>
      </w:r>
    </w:p>
    <w:p w14:paraId="1DA39CE2" w14:textId="62BB47BC" w:rsidR="00DE21C2" w:rsidRPr="00DE21C2" w:rsidRDefault="000F1417"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i/>
          <w:iCs/>
        </w:rPr>
      </w:pPr>
      <w:r w:rsidRPr="000F1417">
        <w:rPr>
          <w:rFonts w:ascii="Arial" w:hAnsi="Arial" w:cs="Arial"/>
          <w:i/>
          <w:iCs/>
        </w:rPr>
        <w:lastRenderedPageBreak/>
        <w:t>All Recipients and Subrecipients</w:t>
      </w:r>
    </w:p>
    <w:p w14:paraId="18780656" w14:textId="78C82A6A"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Under Section 70914 of the Build America, Buy America (BABA) Act each covered federal agency must ensure that “none of the funds made available for a federal financial assistance program for infrastructure may be obligated for a project unless all of the iron, steel, manufactured products, and construction materials used in the project are produced in the United States.”</w:t>
      </w:r>
    </w:p>
    <w:p w14:paraId="4F97DD72" w14:textId="19FADB98"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Effective May 14, 2022, the recipient or subrecipient must comply with BABA requirements for all applicable federal awards subject to those requirements. For the definition of “infrastructure project” and further information on federal awards subject to BABA requirements, see </w:t>
      </w:r>
      <w:hyperlink r:id="rId60">
        <w:r w:rsidRPr="000F1417">
          <w:rPr>
            <w:rFonts w:ascii="Arial" w:hAnsi="Arial" w:cs="Arial"/>
            <w:color w:val="2D74B5"/>
            <w:u w:val="single" w:color="2D74B5"/>
          </w:rPr>
          <w:t>IIJA</w:t>
        </w:r>
      </w:hyperlink>
      <w:r w:rsidRPr="000F1417">
        <w:rPr>
          <w:rFonts w:ascii="Arial" w:hAnsi="Arial" w:cs="Arial"/>
        </w:rPr>
        <w:t xml:space="preserve"> section 70912(4)-(5) and 70914</w:t>
      </w:r>
      <w:hyperlink r:id="rId61" w:history="1">
        <w:r w:rsidRPr="00716831">
          <w:rPr>
            <w:rStyle w:val="Hyperlink"/>
            <w:rFonts w:cs="Arial"/>
          </w:rPr>
          <w:t>,</w:t>
        </w:r>
        <w:bookmarkStart w:id="55" w:name="_Hlk209508736"/>
        <w:r w:rsidR="00716831" w:rsidRPr="00716831">
          <w:rPr>
            <w:rStyle w:val="Hyperlink"/>
            <w:rFonts w:ascii="Times New Roman" w:hAnsi="Times New Roman"/>
          </w:rPr>
          <w:t xml:space="preserve"> </w:t>
        </w:r>
        <w:bookmarkEnd w:id="55"/>
        <w:r w:rsidR="00716831" w:rsidRPr="00716831">
          <w:rPr>
            <w:rStyle w:val="Hyperlink"/>
            <w:rFonts w:cs="Arial"/>
          </w:rPr>
          <w:t>2 CFR part 184</w:t>
        </w:r>
      </w:hyperlink>
      <w:r w:rsidRPr="000F1417">
        <w:rPr>
          <w:rFonts w:ascii="Arial" w:hAnsi="Arial" w:cs="Arial"/>
        </w:rPr>
        <w:t xml:space="preserve">, and OMB Memorandum </w:t>
      </w:r>
      <w:hyperlink r:id="rId62" w:history="1">
        <w:r w:rsidRPr="00716831">
          <w:rPr>
            <w:rStyle w:val="Hyperlink"/>
            <w:rFonts w:cs="Arial"/>
          </w:rPr>
          <w:t>M-24-02</w:t>
        </w:r>
      </w:hyperlink>
      <w:r w:rsidRPr="000F1417">
        <w:rPr>
          <w:rFonts w:ascii="Arial" w:hAnsi="Arial" w:cs="Arial"/>
        </w:rPr>
        <w:t xml:space="preserve">. The recipient or subrecipient must ensure that the following conditions are met for any funds (including </w:t>
      </w:r>
      <w:r w:rsidR="007E77CE">
        <w:rPr>
          <w:rFonts w:ascii="Arial" w:hAnsi="Arial" w:cs="Arial"/>
        </w:rPr>
        <w:t>f</w:t>
      </w:r>
      <w:r w:rsidRPr="000F1417">
        <w:rPr>
          <w:rFonts w:ascii="Arial" w:hAnsi="Arial" w:cs="Arial"/>
        </w:rPr>
        <w:t>ederal funds and non-</w:t>
      </w:r>
      <w:r w:rsidR="007E77CE">
        <w:rPr>
          <w:rFonts w:ascii="Arial" w:hAnsi="Arial" w:cs="Arial"/>
        </w:rPr>
        <w:t>f</w:t>
      </w:r>
      <w:r w:rsidRPr="000F1417">
        <w:rPr>
          <w:rFonts w:ascii="Arial" w:hAnsi="Arial" w:cs="Arial"/>
        </w:rPr>
        <w:t>ederal funds) used for an infrastructure project that receives a federal award subject to BABA requirements:</w:t>
      </w:r>
    </w:p>
    <w:p w14:paraId="24A59C59" w14:textId="77777777" w:rsidR="000F1417" w:rsidRDefault="000F1417" w:rsidP="008B4BCE">
      <w:pPr>
        <w:pStyle w:val="ListParagraph"/>
        <w:numPr>
          <w:ilvl w:val="0"/>
          <w:numId w:val="39"/>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iron and steel used in the project are produced in the United States;</w:t>
      </w:r>
    </w:p>
    <w:p w14:paraId="319E6E37" w14:textId="77777777" w:rsidR="000F1417" w:rsidRDefault="000F1417" w:rsidP="008B4BCE">
      <w:pPr>
        <w:pStyle w:val="ListParagraph"/>
        <w:numPr>
          <w:ilvl w:val="0"/>
          <w:numId w:val="39"/>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manufactured products used in the project are produced in the United States; and</w:t>
      </w:r>
    </w:p>
    <w:p w14:paraId="3DD5510E" w14:textId="40F978BB" w:rsidR="000F1417" w:rsidRPr="000F1417" w:rsidRDefault="000F1417" w:rsidP="008B4BCE">
      <w:pPr>
        <w:pStyle w:val="ListParagraph"/>
        <w:numPr>
          <w:ilvl w:val="0"/>
          <w:numId w:val="39"/>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construction materials are manufactured in the United States.</w:t>
      </w:r>
    </w:p>
    <w:p w14:paraId="217D45A2" w14:textId="2A935A42"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The recipient or subrecipient must also incorporate these Buy America Preference requirements in all applicable subawards, contracts, and purchase orders for the work performed, or products supplied under a </w:t>
      </w:r>
      <w:r w:rsidR="007E77CE">
        <w:rPr>
          <w:rFonts w:ascii="Arial" w:hAnsi="Arial" w:cs="Arial"/>
        </w:rPr>
        <w:t>f</w:t>
      </w:r>
      <w:r w:rsidRPr="000F1417">
        <w:rPr>
          <w:rFonts w:ascii="Arial" w:hAnsi="Arial" w:cs="Arial"/>
        </w:rPr>
        <w:t>ederal award with an infrastructure project.</w:t>
      </w:r>
    </w:p>
    <w:p w14:paraId="3774A13D" w14:textId="66B07C65"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Important Notes:</w:t>
      </w:r>
    </w:p>
    <w:p w14:paraId="7A727D91" w14:textId="753EDBB3"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0F1417">
        <w:rPr>
          <w:rFonts w:ascii="Arial" w:hAnsi="Arial" w:cs="Arial"/>
        </w:rPr>
        <w:t>•</w:t>
      </w:r>
      <w:r w:rsidRPr="000F1417">
        <w:rPr>
          <w:rFonts w:ascii="Arial" w:hAnsi="Arial" w:cs="Arial"/>
        </w:rPr>
        <w:tab/>
        <w:t>A recipient or subrecipient must comply with the BABA requirements to the extent that the recipient or subrecipient has been informed of these requirements, such as through the award terms and conditions.</w:t>
      </w:r>
    </w:p>
    <w:p w14:paraId="4BBE992E" w14:textId="2B5AE2B7" w:rsidR="000F1417" w:rsidRPr="00F00D94" w:rsidRDefault="000F1417" w:rsidP="000F1417">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0F1417">
        <w:rPr>
          <w:rFonts w:ascii="Arial" w:hAnsi="Arial" w:cs="Arial"/>
        </w:rPr>
        <w:t>•</w:t>
      </w:r>
      <w:r w:rsidRPr="000F1417">
        <w:rPr>
          <w:rFonts w:ascii="Arial" w:hAnsi="Arial" w:cs="Arial"/>
        </w:rPr>
        <w:tab/>
        <w:t xml:space="preserve">Several federal agencies, in consultation with OMB, issued “waivers” as an exception from or waiver of the Made in America laws. For a listing of waivers by agency </w:t>
      </w:r>
      <w:r w:rsidR="00572EAD" w:rsidRPr="00572EAD">
        <w:rPr>
          <w:rFonts w:ascii="Arial" w:hAnsi="Arial" w:cs="Arial"/>
          <w:i/>
          <w:iCs/>
          <w:color w:val="002060"/>
        </w:rPr>
        <w:t>and</w:t>
      </w:r>
      <w:r w:rsidR="00572EAD" w:rsidRPr="00572EAD">
        <w:rPr>
          <w:rFonts w:ascii="Arial" w:hAnsi="Arial" w:cs="Arial"/>
          <w:color w:val="002060"/>
        </w:rPr>
        <w:t xml:space="preserve"> </w:t>
      </w:r>
      <w:r w:rsidRPr="000F1417">
        <w:rPr>
          <w:rFonts w:ascii="Arial" w:hAnsi="Arial" w:cs="Arial"/>
        </w:rPr>
        <w:t xml:space="preserve">by category see </w:t>
      </w:r>
      <w:hyperlink r:id="rId63" w:history="1">
        <w:r w:rsidR="00572EAD" w:rsidRPr="00BB65DA">
          <w:rPr>
            <w:rStyle w:val="Hyperlink"/>
            <w:rFonts w:cs="Arial"/>
          </w:rPr>
          <w:t>https://www.madeinamerica.gov/waivers</w:t>
        </w:r>
      </w:hyperlink>
      <w:r w:rsidRPr="000F1417">
        <w:rPr>
          <w:rFonts w:ascii="Arial" w:hAnsi="Arial" w:cs="Arial"/>
        </w:rPr>
        <w:t>. If additional information is needed, see the agency contact found in Appendix III.</w:t>
      </w:r>
    </w:p>
    <w:p w14:paraId="16BE6B59" w14:textId="77777777" w:rsidR="00DC3468" w:rsidRPr="00F00D94" w:rsidRDefault="00DC3468" w:rsidP="006672EA">
      <w:pPr>
        <w:spacing w:after="240"/>
        <w:jc w:val="both"/>
        <w:rPr>
          <w:rFonts w:ascii="Arial" w:hAnsi="Arial" w:cs="Arial"/>
          <w:b/>
          <w:i/>
        </w:rPr>
      </w:pPr>
      <w:r w:rsidRPr="00F00D94">
        <w:rPr>
          <w:rFonts w:ascii="Arial" w:hAnsi="Arial" w:cs="Arial"/>
          <w:b/>
          <w:i/>
        </w:rPr>
        <w:t>Procurement—Cost-Reimbursement Contracts</w:t>
      </w:r>
      <w:r w:rsidR="00FC4DA6" w:rsidRPr="00F00D94">
        <w:rPr>
          <w:rFonts w:ascii="Arial" w:hAnsi="Arial" w:cs="Arial"/>
          <w:b/>
          <w:i/>
        </w:rPr>
        <w:t xml:space="preserve"> under the Federal Acquisition Regulation</w:t>
      </w:r>
    </w:p>
    <w:p w14:paraId="3E02D823" w14:textId="7DD3CD7B" w:rsidR="00716831" w:rsidRPr="00716831"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t>When awarding subcontracts, contractors receiving cost-reimbursement contracts under the FAR must comply with the clauses at 48 CFR 52.244-2 (consent to subcontract), 52.244-5 (competition), 52.203-13 (code of business ethics), 52.203-16 (conflicts of interest), and 52.215.12 (cost or pricing data); and the terms and conditions of the contract. The FAR defines “subcontracts” as a contract, i.e., a mutually binding legal relationship obligating the seller to furnish the supplies or services (including construction) and the buyer to pay for them, entered into by a subcontractor to furnish supplies or services for performance of a prime contract or a subcontract. It includes, but is not limited to, purchase orders, and changes and modifications to purchase orders.</w:t>
      </w:r>
    </w:p>
    <w:p w14:paraId="18BFA49F"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 Procurement </w:t>
      </w:r>
    </w:p>
    <w:p w14:paraId="0879DBDF" w14:textId="3B4093C7" w:rsidR="00716831" w:rsidRPr="00716831"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t>The requirements that apply to procurement under grants and cooperative agreements are contained in 2 CFR 200.317 through 200.327, program legislation, federal agency regulations, and the terms and conditions of the award. The requirements that apply to procurement under cost-reimbursement contracts under the FAR are contained in 48 CFR parts 03, 15, and 44 and the clauses at 48 CFR 52.244-2, 52.244-5, 52.203-13, 52.203-16, and 52.215-12; agency FAR</w:t>
      </w:r>
      <w:r>
        <w:rPr>
          <w:rFonts w:ascii="Arial" w:hAnsi="Arial" w:cs="Arial"/>
        </w:rPr>
        <w:t xml:space="preserve"> </w:t>
      </w:r>
      <w:r w:rsidRPr="00716831">
        <w:rPr>
          <w:rFonts w:ascii="Arial" w:hAnsi="Arial" w:cs="Arial"/>
        </w:rPr>
        <w:t>Supplements; and the terms and conditions of the contract.</w:t>
      </w:r>
    </w:p>
    <w:p w14:paraId="548EE92E" w14:textId="2D41F1E3" w:rsidR="00716831" w:rsidRPr="00F00D94"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lastRenderedPageBreak/>
        <w:t xml:space="preserve">Section 70914 of the Build America, Buy America (BABA) Act is the source of the Buy America preference for </w:t>
      </w:r>
      <w:r w:rsidR="007E77CE">
        <w:rPr>
          <w:rFonts w:ascii="Arial" w:hAnsi="Arial" w:cs="Arial"/>
        </w:rPr>
        <w:t>f</w:t>
      </w:r>
      <w:r w:rsidRPr="00716831">
        <w:rPr>
          <w:rFonts w:ascii="Arial" w:hAnsi="Arial" w:cs="Arial"/>
        </w:rPr>
        <w:t xml:space="preserve">ederal awards where funds are </w:t>
      </w:r>
      <w:r w:rsidR="00572EAD">
        <w:rPr>
          <w:rFonts w:ascii="Arial" w:hAnsi="Arial" w:cs="Arial"/>
        </w:rPr>
        <w:t>appropriate</w:t>
      </w:r>
      <w:r w:rsidR="00572EAD" w:rsidRPr="00716831">
        <w:rPr>
          <w:rFonts w:ascii="Arial" w:hAnsi="Arial" w:cs="Arial"/>
        </w:rPr>
        <w:t>d</w:t>
      </w:r>
      <w:r w:rsidRPr="00716831">
        <w:rPr>
          <w:rFonts w:ascii="Arial" w:hAnsi="Arial" w:cs="Arial"/>
        </w:rPr>
        <w:t xml:space="preserve"> or otherwise made available for infrastructure projects in the United States. See 2 CFR 184.4(a).</w:t>
      </w:r>
    </w:p>
    <w:p w14:paraId="2AFC18CE" w14:textId="01EDE58E"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716831" w:rsidRPr="00F00D94">
        <w:rPr>
          <w:rFonts w:ascii="Arial" w:hAnsi="Arial" w:cs="Arial"/>
          <w:i/>
        </w:rPr>
        <w:t>202</w:t>
      </w:r>
      <w:r w:rsidR="00716831">
        <w:rPr>
          <w:rFonts w:ascii="Arial" w:hAnsi="Arial" w:cs="Arial"/>
          <w:i/>
        </w:rPr>
        <w:t>5</w:t>
      </w:r>
      <w:r w:rsidR="00716831"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F11D09" w:rsidRPr="00F00D94">
        <w:rPr>
          <w:rFonts w:ascii="Arial" w:hAnsi="Arial" w:cs="Arial"/>
          <w:i/>
        </w:rPr>
        <w:t xml:space="preserve">Part </w:t>
      </w:r>
      <w:r w:rsidRPr="00F00D94">
        <w:rPr>
          <w:rFonts w:ascii="Arial" w:hAnsi="Arial" w:cs="Arial"/>
          <w:i/>
        </w:rPr>
        <w:t>3</w:t>
      </w:r>
      <w:r w:rsidR="00572EAD">
        <w:rPr>
          <w:rFonts w:ascii="Arial" w:hAnsi="Arial" w:cs="Arial"/>
          <w:i/>
        </w:rPr>
        <w:t>.2</w:t>
      </w:r>
      <w:r w:rsidRPr="00F00D94">
        <w:rPr>
          <w:rFonts w:ascii="Arial" w:hAnsi="Arial" w:cs="Arial"/>
          <w:i/>
        </w:rPr>
        <w:t>)</w:t>
      </w:r>
    </w:p>
    <w:p w14:paraId="03D8DAEE" w14:textId="77777777" w:rsidR="00DC3468" w:rsidRPr="00220BD0" w:rsidRDefault="004655E0" w:rsidP="006672EA">
      <w:pPr>
        <w:pStyle w:val="Heading3"/>
        <w:jc w:val="both"/>
        <w:rPr>
          <w:rFonts w:cs="Arial"/>
          <w:sz w:val="24"/>
          <w:szCs w:val="24"/>
        </w:rPr>
      </w:pPr>
      <w:bookmarkStart w:id="56" w:name="_Toc212473118"/>
      <w:r w:rsidRPr="00220BD0">
        <w:rPr>
          <w:rFonts w:cs="Arial"/>
          <w:sz w:val="24"/>
          <w:szCs w:val="24"/>
        </w:rPr>
        <w:t xml:space="preserve">OMB </w:t>
      </w:r>
      <w:r w:rsidR="00DC3468" w:rsidRPr="00220BD0">
        <w:rPr>
          <w:rFonts w:cs="Arial"/>
          <w:sz w:val="24"/>
          <w:szCs w:val="24"/>
        </w:rPr>
        <w:t>Compliance Requirements – Suspension and Debarment</w:t>
      </w:r>
      <w:bookmarkEnd w:id="56"/>
    </w:p>
    <w:p w14:paraId="3D221F73" w14:textId="47D1C7BB" w:rsidR="00CC1783" w:rsidRPr="00CC1783"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 xml:space="preserve">Recipients and </w:t>
      </w:r>
      <w:r w:rsidR="00572EAD">
        <w:rPr>
          <w:rFonts w:ascii="Arial" w:hAnsi="Arial" w:cs="Arial"/>
        </w:rPr>
        <w:t>s</w:t>
      </w:r>
      <w:r w:rsidRPr="00CC1783">
        <w:rPr>
          <w:rFonts w:ascii="Arial" w:hAnsi="Arial" w:cs="Arial"/>
        </w:rPr>
        <w:t>ubrecipients are prohibited from contracting with or making subawards under covered transactions to parties that are suspended or debarred. “Covered transactions” include contracts for goods and services awarded under a non-procurement transaction (e.g., grant or cooperative agreement) that are expected to equal or exceed $25,000 or meet certain other criteria as specified in 2 CFR 180.220. All non-procurement transactions entered into by a pass- through entity (i.e., subawards to subrecipients), irrespective of award amount, are considered covered transactions, unless they are exempt as provided in 2 CFR 180.215.</w:t>
      </w:r>
    </w:p>
    <w:p w14:paraId="7120C49E" w14:textId="53563E9F" w:rsidR="00CC1783" w:rsidRPr="00CC1783"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When a recipient or subrecipient enters into a covered transaction with an entity at a lower tier, the recipient or subrecipient must verify that the entity, as defined in 2 CFR 180.995 and agency adopting regulations, is not suspended or debarred or otherwise excluded from participating in the transaction. This verification may be accomplished by (1) checking the System for Award Management (SAM) Exclusions maintained by the General Services Administration (GSA) and</w:t>
      </w:r>
      <w:r>
        <w:rPr>
          <w:rFonts w:ascii="Arial" w:hAnsi="Arial" w:cs="Arial"/>
        </w:rPr>
        <w:t xml:space="preserve"> </w:t>
      </w:r>
      <w:r w:rsidRPr="00CC1783">
        <w:rPr>
          <w:rFonts w:ascii="Arial" w:hAnsi="Arial" w:cs="Arial"/>
        </w:rPr>
        <w:t xml:space="preserve">available at </w:t>
      </w:r>
      <w:hyperlink r:id="rId64" w:history="1">
        <w:r w:rsidRPr="00CC1783">
          <w:rPr>
            <w:rStyle w:val="Hyperlink"/>
            <w:rFonts w:cs="Arial"/>
          </w:rPr>
          <w:t>SAM.gov</w:t>
        </w:r>
      </w:hyperlink>
      <w:r w:rsidRPr="00CC1783">
        <w:rPr>
          <w:rFonts w:ascii="Arial" w:hAnsi="Arial" w:cs="Arial"/>
        </w:rPr>
        <w:t xml:space="preserve"> (click on Search Record, then click on Advanced Search-Exclusions), (2) collecting a certification from the entity, or (3) adding a clause or condition to the covered transaction with that entity (2 CFR 180.300). (Note regarding item (1) in the preceding list: The OMB guidance at 2 CFR Part 180 and agency implementing regulations still refer to the SAM Exclusions as the Excluded Parties List System (EPLS)).</w:t>
      </w:r>
    </w:p>
    <w:p w14:paraId="7041B787" w14:textId="1123E3B4" w:rsidR="00CC1783" w:rsidRPr="00F00D94"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Contractors receiving contracts from the federal government are required to comply with the contract clause at FAR 52.209-6 before entering into a subcontract that will exceed $35,000, other than a subcontract for a commercially available off-the-shelf item.</w:t>
      </w:r>
    </w:p>
    <w:p w14:paraId="183B1029" w14:textId="77777777"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 – Suspension and Debarment</w:t>
      </w:r>
    </w:p>
    <w:p w14:paraId="2CE7AC1E" w14:textId="14C6FA88" w:rsidR="00A67D16"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nonprocurement suspension and debarment are contained in OMB guidance in </w:t>
      </w:r>
      <w:hyperlink r:id="rId65" w:history="1">
        <w:r w:rsidR="00750529" w:rsidRPr="00F00D94">
          <w:rPr>
            <w:rStyle w:val="Hyperlink"/>
            <w:rFonts w:cs="Arial"/>
          </w:rPr>
          <w:t>2 CFR Part 180</w:t>
        </w:r>
      </w:hyperlink>
      <w:r w:rsidRPr="00F00D94">
        <w:rPr>
          <w:rFonts w:ascii="Arial" w:hAnsi="Arial" w:cs="Arial"/>
        </w:rPr>
        <w:t xml:space="preserve">, which implements Executive Orders 12549 and 12689, </w:t>
      </w:r>
      <w:r w:rsidR="007323BE" w:rsidRPr="00F00D94">
        <w:rPr>
          <w:rFonts w:ascii="Arial" w:hAnsi="Arial" w:cs="Arial"/>
        </w:rPr>
        <w:t>“</w:t>
      </w:r>
      <w:r w:rsidRPr="00F00D94">
        <w:rPr>
          <w:rFonts w:ascii="Arial" w:hAnsi="Arial" w:cs="Arial"/>
        </w:rPr>
        <w:t>Debarment and Suspension;</w:t>
      </w:r>
      <w:r w:rsidR="007323BE" w:rsidRPr="00F00D94">
        <w:rPr>
          <w:rFonts w:ascii="Arial" w:hAnsi="Arial" w:cs="Arial"/>
        </w:rPr>
        <w:t>”</w:t>
      </w:r>
      <w:r w:rsidRPr="00F00D94">
        <w:rPr>
          <w:rFonts w:ascii="Arial" w:hAnsi="Arial" w:cs="Arial"/>
        </w:rPr>
        <w:t xml:space="preserve"> </w:t>
      </w:r>
      <w:r w:rsidR="00A54B10">
        <w:rPr>
          <w:rFonts w:ascii="Arial" w:hAnsi="Arial" w:cs="Arial"/>
        </w:rPr>
        <w:t>f</w:t>
      </w:r>
      <w:r w:rsidR="00A54B10" w:rsidRPr="00F00D94">
        <w:rPr>
          <w:rFonts w:ascii="Arial" w:hAnsi="Arial" w:cs="Arial"/>
        </w:rPr>
        <w:t xml:space="preserve">ederal </w:t>
      </w:r>
      <w:r w:rsidRPr="00F00D94">
        <w:rPr>
          <w:rFonts w:ascii="Arial" w:hAnsi="Arial" w:cs="Arial"/>
        </w:rPr>
        <w:t xml:space="preserve">awarding agency regulations in </w:t>
      </w:r>
      <w:r w:rsidR="007C0BFC" w:rsidRPr="00F00D94">
        <w:rPr>
          <w:rFonts w:ascii="Arial" w:hAnsi="Arial" w:cs="Arial"/>
        </w:rPr>
        <w:t xml:space="preserve">Title 2 of the </w:t>
      </w:r>
      <w:r w:rsidRPr="00F00D94">
        <w:rPr>
          <w:rFonts w:ascii="Arial" w:hAnsi="Arial" w:cs="Arial"/>
        </w:rPr>
        <w:t>CFR adopting</w:t>
      </w:r>
      <w:r w:rsidR="007C0BFC" w:rsidRPr="00F00D94">
        <w:rPr>
          <w:rFonts w:ascii="Arial" w:hAnsi="Arial" w:cs="Arial"/>
        </w:rPr>
        <w:t>/implementing</w:t>
      </w:r>
      <w:r w:rsidRPr="00F00D94">
        <w:rPr>
          <w:rFonts w:ascii="Arial" w:hAnsi="Arial" w:cs="Arial"/>
        </w:rPr>
        <w:t xml:space="preserve"> the OMB guidance in 2 CFR </w:t>
      </w:r>
      <w:r w:rsidR="000023A2" w:rsidRPr="00F00D94">
        <w:rPr>
          <w:rFonts w:ascii="Arial" w:hAnsi="Arial" w:cs="Arial"/>
        </w:rPr>
        <w:t>P</w:t>
      </w:r>
      <w:r w:rsidRPr="00F00D94">
        <w:rPr>
          <w:rFonts w:ascii="Arial" w:hAnsi="Arial" w:cs="Arial"/>
        </w:rPr>
        <w:t xml:space="preserve">art 180; program legislation; and the terms and conditions of the award.  </w:t>
      </w:r>
    </w:p>
    <w:p w14:paraId="4EC2CFB7" w14:textId="7925FCAF"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Most of the </w:t>
      </w:r>
      <w:r w:rsidR="00A54B10">
        <w:rPr>
          <w:rFonts w:ascii="Arial" w:hAnsi="Arial" w:cs="Arial"/>
        </w:rPr>
        <w:t>f</w:t>
      </w:r>
      <w:r w:rsidR="00A54B10" w:rsidRPr="00F00D94">
        <w:rPr>
          <w:rFonts w:ascii="Arial" w:hAnsi="Arial" w:cs="Arial"/>
        </w:rPr>
        <w:t xml:space="preserve">ederal </w:t>
      </w:r>
      <w:r w:rsidRPr="00F00D94">
        <w:rPr>
          <w:rFonts w:ascii="Arial" w:hAnsi="Arial" w:cs="Arial"/>
        </w:rPr>
        <w:t>agencies have adopted</w:t>
      </w:r>
      <w:r w:rsidR="007C0BFC" w:rsidRPr="00F00D94">
        <w:rPr>
          <w:rFonts w:ascii="Arial" w:hAnsi="Arial" w:cs="Arial"/>
        </w:rPr>
        <w:t xml:space="preserve"> or implemented</w:t>
      </w:r>
      <w:r w:rsidRPr="00F00D94">
        <w:rPr>
          <w:rFonts w:ascii="Arial" w:hAnsi="Arial" w:cs="Arial"/>
        </w:rPr>
        <w:t xml:space="preserve"> 2 CFR </w:t>
      </w:r>
      <w:r w:rsidR="000023A2" w:rsidRPr="00F00D94">
        <w:rPr>
          <w:rFonts w:ascii="Arial" w:hAnsi="Arial" w:cs="Arial"/>
        </w:rPr>
        <w:t>P</w:t>
      </w:r>
      <w:r w:rsidRPr="00F00D94">
        <w:rPr>
          <w:rFonts w:ascii="Arial" w:hAnsi="Arial" w:cs="Arial"/>
        </w:rPr>
        <w:t>art 180</w:t>
      </w:r>
      <w:r w:rsidR="00EE0D0A" w:rsidRPr="00F00D94">
        <w:rPr>
          <w:rFonts w:ascii="Arial" w:hAnsi="Arial" w:cs="Arial"/>
        </w:rPr>
        <w:t>, generally by relocating</w:t>
      </w:r>
      <w:r w:rsidRPr="00F00D94">
        <w:rPr>
          <w:rFonts w:ascii="Arial" w:hAnsi="Arial" w:cs="Arial"/>
        </w:rPr>
        <w:t xml:space="preserve"> their associated agency rules in Tit</w:t>
      </w:r>
      <w:r w:rsidR="00155515" w:rsidRPr="00F00D94">
        <w:rPr>
          <w:rFonts w:ascii="Arial" w:hAnsi="Arial" w:cs="Arial"/>
        </w:rPr>
        <w:t>le 2 of the CFR.</w:t>
      </w:r>
      <w:r w:rsidR="007C0BFC" w:rsidRPr="00F00D94">
        <w:rPr>
          <w:rFonts w:ascii="Arial" w:hAnsi="Arial" w:cs="Arial"/>
        </w:rPr>
        <w:t xml:space="preserve"> </w:t>
      </w:r>
      <w:hyperlink r:id="rId66" w:history="1">
        <w:r w:rsidR="00D3290B">
          <w:rPr>
            <w:rStyle w:val="Hyperlink"/>
            <w:rFonts w:cs="Arial"/>
          </w:rPr>
          <w:t>Appendix II</w:t>
        </w:r>
      </w:hyperlink>
      <w:r w:rsidRPr="00F00D94">
        <w:rPr>
          <w:rFonts w:ascii="Arial" w:hAnsi="Arial" w:cs="Arial"/>
        </w:rPr>
        <w:t xml:space="preserve"> </w:t>
      </w:r>
      <w:r w:rsidR="00D3290B">
        <w:rPr>
          <w:rFonts w:ascii="Arial" w:hAnsi="Arial" w:cs="Arial"/>
        </w:rPr>
        <w:t xml:space="preserve">to the Supplement </w:t>
      </w:r>
      <w:r w:rsidRPr="00F00D94">
        <w:rPr>
          <w:rFonts w:ascii="Arial" w:hAnsi="Arial" w:cs="Arial"/>
        </w:rPr>
        <w:t>includes the current CFR citations for all agencies</w:t>
      </w:r>
      <w:r w:rsidR="00EE0D0A" w:rsidRPr="00F00D94">
        <w:rPr>
          <w:rFonts w:ascii="Arial" w:hAnsi="Arial" w:cs="Arial"/>
        </w:rPr>
        <w:t xml:space="preserve"> adoption or implementation of the nonprocurement suspension and debarment guidance</w:t>
      </w:r>
      <w:r w:rsidRPr="00F00D94">
        <w:rPr>
          <w:rFonts w:ascii="Arial" w:hAnsi="Arial" w:cs="Arial"/>
        </w:rPr>
        <w:t xml:space="preserve">.  </w:t>
      </w:r>
    </w:p>
    <w:p w14:paraId="22A79100" w14:textId="48040D43" w:rsidR="00DC3468" w:rsidRPr="00F00D94" w:rsidRDefault="00DC3468" w:rsidP="006672EA">
      <w:pPr>
        <w:spacing w:after="240"/>
        <w:jc w:val="both"/>
        <w:rPr>
          <w:rFonts w:ascii="Arial" w:hAnsi="Arial" w:cs="Arial"/>
        </w:rPr>
      </w:pPr>
      <w:r w:rsidRPr="00F00D94">
        <w:rPr>
          <w:rFonts w:ascii="Arial" w:hAnsi="Arial" w:cs="Arial"/>
        </w:rPr>
        <w:t xml:space="preserve">Government-wide requirements related to suspension and debarment and doing business with suspended </w:t>
      </w:r>
      <w:r w:rsidRPr="00B206E2">
        <w:rPr>
          <w:rFonts w:ascii="Arial" w:hAnsi="Arial" w:cs="Arial"/>
        </w:rPr>
        <w:t>or debarred subcontractors under cost reimbursement contract</w:t>
      </w:r>
      <w:r w:rsidR="007323BE" w:rsidRPr="00B206E2">
        <w:rPr>
          <w:rFonts w:ascii="Arial" w:hAnsi="Arial" w:cs="Arial"/>
        </w:rPr>
        <w:t>s</w:t>
      </w:r>
      <w:r w:rsidRPr="00B206E2">
        <w:rPr>
          <w:rFonts w:ascii="Arial" w:hAnsi="Arial" w:cs="Arial"/>
        </w:rPr>
        <w:t xml:space="preserve"> under the FAR</w:t>
      </w:r>
      <w:r w:rsidR="006F1440" w:rsidRPr="00B206E2">
        <w:rPr>
          <w:rFonts w:ascii="Arial" w:hAnsi="Arial" w:cs="Arial"/>
        </w:rPr>
        <w:t xml:space="preserve"> are contained in </w:t>
      </w:r>
      <w:hyperlink r:id="rId67" w:history="1">
        <w:r w:rsidR="000023A2" w:rsidRPr="00B206E2">
          <w:rPr>
            <w:rStyle w:val="Hyperlink"/>
            <w:rFonts w:cs="Arial"/>
          </w:rPr>
          <w:t>48 CFR 9.405-2(b)</w:t>
        </w:r>
      </w:hyperlink>
      <w:r w:rsidR="006F1440" w:rsidRPr="00F00D94">
        <w:rPr>
          <w:rFonts w:ascii="Arial" w:hAnsi="Arial" w:cs="Arial"/>
        </w:rPr>
        <w:t xml:space="preserve"> and the clause at </w:t>
      </w:r>
      <w:hyperlink r:id="rId68" w:history="1">
        <w:r w:rsidR="000023A2" w:rsidRPr="00F00D94">
          <w:rPr>
            <w:rStyle w:val="Hyperlink"/>
            <w:rFonts w:cs="Arial"/>
          </w:rPr>
          <w:t>48 CFR 52.209-6</w:t>
        </w:r>
      </w:hyperlink>
      <w:r w:rsidRPr="00F00D94">
        <w:rPr>
          <w:rFonts w:ascii="Arial" w:hAnsi="Arial" w:cs="Arial"/>
        </w:rPr>
        <w:t>.</w:t>
      </w:r>
    </w:p>
    <w:p w14:paraId="1576145B" w14:textId="29232C38" w:rsidR="00E3303A" w:rsidRPr="00F00D94" w:rsidRDefault="006230CF" w:rsidP="006672EA">
      <w:pPr>
        <w:spacing w:after="240"/>
        <w:jc w:val="both"/>
        <w:rPr>
          <w:rFonts w:ascii="Arial" w:hAnsi="Arial" w:cs="Arial"/>
          <w:i/>
        </w:rPr>
      </w:pPr>
      <w:r w:rsidRPr="00F00D94">
        <w:rPr>
          <w:rFonts w:ascii="Arial" w:hAnsi="Arial" w:cs="Arial"/>
          <w:i/>
        </w:rPr>
        <w:t xml:space="preserve">(Source: </w:t>
      </w:r>
      <w:r w:rsidR="00A54B10" w:rsidRPr="00F00D94">
        <w:rPr>
          <w:rFonts w:ascii="Arial" w:hAnsi="Arial" w:cs="Arial"/>
          <w:i/>
        </w:rPr>
        <w:t>202</w:t>
      </w:r>
      <w:r w:rsidR="00A54B10">
        <w:rPr>
          <w:rFonts w:ascii="Arial" w:hAnsi="Arial" w:cs="Arial"/>
          <w:i/>
        </w:rPr>
        <w:t>5</w:t>
      </w:r>
      <w:r w:rsidR="00A54B10"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572EAD">
        <w:rPr>
          <w:rFonts w:ascii="Arial" w:hAnsi="Arial" w:cs="Arial"/>
          <w:i/>
        </w:rPr>
        <w:t>.2</w:t>
      </w:r>
      <w:r w:rsidRPr="00F00D94">
        <w:rPr>
          <w:rFonts w:ascii="Arial" w:hAnsi="Arial" w:cs="Arial"/>
          <w:i/>
        </w:rPr>
        <w:t>)</w:t>
      </w:r>
    </w:p>
    <w:p w14:paraId="6DF7B236" w14:textId="30918648"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5B202E45" w14:textId="5A343850" w:rsidR="004E4CD8" w:rsidRDefault="004E4CD8" w:rsidP="004E4CD8">
      <w:pPr>
        <w:spacing w:after="240"/>
        <w:jc w:val="both"/>
        <w:rPr>
          <w:rFonts w:ascii="Arial" w:hAnsi="Arial" w:cs="Arial"/>
          <w:bCs/>
        </w:rPr>
      </w:pPr>
      <w:r w:rsidRPr="004C4A05">
        <w:rPr>
          <w:rFonts w:ascii="Arial" w:hAnsi="Arial" w:cs="Arial"/>
          <w:bCs/>
        </w:rPr>
        <w:t>No Part 4 OMB Program Specific Requirements.</w:t>
      </w:r>
    </w:p>
    <w:p w14:paraId="0F3F2821" w14:textId="206149E1" w:rsidR="00D74E6A" w:rsidRPr="0062713F" w:rsidRDefault="004E4CD8" w:rsidP="00D74E6A">
      <w:pPr>
        <w:spacing w:after="240"/>
        <w:jc w:val="both"/>
        <w:rPr>
          <w:rFonts w:ascii="Arial" w:hAnsi="Arial" w:cs="Arial"/>
          <w:bCs/>
          <w:i/>
          <w:iCs/>
        </w:rPr>
      </w:pPr>
      <w:r>
        <w:rPr>
          <w:rFonts w:ascii="Arial" w:hAnsi="Arial" w:cs="Arial"/>
          <w:bCs/>
          <w:i/>
          <w:iCs/>
        </w:rPr>
        <w:t xml:space="preserve">(Source: 2025 OMB Compliance Supplement, Part 4, HUD, #14.850 Public </w:t>
      </w:r>
      <w:r w:rsidR="007D76AB">
        <w:rPr>
          <w:rFonts w:ascii="Arial" w:hAnsi="Arial" w:cs="Arial"/>
          <w:bCs/>
          <w:i/>
          <w:iCs/>
        </w:rPr>
        <w:t>Housing Operating Fund</w:t>
      </w:r>
      <w:r>
        <w:rPr>
          <w:rFonts w:ascii="Arial" w:hAnsi="Arial" w:cs="Arial"/>
          <w:bCs/>
          <w:i/>
          <w:iCs/>
        </w:rPr>
        <w:t>)</w:t>
      </w:r>
    </w:p>
    <w:p w14:paraId="1275BD0B" w14:textId="77777777" w:rsidR="009138DB" w:rsidRPr="00BF0246" w:rsidRDefault="009138DB" w:rsidP="00700570">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color w:val="002060"/>
          <w:u w:val="single"/>
        </w:rPr>
      </w:pPr>
      <w:r w:rsidRPr="00BF0246">
        <w:rPr>
          <w:rFonts w:ascii="Arial" w:hAnsi="Arial" w:cs="Arial"/>
          <w:b/>
          <w:i/>
          <w:iCs/>
          <w:color w:val="002060"/>
          <w:u w:val="single"/>
        </w:rPr>
        <w:t>Written Procedure Requirements:</w:t>
      </w:r>
    </w:p>
    <w:p w14:paraId="49E20817" w14:textId="395A190B"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lastRenderedPageBreak/>
        <w:t>2 CFR 200.318</w:t>
      </w:r>
      <w:r w:rsidR="009138DB" w:rsidRPr="00D84331">
        <w:rPr>
          <w:rFonts w:ascii="Arial" w:hAnsi="Arial" w:cs="Arial"/>
          <w:i/>
          <w:iCs/>
          <w:color w:val="002060"/>
        </w:rPr>
        <w:t xml:space="preserve">(c)(1) requires </w:t>
      </w:r>
      <w:r w:rsidR="00874952">
        <w:rPr>
          <w:rFonts w:ascii="Arial" w:hAnsi="Arial" w:cs="Arial"/>
          <w:i/>
          <w:iCs/>
          <w:color w:val="002060"/>
        </w:rPr>
        <w:t>recipients or subrecipients</w:t>
      </w:r>
      <w:r w:rsidR="009138DB" w:rsidRPr="00D84331">
        <w:rPr>
          <w:rFonts w:ascii="Arial" w:hAnsi="Arial" w:cs="Arial"/>
          <w:i/>
          <w:iCs/>
          <w:color w:val="002060"/>
        </w:rPr>
        <w:t xml:space="preserve"> maintain written standards of conduct covering conflicts of interest and governing the actions of its employees engaged in the selection, award and administration of contracts.</w:t>
      </w:r>
    </w:p>
    <w:p w14:paraId="7F5D43ED" w14:textId="2357727E"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 xml:space="preserve">(c)(2) requires </w:t>
      </w:r>
      <w:r w:rsidR="00874952">
        <w:rPr>
          <w:rFonts w:ascii="Arial" w:hAnsi="Arial" w:cs="Arial"/>
          <w:i/>
          <w:iCs/>
          <w:color w:val="002060"/>
        </w:rPr>
        <w:t>recipients or subrecipients</w:t>
      </w:r>
      <w:r w:rsidR="00874952" w:rsidRPr="00D84331">
        <w:rPr>
          <w:rFonts w:ascii="Arial" w:hAnsi="Arial" w:cs="Arial"/>
          <w:i/>
          <w:iCs/>
          <w:color w:val="002060"/>
        </w:rPr>
        <w:t xml:space="preserve"> </w:t>
      </w:r>
      <w:r w:rsidR="009138DB" w:rsidRPr="00D84331">
        <w:rPr>
          <w:rFonts w:ascii="Arial" w:hAnsi="Arial" w:cs="Arial"/>
          <w:i/>
          <w:iCs/>
          <w:color w:val="002060"/>
        </w:rPr>
        <w:t xml:space="preserve">maintain written standards of conduct covering organizational conflicts of interest when the </w:t>
      </w:r>
      <w:r w:rsidR="00DA759F">
        <w:rPr>
          <w:rFonts w:ascii="Arial" w:hAnsi="Arial" w:cs="Arial"/>
          <w:i/>
          <w:iCs/>
          <w:color w:val="002060"/>
        </w:rPr>
        <w:t>recipient or subrecipient</w:t>
      </w:r>
      <w:r w:rsidR="00DA759F" w:rsidRPr="00D84331">
        <w:rPr>
          <w:rFonts w:ascii="Arial" w:hAnsi="Arial" w:cs="Arial"/>
          <w:i/>
          <w:iCs/>
          <w:color w:val="002060"/>
        </w:rPr>
        <w:t xml:space="preserve"> </w:t>
      </w:r>
      <w:r w:rsidR="009138DB" w:rsidRPr="00D84331">
        <w:rPr>
          <w:rFonts w:ascii="Arial" w:hAnsi="Arial" w:cs="Arial"/>
          <w:i/>
          <w:iCs/>
          <w:color w:val="002060"/>
        </w:rPr>
        <w:t>has a parent, affiliate, or subsidiary organization that is not a state, local government, or Indian tribe.</w:t>
      </w:r>
    </w:p>
    <w:p w14:paraId="3803D8AE" w14:textId="6CD00697"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200.320</w:t>
      </w:r>
      <w:r w:rsidR="009138DB" w:rsidRPr="00D84331">
        <w:rPr>
          <w:rFonts w:ascii="Arial" w:hAnsi="Arial" w:cs="Arial"/>
          <w:i/>
          <w:iCs/>
          <w:color w:val="002060"/>
        </w:rPr>
        <w:t>(</w:t>
      </w:r>
      <w:r w:rsidR="00EE24F8">
        <w:rPr>
          <w:rFonts w:ascii="Arial" w:hAnsi="Arial" w:cs="Arial"/>
          <w:i/>
          <w:iCs/>
          <w:color w:val="002060"/>
        </w:rPr>
        <w:t>b</w:t>
      </w:r>
      <w:r w:rsidR="009138DB" w:rsidRPr="00D84331">
        <w:rPr>
          <w:rFonts w:ascii="Arial" w:hAnsi="Arial" w:cs="Arial"/>
          <w:i/>
          <w:iCs/>
          <w:color w:val="002060"/>
        </w:rPr>
        <w:t>)(</w:t>
      </w:r>
      <w:r w:rsidR="00EE24F8">
        <w:rPr>
          <w:rFonts w:ascii="Arial" w:hAnsi="Arial" w:cs="Arial"/>
          <w:i/>
          <w:iCs/>
          <w:color w:val="002060"/>
        </w:rPr>
        <w:t>2</w:t>
      </w:r>
      <w:r w:rsidR="009138DB" w:rsidRPr="00D84331">
        <w:rPr>
          <w:rFonts w:ascii="Arial" w:hAnsi="Arial" w:cs="Arial"/>
          <w:i/>
          <w:iCs/>
          <w:color w:val="002060"/>
        </w:rPr>
        <w:t xml:space="preserve">) requires </w:t>
      </w:r>
      <w:r w:rsidR="00DA759F">
        <w:rPr>
          <w:rFonts w:ascii="Arial" w:hAnsi="Arial" w:cs="Arial"/>
          <w:i/>
          <w:iCs/>
          <w:color w:val="002060"/>
        </w:rPr>
        <w:t>recipients or subrecipients</w:t>
      </w:r>
      <w:r w:rsidR="00DA759F" w:rsidRPr="00D84331">
        <w:rPr>
          <w:rFonts w:ascii="Arial" w:hAnsi="Arial" w:cs="Arial"/>
          <w:i/>
          <w:iCs/>
          <w:color w:val="002060"/>
        </w:rPr>
        <w:t xml:space="preserve"> </w:t>
      </w:r>
      <w:r w:rsidR="009138DB" w:rsidRPr="00D84331">
        <w:rPr>
          <w:rFonts w:ascii="Arial" w:hAnsi="Arial" w:cs="Arial"/>
          <w:i/>
          <w:iCs/>
          <w:color w:val="002060"/>
        </w:rPr>
        <w:t>to have a written method for conducting technical evaluations of the competitive proposals received and for selecting contract recipients.</w:t>
      </w:r>
    </w:p>
    <w:p w14:paraId="069C4F2D" w14:textId="05B884A3"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200.319</w:t>
      </w:r>
      <w:r w:rsidR="009138DB" w:rsidRPr="00D84331">
        <w:rPr>
          <w:rFonts w:ascii="Arial" w:hAnsi="Arial" w:cs="Arial"/>
          <w:i/>
          <w:iCs/>
          <w:color w:val="002060"/>
        </w:rPr>
        <w:t>(</w:t>
      </w:r>
      <w:r w:rsidR="005B229D">
        <w:rPr>
          <w:rFonts w:ascii="Arial" w:hAnsi="Arial" w:cs="Arial"/>
          <w:i/>
          <w:iCs/>
          <w:color w:val="002060"/>
        </w:rPr>
        <w:t>d</w:t>
      </w:r>
      <w:r w:rsidR="009138DB" w:rsidRPr="00D84331">
        <w:rPr>
          <w:rFonts w:ascii="Arial" w:hAnsi="Arial" w:cs="Arial"/>
          <w:i/>
          <w:iCs/>
          <w:color w:val="002060"/>
        </w:rPr>
        <w:t xml:space="preserve">) requires </w:t>
      </w:r>
      <w:r w:rsidR="00DA759F">
        <w:rPr>
          <w:rFonts w:ascii="Arial" w:hAnsi="Arial" w:cs="Arial"/>
          <w:i/>
          <w:iCs/>
          <w:color w:val="002060"/>
        </w:rPr>
        <w:t>recipients or subrecipients</w:t>
      </w:r>
      <w:r w:rsidR="00DA759F" w:rsidRPr="00D84331">
        <w:rPr>
          <w:rFonts w:ascii="Arial" w:hAnsi="Arial" w:cs="Arial"/>
          <w:i/>
          <w:iCs/>
          <w:color w:val="002060"/>
        </w:rPr>
        <w:t xml:space="preserve"> </w:t>
      </w:r>
      <w:r w:rsidR="005B229D">
        <w:rPr>
          <w:rFonts w:ascii="Arial" w:hAnsi="Arial" w:cs="Arial"/>
          <w:i/>
          <w:iCs/>
          <w:color w:val="002060"/>
        </w:rPr>
        <w:t>to have written procedures for procurement transactions to</w:t>
      </w:r>
      <w:r w:rsidR="009138DB" w:rsidRPr="00D84331">
        <w:rPr>
          <w:rFonts w:ascii="Arial" w:hAnsi="Arial" w:cs="Arial"/>
          <w:i/>
          <w:iCs/>
          <w:color w:val="002060"/>
        </w:rPr>
        <w:t xml:space="preserve"> ensure all solicitations </w:t>
      </w:r>
      <w:r w:rsidR="00F41EF0">
        <w:rPr>
          <w:rFonts w:ascii="Arial" w:hAnsi="Arial" w:cs="Arial"/>
          <w:i/>
          <w:iCs/>
          <w:color w:val="002060"/>
        </w:rPr>
        <w:t xml:space="preserve">are made in accordance with 2 CFR 200.319(b); </w:t>
      </w:r>
      <w:r w:rsidR="009138DB" w:rsidRPr="00D84331">
        <w:rPr>
          <w:rFonts w:ascii="Arial" w:hAnsi="Arial" w:cs="Arial"/>
          <w:i/>
          <w:iCs/>
          <w:color w:val="002060"/>
        </w:rPr>
        <w:t xml:space="preserve">incorporate a clear and accurate description of the technical requirements for the </w:t>
      </w:r>
      <w:r w:rsidR="00F41EF0">
        <w:rPr>
          <w:rFonts w:ascii="Arial" w:hAnsi="Arial" w:cs="Arial"/>
          <w:i/>
          <w:iCs/>
          <w:color w:val="002060"/>
        </w:rPr>
        <w:t>property</w:t>
      </w:r>
      <w:r w:rsidR="009138DB" w:rsidRPr="00D84331">
        <w:rPr>
          <w:rFonts w:ascii="Arial" w:hAnsi="Arial" w:cs="Arial"/>
          <w:i/>
          <w:iCs/>
          <w:color w:val="002060"/>
        </w:rPr>
        <w:t xml:space="preserve">, </w:t>
      </w:r>
      <w:r w:rsidR="00F41EF0">
        <w:rPr>
          <w:rFonts w:ascii="Arial" w:hAnsi="Arial" w:cs="Arial"/>
          <w:i/>
          <w:iCs/>
          <w:color w:val="002060"/>
        </w:rPr>
        <w:t>equipment</w:t>
      </w:r>
      <w:r w:rsidR="009138DB" w:rsidRPr="00D84331">
        <w:rPr>
          <w:rFonts w:ascii="Arial" w:hAnsi="Arial" w:cs="Arial"/>
          <w:i/>
          <w:iCs/>
          <w:color w:val="002060"/>
        </w:rPr>
        <w:t>, or service be</w:t>
      </w:r>
      <w:r w:rsidR="00F41EF0">
        <w:rPr>
          <w:rFonts w:ascii="Arial" w:hAnsi="Arial" w:cs="Arial"/>
          <w:i/>
          <w:iCs/>
          <w:color w:val="002060"/>
        </w:rPr>
        <w:t>ing</w:t>
      </w:r>
      <w:r w:rsidR="009138DB" w:rsidRPr="00D84331">
        <w:rPr>
          <w:rFonts w:ascii="Arial" w:hAnsi="Arial" w:cs="Arial"/>
          <w:i/>
          <w:iCs/>
          <w:color w:val="002060"/>
        </w:rPr>
        <w:t xml:space="preserve"> procured</w:t>
      </w:r>
      <w:r w:rsidR="00F41EF0">
        <w:rPr>
          <w:rFonts w:ascii="Arial" w:hAnsi="Arial" w:cs="Arial"/>
          <w:i/>
          <w:iCs/>
          <w:color w:val="002060"/>
        </w:rPr>
        <w:t>;</w:t>
      </w:r>
      <w:r w:rsidR="009138DB" w:rsidRPr="00D84331">
        <w:rPr>
          <w:rFonts w:ascii="Arial" w:hAnsi="Arial" w:cs="Arial"/>
          <w:i/>
          <w:iCs/>
          <w:color w:val="002060"/>
        </w:rPr>
        <w:t xml:space="preserve"> and identify </w:t>
      </w:r>
      <w:r w:rsidR="00F41EF0">
        <w:rPr>
          <w:rFonts w:ascii="Arial" w:hAnsi="Arial" w:cs="Arial"/>
          <w:i/>
          <w:iCs/>
          <w:color w:val="002060"/>
        </w:rPr>
        <w:t>any additional</w:t>
      </w:r>
      <w:r w:rsidR="00F41EF0" w:rsidRPr="00D84331">
        <w:rPr>
          <w:rFonts w:ascii="Arial" w:hAnsi="Arial" w:cs="Arial"/>
          <w:i/>
          <w:iCs/>
          <w:color w:val="002060"/>
        </w:rPr>
        <w:t xml:space="preserve"> </w:t>
      </w:r>
      <w:r w:rsidR="009138DB" w:rsidRPr="00D84331">
        <w:rPr>
          <w:rFonts w:ascii="Arial" w:hAnsi="Arial" w:cs="Arial"/>
          <w:i/>
          <w:iCs/>
          <w:color w:val="002060"/>
        </w:rPr>
        <w:t xml:space="preserve">requirements which the offerors must fulfill and all other factors </w:t>
      </w:r>
      <w:r w:rsidR="00F41EF0">
        <w:rPr>
          <w:rFonts w:ascii="Arial" w:hAnsi="Arial" w:cs="Arial"/>
          <w:i/>
          <w:iCs/>
          <w:color w:val="002060"/>
        </w:rPr>
        <w:t>that will</w:t>
      </w:r>
      <w:r w:rsidR="00F41EF0" w:rsidRPr="00D84331">
        <w:rPr>
          <w:rFonts w:ascii="Arial" w:hAnsi="Arial" w:cs="Arial"/>
          <w:i/>
          <w:iCs/>
          <w:color w:val="002060"/>
        </w:rPr>
        <w:t xml:space="preserve"> </w:t>
      </w:r>
      <w:r w:rsidR="009138DB" w:rsidRPr="00D84331">
        <w:rPr>
          <w:rFonts w:ascii="Arial" w:hAnsi="Arial" w:cs="Arial"/>
          <w:i/>
          <w:iCs/>
          <w:color w:val="002060"/>
        </w:rPr>
        <w:t>be used in evaluating bids or proposals.</w:t>
      </w:r>
    </w:p>
    <w:p w14:paraId="5A9CB502" w14:textId="77777777" w:rsidR="00FC7102" w:rsidRPr="00220BD0" w:rsidRDefault="00FC7102" w:rsidP="006672EA">
      <w:pPr>
        <w:pStyle w:val="Heading3"/>
        <w:jc w:val="both"/>
        <w:rPr>
          <w:rFonts w:cs="Arial"/>
          <w:sz w:val="24"/>
          <w:szCs w:val="24"/>
        </w:rPr>
      </w:pPr>
      <w:bookmarkStart w:id="57" w:name="_Toc212473119"/>
      <w:r w:rsidRPr="00220BD0">
        <w:rPr>
          <w:rFonts w:cs="Arial"/>
          <w:sz w:val="24"/>
          <w:szCs w:val="24"/>
        </w:rPr>
        <w:t>Additional Program Specific Information</w:t>
      </w:r>
      <w:bookmarkEnd w:id="57"/>
    </w:p>
    <w:p w14:paraId="3BE90C71" w14:textId="12C5101F"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r w:rsidR="00DA759F">
        <w:rPr>
          <w:rFonts w:ascii="Arial" w:hAnsi="Arial" w:cs="Arial"/>
          <w:b/>
          <w:highlight w:val="yellow"/>
        </w:rPr>
        <w:t>:</w:t>
      </w:r>
    </w:p>
    <w:p w14:paraId="768F2FAD" w14:textId="77777777" w:rsidR="00CD5DC7" w:rsidRPr="00AA5B05" w:rsidRDefault="00CD5DC7" w:rsidP="008B4BCE">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E24FDE0" w14:textId="77777777" w:rsidR="00CD5DC7" w:rsidRPr="00AA5B05" w:rsidRDefault="00CD5DC7" w:rsidP="008B4BCE">
      <w:pPr>
        <w:pStyle w:val="ListParagraph"/>
        <w:numPr>
          <w:ilvl w:val="0"/>
          <w:numId w:val="3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69A9E88" w14:textId="7D55D384" w:rsidR="006E46AD" w:rsidRPr="00AA5B05" w:rsidRDefault="006E46AD" w:rsidP="008B4BCE">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EA9F111"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D8CBD5C" w14:textId="77777777" w:rsidR="00220BEF" w:rsidRPr="00220BD0" w:rsidRDefault="009A7756" w:rsidP="006672EA">
      <w:pPr>
        <w:pStyle w:val="Heading3"/>
        <w:jc w:val="both"/>
        <w:rPr>
          <w:rFonts w:cs="Arial"/>
          <w:bCs/>
          <w:sz w:val="24"/>
          <w:szCs w:val="24"/>
        </w:rPr>
      </w:pPr>
      <w:bookmarkStart w:id="58" w:name="_Toc212473120"/>
      <w:r w:rsidRPr="00220BD0">
        <w:rPr>
          <w:rFonts w:cs="Arial"/>
          <w:sz w:val="24"/>
          <w:szCs w:val="24"/>
        </w:rPr>
        <w:t xml:space="preserve">Audit Objectives </w:t>
      </w:r>
      <w:r w:rsidR="00220BEF" w:rsidRPr="00220BD0">
        <w:rPr>
          <w:rFonts w:cs="Arial"/>
          <w:sz w:val="24"/>
          <w:szCs w:val="24"/>
        </w:rPr>
        <w:t>and Control Testing</w:t>
      </w:r>
      <w:bookmarkEnd w:id="58"/>
    </w:p>
    <w:p w14:paraId="2B9C1EC2"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F54C14F"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5B2964A" w14:textId="7C94F99C"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un</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in 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rPr>
        <w:t>li</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a</w:t>
      </w:r>
      <w:r w:rsidRPr="00F00D94">
        <w:rPr>
          <w:rFonts w:ascii="Arial" w:eastAsia="Arial" w:hAnsi="Arial" w:cs="Arial"/>
          <w:spacing w:val="-1"/>
        </w:rPr>
        <w:t>p</w:t>
      </w:r>
      <w:r w:rsidRPr="00F00D94">
        <w:rPr>
          <w:rFonts w:ascii="Arial" w:eastAsia="Arial" w:hAnsi="Arial" w:cs="Arial"/>
          <w:spacing w:val="1"/>
        </w:rPr>
        <w:t>p</w:t>
      </w:r>
      <w:r w:rsidRPr="00F00D94">
        <w:rPr>
          <w:rFonts w:ascii="Arial" w:eastAsia="Arial" w:hAnsi="Arial" w:cs="Arial"/>
        </w:rPr>
        <w:t>lic</w:t>
      </w:r>
      <w:r w:rsidRPr="00F00D94">
        <w:rPr>
          <w:rFonts w:ascii="Arial" w:eastAsia="Arial" w:hAnsi="Arial" w:cs="Arial"/>
          <w:spacing w:val="1"/>
        </w:rPr>
        <w:t>ab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me</w:t>
      </w:r>
      <w:r w:rsidRPr="00F00D94">
        <w:rPr>
          <w:rFonts w:ascii="Arial" w:eastAsia="Arial" w:hAnsi="Arial" w:cs="Arial"/>
          <w:spacing w:val="1"/>
        </w:rPr>
        <w:t xml:space="preserve">nt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2"/>
        </w:rPr>
        <w:t xml:space="preserve"> t</w:t>
      </w:r>
      <w:r w:rsidRPr="00F00D94">
        <w:rPr>
          <w:rFonts w:ascii="Arial" w:eastAsia="Arial" w:hAnsi="Arial" w:cs="Arial"/>
        </w:rPr>
        <w:t>o</w:t>
      </w:r>
      <w:r w:rsidRPr="00F00D94">
        <w:rPr>
          <w:rFonts w:ascii="Arial" w:eastAsia="Arial" w:hAnsi="Arial" w:cs="Arial"/>
          <w:spacing w:val="1"/>
        </w:rPr>
        <w:t xml:space="preserve"> a</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s</w:t>
      </w:r>
      <w:r w:rsidRPr="00F00D94">
        <w:rPr>
          <w:rFonts w:ascii="Arial" w:eastAsia="Arial" w:hAnsi="Arial" w:cs="Arial"/>
          <w:spacing w:val="1"/>
        </w:rPr>
        <w:t>u</w:t>
      </w:r>
      <w:r w:rsidRPr="00F00D94">
        <w:rPr>
          <w:rFonts w:ascii="Arial" w:eastAsia="Arial" w:hAnsi="Arial" w:cs="Arial"/>
          <w:spacing w:val="-1"/>
        </w:rPr>
        <w:t>b</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p>
    <w:p w14:paraId="6F3C8127" w14:textId="3B140830" w:rsidR="000E5EED" w:rsidRPr="00F00D94" w:rsidRDefault="000E5EED" w:rsidP="000E5EED">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F</w:t>
      </w:r>
      <w:r w:rsidRPr="00F00D94">
        <w:rPr>
          <w:rFonts w:ascii="Arial" w:eastAsia="Arial" w:hAnsi="Arial" w:cs="Arial"/>
          <w:spacing w:val="1"/>
        </w:rPr>
        <w:t>o</w:t>
      </w:r>
      <w:r w:rsidRPr="00F00D94">
        <w:rPr>
          <w:rFonts w:ascii="Arial" w:eastAsia="Arial" w:hAnsi="Arial" w:cs="Arial"/>
        </w:rPr>
        <w:t>r c</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spacing w:val="1"/>
        </w:rPr>
        <w:t>an</w:t>
      </w:r>
      <w:r w:rsidRPr="00F00D94">
        <w:rPr>
          <w:rFonts w:ascii="Arial" w:eastAsia="Arial" w:hAnsi="Arial" w:cs="Arial"/>
          <w:spacing w:val="-2"/>
        </w:rPr>
        <w:t>s</w:t>
      </w:r>
      <w:r w:rsidRPr="00F00D94">
        <w:rPr>
          <w:rFonts w:ascii="Arial" w:eastAsia="Arial" w:hAnsi="Arial" w:cs="Arial"/>
          <w:spacing w:val="1"/>
        </w:rPr>
        <w:t>a</w:t>
      </w:r>
      <w:r w:rsidRPr="00F00D94">
        <w:rPr>
          <w:rFonts w:ascii="Arial" w:eastAsia="Arial" w:hAnsi="Arial" w:cs="Arial"/>
        </w:rPr>
        <w:t>cti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DA759F" w:rsidRPr="00DA759F">
        <w:rPr>
          <w:rFonts w:ascii="Arial" w:hAnsi="Arial" w:cs="Arial"/>
          <w:color w:val="002060"/>
        </w:rPr>
        <w:t>recipient or subrecipient</w:t>
      </w:r>
      <w:r w:rsidR="00DA759F" w:rsidRPr="00D84331">
        <w:rPr>
          <w:rFonts w:ascii="Arial" w:hAnsi="Arial" w:cs="Arial"/>
          <w:i/>
          <w:iCs/>
          <w:color w:val="002060"/>
        </w:rPr>
        <w:t xml:space="preserve"> </w:t>
      </w:r>
      <w:r w:rsidRPr="00F00D94">
        <w:rPr>
          <w:rFonts w:ascii="Arial" w:eastAsia="Arial" w:hAnsi="Arial" w:cs="Arial"/>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at en</w:t>
      </w:r>
      <w:r w:rsidRPr="00F00D94">
        <w:rPr>
          <w:rFonts w:ascii="Arial" w:eastAsia="Arial" w:hAnsi="Arial" w:cs="Arial"/>
        </w:rPr>
        <w:t>titi</w:t>
      </w:r>
      <w:r w:rsidRPr="00F00D94">
        <w:rPr>
          <w:rFonts w:ascii="Arial" w:eastAsia="Arial" w:hAnsi="Arial" w:cs="Arial"/>
          <w:spacing w:val="1"/>
        </w:rPr>
        <w:t>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p</w:t>
      </w:r>
      <w:r w:rsidRPr="00F00D94">
        <w:rPr>
          <w:rFonts w:ascii="Arial" w:eastAsia="Arial" w:hAnsi="Arial" w:cs="Arial"/>
          <w:spacing w:val="-1"/>
        </w:rPr>
        <w:t>en</w:t>
      </w:r>
      <w:r w:rsidRPr="00F00D94">
        <w:rPr>
          <w:rFonts w:ascii="Arial" w:eastAsia="Arial" w:hAnsi="Arial" w:cs="Arial"/>
          <w:spacing w:val="1"/>
        </w:rPr>
        <w:t>ded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ba</w:t>
      </w:r>
      <w:r w:rsidRPr="00F00D94">
        <w:rPr>
          <w:rFonts w:ascii="Arial" w:eastAsia="Arial" w:hAnsi="Arial" w:cs="Arial"/>
          <w:spacing w:val="-1"/>
        </w:rPr>
        <w:t>rr</w:t>
      </w:r>
      <w:r w:rsidRPr="00F00D94">
        <w:rPr>
          <w:rFonts w:ascii="Arial" w:eastAsia="Arial" w:hAnsi="Arial" w:cs="Arial"/>
          <w:spacing w:val="1"/>
        </w:rPr>
        <w:t>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spacing w:val="-3"/>
        </w:rPr>
        <w:t>rw</w:t>
      </w:r>
      <w:r w:rsidRPr="00F00D94">
        <w:rPr>
          <w:rFonts w:ascii="Arial" w:eastAsia="Arial" w:hAnsi="Arial" w:cs="Arial"/>
        </w:rPr>
        <w:t>ise</w:t>
      </w:r>
      <w:r w:rsidRPr="00F00D94">
        <w:rPr>
          <w:rFonts w:ascii="Arial" w:eastAsia="Arial" w:hAnsi="Arial" w:cs="Arial"/>
          <w:spacing w:val="1"/>
        </w:rPr>
        <w:t xml:space="preserve"> e</w:t>
      </w:r>
      <w:r w:rsidRPr="00F00D94">
        <w:rPr>
          <w:rFonts w:ascii="Arial" w:eastAsia="Arial" w:hAnsi="Arial" w:cs="Arial"/>
          <w:spacing w:val="-2"/>
        </w:rPr>
        <w:t>x</w:t>
      </w:r>
      <w:r w:rsidRPr="00F00D94">
        <w:rPr>
          <w:rFonts w:ascii="Arial" w:eastAsia="Arial" w:hAnsi="Arial" w:cs="Arial"/>
          <w:spacing w:val="2"/>
        </w:rPr>
        <w:t>c</w:t>
      </w:r>
      <w:r w:rsidRPr="00F00D94">
        <w:rPr>
          <w:rFonts w:ascii="Arial" w:eastAsia="Arial" w:hAnsi="Arial" w:cs="Arial"/>
        </w:rPr>
        <w:t>l</w:t>
      </w:r>
      <w:r w:rsidRPr="00F00D94">
        <w:rPr>
          <w:rFonts w:ascii="Arial" w:eastAsia="Arial" w:hAnsi="Arial" w:cs="Arial"/>
          <w:spacing w:val="1"/>
        </w:rPr>
        <w:t>uded.</w:t>
      </w:r>
    </w:p>
    <w:p w14:paraId="5B49496A" w14:textId="3AB6ECA0" w:rsidR="009138DB" w:rsidRPr="00F00D94" w:rsidRDefault="000E5EED" w:rsidP="000E5EED">
      <w:pPr>
        <w:pBdr>
          <w:top w:val="single" w:sz="6" w:space="0" w:color="FFFFFF"/>
          <w:left w:val="single" w:sz="6" w:space="0" w:color="FFFFFF"/>
          <w:bottom w:val="single" w:sz="6" w:space="0" w:color="FFFFFF"/>
          <w:right w:val="single" w:sz="6" w:space="0" w:color="FFFFFF"/>
        </w:pBdr>
        <w:spacing w:after="240"/>
        <w:jc w:val="both"/>
        <w:rPr>
          <w:rStyle w:val="Hyperlink"/>
          <w:rFonts w:cs="Arial"/>
          <w:b/>
          <w:bCs/>
        </w:rPr>
      </w:pPr>
      <w:r w:rsidRPr="00F00D94">
        <w:rPr>
          <w:rFonts w:ascii="Arial" w:hAnsi="Arial" w:cs="Arial"/>
          <w:i/>
        </w:rPr>
        <w:t xml:space="preserve">(Source: </w:t>
      </w:r>
      <w:r w:rsidR="00DA759F" w:rsidRPr="00F00D94">
        <w:rPr>
          <w:rFonts w:ascii="Arial" w:hAnsi="Arial" w:cs="Arial"/>
          <w:i/>
        </w:rPr>
        <w:t>202</w:t>
      </w:r>
      <w:r w:rsidR="00DA759F">
        <w:rPr>
          <w:rFonts w:ascii="Arial" w:hAnsi="Arial" w:cs="Arial"/>
          <w:i/>
        </w:rPr>
        <w:t>5</w:t>
      </w:r>
      <w:r w:rsidR="00DA759F" w:rsidRPr="00F00D94">
        <w:rPr>
          <w:rFonts w:ascii="Arial" w:hAnsi="Arial" w:cs="Arial"/>
          <w:i/>
        </w:rPr>
        <w:t xml:space="preserve"> </w:t>
      </w:r>
      <w:r w:rsidRPr="00F00D94">
        <w:rPr>
          <w:rFonts w:ascii="Arial" w:hAnsi="Arial" w:cs="Arial"/>
          <w:i/>
        </w:rPr>
        <w:t>OMB Compliance Supplement Part 3</w:t>
      </w:r>
      <w:r w:rsidR="00F41EF0">
        <w:rPr>
          <w:rFonts w:ascii="Arial" w:hAnsi="Arial" w:cs="Arial"/>
          <w:i/>
        </w:rPr>
        <w:t>.2</w:t>
      </w:r>
      <w:r w:rsidRPr="00F00D94">
        <w:rPr>
          <w:rFonts w:ascii="Arial" w:hAnsi="Arial" w:cs="Arial"/>
          <w:i/>
        </w:rPr>
        <w:t>)</w:t>
      </w:r>
    </w:p>
    <w:p w14:paraId="25923CEE"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b/>
          <w:i/>
          <w:iCs/>
          <w:color w:val="002060"/>
        </w:rPr>
        <w:t>Additional Control Test Objectives for Written Procedures:</w:t>
      </w:r>
    </w:p>
    <w:p w14:paraId="76382CA2"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64152934" w14:textId="0A4ADC97" w:rsidR="009138DB" w:rsidRPr="005F1316" w:rsidRDefault="009138DB" w:rsidP="008B4BCE">
      <w:pPr>
        <w:pStyle w:val="ListParagraph"/>
        <w:numPr>
          <w:ilvl w:val="0"/>
          <w:numId w:val="22"/>
        </w:numPr>
        <w:spacing w:after="240"/>
        <w:jc w:val="both"/>
        <w:rPr>
          <w:rStyle w:val="Hyperlink"/>
          <w:rFonts w:cs="Arial"/>
          <w:i/>
          <w:iCs/>
          <w:color w:val="002060"/>
          <w:u w:val="none"/>
        </w:rPr>
      </w:pPr>
      <w:r w:rsidRPr="005F1316">
        <w:rPr>
          <w:rStyle w:val="Hyperlink"/>
          <w:rFonts w:cs="Arial"/>
          <w:i/>
          <w:iCs/>
          <w:color w:val="002060"/>
          <w:u w:val="none"/>
        </w:rPr>
        <w:t xml:space="preserve">UG requires a written policy for the requirements outlined in </w:t>
      </w:r>
      <w:r w:rsidR="000023A2" w:rsidRPr="005F1316">
        <w:rPr>
          <w:rFonts w:ascii="Arial" w:hAnsi="Arial" w:cs="Arial"/>
          <w:i/>
          <w:iCs/>
          <w:color w:val="002060"/>
        </w:rPr>
        <w:t>2 CFR 200.318</w:t>
      </w:r>
      <w:r w:rsidRPr="005F1316">
        <w:rPr>
          <w:rStyle w:val="Hyperlink"/>
          <w:rFonts w:cs="Arial"/>
          <w:i/>
          <w:iCs/>
          <w:color w:val="002060"/>
          <w:u w:val="none"/>
        </w:rPr>
        <w:t xml:space="preserve">(c)(1), </w:t>
      </w:r>
      <w:r w:rsidR="000023A2" w:rsidRPr="005F1316">
        <w:rPr>
          <w:rFonts w:ascii="Arial" w:hAnsi="Arial" w:cs="Arial"/>
          <w:i/>
          <w:iCs/>
          <w:color w:val="002060"/>
        </w:rPr>
        <w:t>2 CFR 200.318</w:t>
      </w:r>
      <w:r w:rsidRPr="005F1316">
        <w:rPr>
          <w:rStyle w:val="Hyperlink"/>
          <w:rFonts w:cs="Arial"/>
          <w:i/>
          <w:iCs/>
          <w:color w:val="002060"/>
          <w:u w:val="none"/>
        </w:rPr>
        <w:t xml:space="preserve">(c)(2), </w:t>
      </w:r>
      <w:r w:rsidR="000023A2" w:rsidRPr="005F1316">
        <w:rPr>
          <w:rFonts w:ascii="Arial" w:hAnsi="Arial" w:cs="Arial"/>
          <w:i/>
          <w:iCs/>
          <w:color w:val="002060"/>
        </w:rPr>
        <w:t>2 CFR 200.320</w:t>
      </w:r>
      <w:r w:rsidRPr="005F1316">
        <w:rPr>
          <w:rStyle w:val="Hyperlink"/>
          <w:rFonts w:cs="Arial"/>
          <w:i/>
          <w:iCs/>
          <w:color w:val="002060"/>
          <w:u w:val="none"/>
        </w:rPr>
        <w:t>(</w:t>
      </w:r>
      <w:r w:rsidR="009D4DA5">
        <w:rPr>
          <w:rStyle w:val="Hyperlink"/>
          <w:rFonts w:cs="Arial"/>
          <w:i/>
          <w:iCs/>
          <w:color w:val="002060"/>
          <w:u w:val="none"/>
        </w:rPr>
        <w:t>b</w:t>
      </w:r>
      <w:r w:rsidRPr="005F1316">
        <w:rPr>
          <w:rStyle w:val="Hyperlink"/>
          <w:rFonts w:cs="Arial"/>
          <w:i/>
          <w:iCs/>
          <w:color w:val="002060"/>
          <w:u w:val="none"/>
        </w:rPr>
        <w:t>)(</w:t>
      </w:r>
      <w:r w:rsidR="009D4DA5">
        <w:rPr>
          <w:rStyle w:val="Hyperlink"/>
          <w:rFonts w:cs="Arial"/>
          <w:i/>
          <w:iCs/>
          <w:color w:val="002060"/>
          <w:u w:val="none"/>
        </w:rPr>
        <w:t>2</w:t>
      </w:r>
      <w:r w:rsidRPr="005F1316">
        <w:rPr>
          <w:rStyle w:val="Hyperlink"/>
          <w:rFonts w:cs="Arial"/>
          <w:i/>
          <w:iCs/>
          <w:color w:val="002060"/>
          <w:u w:val="none"/>
        </w:rPr>
        <w:t xml:space="preserve">), and </w:t>
      </w:r>
      <w:r w:rsidR="000023A2" w:rsidRPr="005F1316">
        <w:rPr>
          <w:rFonts w:ascii="Arial" w:hAnsi="Arial" w:cs="Arial"/>
          <w:i/>
          <w:iCs/>
          <w:color w:val="002060"/>
        </w:rPr>
        <w:t>2 CFR 200.319</w:t>
      </w:r>
      <w:r w:rsidRPr="005F1316">
        <w:rPr>
          <w:rStyle w:val="Hyperlink"/>
          <w:rFonts w:cs="Arial"/>
          <w:i/>
          <w:iCs/>
          <w:color w:val="002060"/>
          <w:u w:val="none"/>
        </w:rPr>
        <w:t>(</w:t>
      </w:r>
      <w:r w:rsidR="009D4DA5">
        <w:rPr>
          <w:rStyle w:val="Hyperlink"/>
          <w:rFonts w:cs="Arial"/>
          <w:i/>
          <w:iCs/>
          <w:color w:val="002060"/>
          <w:u w:val="none"/>
        </w:rPr>
        <w:t>d</w:t>
      </w:r>
      <w:r w:rsidRPr="005F1316">
        <w:rPr>
          <w:rStyle w:val="Hyperlink"/>
          <w:rFonts w:cs="Arial"/>
          <w:i/>
          <w:iCs/>
          <w:color w:val="002060"/>
          <w:u w:val="none"/>
        </w:rPr>
        <w:t>).</w:t>
      </w:r>
    </w:p>
    <w:p w14:paraId="1ADA8E87" w14:textId="16A08DF2" w:rsidR="009138DB" w:rsidRPr="005F1316" w:rsidRDefault="009138DB" w:rsidP="008B4BCE">
      <w:pPr>
        <w:pStyle w:val="AuditProcedureHeading"/>
        <w:numPr>
          <w:ilvl w:val="0"/>
          <w:numId w:val="22"/>
        </w:numPr>
        <w:spacing w:after="240"/>
        <w:jc w:val="both"/>
        <w:rPr>
          <w:rFonts w:cs="Arial"/>
          <w:bCs/>
          <w:i/>
          <w:iCs/>
          <w:color w:val="002060"/>
          <w:szCs w:val="20"/>
        </w:rPr>
      </w:pPr>
      <w:r w:rsidRPr="005F1316">
        <w:rPr>
          <w:rFonts w:cs="Arial"/>
          <w:bCs/>
          <w:i/>
          <w:iCs/>
          <w:color w:val="002060"/>
          <w:szCs w:val="20"/>
        </w:rPr>
        <w:lastRenderedPageBreak/>
        <w:t xml:space="preserve">Document whether the </w:t>
      </w:r>
      <w:r w:rsidR="00D74A1B">
        <w:rPr>
          <w:rFonts w:cs="Arial"/>
          <w:bCs/>
          <w:i/>
          <w:iCs/>
          <w:color w:val="002060"/>
          <w:szCs w:val="20"/>
        </w:rPr>
        <w:t>recipient or subrecipient</w:t>
      </w:r>
      <w:r w:rsidRPr="005F1316">
        <w:rPr>
          <w:rFonts w:cs="Arial"/>
          <w:bCs/>
          <w:i/>
          <w:iCs/>
          <w:color w:val="002060"/>
          <w:szCs w:val="20"/>
        </w:rPr>
        <w:t xml:space="preserve"> established written procedures consistent with the following requirements:</w:t>
      </w:r>
    </w:p>
    <w:p w14:paraId="4D9A9454" w14:textId="77777777" w:rsidR="009138DB" w:rsidRDefault="009138DB" w:rsidP="008B4BCE">
      <w:pPr>
        <w:pStyle w:val="AuditProcedureHeading"/>
        <w:numPr>
          <w:ilvl w:val="1"/>
          <w:numId w:val="22"/>
        </w:numPr>
        <w:spacing w:after="0"/>
        <w:jc w:val="both"/>
        <w:rPr>
          <w:rFonts w:cs="Arial"/>
          <w:bCs/>
          <w:i/>
          <w:iCs/>
          <w:color w:val="002060"/>
          <w:szCs w:val="20"/>
        </w:rPr>
      </w:pPr>
      <w:r w:rsidRPr="005F1316">
        <w:rPr>
          <w:rFonts w:cs="Arial"/>
          <w:bCs/>
          <w:i/>
          <w:iCs/>
          <w:color w:val="002060"/>
          <w:szCs w:val="20"/>
        </w:rPr>
        <w:t xml:space="preserve">2 CFR 200.318(c)(1) </w:t>
      </w:r>
      <w:r w:rsidRPr="005F1316">
        <w:rPr>
          <w:rFonts w:cs="Arial"/>
          <w:i/>
          <w:iCs/>
          <w:color w:val="002060"/>
          <w:szCs w:val="20"/>
        </w:rPr>
        <w:t>for employee conflicts of interest</w:t>
      </w:r>
      <w:r w:rsidRPr="005F1316">
        <w:rPr>
          <w:rFonts w:cs="Arial"/>
          <w:bCs/>
          <w:i/>
          <w:iCs/>
          <w:color w:val="002060"/>
          <w:szCs w:val="20"/>
        </w:rPr>
        <w:t xml:space="preserve">. </w:t>
      </w:r>
    </w:p>
    <w:p w14:paraId="744A8D3A" w14:textId="724C60BC" w:rsidR="002F7F7A" w:rsidRPr="002F7F7A" w:rsidRDefault="002F7F7A" w:rsidP="008B4BCE">
      <w:pPr>
        <w:pStyle w:val="ListParagraph"/>
        <w:numPr>
          <w:ilvl w:val="2"/>
          <w:numId w:val="2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E3938B3" w14:textId="77777777" w:rsidR="009138DB" w:rsidRPr="002F7F7A" w:rsidRDefault="009138DB" w:rsidP="008B4BCE">
      <w:pPr>
        <w:pStyle w:val="AuditProcedureHeading"/>
        <w:numPr>
          <w:ilvl w:val="1"/>
          <w:numId w:val="22"/>
        </w:numPr>
        <w:spacing w:after="0"/>
        <w:jc w:val="both"/>
        <w:rPr>
          <w:rFonts w:cs="Arial"/>
          <w:bCs/>
          <w:i/>
          <w:iCs/>
          <w:color w:val="002060"/>
          <w:szCs w:val="20"/>
        </w:rPr>
      </w:pPr>
      <w:r w:rsidRPr="005F1316">
        <w:rPr>
          <w:rFonts w:cs="Arial"/>
          <w:bCs/>
          <w:i/>
          <w:iCs/>
          <w:color w:val="002060"/>
          <w:szCs w:val="20"/>
        </w:rPr>
        <w:t xml:space="preserve">2 CFR 200.318(c)(2) </w:t>
      </w:r>
      <w:r w:rsidRPr="005F1316">
        <w:rPr>
          <w:rFonts w:cs="Arial"/>
          <w:i/>
          <w:iCs/>
          <w:color w:val="002060"/>
          <w:szCs w:val="20"/>
        </w:rPr>
        <w:t xml:space="preserve">for organizational conflicts of interest. </w:t>
      </w:r>
    </w:p>
    <w:p w14:paraId="1D48ECC7" w14:textId="292994D5" w:rsidR="002F7F7A" w:rsidRPr="002F7F7A" w:rsidRDefault="002F7F7A" w:rsidP="008B4BCE">
      <w:pPr>
        <w:pStyle w:val="ListParagraph"/>
        <w:numPr>
          <w:ilvl w:val="2"/>
          <w:numId w:val="2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441113B" w14:textId="39CA3724" w:rsidR="009138DB" w:rsidRPr="002F7F7A" w:rsidRDefault="009138DB" w:rsidP="008B4BCE">
      <w:pPr>
        <w:pStyle w:val="AuditProcedureHeading"/>
        <w:numPr>
          <w:ilvl w:val="1"/>
          <w:numId w:val="22"/>
        </w:numPr>
        <w:spacing w:after="0"/>
        <w:jc w:val="both"/>
        <w:rPr>
          <w:rFonts w:cs="Arial"/>
          <w:bCs/>
          <w:i/>
          <w:iCs/>
          <w:color w:val="002060"/>
          <w:szCs w:val="20"/>
        </w:rPr>
      </w:pPr>
      <w:r w:rsidRPr="005F1316">
        <w:rPr>
          <w:rFonts w:cs="Arial"/>
          <w:bCs/>
          <w:i/>
          <w:iCs/>
          <w:color w:val="002060"/>
          <w:szCs w:val="20"/>
        </w:rPr>
        <w:t>2 CFR 200.320(</w:t>
      </w:r>
      <w:r w:rsidR="00EE24F8">
        <w:rPr>
          <w:rFonts w:cs="Arial"/>
          <w:bCs/>
          <w:i/>
          <w:iCs/>
          <w:color w:val="002060"/>
          <w:szCs w:val="20"/>
        </w:rPr>
        <w:t>b</w:t>
      </w:r>
      <w:r w:rsidRPr="005F1316">
        <w:rPr>
          <w:rFonts w:cs="Arial"/>
          <w:bCs/>
          <w:i/>
          <w:iCs/>
          <w:color w:val="002060"/>
          <w:szCs w:val="20"/>
        </w:rPr>
        <w:t>)(</w:t>
      </w:r>
      <w:r w:rsidR="00EE24F8">
        <w:rPr>
          <w:rFonts w:cs="Arial"/>
          <w:bCs/>
          <w:i/>
          <w:iCs/>
          <w:color w:val="002060"/>
          <w:szCs w:val="20"/>
        </w:rPr>
        <w:t>2</w:t>
      </w:r>
      <w:r w:rsidRPr="005F1316">
        <w:rPr>
          <w:rFonts w:cs="Arial"/>
          <w:bCs/>
          <w:i/>
          <w:iCs/>
          <w:color w:val="002060"/>
          <w:szCs w:val="20"/>
        </w:rPr>
        <w:t>) for selection and awarding of</w:t>
      </w:r>
      <w:r w:rsidR="00EE24F8">
        <w:rPr>
          <w:rFonts w:cs="Arial"/>
          <w:bCs/>
          <w:i/>
          <w:iCs/>
          <w:color w:val="002060"/>
          <w:szCs w:val="20"/>
        </w:rPr>
        <w:t xml:space="preserve"> contracts for</w:t>
      </w:r>
      <w:r w:rsidRPr="005F1316">
        <w:rPr>
          <w:rFonts w:cs="Arial"/>
          <w:bCs/>
          <w:i/>
          <w:iCs/>
          <w:color w:val="002060"/>
          <w:szCs w:val="20"/>
        </w:rPr>
        <w:t xml:space="preserve"> competitive </w:t>
      </w:r>
      <w:r w:rsidR="00EE24F8">
        <w:rPr>
          <w:rFonts w:cs="Arial"/>
          <w:bCs/>
          <w:i/>
          <w:iCs/>
          <w:color w:val="002060"/>
          <w:szCs w:val="20"/>
        </w:rPr>
        <w:t>proposals</w:t>
      </w:r>
      <w:r w:rsidRPr="005F1316">
        <w:rPr>
          <w:rFonts w:cs="Arial"/>
          <w:i/>
          <w:iCs/>
          <w:color w:val="002060"/>
          <w:szCs w:val="20"/>
        </w:rPr>
        <w:t xml:space="preserve">. </w:t>
      </w:r>
    </w:p>
    <w:p w14:paraId="52DC0BBC" w14:textId="20BE241A" w:rsidR="002F7F7A" w:rsidRPr="002F7F7A" w:rsidRDefault="002F7F7A" w:rsidP="008B4BCE">
      <w:pPr>
        <w:pStyle w:val="ListParagraph"/>
        <w:numPr>
          <w:ilvl w:val="2"/>
          <w:numId w:val="2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F3ED4FB" w14:textId="1DB236D9" w:rsidR="009138DB" w:rsidRPr="002F7F7A" w:rsidRDefault="009138DB" w:rsidP="008B4BCE">
      <w:pPr>
        <w:pStyle w:val="AuditProcedureHeading"/>
        <w:numPr>
          <w:ilvl w:val="1"/>
          <w:numId w:val="22"/>
        </w:numPr>
        <w:spacing w:after="0"/>
        <w:jc w:val="both"/>
        <w:rPr>
          <w:rFonts w:cs="Arial"/>
          <w:bCs/>
          <w:i/>
          <w:iCs/>
          <w:color w:val="002060"/>
          <w:szCs w:val="20"/>
        </w:rPr>
      </w:pPr>
      <w:r w:rsidRPr="005F1316">
        <w:rPr>
          <w:rFonts w:cs="Arial"/>
          <w:bCs/>
          <w:i/>
          <w:iCs/>
          <w:color w:val="002060"/>
          <w:szCs w:val="20"/>
        </w:rPr>
        <w:t>2 CFR 200.319(</w:t>
      </w:r>
      <w:r w:rsidR="007D7A68">
        <w:rPr>
          <w:rFonts w:cs="Arial"/>
          <w:bCs/>
          <w:i/>
          <w:iCs/>
          <w:color w:val="002060"/>
          <w:szCs w:val="20"/>
        </w:rPr>
        <w:t>d</w:t>
      </w:r>
      <w:r w:rsidRPr="005F1316">
        <w:rPr>
          <w:rFonts w:cs="Arial"/>
          <w:bCs/>
          <w:i/>
          <w:iCs/>
          <w:color w:val="002060"/>
          <w:szCs w:val="20"/>
        </w:rPr>
        <w:t>) for minimum evaluation criteria for bids and proposals</w:t>
      </w:r>
      <w:r w:rsidRPr="005F1316">
        <w:rPr>
          <w:rFonts w:cs="Arial"/>
          <w:i/>
          <w:iCs/>
          <w:color w:val="002060"/>
          <w:szCs w:val="20"/>
        </w:rPr>
        <w:t xml:space="preserve">. </w:t>
      </w:r>
    </w:p>
    <w:p w14:paraId="3F520DA8" w14:textId="3834AAF5" w:rsidR="002F7F7A" w:rsidRPr="002F7F7A" w:rsidRDefault="002F7F7A" w:rsidP="008B4BCE">
      <w:pPr>
        <w:pStyle w:val="ListParagraph"/>
        <w:numPr>
          <w:ilvl w:val="2"/>
          <w:numId w:val="2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687D8523" w14:textId="61601CE0" w:rsidR="009138DB" w:rsidRPr="005F1316" w:rsidRDefault="009138DB" w:rsidP="008B4BCE">
      <w:pPr>
        <w:pStyle w:val="AuditProcedureHeading"/>
        <w:numPr>
          <w:ilvl w:val="0"/>
          <w:numId w:val="22"/>
        </w:numPr>
        <w:spacing w:after="240"/>
        <w:jc w:val="both"/>
        <w:rPr>
          <w:rFonts w:cs="Arial"/>
          <w:bCs/>
          <w:i/>
          <w:iCs/>
          <w:color w:val="002060"/>
          <w:szCs w:val="20"/>
        </w:rPr>
      </w:pPr>
      <w:r w:rsidRPr="005F1316">
        <w:rPr>
          <w:rFonts w:cs="Arial"/>
          <w:i/>
          <w:iCs/>
          <w:color w:val="002060"/>
          <w:szCs w:val="20"/>
        </w:rPr>
        <w:t xml:space="preserve">It is auditor judgment how to report instances where the entity either lacks having a written policy or their written policy is insufficient to meet the requirements of </w:t>
      </w:r>
      <w:r w:rsidRPr="005F1316">
        <w:rPr>
          <w:rStyle w:val="Hyperlink"/>
          <w:rFonts w:cs="Arial"/>
          <w:i/>
          <w:iCs/>
          <w:color w:val="002060"/>
          <w:szCs w:val="20"/>
          <w:u w:val="none"/>
        </w:rPr>
        <w:t>2 CFR 200.318(c)(1), 2 CFR 200.318(c)(2), 2 CFR 200.320(</w:t>
      </w:r>
      <w:r w:rsidR="009D4DA5">
        <w:rPr>
          <w:rStyle w:val="Hyperlink"/>
          <w:rFonts w:cs="Arial"/>
          <w:i/>
          <w:iCs/>
          <w:color w:val="002060"/>
          <w:szCs w:val="20"/>
          <w:u w:val="none"/>
        </w:rPr>
        <w:t>b</w:t>
      </w:r>
      <w:r w:rsidRPr="005F1316">
        <w:rPr>
          <w:rStyle w:val="Hyperlink"/>
          <w:rFonts w:cs="Arial"/>
          <w:i/>
          <w:iCs/>
          <w:color w:val="002060"/>
          <w:szCs w:val="20"/>
          <w:u w:val="none"/>
        </w:rPr>
        <w:t>)(</w:t>
      </w:r>
      <w:r w:rsidR="009D4DA5">
        <w:rPr>
          <w:rStyle w:val="Hyperlink"/>
          <w:rFonts w:cs="Arial"/>
          <w:i/>
          <w:iCs/>
          <w:color w:val="002060"/>
          <w:szCs w:val="20"/>
          <w:u w:val="none"/>
        </w:rPr>
        <w:t>2</w:t>
      </w:r>
      <w:r w:rsidRPr="005F1316">
        <w:rPr>
          <w:rStyle w:val="Hyperlink"/>
          <w:rFonts w:cs="Arial"/>
          <w:i/>
          <w:iCs/>
          <w:color w:val="002060"/>
          <w:szCs w:val="20"/>
          <w:u w:val="none"/>
        </w:rPr>
        <w:t>), and 2 CFR 200.319(</w:t>
      </w:r>
      <w:r w:rsidR="009D4DA5">
        <w:rPr>
          <w:rStyle w:val="Hyperlink"/>
          <w:rFonts w:cs="Arial"/>
          <w:i/>
          <w:iCs/>
          <w:color w:val="002060"/>
          <w:szCs w:val="20"/>
          <w:u w:val="none"/>
        </w:rPr>
        <w:t>d</w:t>
      </w:r>
      <w:r w:rsidRPr="005F1316">
        <w:rPr>
          <w:rStyle w:val="Hyperlink"/>
          <w:rFonts w:cs="Arial"/>
          <w:i/>
          <w:iCs/>
          <w:color w:val="002060"/>
          <w:szCs w:val="20"/>
          <w:u w:val="none"/>
        </w:rPr>
        <w:t>)</w:t>
      </w:r>
      <w:r w:rsidRPr="005F1316">
        <w:rPr>
          <w:rFonts w:cs="Arial"/>
          <w:i/>
          <w:iCs/>
          <w:color w:val="002060"/>
          <w:szCs w:val="20"/>
        </w:rPr>
        <w:t>.</w:t>
      </w:r>
    </w:p>
    <w:p w14:paraId="32697565" w14:textId="77777777" w:rsidR="009138DB" w:rsidRPr="005F1316" w:rsidRDefault="009138DB" w:rsidP="008B4BCE">
      <w:pPr>
        <w:pStyle w:val="AuditProcedureHeading"/>
        <w:numPr>
          <w:ilvl w:val="1"/>
          <w:numId w:val="22"/>
        </w:numPr>
        <w:spacing w:after="240"/>
        <w:jc w:val="both"/>
        <w:rPr>
          <w:rFonts w:cs="Arial"/>
          <w:bCs/>
          <w:i/>
          <w:iCs/>
          <w:color w:val="002060"/>
          <w:szCs w:val="20"/>
        </w:rPr>
      </w:pPr>
      <w:r w:rsidRPr="005F1316">
        <w:rPr>
          <w:rFonts w:cs="Arial"/>
          <w:bCs/>
          <w:i/>
          <w:iCs/>
          <w:color w:val="002060"/>
          <w:szCs w:val="20"/>
        </w:rPr>
        <w:t xml:space="preserve">While auditors would normally use a written policy as the basis for the compliance control, there could be other key controls in place to ensure program compliance. </w:t>
      </w:r>
    </w:p>
    <w:p w14:paraId="12C969D4" w14:textId="77777777" w:rsidR="009138DB" w:rsidRPr="005F1316" w:rsidRDefault="009138DB" w:rsidP="008B4BCE">
      <w:pPr>
        <w:pStyle w:val="AuditProcedureHeading"/>
        <w:numPr>
          <w:ilvl w:val="1"/>
          <w:numId w:val="22"/>
        </w:numPr>
        <w:spacing w:after="240"/>
        <w:jc w:val="both"/>
        <w:rPr>
          <w:rFonts w:cs="Arial"/>
          <w:bCs/>
          <w:i/>
          <w:iCs/>
          <w:color w:val="002060"/>
          <w:szCs w:val="20"/>
        </w:rPr>
      </w:pPr>
      <w:r w:rsidRPr="005F131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53ED9E17" w14:textId="4FA0419A" w:rsidR="00220BEF" w:rsidRPr="005F1316" w:rsidRDefault="009138DB" w:rsidP="008B4BCE">
      <w:pPr>
        <w:pStyle w:val="ListParagraph"/>
        <w:numPr>
          <w:ilvl w:val="2"/>
          <w:numId w:val="22"/>
        </w:numPr>
        <w:pBdr>
          <w:top w:val="single" w:sz="6" w:space="0" w:color="FFFFFF"/>
          <w:left w:val="single" w:sz="6" w:space="0" w:color="FFFFFF"/>
          <w:bottom w:val="single" w:sz="6" w:space="0" w:color="FFFFFF"/>
          <w:right w:val="single" w:sz="6" w:space="0" w:color="FFFFFF"/>
        </w:pBdr>
        <w:spacing w:after="240"/>
        <w:jc w:val="both"/>
        <w:rPr>
          <w:rFonts w:ascii="Arial" w:hAnsi="Arial" w:cs="Arial"/>
          <w:b/>
          <w:bCs/>
          <w:i/>
          <w:iCs/>
          <w:color w:val="002060"/>
        </w:rPr>
      </w:pPr>
      <w:r w:rsidRPr="005F131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52018FA7" w14:textId="72A03FF0" w:rsidR="00634FA3"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F5750" w:rsidRPr="00F00D94" w14:paraId="487D98B3" w14:textId="77777777" w:rsidTr="00E0350C">
        <w:tc>
          <w:tcPr>
            <w:tcW w:w="5000" w:type="pct"/>
          </w:tcPr>
          <w:p w14:paraId="050C4050"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20BDF3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C7E3DBE" w14:textId="77777777" w:rsidR="00634FA3" w:rsidRPr="00F00D94" w:rsidRDefault="00634FA3" w:rsidP="00634FA3">
            <w:pPr>
              <w:pStyle w:val="AuditProcedureHeading"/>
              <w:spacing w:after="240"/>
              <w:jc w:val="both"/>
              <w:rPr>
                <w:rFonts w:cs="Arial"/>
                <w:b/>
                <w:bCs/>
                <w:szCs w:val="20"/>
                <w:u w:val="single"/>
              </w:rPr>
            </w:pPr>
          </w:p>
          <w:p w14:paraId="72138992" w14:textId="347BD526"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91A74A" w14:textId="77777777" w:rsidR="00634FA3" w:rsidRPr="00F00D94" w:rsidRDefault="00634FA3" w:rsidP="00634FA3">
            <w:pPr>
              <w:pStyle w:val="AuditProcedureHeading"/>
              <w:spacing w:after="240"/>
              <w:jc w:val="both"/>
              <w:rPr>
                <w:rFonts w:cs="Arial"/>
                <w:b/>
                <w:bCs/>
                <w:szCs w:val="20"/>
                <w:u w:val="single"/>
              </w:rPr>
            </w:pPr>
          </w:p>
          <w:p w14:paraId="58CBA87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80A83F9" w14:textId="77777777" w:rsidR="00634FA3" w:rsidRPr="00F00D94" w:rsidRDefault="00634FA3" w:rsidP="00634FA3">
            <w:pPr>
              <w:spacing w:after="240"/>
              <w:jc w:val="both"/>
              <w:rPr>
                <w:rFonts w:ascii="Arial" w:hAnsi="Arial" w:cs="Arial"/>
                <w:b/>
                <w:sz w:val="20"/>
                <w:u w:val="single"/>
              </w:rPr>
            </w:pPr>
          </w:p>
          <w:p w14:paraId="66759769"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95DA486" w14:textId="77777777" w:rsidR="00BF5750" w:rsidRPr="001A7A0F" w:rsidRDefault="00BF5750" w:rsidP="006672EA">
            <w:pPr>
              <w:spacing w:after="240"/>
              <w:jc w:val="both"/>
              <w:rPr>
                <w:rFonts w:ascii="Arial" w:eastAsiaTheme="minorHAnsi" w:hAnsi="Arial" w:cs="Arial"/>
                <w:sz w:val="20"/>
                <w:szCs w:val="20"/>
              </w:rPr>
            </w:pPr>
          </w:p>
        </w:tc>
      </w:tr>
    </w:tbl>
    <w:p w14:paraId="6561A7EF" w14:textId="77777777" w:rsidR="00044DD5" w:rsidRPr="00F00D94" w:rsidRDefault="00044DD5" w:rsidP="001F0603">
      <w:pPr>
        <w:spacing w:after="240"/>
        <w:rPr>
          <w:rFonts w:ascii="Arial" w:hAnsi="Arial" w:cs="Arial"/>
        </w:rPr>
      </w:pPr>
    </w:p>
    <w:p w14:paraId="03686582" w14:textId="3F40A66D" w:rsidR="00DC3468" w:rsidRPr="00220BD0" w:rsidRDefault="00DC3468" w:rsidP="006672EA">
      <w:pPr>
        <w:pStyle w:val="Heading3"/>
        <w:jc w:val="both"/>
        <w:rPr>
          <w:rFonts w:cs="Arial"/>
          <w:sz w:val="24"/>
          <w:szCs w:val="24"/>
        </w:rPr>
      </w:pPr>
      <w:bookmarkStart w:id="59" w:name="_Toc212473121"/>
      <w:r w:rsidRPr="00220BD0">
        <w:rPr>
          <w:rFonts w:cs="Arial"/>
          <w:sz w:val="24"/>
          <w:szCs w:val="24"/>
        </w:rPr>
        <w:t>Suggested</w:t>
      </w:r>
      <w:r w:rsidR="00AE7CFA">
        <w:rPr>
          <w:rFonts w:cs="Arial"/>
          <w:sz w:val="24"/>
          <w:szCs w:val="24"/>
        </w:rPr>
        <w:t xml:space="preserve"> </w:t>
      </w:r>
      <w:r w:rsidR="00CC4452">
        <w:rPr>
          <w:rFonts w:cs="Arial"/>
          <w:sz w:val="24"/>
          <w:szCs w:val="24"/>
        </w:rPr>
        <w:t>Substantive</w:t>
      </w:r>
      <w:r w:rsidRPr="00220BD0">
        <w:rPr>
          <w:rFonts w:cs="Arial"/>
          <w:sz w:val="24"/>
          <w:szCs w:val="24"/>
        </w:rPr>
        <w:t xml:space="preserve"> Audit Procedures</w:t>
      </w:r>
      <w:r w:rsidR="00CC4452">
        <w:rPr>
          <w:rFonts w:cs="Arial"/>
          <w:sz w:val="24"/>
          <w:szCs w:val="24"/>
        </w:rPr>
        <w:t xml:space="preserve"> – Compliance</w:t>
      </w:r>
      <w:bookmarkEnd w:id="59"/>
    </w:p>
    <w:tbl>
      <w:tblPr>
        <w:tblStyle w:val="TableGrid"/>
        <w:tblW w:w="5000" w:type="pct"/>
        <w:tblLook w:val="04A0" w:firstRow="1" w:lastRow="0" w:firstColumn="1" w:lastColumn="0" w:noHBand="0" w:noVBand="1"/>
      </w:tblPr>
      <w:tblGrid>
        <w:gridCol w:w="9350"/>
      </w:tblGrid>
      <w:tr w:rsidR="00BF5750" w:rsidRPr="00F00D94" w14:paraId="5FD4A3C2" w14:textId="77777777" w:rsidTr="00E0350C">
        <w:tc>
          <w:tcPr>
            <w:tcW w:w="5000" w:type="pct"/>
          </w:tcPr>
          <w:p w14:paraId="709FE55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12DAA92" w14:textId="28722BE5"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DA759F">
              <w:rPr>
                <w:rFonts w:ascii="Arial" w:hAnsi="Arial" w:cs="Arial"/>
                <w:i/>
                <w:sz w:val="20"/>
                <w:szCs w:val="20"/>
              </w:rPr>
              <w:t xml:space="preserve">2025 </w:t>
            </w:r>
            <w:r>
              <w:rPr>
                <w:rFonts w:ascii="Arial" w:hAnsi="Arial" w:cs="Arial"/>
                <w:i/>
                <w:sz w:val="20"/>
                <w:szCs w:val="20"/>
              </w:rPr>
              <w:t>OMB Compliance Supplement Part 3</w:t>
            </w:r>
            <w:r w:rsidR="00F41EF0">
              <w:rPr>
                <w:rFonts w:ascii="Arial" w:hAnsi="Arial" w:cs="Arial"/>
                <w:i/>
                <w:sz w:val="20"/>
                <w:szCs w:val="20"/>
              </w:rPr>
              <w:t>.2</w:t>
            </w:r>
            <w:r>
              <w:rPr>
                <w:rFonts w:ascii="Arial" w:hAnsi="Arial" w:cs="Arial"/>
                <w:i/>
                <w:sz w:val="20"/>
                <w:szCs w:val="20"/>
              </w:rPr>
              <w:t>)</w:t>
            </w:r>
          </w:p>
          <w:p w14:paraId="29D92030" w14:textId="3015A4DE" w:rsidR="009900B7" w:rsidRPr="009900B7" w:rsidRDefault="009900B7" w:rsidP="00576830">
            <w:pPr>
              <w:spacing w:after="240"/>
              <w:jc w:val="both"/>
              <w:rPr>
                <w:rFonts w:ascii="Arial" w:hAnsi="Arial" w:cs="Arial"/>
                <w:b/>
                <w:i/>
                <w:iCs/>
                <w:color w:val="002060"/>
                <w:sz w:val="20"/>
                <w:szCs w:val="20"/>
              </w:rPr>
            </w:pPr>
            <w:r w:rsidRPr="009900B7">
              <w:rPr>
                <w:rFonts w:ascii="Arial" w:hAnsi="Arial" w:cs="Arial"/>
                <w:b/>
                <w:i/>
                <w:iCs/>
                <w:color w:val="002060"/>
                <w:sz w:val="20"/>
                <w:szCs w:val="20"/>
              </w:rPr>
              <w:t>The local government is required to be in compliance with applicable state and local procurement requirements regardless of whether the local government procures item(s) itself or relies upon an intergovernmental arrangement with co-op or another entity to procure on its behalf. Auditors need to test procurement files whether they're from the local government, the co-op, or another entity.</w:t>
            </w:r>
          </w:p>
          <w:p w14:paraId="4ECC0E6E" w14:textId="0B7B1614" w:rsidR="00576830" w:rsidRPr="006B0E16" w:rsidRDefault="00576830" w:rsidP="00576830">
            <w:pPr>
              <w:spacing w:after="240"/>
              <w:jc w:val="both"/>
              <w:rPr>
                <w:rFonts w:ascii="Arial" w:eastAsia="Times New Roman" w:hAnsi="Arial" w:cs="Arial"/>
                <w:bCs/>
                <w:i/>
                <w:iCs/>
                <w:color w:val="002060"/>
                <w:sz w:val="20"/>
                <w:szCs w:val="20"/>
              </w:rPr>
            </w:pPr>
            <w:r w:rsidRPr="00CB0E61">
              <w:rPr>
                <w:rFonts w:ascii="Arial" w:hAnsi="Arial" w:cs="Arial"/>
                <w:b/>
                <w:i/>
                <w:iCs/>
                <w:color w:val="002060"/>
                <w:sz w:val="20"/>
                <w:szCs w:val="20"/>
              </w:rPr>
              <w:t>AOS Auditors:</w:t>
            </w:r>
            <w:r w:rsidRPr="00CB0E61">
              <w:rPr>
                <w:rFonts w:ascii="Arial" w:hAnsi="Arial" w:cs="Arial"/>
                <w:bCs/>
                <w:i/>
                <w:iCs/>
                <w:color w:val="002060"/>
                <w:sz w:val="20"/>
                <w:szCs w:val="20"/>
              </w:rPr>
              <w:t xml:space="preserve"> Steps marked with an asterisk (*) are addressed via the attributes in the Procurement Federal Testing Template available on the Intranet.</w:t>
            </w:r>
          </w:p>
          <w:p w14:paraId="1C2EB57C" w14:textId="0C0ABCF5" w:rsidR="006516C2" w:rsidRPr="00D3290B" w:rsidRDefault="008B7173" w:rsidP="00576830">
            <w:pPr>
              <w:spacing w:after="240"/>
              <w:jc w:val="both"/>
              <w:rPr>
                <w:rFonts w:ascii="Arial" w:hAnsi="Arial" w:cs="Arial"/>
                <w:bCs/>
                <w:i/>
                <w:iCs/>
                <w:color w:val="002060"/>
                <w:sz w:val="20"/>
                <w:szCs w:val="20"/>
              </w:rPr>
            </w:pPr>
            <w:bookmarkStart w:id="60" w:name="_Hlk137741393"/>
            <w:r>
              <w:rPr>
                <w:rFonts w:ascii="Arial" w:hAnsi="Arial" w:cs="Arial"/>
                <w:bCs/>
                <w:i/>
                <w:iCs/>
                <w:color w:val="002060"/>
                <w:sz w:val="20"/>
                <w:szCs w:val="20"/>
              </w:rPr>
              <w:t>Procedure</w:t>
            </w:r>
            <w:r w:rsidR="006516C2" w:rsidRPr="00D3290B">
              <w:rPr>
                <w:rFonts w:ascii="Arial" w:hAnsi="Arial" w:cs="Arial"/>
                <w:bCs/>
                <w:i/>
                <w:iCs/>
                <w:color w:val="002060"/>
                <w:sz w:val="20"/>
                <w:szCs w:val="20"/>
              </w:rPr>
              <w:t xml:space="preserve"> 1 is omitted as it is only applicable to States.</w:t>
            </w:r>
          </w:p>
          <w:bookmarkEnd w:id="60"/>
          <w:p w14:paraId="0BE505A5" w14:textId="1B518DF4" w:rsidR="00BF5750" w:rsidRPr="00F00D94" w:rsidRDefault="00BF5750"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 xml:space="preserve">(Procedures 2 – </w:t>
            </w:r>
            <w:r w:rsidR="00406620">
              <w:rPr>
                <w:rFonts w:ascii="Arial" w:hAnsi="Arial" w:cs="Arial"/>
                <w:i/>
                <w:iCs/>
                <w:sz w:val="20"/>
              </w:rPr>
              <w:t>4</w:t>
            </w:r>
            <w:r w:rsidRPr="00F00D94">
              <w:rPr>
                <w:rFonts w:ascii="Arial" w:hAnsi="Arial" w:cs="Arial"/>
                <w:i/>
                <w:iCs/>
                <w:sz w:val="20"/>
              </w:rPr>
              <w:t xml:space="preserve"> apply to </w:t>
            </w:r>
            <w:r w:rsidR="00F041F5" w:rsidRPr="00F041F5">
              <w:rPr>
                <w:rFonts w:ascii="Arial" w:hAnsi="Arial" w:cs="Arial"/>
                <w:i/>
                <w:iCs/>
                <w:sz w:val="20"/>
              </w:rPr>
              <w:t xml:space="preserve">recipients and subrecipients </w:t>
            </w:r>
            <w:r w:rsidRPr="00F00D94">
              <w:rPr>
                <w:rFonts w:ascii="Arial" w:hAnsi="Arial" w:cs="Arial"/>
                <w:i/>
                <w:iCs/>
                <w:sz w:val="20"/>
              </w:rPr>
              <w:t>other than States.)</w:t>
            </w:r>
          </w:p>
          <w:p w14:paraId="6C1630B4" w14:textId="22BF8164"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00EC606B" w:rsidRPr="00EC606B">
              <w:rPr>
                <w:rFonts w:ascii="Arial" w:hAnsi="Arial" w:cs="Arial"/>
                <w:sz w:val="20"/>
              </w:rPr>
              <w:t>Obtain the entity’s procurement policies and verify that the policies comply with requirements in accordance with 2 CFR 200.318 through 200.327.</w:t>
            </w:r>
          </w:p>
          <w:p w14:paraId="2A575836" w14:textId="3B34A525"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Verify that the entity has written standards of conduct </w:t>
            </w:r>
            <w:r w:rsidR="00FC4DA6" w:rsidRPr="00F00D94">
              <w:rPr>
                <w:rFonts w:ascii="Arial" w:hAnsi="Arial" w:cs="Arial"/>
                <w:sz w:val="20"/>
              </w:rPr>
              <w:t xml:space="preserve">that cover </w:t>
            </w:r>
            <w:r w:rsidRPr="00F00D94">
              <w:rPr>
                <w:rFonts w:ascii="Arial" w:hAnsi="Arial" w:cs="Arial"/>
                <w:sz w:val="20"/>
              </w:rPr>
              <w:t>conflicts of interest and govern the performance of its employees engaged in the selection, award, and administration of contracts (</w:t>
            </w:r>
            <w:r w:rsidR="000023A2" w:rsidRPr="00F00D94">
              <w:rPr>
                <w:rFonts w:ascii="Arial" w:hAnsi="Arial" w:cs="Arial"/>
                <w:sz w:val="20"/>
              </w:rPr>
              <w:t>2 CFR 200.318(c)</w:t>
            </w:r>
            <w:r w:rsidRPr="00F00D94">
              <w:rPr>
                <w:rFonts w:ascii="Arial" w:hAnsi="Arial" w:cs="Arial"/>
                <w:sz w:val="20"/>
              </w:rPr>
              <w:t xml:space="preserve"> and </w:t>
            </w:r>
            <w:hyperlink r:id="rId69" w:history="1">
              <w:r w:rsidR="000023A2" w:rsidRPr="00F00D94">
                <w:rPr>
                  <w:rStyle w:val="Hyperlink"/>
                  <w:rFonts w:cs="Arial"/>
                  <w:sz w:val="20"/>
                </w:rPr>
                <w:t>48 CFR 52.203-13</w:t>
              </w:r>
            </w:hyperlink>
            <w:r w:rsidRPr="00F00D94">
              <w:rPr>
                <w:rFonts w:ascii="Arial" w:hAnsi="Arial" w:cs="Arial"/>
                <w:sz w:val="20"/>
              </w:rPr>
              <w:t xml:space="preserve"> and </w:t>
            </w:r>
            <w:hyperlink r:id="rId70" w:history="1">
              <w:r w:rsidRPr="00F00D94">
                <w:rPr>
                  <w:rStyle w:val="Hyperlink"/>
                  <w:rFonts w:cs="Arial"/>
                  <w:sz w:val="20"/>
                </w:rPr>
                <w:t>52.203-16</w:t>
              </w:r>
            </w:hyperlink>
            <w:r w:rsidRPr="00F00D94">
              <w:rPr>
                <w:rFonts w:ascii="Arial" w:hAnsi="Arial" w:cs="Arial"/>
                <w:sz w:val="20"/>
              </w:rPr>
              <w:t>).</w:t>
            </w:r>
          </w:p>
          <w:p w14:paraId="6E069674" w14:textId="64A9D2DE" w:rsidR="00BF5750" w:rsidRPr="00F00D94" w:rsidRDefault="00EC606B" w:rsidP="00EC606B">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sz w:val="20"/>
              </w:rPr>
            </w:pPr>
            <w:r>
              <w:rPr>
                <w:rFonts w:ascii="Arial" w:hAnsi="Arial" w:cs="Arial"/>
                <w:sz w:val="20"/>
              </w:rPr>
              <w:t>4</w:t>
            </w:r>
            <w:r w:rsidR="00BF5750" w:rsidRPr="00F00D94">
              <w:rPr>
                <w:rFonts w:ascii="Arial" w:hAnsi="Arial" w:cs="Arial"/>
                <w:sz w:val="20"/>
              </w:rPr>
              <w:t>.</w:t>
            </w:r>
            <w:r w:rsidR="00BF5750" w:rsidRPr="00F00D94">
              <w:rPr>
                <w:rFonts w:ascii="Arial" w:hAnsi="Arial" w:cs="Arial"/>
                <w:sz w:val="20"/>
              </w:rPr>
              <w:tab/>
              <w:t>Select a sample of procurements and perform the following procedures:</w:t>
            </w:r>
          </w:p>
          <w:p w14:paraId="0DC6C692" w14:textId="59973AEA"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a.</w:t>
            </w:r>
            <w:r w:rsidR="00BF5750" w:rsidRPr="00F00D94">
              <w:rPr>
                <w:rFonts w:ascii="Arial" w:hAnsi="Arial" w:cs="Arial"/>
                <w:sz w:val="20"/>
              </w:rPr>
              <w:tab/>
              <w:t>Examine contract files and verify that they document the history of the procurement, including the rationale for the method of procurement, selection of contract type, basis for contractor selection, and the basis for the contract price (</w:t>
            </w:r>
            <w:r w:rsidR="000023A2" w:rsidRPr="00F00D94">
              <w:rPr>
                <w:rFonts w:ascii="Arial" w:hAnsi="Arial" w:cs="Arial"/>
                <w:sz w:val="20"/>
              </w:rPr>
              <w:t>2 CFR 200.318(i)</w:t>
            </w:r>
            <w:r w:rsidR="00BF5750" w:rsidRPr="00F00D94">
              <w:rPr>
                <w:rFonts w:ascii="Arial" w:hAnsi="Arial" w:cs="Arial"/>
                <w:sz w:val="20"/>
              </w:rPr>
              <w:t xml:space="preserve"> and </w:t>
            </w:r>
            <w:hyperlink r:id="rId71" w:history="1">
              <w:r w:rsidR="000023A2" w:rsidRPr="00F00D94">
                <w:rPr>
                  <w:rStyle w:val="Hyperlink"/>
                  <w:rFonts w:cs="Arial"/>
                  <w:sz w:val="20"/>
                </w:rPr>
                <w:t xml:space="preserve">48 CFR Part 44 </w:t>
              </w:r>
            </w:hyperlink>
            <w:r w:rsidR="00BF5750" w:rsidRPr="00F00D94">
              <w:rPr>
                <w:rFonts w:ascii="Arial" w:hAnsi="Arial" w:cs="Arial"/>
                <w:sz w:val="20"/>
              </w:rPr>
              <w:t xml:space="preserve">and </w:t>
            </w:r>
            <w:hyperlink r:id="rId72" w:history="1">
              <w:r w:rsidR="00BF5750" w:rsidRPr="00F00D94">
                <w:rPr>
                  <w:rStyle w:val="Hyperlink"/>
                  <w:rFonts w:cs="Arial"/>
                  <w:sz w:val="20"/>
                </w:rPr>
                <w:t>52.244-2</w:t>
              </w:r>
            </w:hyperlink>
            <w:r w:rsidR="00BF5750" w:rsidRPr="00F00D94">
              <w:rPr>
                <w:rFonts w:ascii="Arial" w:hAnsi="Arial" w:cs="Arial"/>
                <w:sz w:val="20"/>
              </w:rPr>
              <w:t>).</w:t>
            </w:r>
          </w:p>
          <w:p w14:paraId="1DBC8E35" w14:textId="106121C6"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b.</w:t>
            </w:r>
            <w:r w:rsidR="00BF5750" w:rsidRPr="00F00D94">
              <w:rPr>
                <w:rFonts w:ascii="Arial" w:hAnsi="Arial" w:cs="Arial"/>
                <w:sz w:val="20"/>
              </w:rPr>
              <w:tab/>
              <w:t xml:space="preserve">For grants and cooperative agreements, verify that the procurement method used was appropriate based on the dollar amount and conditions specified in </w:t>
            </w:r>
            <w:r w:rsidR="000023A2" w:rsidRPr="00F00D94">
              <w:rPr>
                <w:rFonts w:ascii="Arial" w:hAnsi="Arial" w:cs="Arial"/>
                <w:sz w:val="20"/>
              </w:rPr>
              <w:t>2 CFR 200.320</w:t>
            </w:r>
            <w:r w:rsidR="00BF5750" w:rsidRPr="00F00D94">
              <w:rPr>
                <w:rFonts w:ascii="Arial" w:hAnsi="Arial" w:cs="Arial"/>
                <w:sz w:val="20"/>
              </w:rPr>
              <w:t>.</w:t>
            </w:r>
            <w:r w:rsidR="000023A2" w:rsidRPr="00F00D94">
              <w:rPr>
                <w:rFonts w:ascii="Arial" w:hAnsi="Arial" w:cs="Arial"/>
                <w:sz w:val="20"/>
              </w:rPr>
              <w:t xml:space="preserve"> </w:t>
            </w:r>
            <w:r w:rsidR="00FC4DA6" w:rsidRPr="00F00D94">
              <w:rPr>
                <w:rFonts w:ascii="Arial" w:hAnsi="Arial" w:cs="Arial"/>
                <w:sz w:val="20"/>
              </w:rPr>
              <w:t xml:space="preserve">Current micro-purchase and simplified acquisition thresholds can be found in the FAR (48 CFR </w:t>
            </w:r>
            <w:r w:rsidR="000023A2" w:rsidRPr="00F00D94">
              <w:rPr>
                <w:rFonts w:ascii="Arial" w:hAnsi="Arial" w:cs="Arial"/>
                <w:sz w:val="20"/>
              </w:rPr>
              <w:t>S</w:t>
            </w:r>
            <w:r w:rsidR="00FC4DA6" w:rsidRPr="00F00D94">
              <w:rPr>
                <w:rFonts w:ascii="Arial" w:hAnsi="Arial" w:cs="Arial"/>
                <w:sz w:val="20"/>
              </w:rPr>
              <w:t xml:space="preserve">ubpart 2.1, “Definitions”) </w:t>
            </w:r>
          </w:p>
          <w:p w14:paraId="65A83F73" w14:textId="4D35FBCF"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color w:val="002060"/>
                <w:sz w:val="20"/>
              </w:rPr>
              <w:t>*</w:t>
            </w:r>
            <w:r w:rsidR="00BF5750" w:rsidRPr="00F00D94">
              <w:rPr>
                <w:rFonts w:ascii="Arial" w:hAnsi="Arial" w:cs="Arial"/>
                <w:sz w:val="20"/>
              </w:rPr>
              <w:t>c.</w:t>
            </w:r>
            <w:r w:rsidR="00BF5750" w:rsidRPr="00F00D94">
              <w:rPr>
                <w:rFonts w:ascii="Arial" w:hAnsi="Arial" w:cs="Arial"/>
                <w:sz w:val="20"/>
              </w:rPr>
              <w:tab/>
              <w:t>Verify that procurements provide full and open competition (</w:t>
            </w:r>
            <w:r w:rsidR="00E52CC0" w:rsidRPr="00F00D94">
              <w:rPr>
                <w:rFonts w:ascii="Arial" w:hAnsi="Arial" w:cs="Arial"/>
                <w:sz w:val="20"/>
              </w:rPr>
              <w:t>2 CFR 200.319</w:t>
            </w:r>
            <w:r w:rsidR="00BF5750" w:rsidRPr="00F00D94">
              <w:rPr>
                <w:rFonts w:ascii="Arial" w:hAnsi="Arial" w:cs="Arial"/>
                <w:sz w:val="20"/>
              </w:rPr>
              <w:t xml:space="preserve"> and </w:t>
            </w:r>
            <w:hyperlink r:id="rId73" w:history="1">
              <w:r w:rsidR="00E52CC0" w:rsidRPr="00F00D94">
                <w:rPr>
                  <w:rStyle w:val="Hyperlink"/>
                  <w:rFonts w:cs="Arial"/>
                  <w:sz w:val="20"/>
                </w:rPr>
                <w:t>48 CFR 52.244-5</w:t>
              </w:r>
            </w:hyperlink>
            <w:r w:rsidR="00BF5750" w:rsidRPr="00F00D94">
              <w:rPr>
                <w:rFonts w:ascii="Arial" w:hAnsi="Arial" w:cs="Arial"/>
                <w:sz w:val="20"/>
              </w:rPr>
              <w:t>).</w:t>
            </w:r>
          </w:p>
          <w:p w14:paraId="02970176" w14:textId="1E9E7AFC"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d.</w:t>
            </w:r>
            <w:r w:rsidRPr="00F00D94">
              <w:rPr>
                <w:rFonts w:ascii="Arial" w:hAnsi="Arial" w:cs="Arial"/>
                <w:sz w:val="20"/>
              </w:rPr>
              <w:tab/>
              <w:t>Examine documentation in support of the rationale to limit competition in those cases where competition was limited and ascertain if the limitation was justified (</w:t>
            </w:r>
            <w:r w:rsidR="00E52CC0" w:rsidRPr="00F00D94">
              <w:rPr>
                <w:rFonts w:ascii="Arial" w:hAnsi="Arial" w:cs="Arial"/>
                <w:sz w:val="20"/>
              </w:rPr>
              <w:t>2 CFR 200.319</w:t>
            </w:r>
            <w:r w:rsidRPr="00F00D94">
              <w:rPr>
                <w:rFonts w:ascii="Arial" w:hAnsi="Arial" w:cs="Arial"/>
                <w:sz w:val="20"/>
              </w:rPr>
              <w:t xml:space="preserve"> and </w:t>
            </w:r>
            <w:r w:rsidR="00E52CC0" w:rsidRPr="00F00D94">
              <w:rPr>
                <w:rFonts w:ascii="Arial" w:hAnsi="Arial" w:cs="Arial"/>
                <w:sz w:val="20"/>
              </w:rPr>
              <w:t>200.320(</w:t>
            </w:r>
            <w:r w:rsidR="00EC606B">
              <w:rPr>
                <w:rFonts w:ascii="Arial" w:hAnsi="Arial" w:cs="Arial"/>
                <w:sz w:val="20"/>
              </w:rPr>
              <w:t>c</w:t>
            </w:r>
            <w:r w:rsidR="00E52CC0" w:rsidRPr="00F00D94">
              <w:rPr>
                <w:rFonts w:ascii="Arial" w:hAnsi="Arial" w:cs="Arial"/>
                <w:sz w:val="20"/>
              </w:rPr>
              <w:t>)</w:t>
            </w:r>
            <w:r w:rsidRPr="00F00D94">
              <w:rPr>
                <w:rFonts w:ascii="Arial" w:hAnsi="Arial" w:cs="Arial"/>
                <w:sz w:val="20"/>
              </w:rPr>
              <w:t xml:space="preserve"> and </w:t>
            </w:r>
            <w:hyperlink r:id="rId74" w:history="1">
              <w:r w:rsidR="00E52CC0" w:rsidRPr="00F00D94">
                <w:rPr>
                  <w:rStyle w:val="Hyperlink"/>
                  <w:rFonts w:cs="Arial"/>
                  <w:sz w:val="20"/>
                </w:rPr>
                <w:t>48 CFR 52.244-5</w:t>
              </w:r>
            </w:hyperlink>
            <w:r w:rsidRPr="00F00D94">
              <w:rPr>
                <w:rFonts w:ascii="Arial" w:hAnsi="Arial" w:cs="Arial"/>
                <w:sz w:val="20"/>
              </w:rPr>
              <w:t>).</w:t>
            </w:r>
          </w:p>
          <w:p w14:paraId="761FC7CF" w14:textId="3586BEF9"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e.</w:t>
            </w:r>
            <w:r w:rsidR="00BF5750" w:rsidRPr="00F00D94">
              <w:rPr>
                <w:rFonts w:ascii="Arial" w:hAnsi="Arial" w:cs="Arial"/>
                <w:sz w:val="20"/>
              </w:rPr>
              <w:tab/>
              <w:t xml:space="preserve">Ascertain if cost or price analysis was performed in connection with all procurement actions exceeding the simplified acquisition threshold, including contract modifications, and that this analysis supported the procurement action </w:t>
            </w:r>
            <w:r w:rsidR="00E52CC0" w:rsidRPr="00F00D94">
              <w:rPr>
                <w:rFonts w:ascii="Arial" w:hAnsi="Arial" w:cs="Arial"/>
                <w:sz w:val="20"/>
              </w:rPr>
              <w:t>(2 CFR 200.</w:t>
            </w:r>
            <w:r w:rsidR="00EC606B" w:rsidRPr="00F00D94">
              <w:rPr>
                <w:rFonts w:ascii="Arial" w:hAnsi="Arial" w:cs="Arial"/>
                <w:sz w:val="20"/>
              </w:rPr>
              <w:t>32</w:t>
            </w:r>
            <w:r w:rsidR="00EC606B">
              <w:rPr>
                <w:rFonts w:ascii="Arial" w:hAnsi="Arial" w:cs="Arial"/>
                <w:sz w:val="20"/>
              </w:rPr>
              <w:t>4</w:t>
            </w:r>
            <w:r w:rsidR="00EC606B" w:rsidRPr="00F00D94">
              <w:rPr>
                <w:rFonts w:ascii="Arial" w:hAnsi="Arial" w:cs="Arial"/>
                <w:sz w:val="20"/>
              </w:rPr>
              <w:t xml:space="preserve"> </w:t>
            </w:r>
            <w:r w:rsidR="00BF5750" w:rsidRPr="00F00D94">
              <w:rPr>
                <w:rFonts w:ascii="Arial" w:hAnsi="Arial" w:cs="Arial"/>
                <w:sz w:val="20"/>
              </w:rPr>
              <w:t xml:space="preserve">and </w:t>
            </w:r>
            <w:hyperlink r:id="rId75" w:history="1">
              <w:r w:rsidR="00E52CC0" w:rsidRPr="00F00D94">
                <w:rPr>
                  <w:rStyle w:val="Hyperlink"/>
                  <w:rFonts w:cs="Arial"/>
                  <w:sz w:val="20"/>
                </w:rPr>
                <w:t>48 CFR 15.404-3</w:t>
              </w:r>
            </w:hyperlink>
            <w:r w:rsidR="00BF5750" w:rsidRPr="00F00D94">
              <w:rPr>
                <w:rFonts w:ascii="Arial" w:hAnsi="Arial" w:cs="Arial"/>
                <w:sz w:val="20"/>
              </w:rPr>
              <w:t xml:space="preserve">).  </w:t>
            </w:r>
          </w:p>
          <w:p w14:paraId="3C413608" w14:textId="5068D918"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b/>
            </w:r>
            <w:r w:rsidR="00871148">
              <w:rPr>
                <w:rFonts w:ascii="Arial" w:hAnsi="Arial" w:cs="Arial"/>
                <w:bCs/>
                <w:sz w:val="20"/>
              </w:rPr>
              <w:t>Note</w:t>
            </w:r>
            <w:r w:rsidRPr="00F00D94">
              <w:rPr>
                <w:rFonts w:ascii="Arial" w:hAnsi="Arial" w:cs="Arial"/>
                <w:sz w:val="20"/>
              </w:rPr>
              <w:t>:  A cost or price analysis is required for each procurement action, including each contract modification, when the total amount of the contract and related modifications is greater than the simplified acquisition threshold.</w:t>
            </w:r>
          </w:p>
          <w:p w14:paraId="2CC2959E" w14:textId="602193D9" w:rsidR="00BF5750" w:rsidRPr="00576830"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f.</w:t>
            </w:r>
            <w:r w:rsidRPr="00F00D94">
              <w:rPr>
                <w:rFonts w:ascii="Arial" w:hAnsi="Arial" w:cs="Arial"/>
                <w:sz w:val="20"/>
              </w:rPr>
              <w:tab/>
              <w:t xml:space="preserve">Verify consent to subcontract was obtained when required by the terms and conditions </w:t>
            </w:r>
            <w:r w:rsidRPr="00576830">
              <w:rPr>
                <w:rFonts w:ascii="Arial" w:hAnsi="Arial" w:cs="Arial"/>
                <w:sz w:val="20"/>
                <w:szCs w:val="20"/>
              </w:rPr>
              <w:t>of a cost reimbursement contract under the FAR (</w:t>
            </w:r>
            <w:hyperlink r:id="rId76" w:history="1">
              <w:r w:rsidR="00E52CC0" w:rsidRPr="00576830">
                <w:rPr>
                  <w:rStyle w:val="Hyperlink"/>
                  <w:rFonts w:cs="Arial"/>
                  <w:sz w:val="20"/>
                  <w:szCs w:val="20"/>
                </w:rPr>
                <w:t>48 CFR 52.244-2</w:t>
              </w:r>
            </w:hyperlink>
            <w:r w:rsidRPr="00576830">
              <w:rPr>
                <w:rFonts w:ascii="Arial" w:hAnsi="Arial" w:cs="Arial"/>
                <w:sz w:val="20"/>
                <w:szCs w:val="20"/>
              </w:rPr>
              <w:t xml:space="preserve">). </w:t>
            </w:r>
          </w:p>
          <w:p w14:paraId="3FF29787" w14:textId="1EA36FC2" w:rsidR="00BF5750" w:rsidRDefault="00EC606B" w:rsidP="0097225B">
            <w:pPr>
              <w:pStyle w:val="PlainText"/>
              <w:spacing w:after="240"/>
              <w:ind w:left="1440"/>
              <w:jc w:val="both"/>
              <w:rPr>
                <w:rFonts w:ascii="Arial" w:hAnsi="Arial" w:cs="Arial"/>
                <w:sz w:val="20"/>
                <w:szCs w:val="20"/>
              </w:rPr>
            </w:pPr>
            <w:r w:rsidRPr="00EC606B">
              <w:rPr>
                <w:rFonts w:ascii="Arial" w:hAnsi="Arial" w:cs="Arial"/>
                <w:sz w:val="20"/>
                <w:szCs w:val="20"/>
              </w:rPr>
              <w:t>Note: If the contractor has an approved purchasing system, consent to subcontract may not be required unless specifically identified by contract terms or conditions. The auditor should verify that the approval of the purchasing system is effective for the audit period being reviewed.</w:t>
            </w:r>
          </w:p>
          <w:p w14:paraId="2B38307D" w14:textId="575C3FC5" w:rsidR="00852F3B" w:rsidRPr="00852F3B" w:rsidRDefault="00852F3B" w:rsidP="0097225B">
            <w:pPr>
              <w:pStyle w:val="PlainText"/>
              <w:spacing w:after="240"/>
              <w:ind w:left="144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387A1D64" w14:textId="77777777" w:rsidR="00406620" w:rsidRDefault="00406620" w:rsidP="00A67D16">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w:t>
            </w:r>
            <w:r w:rsidRPr="00406620">
              <w:rPr>
                <w:rFonts w:ascii="Arial" w:hAnsi="Arial" w:cs="Arial"/>
                <w:b/>
                <w:bCs/>
                <w:i/>
                <w:iCs/>
                <w:color w:val="002060"/>
                <w:sz w:val="20"/>
              </w:rPr>
              <w:t>prior to the 2024 Revisions</w:t>
            </w:r>
            <w:r>
              <w:rPr>
                <w:rFonts w:ascii="Arial" w:hAnsi="Arial" w:cs="Arial"/>
                <w:i/>
                <w:iCs/>
                <w:color w:val="002060"/>
                <w:sz w:val="20"/>
              </w:rPr>
              <w:t xml:space="preserve">, auditors must test the following additional step: </w:t>
            </w:r>
          </w:p>
          <w:p w14:paraId="6D904E58" w14:textId="0D37CE28" w:rsidR="00406620" w:rsidRDefault="00406620" w:rsidP="00406620">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sz w:val="20"/>
              </w:rPr>
            </w:pPr>
            <w:r w:rsidRPr="00406620">
              <w:rPr>
                <w:rFonts w:ascii="Arial" w:hAnsi="Arial" w:cs="Arial"/>
                <w:i/>
                <w:iCs/>
                <w:color w:val="002060"/>
                <w:sz w:val="20"/>
              </w:rPr>
              <w:t>Ascertain if the entity has a policy to use statutorily or administratively imposed in State or local geographical preferences in the evaluation of bids or proposals.  If yes, verify that these limitations were not applied to federally funded procurements except where applicable Federal statutes expressly mandate or encourage geographic preference (2 CFR 200.319(c)).</w:t>
            </w:r>
          </w:p>
          <w:p w14:paraId="58BC7026" w14:textId="6AFF559F" w:rsidR="00BF5750" w:rsidRPr="00F00D94" w:rsidRDefault="00BF5750" w:rsidP="00A01F61">
            <w:pPr>
              <w:keepNext/>
              <w:keepLines/>
              <w:pBdr>
                <w:top w:val="single" w:sz="6" w:space="0" w:color="FFFFFF"/>
                <w:left w:val="single" w:sz="6" w:space="0" w:color="FFFFFF"/>
                <w:bottom w:val="single" w:sz="6" w:space="0" w:color="FFFFFF"/>
                <w:right w:val="single" w:sz="6" w:space="0" w:color="FFFFFF"/>
              </w:pBdr>
              <w:tabs>
                <w:tab w:val="left" w:pos="6765"/>
              </w:tabs>
              <w:spacing w:after="240"/>
              <w:jc w:val="both"/>
              <w:rPr>
                <w:rFonts w:ascii="Arial" w:hAnsi="Arial" w:cs="Arial"/>
                <w:sz w:val="20"/>
              </w:rPr>
            </w:pPr>
            <w:r w:rsidRPr="00F00D94">
              <w:rPr>
                <w:rFonts w:ascii="Arial" w:hAnsi="Arial" w:cs="Arial"/>
                <w:i/>
                <w:iCs/>
                <w:sz w:val="20"/>
              </w:rPr>
              <w:t xml:space="preserve">(Procedures </w:t>
            </w:r>
            <w:r w:rsidR="00EC606B">
              <w:rPr>
                <w:rFonts w:ascii="Arial" w:hAnsi="Arial" w:cs="Arial"/>
                <w:i/>
                <w:iCs/>
                <w:sz w:val="20"/>
              </w:rPr>
              <w:t xml:space="preserve">5 – 7 </w:t>
            </w:r>
            <w:r w:rsidRPr="00F00D94">
              <w:rPr>
                <w:rFonts w:ascii="Arial" w:hAnsi="Arial" w:cs="Arial"/>
                <w:i/>
                <w:iCs/>
                <w:sz w:val="20"/>
              </w:rPr>
              <w:t>apply to all non-Federal entities)</w:t>
            </w:r>
            <w:r w:rsidR="00A01F61">
              <w:rPr>
                <w:rFonts w:ascii="Arial" w:hAnsi="Arial" w:cs="Arial"/>
                <w:i/>
                <w:iCs/>
                <w:sz w:val="20"/>
              </w:rPr>
              <w:tab/>
            </w:r>
          </w:p>
          <w:p w14:paraId="50274F93" w14:textId="1A7D7E47" w:rsidR="00BF5750" w:rsidRPr="00F00D94" w:rsidRDefault="00EC606B" w:rsidP="006672EA">
            <w:pPr>
              <w:keepNext/>
              <w:keepLines/>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240"/>
              <w:ind w:left="720" w:hanging="720"/>
              <w:jc w:val="both"/>
              <w:rPr>
                <w:rFonts w:ascii="Arial" w:hAnsi="Arial" w:cs="Arial"/>
                <w:sz w:val="20"/>
              </w:rPr>
            </w:pPr>
            <w:r>
              <w:rPr>
                <w:rFonts w:ascii="Arial" w:hAnsi="Arial" w:cs="Arial"/>
                <w:sz w:val="20"/>
              </w:rPr>
              <w:t>5</w:t>
            </w:r>
            <w:r w:rsidR="00BF5750" w:rsidRPr="00F00D94">
              <w:rPr>
                <w:rFonts w:ascii="Arial" w:hAnsi="Arial" w:cs="Arial"/>
                <w:sz w:val="20"/>
              </w:rPr>
              <w:t>.</w:t>
            </w:r>
            <w:r w:rsidR="00BF5750" w:rsidRPr="00F00D94">
              <w:rPr>
                <w:rFonts w:ascii="Arial" w:hAnsi="Arial" w:cs="Arial"/>
                <w:sz w:val="20"/>
              </w:rPr>
              <w:tab/>
              <w:t xml:space="preserve">Review the </w:t>
            </w:r>
            <w:r w:rsidRPr="00EC606B">
              <w:rPr>
                <w:rFonts w:ascii="Arial" w:hAnsi="Arial" w:cs="Arial"/>
                <w:sz w:val="20"/>
                <w:szCs w:val="20"/>
              </w:rPr>
              <w:t>recipient or subrecipient’s</w:t>
            </w:r>
            <w:r>
              <w:rPr>
                <w:sz w:val="24"/>
              </w:rPr>
              <w:t xml:space="preserve"> </w:t>
            </w:r>
            <w:r w:rsidR="00BF5750" w:rsidRPr="00F00D94">
              <w:rPr>
                <w:rFonts w:ascii="Arial" w:hAnsi="Arial" w:cs="Arial"/>
                <w:sz w:val="20"/>
              </w:rPr>
              <w:t>procedures for verifying that an entity with which it plans to enter into a covered transaction is not debarred, suspended, or otherwise excluded (</w:t>
            </w:r>
            <w:r w:rsidR="00E52CC0" w:rsidRPr="00F00D94">
              <w:rPr>
                <w:rFonts w:ascii="Arial" w:hAnsi="Arial" w:cs="Arial"/>
                <w:sz w:val="20"/>
              </w:rPr>
              <w:t>2 CFR 200.</w:t>
            </w:r>
            <w:r w:rsidRPr="00F00D94">
              <w:rPr>
                <w:rFonts w:ascii="Arial" w:hAnsi="Arial" w:cs="Arial"/>
                <w:sz w:val="20"/>
              </w:rPr>
              <w:t>21</w:t>
            </w:r>
            <w:r>
              <w:rPr>
                <w:rFonts w:ascii="Arial" w:hAnsi="Arial" w:cs="Arial"/>
                <w:sz w:val="20"/>
              </w:rPr>
              <w:t>2</w:t>
            </w:r>
            <w:r w:rsidRPr="00F00D94">
              <w:rPr>
                <w:rFonts w:ascii="Arial" w:hAnsi="Arial" w:cs="Arial"/>
                <w:sz w:val="20"/>
              </w:rPr>
              <w:t xml:space="preserve"> </w:t>
            </w:r>
            <w:r w:rsidR="00BF5750" w:rsidRPr="00F00D94">
              <w:rPr>
                <w:rFonts w:ascii="Arial" w:hAnsi="Arial" w:cs="Arial"/>
                <w:sz w:val="20"/>
              </w:rPr>
              <w:t xml:space="preserve">and </w:t>
            </w:r>
            <w:r w:rsidR="00E52CC0" w:rsidRPr="00F00D94">
              <w:rPr>
                <w:rFonts w:ascii="Arial" w:hAnsi="Arial" w:cs="Arial"/>
                <w:sz w:val="20"/>
              </w:rPr>
              <w:t>200.318(h)</w:t>
            </w:r>
            <w:r w:rsidR="00BF5750" w:rsidRPr="00F00D94">
              <w:rPr>
                <w:rFonts w:ascii="Arial" w:hAnsi="Arial" w:cs="Arial"/>
                <w:sz w:val="20"/>
              </w:rPr>
              <w:t xml:space="preserve">; </w:t>
            </w:r>
            <w:hyperlink r:id="rId77" w:history="1">
              <w:r w:rsidR="00E52CC0" w:rsidRPr="00F00D94">
                <w:rPr>
                  <w:rStyle w:val="Hyperlink"/>
                  <w:rFonts w:cs="Arial"/>
                  <w:sz w:val="20"/>
                </w:rPr>
                <w:t>2 CFR 180.300</w:t>
              </w:r>
            </w:hyperlink>
            <w:r w:rsidR="00BF5750" w:rsidRPr="00F00D94">
              <w:rPr>
                <w:rFonts w:ascii="Arial" w:hAnsi="Arial" w:cs="Arial"/>
                <w:sz w:val="20"/>
              </w:rPr>
              <w:t xml:space="preserve">; </w:t>
            </w:r>
            <w:hyperlink r:id="rId78" w:history="1">
              <w:r w:rsidR="00E52CC0" w:rsidRPr="00F00D94">
                <w:rPr>
                  <w:rStyle w:val="Hyperlink"/>
                  <w:rFonts w:cs="Arial"/>
                  <w:sz w:val="20"/>
                </w:rPr>
                <w:t>48 CFR 52.209-6</w:t>
              </w:r>
            </w:hyperlink>
            <w:r w:rsidR="00BF5750" w:rsidRPr="00F00D94">
              <w:rPr>
                <w:rFonts w:ascii="Arial" w:hAnsi="Arial" w:cs="Arial"/>
                <w:sz w:val="20"/>
              </w:rPr>
              <w:t>).</w:t>
            </w:r>
          </w:p>
          <w:p w14:paraId="0F249837" w14:textId="0D45300E" w:rsidR="00BF5750" w:rsidRDefault="00576830"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576830">
              <w:rPr>
                <w:rFonts w:ascii="Arial" w:hAnsi="Arial" w:cs="Arial"/>
                <w:b/>
                <w:bCs/>
                <w:color w:val="002060"/>
                <w:sz w:val="20"/>
              </w:rPr>
              <w:t>*</w:t>
            </w:r>
            <w:r w:rsidR="00EC606B">
              <w:rPr>
                <w:rFonts w:ascii="Arial" w:hAnsi="Arial" w:cs="Arial"/>
                <w:sz w:val="20"/>
              </w:rPr>
              <w:t>6</w:t>
            </w:r>
            <w:r w:rsidR="00BF5750" w:rsidRPr="00F00D94">
              <w:rPr>
                <w:rFonts w:ascii="Arial" w:hAnsi="Arial" w:cs="Arial"/>
                <w:sz w:val="20"/>
              </w:rPr>
              <w:t>.</w:t>
            </w:r>
            <w:r w:rsidR="00BF5750" w:rsidRPr="00F00D94">
              <w:rPr>
                <w:rFonts w:ascii="Arial" w:hAnsi="Arial" w:cs="Arial"/>
                <w:sz w:val="20"/>
              </w:rPr>
              <w:tab/>
              <w:t xml:space="preserve">Select a sample of procurements and subawards and test whether the </w:t>
            </w:r>
            <w:r w:rsidR="00007701" w:rsidRPr="00007701">
              <w:rPr>
                <w:rFonts w:ascii="Arial" w:hAnsi="Arial" w:cs="Arial"/>
                <w:sz w:val="20"/>
              </w:rPr>
              <w:t>recipient or subrecipient</w:t>
            </w:r>
            <w:r w:rsidR="00BF5750" w:rsidRPr="00F00D94">
              <w:rPr>
                <w:rFonts w:ascii="Arial" w:hAnsi="Arial" w:cs="Arial"/>
                <w:sz w:val="20"/>
              </w:rPr>
              <w:t xml:space="preserve"> followed its procedures before entering into a covered transaction.</w:t>
            </w:r>
          </w:p>
          <w:p w14:paraId="0D3DE581" w14:textId="32514BEC" w:rsidR="003A3BA0" w:rsidRDefault="00450475" w:rsidP="003A3BA0">
            <w:pPr>
              <w:pBdr>
                <w:top w:val="single" w:sz="6" w:space="0" w:color="FFFFFF"/>
                <w:left w:val="single" w:sz="6" w:space="0" w:color="FFFFFF"/>
                <w:bottom w:val="single" w:sz="6" w:space="0" w:color="FFFFFF"/>
                <w:right w:val="single" w:sz="6" w:space="0" w:color="FFFFFF"/>
              </w:pBdr>
              <w:spacing w:after="240"/>
              <w:ind w:left="703"/>
              <w:jc w:val="both"/>
              <w:rPr>
                <w:rFonts w:ascii="Arial" w:hAnsi="Arial" w:cs="Arial"/>
                <w:i/>
                <w:iCs/>
                <w:color w:val="002060"/>
                <w:sz w:val="20"/>
                <w:szCs w:val="20"/>
              </w:rPr>
            </w:pPr>
            <w:r w:rsidRPr="00450475">
              <w:rPr>
                <w:rFonts w:ascii="Arial" w:hAnsi="Arial" w:cs="Arial"/>
                <w:i/>
                <w:iCs/>
                <w:color w:val="002060"/>
                <w:sz w:val="20"/>
              </w:rPr>
              <w:t xml:space="preserve">The step above requires auditors to select a sample of procurements </w:t>
            </w:r>
            <w:r w:rsidRPr="00450475">
              <w:rPr>
                <w:rFonts w:ascii="Arial" w:hAnsi="Arial" w:cs="Arial"/>
                <w:b/>
                <w:bCs/>
                <w:i/>
                <w:iCs/>
                <w:color w:val="002060"/>
                <w:sz w:val="20"/>
              </w:rPr>
              <w:t xml:space="preserve">and </w:t>
            </w:r>
            <w:r w:rsidRPr="00450475">
              <w:rPr>
                <w:rFonts w:ascii="Arial" w:hAnsi="Arial" w:cs="Arial"/>
                <w:i/>
                <w:iCs/>
                <w:color w:val="002060"/>
                <w:sz w:val="20"/>
              </w:rPr>
              <w:t>subawards</w:t>
            </w:r>
            <w:r w:rsidR="003A3BA0">
              <w:rPr>
                <w:rFonts w:ascii="Arial" w:hAnsi="Arial" w:cs="Arial"/>
                <w:i/>
                <w:iCs/>
                <w:color w:val="002060"/>
                <w:sz w:val="20"/>
              </w:rPr>
              <w:t xml:space="preserve">. For AOS auditors, the procurement testing template available on the Intranet has an attribute on the ‘procurement-formal’ tab that covers the procurements part of this step. Auditors should determine whether the entity also had subawards during the audit period and, if so, test them accordingly. </w:t>
            </w:r>
            <w:r>
              <w:rPr>
                <w:rFonts w:ascii="Arial" w:hAnsi="Arial" w:cs="Arial"/>
                <w:i/>
                <w:iCs/>
                <w:color w:val="002060"/>
                <w:sz w:val="20"/>
              </w:rPr>
              <w:t xml:space="preserve"> </w:t>
            </w:r>
          </w:p>
          <w:p w14:paraId="586D590D" w14:textId="43356DCD" w:rsidR="001C1040" w:rsidRPr="009119D3" w:rsidRDefault="001C1040" w:rsidP="00406620">
            <w:pPr>
              <w:pBdr>
                <w:top w:val="single" w:sz="6" w:space="0" w:color="FFFFFF"/>
                <w:left w:val="single" w:sz="6" w:space="0" w:color="FFFFFF"/>
                <w:bottom w:val="single" w:sz="6" w:space="0" w:color="FFFFFF"/>
                <w:right w:val="single" w:sz="6" w:space="0" w:color="FFFFFF"/>
              </w:pBdr>
              <w:spacing w:after="240"/>
              <w:ind w:left="690"/>
              <w:jc w:val="both"/>
              <w:rPr>
                <w:rFonts w:ascii="Arial" w:hAnsi="Arial" w:cs="Arial"/>
                <w:sz w:val="20"/>
                <w:szCs w:val="20"/>
              </w:rPr>
            </w:pPr>
            <w:r w:rsidRPr="006826EF">
              <w:rPr>
                <w:rFonts w:ascii="Arial" w:hAnsi="Arial" w:cs="Arial"/>
                <w:i/>
                <w:iCs/>
                <w:color w:val="002060"/>
                <w:sz w:val="20"/>
                <w:szCs w:val="20"/>
              </w:rPr>
              <w:t>If</w:t>
            </w:r>
            <w:r w:rsidR="006826EF">
              <w:rPr>
                <w:rFonts w:ascii="Arial" w:hAnsi="Arial" w:cs="Arial"/>
                <w:i/>
                <w:iCs/>
                <w:color w:val="002060"/>
                <w:sz w:val="20"/>
                <w:szCs w:val="20"/>
              </w:rPr>
              <w:t>, during testing,</w:t>
            </w:r>
            <w:r w:rsidRPr="006826EF">
              <w:rPr>
                <w:rFonts w:ascii="Arial" w:hAnsi="Arial" w:cs="Arial"/>
                <w:i/>
                <w:iCs/>
                <w:color w:val="002060"/>
                <w:sz w:val="20"/>
                <w:szCs w:val="20"/>
              </w:rPr>
              <w:t xml:space="preserve"> an internal control deficiency or noncompliance is </w:t>
            </w:r>
            <w:r w:rsidR="006826EF" w:rsidRPr="006826EF">
              <w:rPr>
                <w:rFonts w:ascii="Arial" w:hAnsi="Arial" w:cs="Arial"/>
                <w:i/>
                <w:iCs/>
                <w:color w:val="002060"/>
                <w:sz w:val="20"/>
                <w:szCs w:val="20"/>
              </w:rPr>
              <w:t>suspected</w:t>
            </w:r>
            <w:r w:rsidR="007A4786">
              <w:rPr>
                <w:rFonts w:ascii="Arial" w:hAnsi="Arial" w:cs="Arial"/>
                <w:i/>
                <w:iCs/>
                <w:color w:val="002060"/>
                <w:sz w:val="20"/>
                <w:szCs w:val="20"/>
              </w:rPr>
              <w:t xml:space="preserve"> that involves</w:t>
            </w:r>
            <w:r w:rsidRPr="006826EF">
              <w:rPr>
                <w:rFonts w:ascii="Arial" w:hAnsi="Arial" w:cs="Arial"/>
                <w:i/>
                <w:iCs/>
                <w:color w:val="002060"/>
                <w:sz w:val="20"/>
                <w:szCs w:val="20"/>
              </w:rPr>
              <w:t xml:space="preserve"> Suspension and Debarment </w:t>
            </w:r>
            <w:r w:rsidRPr="00450475">
              <w:rPr>
                <w:rFonts w:ascii="Arial" w:hAnsi="Arial" w:cs="Arial"/>
                <w:i/>
                <w:iCs/>
                <w:color w:val="002060"/>
                <w:sz w:val="20"/>
                <w:szCs w:val="20"/>
              </w:rPr>
              <w:t>requirements</w:t>
            </w:r>
            <w:r w:rsidRPr="006826EF">
              <w:rPr>
                <w:rFonts w:ascii="Arial" w:hAnsi="Arial" w:cs="Arial"/>
                <w:i/>
                <w:iCs/>
                <w:color w:val="002060"/>
                <w:sz w:val="20"/>
              </w:rPr>
              <w:t xml:space="preserve">, AoS auditors </w:t>
            </w:r>
            <w:r w:rsidRPr="006826EF">
              <w:rPr>
                <w:rFonts w:ascii="Arial" w:hAnsi="Arial" w:cs="Arial"/>
                <w:i/>
                <w:iCs/>
                <w:color w:val="002060"/>
                <w:sz w:val="20"/>
                <w:u w:val="single"/>
              </w:rPr>
              <w:t>must</w:t>
            </w:r>
            <w:r w:rsidRPr="006826EF">
              <w:rPr>
                <w:rFonts w:ascii="Arial" w:hAnsi="Arial" w:cs="Arial"/>
                <w:i/>
                <w:iCs/>
                <w:color w:val="002060"/>
                <w:sz w:val="20"/>
              </w:rPr>
              <w:t xml:space="preserve"> consult with Legal for an evaluation</w:t>
            </w:r>
            <w:r w:rsidR="006826EF">
              <w:rPr>
                <w:rFonts w:ascii="Arial" w:hAnsi="Arial" w:cs="Arial"/>
                <w:i/>
                <w:iCs/>
                <w:color w:val="002060"/>
                <w:sz w:val="20"/>
              </w:rPr>
              <w:t xml:space="preserve"> of the relevant facts and circumstances. This consultation is needed</w:t>
            </w:r>
            <w:r w:rsidR="006826EF" w:rsidRPr="006826EF">
              <w:rPr>
                <w:rFonts w:ascii="Arial" w:hAnsi="Arial" w:cs="Arial"/>
                <w:i/>
                <w:iCs/>
                <w:color w:val="002060"/>
                <w:sz w:val="20"/>
              </w:rPr>
              <w:t xml:space="preserve"> to determine if the Suspension and Debarment</w:t>
            </w:r>
            <w:r w:rsidR="006826EF">
              <w:rPr>
                <w:rFonts w:ascii="Arial" w:hAnsi="Arial" w:cs="Arial"/>
                <w:i/>
                <w:iCs/>
                <w:color w:val="002060"/>
                <w:sz w:val="20"/>
              </w:rPr>
              <w:t xml:space="preserve"> requirements extend to the auditee under the Federal agency’s codification of the requirements</w:t>
            </w:r>
            <w:r w:rsidRPr="006826EF">
              <w:rPr>
                <w:rFonts w:ascii="Arial" w:hAnsi="Arial" w:cs="Arial"/>
                <w:i/>
                <w:iCs/>
                <w:color w:val="002060"/>
                <w:sz w:val="20"/>
              </w:rPr>
              <w:t>.</w:t>
            </w:r>
            <w:r w:rsidR="006826EF">
              <w:rPr>
                <w:rFonts w:ascii="Arial" w:hAnsi="Arial" w:cs="Arial"/>
                <w:i/>
                <w:iCs/>
                <w:color w:val="002060"/>
                <w:sz w:val="20"/>
              </w:rPr>
              <w:t xml:space="preserve"> </w:t>
            </w:r>
            <w:r w:rsidR="00406620">
              <w:rPr>
                <w:rFonts w:ascii="Arial" w:hAnsi="Arial" w:cs="Arial"/>
                <w:i/>
                <w:iCs/>
                <w:color w:val="002060"/>
                <w:sz w:val="20"/>
              </w:rPr>
              <w:t>2 CFR Part 180 establishes that primary tier covered transactions are subject to Suspension and Debarment requirements but agencies can broaden the coverage to subawards in the agency codification and the specific grant terms and conditions</w:t>
            </w:r>
            <w:r w:rsidR="006826EF">
              <w:rPr>
                <w:rFonts w:ascii="Arial" w:hAnsi="Arial" w:cs="Arial"/>
                <w:i/>
                <w:iCs/>
                <w:color w:val="002060"/>
                <w:sz w:val="20"/>
              </w:rPr>
              <w:t>.</w:t>
            </w:r>
            <w:r w:rsidRPr="006826EF">
              <w:rPr>
                <w:rFonts w:ascii="Arial" w:hAnsi="Arial" w:cs="Arial"/>
                <w:i/>
                <w:iCs/>
                <w:color w:val="002060"/>
                <w:sz w:val="20"/>
              </w:rPr>
              <w:t xml:space="preserve"> IPAs should review the Federal agency adoption of the Suspension and Debarment requirements as well as the specific terms and conditions </w:t>
            </w:r>
            <w:r w:rsidRPr="006826EF">
              <w:rPr>
                <w:rFonts w:ascii="Arial" w:hAnsi="Arial" w:cs="Arial"/>
                <w:i/>
                <w:iCs/>
                <w:color w:val="002060"/>
                <w:sz w:val="20"/>
                <w:szCs w:val="20"/>
              </w:rPr>
              <w:t xml:space="preserve">in the grant agreement to ensure the </w:t>
            </w:r>
            <w:r w:rsidR="007A4786">
              <w:rPr>
                <w:rFonts w:ascii="Arial" w:hAnsi="Arial" w:cs="Arial"/>
                <w:i/>
                <w:iCs/>
                <w:color w:val="002060"/>
                <w:sz w:val="20"/>
                <w:szCs w:val="20"/>
              </w:rPr>
              <w:t>internal control deficiency or noncompliance is warranted/</w:t>
            </w:r>
            <w:r w:rsidRPr="006826EF">
              <w:rPr>
                <w:rFonts w:ascii="Arial" w:hAnsi="Arial" w:cs="Arial"/>
                <w:i/>
                <w:iCs/>
                <w:color w:val="002060"/>
                <w:sz w:val="20"/>
                <w:szCs w:val="20"/>
              </w:rPr>
              <w:t>accurate.</w:t>
            </w:r>
          </w:p>
          <w:p w14:paraId="51CEF185" w14:textId="78300E52" w:rsidR="00D3290B" w:rsidRPr="009119D3" w:rsidRDefault="00EC606B" w:rsidP="00ED5F2F">
            <w:pPr>
              <w:keepNext/>
              <w:keepLines/>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Pr>
                <w:rFonts w:ascii="Arial" w:hAnsi="Arial" w:cs="Arial"/>
                <w:sz w:val="20"/>
                <w:szCs w:val="20"/>
              </w:rPr>
              <w:t>7</w:t>
            </w:r>
            <w:r w:rsidR="00ED5F2F" w:rsidRPr="009119D3">
              <w:rPr>
                <w:rFonts w:ascii="Arial" w:hAnsi="Arial" w:cs="Arial"/>
                <w:sz w:val="20"/>
                <w:szCs w:val="20"/>
              </w:rPr>
              <w:t xml:space="preserve">. </w:t>
            </w:r>
            <w:r w:rsidR="00ED5F2F" w:rsidRPr="009119D3">
              <w:rPr>
                <w:rFonts w:ascii="Arial" w:hAnsi="Arial" w:cs="Arial"/>
                <w:sz w:val="20"/>
                <w:szCs w:val="20"/>
              </w:rPr>
              <w:tab/>
            </w:r>
            <w:r w:rsidR="00D3290B" w:rsidRPr="009119D3">
              <w:rPr>
                <w:rFonts w:ascii="Arial" w:hAnsi="Arial" w:cs="Arial"/>
                <w:sz w:val="20"/>
                <w:szCs w:val="20"/>
              </w:rPr>
              <w:t xml:space="preserve">Select a sample of procurement agreements for infrastructure projects subject to BABA and test whether the </w:t>
            </w:r>
            <w:r w:rsidR="00007701" w:rsidRPr="00007701">
              <w:rPr>
                <w:rFonts w:ascii="Arial" w:hAnsi="Arial" w:cs="Arial"/>
                <w:sz w:val="20"/>
                <w:szCs w:val="20"/>
              </w:rPr>
              <w:t>recipient or subrecipient</w:t>
            </w:r>
            <w:r w:rsidR="00007701" w:rsidRPr="00007701" w:rsidDel="00007701">
              <w:rPr>
                <w:rFonts w:ascii="Arial" w:hAnsi="Arial" w:cs="Arial"/>
                <w:sz w:val="20"/>
                <w:szCs w:val="20"/>
              </w:rPr>
              <w:t xml:space="preserve"> </w:t>
            </w:r>
            <w:r w:rsidR="00D3290B" w:rsidRPr="009119D3">
              <w:rPr>
                <w:rFonts w:ascii="Arial" w:hAnsi="Arial" w:cs="Arial"/>
                <w:sz w:val="20"/>
                <w:szCs w:val="20"/>
              </w:rPr>
              <w:t>included the Buy America domestic preference provisions in each agreement, or obtained a BABA waiver.</w:t>
            </w:r>
          </w:p>
          <w:p w14:paraId="59D7F038" w14:textId="66A26263" w:rsidR="00ED5F2F" w:rsidRPr="009119D3" w:rsidRDefault="00ED5F2F" w:rsidP="00ED5F2F">
            <w:pPr>
              <w:ind w:left="1421" w:hanging="720"/>
              <w:jc w:val="both"/>
              <w:rPr>
                <w:rFonts w:ascii="Arial" w:hAnsi="Arial" w:cs="Arial"/>
                <w:sz w:val="20"/>
                <w:szCs w:val="20"/>
              </w:rPr>
            </w:pPr>
            <w:r w:rsidRPr="009119D3">
              <w:rPr>
                <w:rFonts w:ascii="Arial" w:hAnsi="Arial" w:cs="Arial"/>
                <w:sz w:val="20"/>
                <w:szCs w:val="20"/>
              </w:rPr>
              <w:t xml:space="preserve">a. </w:t>
            </w:r>
            <w:r w:rsidRPr="009119D3">
              <w:rPr>
                <w:rFonts w:ascii="Arial" w:hAnsi="Arial" w:cs="Arial"/>
                <w:sz w:val="20"/>
                <w:szCs w:val="20"/>
              </w:rPr>
              <w:tab/>
              <w:t xml:space="preserve">For each agreement selected where a waiver was not applicable, review the </w:t>
            </w:r>
            <w:r w:rsidR="00A27CA7" w:rsidRPr="00A27CA7">
              <w:rPr>
                <w:rFonts w:ascii="Arial" w:hAnsi="Arial" w:cs="Arial"/>
                <w:sz w:val="20"/>
                <w:szCs w:val="20"/>
              </w:rPr>
              <w:t>recipient or subrecipient</w:t>
            </w:r>
            <w:r w:rsidRPr="009119D3">
              <w:rPr>
                <w:rFonts w:ascii="Arial" w:hAnsi="Arial" w:cs="Arial"/>
                <w:sz w:val="20"/>
                <w:szCs w:val="20"/>
              </w:rPr>
              <w:t xml:space="preserve"> documentation supporting that it monitored the contractor’s compliance with the BABA domestic preference provisions in the agreement (2 CFR</w:t>
            </w:r>
            <w:r w:rsidRPr="009119D3">
              <w:rPr>
                <w:rFonts w:ascii="Arial" w:hAnsi="Arial" w:cs="Arial"/>
                <w:spacing w:val="-1"/>
                <w:sz w:val="20"/>
                <w:szCs w:val="20"/>
              </w:rPr>
              <w:t xml:space="preserve"> </w:t>
            </w:r>
            <w:r w:rsidRPr="009119D3">
              <w:rPr>
                <w:rFonts w:ascii="Arial" w:hAnsi="Arial" w:cs="Arial"/>
                <w:sz w:val="20"/>
                <w:szCs w:val="20"/>
              </w:rPr>
              <w:t>200.318(b)).</w:t>
            </w:r>
          </w:p>
          <w:p w14:paraId="09F03958" w14:textId="694C7D9D" w:rsidR="00BF5750" w:rsidRPr="00F00D94" w:rsidRDefault="00BF5750" w:rsidP="0004185F">
            <w:pPr>
              <w:spacing w:after="240"/>
              <w:jc w:val="both"/>
            </w:pPr>
          </w:p>
        </w:tc>
      </w:tr>
    </w:tbl>
    <w:p w14:paraId="7B9B2B8E" w14:textId="654559E6" w:rsidR="007E5B12" w:rsidRPr="00F00D94" w:rsidRDefault="00ED5F2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lastRenderedPageBreak/>
        <w:tab/>
      </w:r>
    </w:p>
    <w:p w14:paraId="3C669472" w14:textId="77777777" w:rsidR="00372EA5" w:rsidRPr="00220BD0" w:rsidRDefault="00372EA5" w:rsidP="006672EA">
      <w:pPr>
        <w:pStyle w:val="Heading3"/>
        <w:jc w:val="both"/>
        <w:rPr>
          <w:rFonts w:cs="Arial"/>
          <w:b w:val="0"/>
          <w:sz w:val="24"/>
          <w:szCs w:val="24"/>
        </w:rPr>
      </w:pPr>
      <w:bookmarkStart w:id="61" w:name="_Toc212473122"/>
      <w:r w:rsidRPr="00220BD0">
        <w:rPr>
          <w:rFonts w:cs="Arial"/>
          <w:sz w:val="24"/>
          <w:szCs w:val="24"/>
        </w:rPr>
        <w:t>Audit Implications Summary</w:t>
      </w:r>
      <w:bookmarkEnd w:id="61"/>
    </w:p>
    <w:tbl>
      <w:tblPr>
        <w:tblStyle w:val="TableGrid"/>
        <w:tblW w:w="5000" w:type="pct"/>
        <w:tblLook w:val="04A0" w:firstRow="1" w:lastRow="0" w:firstColumn="1" w:lastColumn="0" w:noHBand="0" w:noVBand="1"/>
      </w:tblPr>
      <w:tblGrid>
        <w:gridCol w:w="9350"/>
      </w:tblGrid>
      <w:tr w:rsidR="00372EA5" w:rsidRPr="00F00D94" w14:paraId="19761618" w14:textId="77777777" w:rsidTr="00E0350C">
        <w:tc>
          <w:tcPr>
            <w:tcW w:w="5000" w:type="pct"/>
          </w:tcPr>
          <w:p w14:paraId="5AEF36CE" w14:textId="17683164" w:rsidR="00634FA3" w:rsidRPr="00634FA3" w:rsidRDefault="00634FA3" w:rsidP="00634FA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939DACD" w14:textId="7AF32B40" w:rsidR="00D12E5B" w:rsidRDefault="00D12E5B" w:rsidP="00D12E5B">
            <w:pPr>
              <w:spacing w:after="240"/>
              <w:jc w:val="both"/>
              <w:rPr>
                <w:rFonts w:ascii="Arial" w:hAnsi="Arial" w:cs="Arial"/>
                <w:i/>
                <w:iCs/>
                <w:color w:val="002060"/>
                <w:sz w:val="20"/>
              </w:rPr>
            </w:pPr>
            <w:r w:rsidRPr="007E4875">
              <w:rPr>
                <w:rFonts w:ascii="Arial" w:hAnsi="Arial" w:cs="Arial"/>
                <w:i/>
                <w:iCs/>
                <w:color w:val="002060"/>
                <w:sz w:val="20"/>
              </w:rPr>
              <w:t>Auditors must review the Federal agency adoption of the Uniform Guidance (2 CFR Part 200) and nonprocur</w:t>
            </w:r>
            <w:r>
              <w:rPr>
                <w:rFonts w:ascii="Arial" w:hAnsi="Arial" w:cs="Arial"/>
                <w:i/>
                <w:iCs/>
                <w:color w:val="002060"/>
                <w:sz w:val="20"/>
              </w:rPr>
              <w:t>e</w:t>
            </w:r>
            <w:r w:rsidRPr="007E4875">
              <w:rPr>
                <w:rFonts w:ascii="Arial" w:hAnsi="Arial" w:cs="Arial"/>
                <w:i/>
                <w:iCs/>
                <w:color w:val="002060"/>
                <w:sz w:val="20"/>
              </w:rPr>
              <w:t xml:space="preserve">ment suspension and debarment requirements (2 CFR Part 180) prior to issuing noncompliance citations to verify the Federal agency requirements. Auditors should also review this </w:t>
            </w:r>
            <w:hyperlink r:id="rId79" w:history="1">
              <w:r w:rsidRPr="007E4875">
                <w:rPr>
                  <w:rStyle w:val="Hyperlink"/>
                  <w:rFonts w:cs="Arial"/>
                  <w:i/>
                  <w:iCs/>
                  <w:sz w:val="20"/>
                </w:rPr>
                <w:t>link</w:t>
              </w:r>
            </w:hyperlink>
            <w:r w:rsidRPr="007E4875">
              <w:rPr>
                <w:rStyle w:val="Hyperlink"/>
                <w:rFonts w:cs="Arial"/>
                <w:i/>
                <w:iCs/>
                <w:sz w:val="20"/>
                <w:u w:val="none"/>
              </w:rPr>
              <w:t xml:space="preserve"> </w:t>
            </w:r>
            <w:r w:rsidRPr="007E4875">
              <w:rPr>
                <w:rFonts w:ascii="Arial" w:hAnsi="Arial" w:cs="Arial"/>
                <w:i/>
                <w:iCs/>
                <w:color w:val="002060"/>
                <w:sz w:val="20"/>
              </w:rPr>
              <w:t>for a discussion on how to cite non-compliance exceptions based on agency adoption of the UG.</w:t>
            </w:r>
          </w:p>
          <w:p w14:paraId="67E9E2B3" w14:textId="6CB16488" w:rsidR="00372EA5" w:rsidRPr="006E46AD" w:rsidRDefault="00372EA5" w:rsidP="008B4BCE">
            <w:pPr>
              <w:pStyle w:val="ListParagraph"/>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12AADC26" w14:textId="77777777" w:rsidR="00372EA5" w:rsidRPr="006E46AD" w:rsidRDefault="00372EA5" w:rsidP="006672EA">
            <w:pPr>
              <w:widowControl w:val="0"/>
              <w:spacing w:after="240"/>
              <w:ind w:left="720"/>
              <w:jc w:val="both"/>
              <w:rPr>
                <w:rFonts w:ascii="Arial" w:hAnsi="Arial" w:cs="Arial"/>
                <w:b/>
                <w:sz w:val="20"/>
                <w:szCs w:val="20"/>
              </w:rPr>
            </w:pPr>
          </w:p>
          <w:p w14:paraId="3FCC5F98" w14:textId="77777777" w:rsidR="00372EA5" w:rsidRPr="00F00D94" w:rsidRDefault="00372EA5" w:rsidP="008B4BCE">
            <w:pPr>
              <w:widowControl w:val="0"/>
              <w:numPr>
                <w:ilvl w:val="0"/>
                <w:numId w:val="19"/>
              </w:numPr>
              <w:spacing w:after="240"/>
              <w:jc w:val="both"/>
              <w:rPr>
                <w:rFonts w:ascii="Arial" w:eastAsiaTheme="minorHAnsi" w:hAnsi="Arial" w:cs="Arial"/>
                <w:b/>
                <w:sz w:val="20"/>
              </w:rPr>
            </w:pPr>
            <w:r w:rsidRPr="006E46AD">
              <w:rPr>
                <w:rFonts w:ascii="Arial" w:hAnsi="Arial" w:cs="Arial"/>
                <w:b/>
                <w:sz w:val="20"/>
                <w:szCs w:val="20"/>
              </w:rPr>
              <w:t>Assessment of Control Risk</w:t>
            </w:r>
            <w:r w:rsidRPr="00F00D94">
              <w:rPr>
                <w:rFonts w:ascii="Arial" w:hAnsi="Arial" w:cs="Arial"/>
                <w:b/>
                <w:sz w:val="20"/>
              </w:rPr>
              <w:t>:</w:t>
            </w:r>
          </w:p>
          <w:p w14:paraId="1E7C1021" w14:textId="77777777" w:rsidR="00372EA5" w:rsidRPr="00F00D94" w:rsidRDefault="00372EA5" w:rsidP="006672EA">
            <w:pPr>
              <w:pStyle w:val="ListParagraph"/>
              <w:spacing w:after="240"/>
              <w:jc w:val="both"/>
              <w:rPr>
                <w:rFonts w:ascii="Arial" w:hAnsi="Arial" w:cs="Arial"/>
                <w:b/>
              </w:rPr>
            </w:pPr>
          </w:p>
          <w:p w14:paraId="18838786" w14:textId="2D56B965" w:rsidR="00372EA5" w:rsidRPr="00F00D94" w:rsidRDefault="00372EA5" w:rsidP="008B4BCE">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8E726F">
              <w:rPr>
                <w:rFonts w:ascii="Arial" w:hAnsi="Arial" w:cs="Arial"/>
                <w:b/>
                <w:sz w:val="20"/>
              </w:rPr>
              <w:t xml:space="preserve"> Test</w:t>
            </w:r>
            <w:r w:rsidRPr="00F00D94">
              <w:rPr>
                <w:rFonts w:ascii="Arial" w:hAnsi="Arial" w:cs="Arial"/>
                <w:b/>
                <w:sz w:val="20"/>
              </w:rPr>
              <w:t xml:space="preserve"> including Sample Size:</w:t>
            </w:r>
          </w:p>
          <w:p w14:paraId="08F2E8BD" w14:textId="77777777" w:rsidR="00372EA5" w:rsidRPr="00F00D94" w:rsidRDefault="00372EA5" w:rsidP="006672EA">
            <w:pPr>
              <w:pStyle w:val="ListParagraph"/>
              <w:spacing w:after="240"/>
              <w:jc w:val="both"/>
              <w:rPr>
                <w:rFonts w:ascii="Arial" w:hAnsi="Arial" w:cs="Arial"/>
                <w:b/>
              </w:rPr>
            </w:pPr>
          </w:p>
          <w:p w14:paraId="69D751F4" w14:textId="73131D4C" w:rsidR="00372EA5" w:rsidRPr="00F00D94" w:rsidRDefault="00372EA5" w:rsidP="008B4BCE">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46FFFCC" w14:textId="77777777" w:rsidR="00372EA5" w:rsidRPr="00F00D94" w:rsidRDefault="00372EA5" w:rsidP="006672EA">
            <w:pPr>
              <w:pStyle w:val="ListParagraph"/>
              <w:spacing w:after="240"/>
              <w:jc w:val="both"/>
              <w:rPr>
                <w:rFonts w:ascii="Arial" w:hAnsi="Arial" w:cs="Arial"/>
                <w:b/>
              </w:rPr>
            </w:pPr>
          </w:p>
          <w:p w14:paraId="57B4D5C7" w14:textId="77777777" w:rsidR="00372EA5" w:rsidRPr="00F00D94" w:rsidRDefault="00372EA5" w:rsidP="008B4BCE">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F7A14A0" w14:textId="77777777" w:rsidR="00372EA5" w:rsidRPr="00F00D94" w:rsidRDefault="00372EA5" w:rsidP="006672EA">
            <w:pPr>
              <w:pStyle w:val="APStepItem"/>
              <w:numPr>
                <w:ilvl w:val="0"/>
                <w:numId w:val="0"/>
              </w:numPr>
              <w:spacing w:after="240"/>
              <w:rPr>
                <w:rFonts w:cs="Arial"/>
                <w:b/>
              </w:rPr>
            </w:pPr>
          </w:p>
        </w:tc>
      </w:tr>
    </w:tbl>
    <w:p w14:paraId="623A53A2" w14:textId="77777777" w:rsidR="00372EA5" w:rsidRPr="00F00D94" w:rsidRDefault="00372EA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372EA5" w:rsidRPr="00F00D94" w:rsidSect="00257772">
          <w:headerReference w:type="default" r:id="rId80"/>
          <w:pgSz w:w="12240" w:h="15840" w:code="1"/>
          <w:pgMar w:top="1440" w:right="1440" w:bottom="1440" w:left="1440" w:header="720" w:footer="720" w:gutter="0"/>
          <w:cols w:space="720"/>
          <w:noEndnote/>
        </w:sectPr>
      </w:pPr>
    </w:p>
    <w:p w14:paraId="4D2A975C" w14:textId="2B5CE5A0" w:rsidR="007E5B12" w:rsidRPr="000706D1" w:rsidRDefault="007E5B12" w:rsidP="006672EA">
      <w:pPr>
        <w:pStyle w:val="Heading2"/>
        <w:jc w:val="both"/>
        <w:rPr>
          <w:rFonts w:cs="Arial"/>
          <w:sz w:val="24"/>
        </w:rPr>
      </w:pPr>
      <w:bookmarkStart w:id="62" w:name="J___PROGRAM_INCOME"/>
      <w:bookmarkStart w:id="63" w:name="L___REPORTING"/>
      <w:bookmarkStart w:id="64" w:name="M___SUBRECIPIENT_MONITORING__"/>
      <w:bookmarkStart w:id="65" w:name="_Toc442267703"/>
      <w:bookmarkStart w:id="66" w:name="_Toc212473123"/>
      <w:bookmarkEnd w:id="62"/>
      <w:bookmarkEnd w:id="63"/>
      <w:bookmarkEnd w:id="64"/>
      <w:r w:rsidRPr="000706D1">
        <w:rPr>
          <w:rFonts w:cs="Arial"/>
          <w:sz w:val="24"/>
        </w:rPr>
        <w:t>N</w:t>
      </w:r>
      <w:r w:rsidR="00885BA6">
        <w:rPr>
          <w:rFonts w:cs="Arial"/>
          <w:sz w:val="24"/>
        </w:rPr>
        <w:t>1</w:t>
      </w:r>
      <w:r w:rsidRPr="000706D1">
        <w:rPr>
          <w:rFonts w:cs="Arial"/>
          <w:sz w:val="24"/>
        </w:rPr>
        <w:t>.  SPECIAL TESTS AND PROVISIONS</w:t>
      </w:r>
      <w:bookmarkEnd w:id="65"/>
      <w:r w:rsidR="00885BA6">
        <w:rPr>
          <w:rFonts w:cs="Arial"/>
          <w:sz w:val="24"/>
        </w:rPr>
        <w:t xml:space="preserve"> – WAGE RATE REQUIREMENTS</w:t>
      </w:r>
      <w:bookmarkEnd w:id="66"/>
    </w:p>
    <w:p w14:paraId="75FD95EF" w14:textId="77777777" w:rsidR="007E5B12" w:rsidRPr="000706D1" w:rsidRDefault="00D15062" w:rsidP="006672EA">
      <w:pPr>
        <w:pStyle w:val="Heading3"/>
        <w:jc w:val="both"/>
        <w:rPr>
          <w:rFonts w:cs="Arial"/>
          <w:sz w:val="24"/>
          <w:szCs w:val="24"/>
        </w:rPr>
      </w:pPr>
      <w:bookmarkStart w:id="67" w:name="_Toc212473124"/>
      <w:r w:rsidRPr="000706D1">
        <w:rPr>
          <w:rFonts w:cs="Arial"/>
          <w:sz w:val="24"/>
          <w:szCs w:val="24"/>
        </w:rPr>
        <w:t xml:space="preserve">OMB </w:t>
      </w:r>
      <w:r w:rsidR="007E5B12" w:rsidRPr="000706D1">
        <w:rPr>
          <w:rFonts w:cs="Arial"/>
          <w:sz w:val="24"/>
          <w:szCs w:val="24"/>
        </w:rPr>
        <w:t>Compliance Requirements</w:t>
      </w:r>
      <w:bookmarkEnd w:id="67"/>
    </w:p>
    <w:p w14:paraId="377AFA72" w14:textId="5E19250E" w:rsidR="005C1EBC" w:rsidRPr="005C1EBC" w:rsidRDefault="005C1EBC" w:rsidP="005C1EB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2CA3B7B8" w14:textId="45741917" w:rsidR="005C1EBC" w:rsidRPr="00F00D94" w:rsidRDefault="005C1EBC" w:rsidP="005C1EB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7636CAB9" w14:textId="47023AF8" w:rsidR="000054C5" w:rsidRPr="00F00D94" w:rsidRDefault="006230CF" w:rsidP="006672EA">
      <w:pPr>
        <w:spacing w:after="240"/>
        <w:jc w:val="both"/>
        <w:rPr>
          <w:rFonts w:ascii="Arial" w:hAnsi="Arial" w:cs="Arial"/>
          <w:i/>
        </w:rPr>
      </w:pPr>
      <w:r w:rsidRPr="00F00D94">
        <w:rPr>
          <w:rFonts w:ascii="Arial" w:hAnsi="Arial" w:cs="Arial"/>
          <w:i/>
        </w:rPr>
        <w:t xml:space="preserve">(Source: </w:t>
      </w:r>
      <w:r w:rsidR="005C1EBC" w:rsidRPr="00F00D94">
        <w:rPr>
          <w:rFonts w:ascii="Arial" w:hAnsi="Arial" w:cs="Arial"/>
          <w:i/>
        </w:rPr>
        <w:t>202</w:t>
      </w:r>
      <w:r w:rsidR="005C1EBC">
        <w:rPr>
          <w:rFonts w:ascii="Arial" w:hAnsi="Arial" w:cs="Arial"/>
          <w:i/>
        </w:rPr>
        <w:t>5</w:t>
      </w:r>
      <w:r w:rsidR="005C1EBC"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143218">
        <w:rPr>
          <w:rFonts w:ascii="Arial" w:hAnsi="Arial" w:cs="Arial"/>
          <w:i/>
        </w:rPr>
        <w:t>.2</w:t>
      </w:r>
      <w:r w:rsidRPr="00F00D94">
        <w:rPr>
          <w:rFonts w:ascii="Arial" w:hAnsi="Arial" w:cs="Arial"/>
          <w:i/>
        </w:rPr>
        <w:t>)</w:t>
      </w:r>
    </w:p>
    <w:p w14:paraId="2F0C04C8" w14:textId="774B9E40"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7A6DBC7B" w14:textId="53FAD5F7" w:rsidR="00D4387A" w:rsidRDefault="00885BA6" w:rsidP="00D4387A">
      <w:pPr>
        <w:pStyle w:val="BodyText"/>
        <w:spacing w:after="0"/>
        <w:ind w:right="375"/>
        <w:jc w:val="both"/>
        <w:rPr>
          <w:rFonts w:ascii="Arial" w:hAnsi="Arial" w:cs="Arial"/>
        </w:rPr>
      </w:pPr>
      <w:r w:rsidRPr="00885BA6">
        <w:rPr>
          <w:rFonts w:ascii="Arial" w:hAnsi="Arial" w:cs="Arial"/>
        </w:rPr>
        <w:t xml:space="preserve">The Wage Rate Requirements apply to construction activities for public housing. However, the requirements do not apply to volunteer work where the volunteer does not receive compensation, or is paid expenses, reasonable benefits, or a nominal fee for such services, and is not otherwise employed at any time in construction work (42 USC 1437j(a) and (b)). HUD’s Factors of Applicability for these requirements can be found at </w:t>
      </w:r>
    </w:p>
    <w:p w14:paraId="5A1C1EA1" w14:textId="182B4544" w:rsidR="00885BA6" w:rsidRDefault="00D4387A" w:rsidP="00D4387A">
      <w:pPr>
        <w:pStyle w:val="BodyText"/>
        <w:spacing w:after="0"/>
        <w:ind w:right="375"/>
        <w:jc w:val="both"/>
        <w:rPr>
          <w:rFonts w:ascii="Arial" w:hAnsi="Arial" w:cs="Arial"/>
          <w:color w:val="467886"/>
          <w:u w:val="single"/>
        </w:rPr>
      </w:pPr>
      <w:hyperlink r:id="rId81" w:history="1">
        <w:r w:rsidRPr="00EE6A99">
          <w:rPr>
            <w:rStyle w:val="Hyperlink"/>
            <w:rFonts w:cs="Arial"/>
          </w:rPr>
          <w:t>https://www.hud.gov/program_offices/davis_bacon_and_labor_standards/olr_foa</w:t>
        </w:r>
      </w:hyperlink>
    </w:p>
    <w:p w14:paraId="2AC7D513" w14:textId="77777777" w:rsidR="00D4387A" w:rsidRPr="00885BA6" w:rsidRDefault="00D4387A" w:rsidP="00D4387A">
      <w:pPr>
        <w:pStyle w:val="BodyText"/>
        <w:spacing w:after="0"/>
        <w:ind w:right="375"/>
        <w:jc w:val="both"/>
        <w:rPr>
          <w:rFonts w:ascii="Arial" w:hAnsi="Arial" w:cs="Arial"/>
        </w:rPr>
      </w:pPr>
    </w:p>
    <w:p w14:paraId="340C7D33" w14:textId="58EF490F" w:rsidR="00D4387A" w:rsidRDefault="00885BA6" w:rsidP="00D4387A">
      <w:pPr>
        <w:pStyle w:val="BodyText"/>
        <w:ind w:right="216"/>
        <w:jc w:val="both"/>
        <w:rPr>
          <w:rFonts w:ascii="Arial" w:hAnsi="Arial" w:cs="Arial"/>
        </w:rPr>
      </w:pPr>
      <w:r>
        <w:rPr>
          <w:rFonts w:ascii="Arial" w:hAnsi="Arial" w:cs="Arial"/>
          <w:bCs/>
          <w:i/>
          <w:iCs/>
        </w:rPr>
        <w:t>(Source: 2025 OMB Compliance Supplement, Part 4, HUD, #14.850 Public Housing</w:t>
      </w:r>
      <w:r w:rsidR="007D76AB">
        <w:rPr>
          <w:rFonts w:ascii="Arial" w:hAnsi="Arial" w:cs="Arial"/>
          <w:bCs/>
          <w:i/>
          <w:iCs/>
        </w:rPr>
        <w:t xml:space="preserve"> Operating Fund</w:t>
      </w:r>
      <w:r>
        <w:rPr>
          <w:rFonts w:ascii="Arial" w:hAnsi="Arial" w:cs="Arial"/>
          <w:bCs/>
          <w:i/>
          <w:iCs/>
        </w:rPr>
        <w:t>)</w:t>
      </w:r>
      <w:r w:rsidR="00D4387A" w:rsidRPr="00D4387A">
        <w:rPr>
          <w:rFonts w:ascii="Arial" w:hAnsi="Arial" w:cs="Arial"/>
        </w:rPr>
        <w:t xml:space="preserve"> </w:t>
      </w:r>
    </w:p>
    <w:p w14:paraId="2EF4D251" w14:textId="3883D198" w:rsidR="00D4387A" w:rsidRPr="0088620B" w:rsidRDefault="00D4387A" w:rsidP="007D76AB">
      <w:pPr>
        <w:pStyle w:val="BodyText"/>
        <w:jc w:val="both"/>
        <w:rPr>
          <w:rFonts w:ascii="Arial" w:hAnsi="Arial" w:cs="Arial"/>
          <w:szCs w:val="20"/>
        </w:rPr>
      </w:pPr>
      <w:r w:rsidRPr="0088620B">
        <w:rPr>
          <w:rFonts w:ascii="Arial" w:hAnsi="Arial" w:cs="Arial"/>
          <w:szCs w:val="20"/>
        </w:rPr>
        <w:t>All laborers and mechanics employed by contractors or subcontractors to work on construction contracts in excess of $2,000 financed by federal assistance funds must be paid wages not less than those established for the locality of the project (prevailing wage rates) by the Department of Labor (DOL) (40 USC 3141–3147).</w:t>
      </w:r>
    </w:p>
    <w:p w14:paraId="23AE3736" w14:textId="27289573" w:rsidR="00D4387A" w:rsidRPr="0088620B" w:rsidRDefault="00D4387A" w:rsidP="007D76AB">
      <w:pPr>
        <w:pStyle w:val="BodyText"/>
        <w:jc w:val="both"/>
        <w:rPr>
          <w:rFonts w:ascii="Arial" w:hAnsi="Arial" w:cs="Arial"/>
          <w:szCs w:val="20"/>
        </w:rPr>
      </w:pPr>
      <w:r w:rsidRPr="0088620B">
        <w:rPr>
          <w:rFonts w:ascii="Arial" w:hAnsi="Arial" w:cs="Arial"/>
          <w:szCs w:val="20"/>
        </w:rPr>
        <w:t>Nonfederal entities shall include in their construction contracts subject to the Wage Rate Requirements (which still may be referenced as the Davis-Bacon Act) a provision that the contractor or subcontractor comply with those requirements and the DOL regulations</w:t>
      </w:r>
      <w:r>
        <w:rPr>
          <w:rFonts w:ascii="Arial" w:hAnsi="Arial" w:cs="Arial"/>
          <w:szCs w:val="20"/>
        </w:rPr>
        <w:t xml:space="preserve"> </w:t>
      </w:r>
      <w:r w:rsidRPr="0088620B">
        <w:rPr>
          <w:rFonts w:ascii="Arial" w:hAnsi="Arial" w:cs="Arial"/>
          <w:szCs w:val="20"/>
        </w:rPr>
        <w:t>(29 CFR Part 5, Labor Standards Provisions Applicable to Contacts Governing Federally Financed and Assisted Construction). This includes a requirement for the contractor or subcontractor to submit to the nonfederal entity weekly, for each week in which any contract work is performed, a copy of the payroll and a statement of compliance</w:t>
      </w:r>
      <w:r w:rsidRPr="0088620B">
        <w:rPr>
          <w:rFonts w:ascii="Arial" w:hAnsi="Arial" w:cs="Arial"/>
          <w:spacing w:val="-22"/>
          <w:szCs w:val="20"/>
        </w:rPr>
        <w:t xml:space="preserve"> </w:t>
      </w:r>
      <w:r w:rsidRPr="0088620B">
        <w:rPr>
          <w:rFonts w:ascii="Arial" w:hAnsi="Arial" w:cs="Arial"/>
          <w:szCs w:val="20"/>
        </w:rPr>
        <w:t>(certified payrolls) (29 CFR sections 5.5 and 5.6; the A-102 Common Rule (section 36(i)(5)); OMB Circular A-110 (2 CFR Part 215, Appendix A, Contract Provisions); 2 CFR Part 176, Subpart C; and 2 CFR section</w:t>
      </w:r>
      <w:r w:rsidRPr="0088620B">
        <w:rPr>
          <w:rFonts w:ascii="Arial" w:hAnsi="Arial" w:cs="Arial"/>
          <w:spacing w:val="-1"/>
          <w:szCs w:val="20"/>
        </w:rPr>
        <w:t xml:space="preserve"> </w:t>
      </w:r>
      <w:r w:rsidRPr="0088620B">
        <w:rPr>
          <w:rFonts w:ascii="Arial" w:hAnsi="Arial" w:cs="Arial"/>
          <w:szCs w:val="20"/>
        </w:rPr>
        <w:t>200.326).</w:t>
      </w:r>
    </w:p>
    <w:p w14:paraId="6D88DA8C" w14:textId="77777777" w:rsidR="00D4387A" w:rsidRPr="0088620B" w:rsidRDefault="00D4387A" w:rsidP="007D76AB">
      <w:pPr>
        <w:pStyle w:val="BodyText"/>
        <w:jc w:val="both"/>
        <w:rPr>
          <w:rFonts w:ascii="Arial" w:hAnsi="Arial" w:cs="Arial"/>
          <w:szCs w:val="20"/>
        </w:rPr>
      </w:pPr>
      <w:r w:rsidRPr="0088620B">
        <w:rPr>
          <w:rFonts w:ascii="Arial" w:hAnsi="Arial" w:cs="Arial"/>
          <w:szCs w:val="20"/>
        </w:rPr>
        <w:t>This reporting is often done using Optional Form WH-347, which includes the required statement of compliance (</w:t>
      </w:r>
      <w:r w:rsidRPr="0088620B">
        <w:rPr>
          <w:rFonts w:ascii="Arial" w:hAnsi="Arial" w:cs="Arial"/>
          <w:i/>
          <w:szCs w:val="20"/>
        </w:rPr>
        <w:t>OMB No. 1235-0008</w:t>
      </w:r>
      <w:r w:rsidRPr="0088620B">
        <w:rPr>
          <w:rFonts w:ascii="Arial" w:hAnsi="Arial" w:cs="Arial"/>
          <w:szCs w:val="20"/>
        </w:rPr>
        <w:t>). The DOL, Employment Standards Administration, maintains a Davis-Bacon and Related Acts web page (</w:t>
      </w:r>
      <w:hyperlink r:id="rId82">
        <w:r w:rsidRPr="0088620B">
          <w:rPr>
            <w:rFonts w:ascii="Arial" w:hAnsi="Arial" w:cs="Arial"/>
            <w:color w:val="2D74B5"/>
            <w:szCs w:val="20"/>
            <w:u w:val="single" w:color="2D74B5"/>
          </w:rPr>
          <w:t>https://www.dol.gov/agencies/whd/government-contracts/construction</w:t>
        </w:r>
      </w:hyperlink>
      <w:r w:rsidRPr="0088620B">
        <w:rPr>
          <w:rFonts w:ascii="Arial" w:hAnsi="Arial" w:cs="Arial"/>
          <w:szCs w:val="20"/>
        </w:rPr>
        <w:t>). Optional Form WH-347 and instructions are available on this web page.</w:t>
      </w:r>
    </w:p>
    <w:p w14:paraId="69EDF8C7" w14:textId="7FFEF2DC" w:rsidR="00D4387A" w:rsidRPr="00D4387A" w:rsidRDefault="00D4387A" w:rsidP="00D4387A">
      <w:p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Pr>
          <w:rFonts w:ascii="Arial" w:hAnsi="Arial" w:cs="Arial"/>
          <w:bCs/>
          <w:i/>
          <w:iCs/>
        </w:rPr>
        <w:t>(Source: 2025 OMB Compliance Supplement, Part 4, DOT, Wage Rate Requirements)</w:t>
      </w:r>
    </w:p>
    <w:p w14:paraId="1FDB8C35" w14:textId="77777777" w:rsidR="00670F5F" w:rsidRPr="000706D1" w:rsidRDefault="00670F5F" w:rsidP="006672EA">
      <w:pPr>
        <w:pStyle w:val="Heading3"/>
        <w:jc w:val="both"/>
        <w:rPr>
          <w:rFonts w:cs="Arial"/>
          <w:sz w:val="24"/>
          <w:szCs w:val="24"/>
        </w:rPr>
      </w:pPr>
      <w:bookmarkStart w:id="68" w:name="_Toc212473125"/>
      <w:r w:rsidRPr="000706D1">
        <w:rPr>
          <w:rFonts w:cs="Arial"/>
          <w:sz w:val="24"/>
          <w:szCs w:val="24"/>
        </w:rPr>
        <w:t>Additional Program Specific Information</w:t>
      </w:r>
      <w:bookmarkEnd w:id="68"/>
    </w:p>
    <w:p w14:paraId="346DF8F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9F4F498" w14:textId="19F659D9" w:rsidR="00CD5DC7" w:rsidRPr="00AA5B05" w:rsidRDefault="00CD5DC7" w:rsidP="008B4BCE">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45585564" w14:textId="0DCB8F27" w:rsidR="00CD5DC7" w:rsidRPr="00AA5B05" w:rsidRDefault="00CD5DC7" w:rsidP="008B4BCE">
      <w:pPr>
        <w:pStyle w:val="ListParagraph"/>
        <w:numPr>
          <w:ilvl w:val="0"/>
          <w:numId w:val="3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2E113F40" w14:textId="2F65FCCF" w:rsidR="006E46AD" w:rsidRPr="00AA5B05" w:rsidRDefault="006E46AD" w:rsidP="008B4BCE">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2C48E4B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9BF99C3" w14:textId="77777777" w:rsidR="007E5B12" w:rsidRPr="000706D1" w:rsidRDefault="00197FAC" w:rsidP="006672EA">
      <w:pPr>
        <w:pStyle w:val="Heading3"/>
        <w:jc w:val="both"/>
        <w:rPr>
          <w:rFonts w:cs="Arial"/>
          <w:sz w:val="24"/>
          <w:szCs w:val="24"/>
        </w:rPr>
      </w:pPr>
      <w:bookmarkStart w:id="69" w:name="_Toc212473126"/>
      <w:r w:rsidRPr="000706D1">
        <w:rPr>
          <w:rFonts w:cs="Arial"/>
          <w:sz w:val="24"/>
          <w:szCs w:val="24"/>
        </w:rPr>
        <w:t xml:space="preserve">Audit </w:t>
      </w:r>
      <w:r w:rsidR="00972081" w:rsidRPr="000706D1">
        <w:rPr>
          <w:rFonts w:cs="Arial"/>
          <w:sz w:val="24"/>
          <w:szCs w:val="24"/>
        </w:rPr>
        <w:t>Objectives and</w:t>
      </w:r>
      <w:r w:rsidRPr="000706D1">
        <w:rPr>
          <w:rFonts w:cs="Arial"/>
          <w:sz w:val="24"/>
          <w:szCs w:val="24"/>
        </w:rPr>
        <w:t xml:space="preserve"> Control Testing</w:t>
      </w:r>
      <w:bookmarkEnd w:id="69"/>
    </w:p>
    <w:p w14:paraId="5B28A74E"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1A73EEA"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4D933EB" w14:textId="4259BD08" w:rsidR="00B307F9" w:rsidRDefault="00B307F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5C1EBC" w:rsidRPr="00F00D94">
        <w:rPr>
          <w:rFonts w:ascii="Arial" w:hAnsi="Arial" w:cs="Arial"/>
          <w:i/>
        </w:rPr>
        <w:t>202</w:t>
      </w:r>
      <w:r w:rsidR="005C1EBC">
        <w:rPr>
          <w:rFonts w:ascii="Arial" w:hAnsi="Arial" w:cs="Arial"/>
          <w:i/>
        </w:rPr>
        <w:t>5</w:t>
      </w:r>
      <w:r w:rsidR="005C1EBC" w:rsidRPr="00F00D94">
        <w:rPr>
          <w:rFonts w:ascii="Arial" w:hAnsi="Arial" w:cs="Arial"/>
          <w:i/>
        </w:rPr>
        <w:t xml:space="preserve"> </w:t>
      </w:r>
      <w:r w:rsidRPr="00F00D94">
        <w:rPr>
          <w:rFonts w:ascii="Arial" w:hAnsi="Arial" w:cs="Arial"/>
          <w:i/>
        </w:rPr>
        <w:t>OMB Compliance Supplement Part 3</w:t>
      </w:r>
      <w:r w:rsidR="00143218">
        <w:rPr>
          <w:rFonts w:ascii="Arial" w:hAnsi="Arial" w:cs="Arial"/>
          <w:i/>
        </w:rPr>
        <w:t>.2</w:t>
      </w:r>
      <w:r w:rsidRPr="00F00D94">
        <w:rPr>
          <w:rFonts w:ascii="Arial" w:hAnsi="Arial" w:cs="Arial"/>
          <w:i/>
        </w:rPr>
        <w:t>)</w:t>
      </w:r>
    </w:p>
    <w:p w14:paraId="060C46D8" w14:textId="224E6034" w:rsidR="00D4387A" w:rsidRPr="00D4387A" w:rsidRDefault="00D4387A" w:rsidP="008B4BCE">
      <w:pPr>
        <w:pStyle w:val="ListParagraph"/>
        <w:numPr>
          <w:ilvl w:val="0"/>
          <w:numId w:val="42"/>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D4387A">
        <w:rPr>
          <w:rFonts w:ascii="Arial" w:hAnsi="Arial" w:cs="Arial"/>
        </w:rPr>
        <w:t>Determine whether the nonfederal entity notified contractors and subcontractors of the requirements to comply with the Wage Rate Requirements and obtained copies of certified payrolls.</w:t>
      </w:r>
    </w:p>
    <w:p w14:paraId="51B3C4DF" w14:textId="77891F49" w:rsidR="00D4387A" w:rsidRPr="00D4387A" w:rsidRDefault="00D4387A" w:rsidP="00D4387A">
      <w:p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D4387A">
        <w:rPr>
          <w:rFonts w:ascii="Arial" w:hAnsi="Arial" w:cs="Arial"/>
          <w:bCs/>
          <w:i/>
          <w:iCs/>
        </w:rPr>
        <w:t>(Source: 202</w:t>
      </w:r>
      <w:r>
        <w:rPr>
          <w:rFonts w:ascii="Arial" w:hAnsi="Arial" w:cs="Arial"/>
          <w:bCs/>
          <w:i/>
          <w:iCs/>
        </w:rPr>
        <w:t>5</w:t>
      </w:r>
      <w:r w:rsidRPr="00D4387A">
        <w:rPr>
          <w:rFonts w:ascii="Arial" w:hAnsi="Arial" w:cs="Arial"/>
          <w:bCs/>
          <w:i/>
          <w:iCs/>
        </w:rPr>
        <w:t xml:space="preserve"> OMB Compliance Supplement, Part 4, DOT, Wage Rate Requirements)</w:t>
      </w:r>
    </w:p>
    <w:p w14:paraId="435653B9" w14:textId="345E2EBC" w:rsidR="00E96252"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B71BD" w:rsidRPr="00F00D94" w14:paraId="7E17897B" w14:textId="77777777" w:rsidTr="00E0350C">
        <w:tc>
          <w:tcPr>
            <w:tcW w:w="5000" w:type="pct"/>
          </w:tcPr>
          <w:p w14:paraId="161526D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47F315D"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E9585EA" w14:textId="77777777" w:rsidR="00634FA3" w:rsidRPr="00F00D94" w:rsidRDefault="00634FA3" w:rsidP="00634FA3">
            <w:pPr>
              <w:pStyle w:val="AuditProcedureHeading"/>
              <w:spacing w:after="240"/>
              <w:jc w:val="both"/>
              <w:rPr>
                <w:rFonts w:cs="Arial"/>
                <w:b/>
                <w:bCs/>
                <w:szCs w:val="20"/>
                <w:u w:val="single"/>
              </w:rPr>
            </w:pPr>
          </w:p>
          <w:p w14:paraId="293F46A3" w14:textId="3524F50D"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B85B2E1" w14:textId="77777777" w:rsidR="00634FA3" w:rsidRPr="00F00D94" w:rsidRDefault="00634FA3" w:rsidP="00634FA3">
            <w:pPr>
              <w:pStyle w:val="AuditProcedureHeading"/>
              <w:spacing w:after="240"/>
              <w:jc w:val="both"/>
              <w:rPr>
                <w:rFonts w:cs="Arial"/>
                <w:b/>
                <w:bCs/>
                <w:szCs w:val="20"/>
                <w:u w:val="single"/>
              </w:rPr>
            </w:pPr>
          </w:p>
          <w:p w14:paraId="532C4F82"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5F30C1C" w14:textId="77777777" w:rsidR="00634FA3" w:rsidRPr="00F00D94" w:rsidRDefault="00634FA3" w:rsidP="00634FA3">
            <w:pPr>
              <w:spacing w:after="240"/>
              <w:jc w:val="both"/>
              <w:rPr>
                <w:rFonts w:ascii="Arial" w:hAnsi="Arial" w:cs="Arial"/>
                <w:b/>
                <w:sz w:val="20"/>
                <w:u w:val="single"/>
              </w:rPr>
            </w:pPr>
          </w:p>
          <w:p w14:paraId="38247EDD"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54F4BB0" w14:textId="77777777" w:rsidR="004B71BD" w:rsidRPr="00C35E5F" w:rsidRDefault="004B71BD" w:rsidP="006672EA">
            <w:pPr>
              <w:spacing w:after="240"/>
              <w:jc w:val="both"/>
              <w:rPr>
                <w:rFonts w:ascii="Arial" w:eastAsiaTheme="minorHAnsi" w:hAnsi="Arial" w:cs="Arial"/>
                <w:sz w:val="20"/>
                <w:szCs w:val="20"/>
              </w:rPr>
            </w:pPr>
          </w:p>
        </w:tc>
      </w:tr>
    </w:tbl>
    <w:p w14:paraId="68023F46" w14:textId="17BFD9B5" w:rsidR="00197FAC" w:rsidRPr="00F00D94" w:rsidRDefault="00197FA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942498E" w14:textId="5B2514E7" w:rsidR="007E5B12" w:rsidRPr="000706D1" w:rsidRDefault="007E5B12" w:rsidP="006672EA">
      <w:pPr>
        <w:pStyle w:val="Heading3"/>
        <w:jc w:val="both"/>
        <w:rPr>
          <w:rFonts w:cs="Arial"/>
          <w:sz w:val="24"/>
          <w:szCs w:val="24"/>
        </w:rPr>
      </w:pPr>
      <w:bookmarkStart w:id="70" w:name="_Toc212473127"/>
      <w:r w:rsidRPr="000706D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0706D1">
        <w:rPr>
          <w:rFonts w:cs="Arial"/>
          <w:sz w:val="24"/>
          <w:szCs w:val="24"/>
        </w:rPr>
        <w:t>Audit Procedures</w:t>
      </w:r>
      <w:r w:rsidR="00CC4452">
        <w:rPr>
          <w:rFonts w:cs="Arial"/>
          <w:sz w:val="24"/>
          <w:szCs w:val="24"/>
        </w:rPr>
        <w:t xml:space="preserve"> – Compliance</w:t>
      </w:r>
      <w:bookmarkEnd w:id="70"/>
    </w:p>
    <w:tbl>
      <w:tblPr>
        <w:tblStyle w:val="TableGrid"/>
        <w:tblW w:w="9558" w:type="dxa"/>
        <w:tblLayout w:type="fixed"/>
        <w:tblLook w:val="04A0" w:firstRow="1" w:lastRow="0" w:firstColumn="1" w:lastColumn="0" w:noHBand="0" w:noVBand="1"/>
      </w:tblPr>
      <w:tblGrid>
        <w:gridCol w:w="9558"/>
      </w:tblGrid>
      <w:tr w:rsidR="004B71BD" w:rsidRPr="00F00D94" w14:paraId="7C580C60" w14:textId="77777777" w:rsidTr="00634FA3">
        <w:tc>
          <w:tcPr>
            <w:tcW w:w="9558" w:type="dxa"/>
          </w:tcPr>
          <w:p w14:paraId="08EA97E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AD32708" w14:textId="07B5BF1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C1EBC">
              <w:rPr>
                <w:rFonts w:ascii="Arial" w:hAnsi="Arial" w:cs="Arial"/>
                <w:i/>
                <w:sz w:val="20"/>
                <w:szCs w:val="20"/>
              </w:rPr>
              <w:t xml:space="preserve">2025 </w:t>
            </w:r>
            <w:r>
              <w:rPr>
                <w:rFonts w:ascii="Arial" w:hAnsi="Arial" w:cs="Arial"/>
                <w:i/>
                <w:sz w:val="20"/>
                <w:szCs w:val="20"/>
              </w:rPr>
              <w:t>OMB Compliance Supplement Part 3</w:t>
            </w:r>
            <w:r w:rsidR="00143218">
              <w:rPr>
                <w:rFonts w:ascii="Arial" w:hAnsi="Arial" w:cs="Arial"/>
                <w:i/>
                <w:sz w:val="20"/>
                <w:szCs w:val="20"/>
              </w:rPr>
              <w:t>.2</w:t>
            </w:r>
            <w:r>
              <w:rPr>
                <w:rFonts w:ascii="Arial" w:hAnsi="Arial" w:cs="Arial"/>
                <w:i/>
                <w:sz w:val="20"/>
                <w:szCs w:val="20"/>
              </w:rPr>
              <w:t>)</w:t>
            </w:r>
          </w:p>
          <w:p w14:paraId="4B43F071" w14:textId="1D229E41" w:rsidR="00D4387A" w:rsidRPr="00D4387A" w:rsidRDefault="00D4387A" w:rsidP="00D4387A">
            <w:pPr>
              <w:pStyle w:val="BodyText"/>
              <w:spacing w:before="1"/>
              <w:ind w:right="536"/>
              <w:rPr>
                <w:rFonts w:ascii="Arial" w:hAnsi="Arial" w:cs="Arial"/>
                <w:sz w:val="20"/>
                <w:szCs w:val="20"/>
              </w:rPr>
            </w:pPr>
            <w:r w:rsidRPr="00D4387A">
              <w:rPr>
                <w:rFonts w:ascii="Arial" w:hAnsi="Arial" w:cs="Arial"/>
                <w:sz w:val="20"/>
                <w:szCs w:val="20"/>
              </w:rPr>
              <w:t>Select a sample of construction contracts and subcontracts greater than $2,000 that are covered by the Wage Rate Requirements and perform the following procedures:</w:t>
            </w:r>
          </w:p>
          <w:p w14:paraId="323AC8DD" w14:textId="360F3012" w:rsidR="00D4387A" w:rsidRPr="00D4387A" w:rsidRDefault="00D4387A" w:rsidP="008B4BCE">
            <w:pPr>
              <w:pStyle w:val="ListParagraph"/>
              <w:widowControl w:val="0"/>
              <w:numPr>
                <w:ilvl w:val="0"/>
                <w:numId w:val="43"/>
              </w:numPr>
              <w:tabs>
                <w:tab w:val="left" w:pos="1559"/>
                <w:tab w:val="left" w:pos="1560"/>
              </w:tabs>
              <w:suppressAutoHyphens w:val="0"/>
              <w:adjustRightInd/>
              <w:ind w:right="244"/>
              <w:rPr>
                <w:rFonts w:ascii="Arial" w:hAnsi="Arial" w:cs="Arial"/>
                <w:sz w:val="20"/>
                <w:szCs w:val="20"/>
              </w:rPr>
            </w:pPr>
            <w:r w:rsidRPr="00D4387A">
              <w:rPr>
                <w:rFonts w:ascii="Arial" w:hAnsi="Arial" w:cs="Arial"/>
                <w:sz w:val="20"/>
                <w:szCs w:val="20"/>
              </w:rPr>
              <w:t>Verify that the required prevailing wage rate clauses were included in the</w:t>
            </w:r>
            <w:r w:rsidRPr="00D4387A">
              <w:rPr>
                <w:rFonts w:ascii="Arial" w:hAnsi="Arial" w:cs="Arial"/>
                <w:spacing w:val="-21"/>
                <w:sz w:val="20"/>
                <w:szCs w:val="20"/>
              </w:rPr>
              <w:t xml:space="preserve"> </w:t>
            </w:r>
            <w:r w:rsidRPr="00D4387A">
              <w:rPr>
                <w:rFonts w:ascii="Arial" w:hAnsi="Arial" w:cs="Arial"/>
                <w:sz w:val="20"/>
                <w:szCs w:val="20"/>
              </w:rPr>
              <w:t>contract or</w:t>
            </w:r>
            <w:r w:rsidRPr="00D4387A">
              <w:rPr>
                <w:rFonts w:ascii="Arial" w:hAnsi="Arial" w:cs="Arial"/>
                <w:spacing w:val="-2"/>
                <w:sz w:val="20"/>
                <w:szCs w:val="20"/>
              </w:rPr>
              <w:t xml:space="preserve"> </w:t>
            </w:r>
            <w:r w:rsidRPr="00D4387A">
              <w:rPr>
                <w:rFonts w:ascii="Arial" w:hAnsi="Arial" w:cs="Arial"/>
                <w:sz w:val="20"/>
                <w:szCs w:val="20"/>
              </w:rPr>
              <w:t>subcontract.</w:t>
            </w:r>
          </w:p>
          <w:p w14:paraId="3A5625F7" w14:textId="77777777" w:rsidR="00D4387A" w:rsidRPr="00D4387A" w:rsidRDefault="00D4387A" w:rsidP="00D4387A">
            <w:pPr>
              <w:pStyle w:val="ListParagraph"/>
              <w:widowControl w:val="0"/>
              <w:tabs>
                <w:tab w:val="left" w:pos="1559"/>
                <w:tab w:val="left" w:pos="1560"/>
              </w:tabs>
              <w:suppressAutoHyphens w:val="0"/>
              <w:adjustRightInd/>
              <w:ind w:left="1560" w:right="244"/>
              <w:rPr>
                <w:rFonts w:ascii="Arial" w:hAnsi="Arial" w:cs="Arial"/>
                <w:sz w:val="20"/>
                <w:szCs w:val="20"/>
              </w:rPr>
            </w:pPr>
          </w:p>
          <w:p w14:paraId="577B6A4D" w14:textId="6DC07A93" w:rsidR="00D4387A" w:rsidRPr="00D4387A" w:rsidRDefault="00D4387A" w:rsidP="008B4BCE">
            <w:pPr>
              <w:pStyle w:val="ListParagraph"/>
              <w:widowControl w:val="0"/>
              <w:numPr>
                <w:ilvl w:val="0"/>
                <w:numId w:val="43"/>
              </w:numPr>
              <w:tabs>
                <w:tab w:val="left" w:pos="1559"/>
                <w:tab w:val="left" w:pos="1560"/>
              </w:tabs>
              <w:suppressAutoHyphens w:val="0"/>
              <w:adjustRightInd/>
              <w:ind w:right="502"/>
              <w:rPr>
                <w:rFonts w:ascii="Arial" w:hAnsi="Arial" w:cs="Arial"/>
                <w:sz w:val="20"/>
                <w:szCs w:val="20"/>
              </w:rPr>
            </w:pPr>
            <w:r w:rsidRPr="00D4387A">
              <w:rPr>
                <w:rFonts w:ascii="Arial" w:hAnsi="Arial" w:cs="Arial"/>
                <w:sz w:val="20"/>
                <w:szCs w:val="20"/>
              </w:rPr>
              <w:t>For each week in which work was performed under the contract or</w:t>
            </w:r>
            <w:r w:rsidRPr="00D4387A">
              <w:rPr>
                <w:rFonts w:ascii="Arial" w:hAnsi="Arial" w:cs="Arial"/>
                <w:spacing w:val="-16"/>
                <w:sz w:val="20"/>
                <w:szCs w:val="20"/>
              </w:rPr>
              <w:t xml:space="preserve"> </w:t>
            </w:r>
            <w:r w:rsidRPr="00D4387A">
              <w:rPr>
                <w:rFonts w:ascii="Arial" w:hAnsi="Arial" w:cs="Arial"/>
                <w:sz w:val="20"/>
                <w:szCs w:val="20"/>
              </w:rPr>
              <w:t>subcontract, verify that the contractor or subcontractor submitted the required certified payrolls.</w:t>
            </w:r>
          </w:p>
          <w:p w14:paraId="4BDE7174" w14:textId="77777777" w:rsidR="00D4387A" w:rsidRPr="00D4387A" w:rsidRDefault="00D4387A" w:rsidP="00D4387A">
            <w:pPr>
              <w:widowControl w:val="0"/>
              <w:tabs>
                <w:tab w:val="left" w:pos="1559"/>
                <w:tab w:val="left" w:pos="1560"/>
              </w:tabs>
              <w:ind w:right="502"/>
              <w:rPr>
                <w:rFonts w:ascii="Arial" w:hAnsi="Arial" w:cs="Arial"/>
                <w:sz w:val="20"/>
                <w:szCs w:val="20"/>
              </w:rPr>
            </w:pPr>
          </w:p>
          <w:p w14:paraId="34A9F40D" w14:textId="77777777" w:rsidR="00D4387A" w:rsidRDefault="00D4387A" w:rsidP="00D4387A">
            <w:pPr>
              <w:pStyle w:val="BodyText"/>
              <w:rPr>
                <w:rFonts w:ascii="Arial" w:hAnsi="Arial" w:cs="Arial"/>
                <w:sz w:val="20"/>
                <w:szCs w:val="20"/>
              </w:rPr>
            </w:pPr>
            <w:r w:rsidRPr="00D4387A">
              <w:rPr>
                <w:rFonts w:ascii="Arial" w:hAnsi="Arial" w:cs="Arial"/>
                <w:sz w:val="20"/>
                <w:szCs w:val="20"/>
              </w:rPr>
              <w:t>(Note: Auditors are not expected to determine whether prevailing wage rates were paid.)</w:t>
            </w:r>
          </w:p>
          <w:p w14:paraId="6904E87E" w14:textId="4B0DDDCC" w:rsidR="004B71BD" w:rsidRPr="00D4387A" w:rsidRDefault="00D4387A" w:rsidP="00D4387A">
            <w:pPr>
              <w:pStyle w:val="BodyText"/>
              <w:rPr>
                <w:rFonts w:ascii="Arial" w:hAnsi="Arial" w:cs="Arial"/>
                <w:sz w:val="20"/>
                <w:szCs w:val="20"/>
              </w:rPr>
            </w:pPr>
            <w:r w:rsidRPr="006E1C20">
              <w:rPr>
                <w:rFonts w:ascii="Arial" w:hAnsi="Arial" w:cs="Arial"/>
                <w:i/>
                <w:iCs/>
                <w:color w:val="002060"/>
                <w:sz w:val="20"/>
                <w:szCs w:val="20"/>
              </w:rPr>
              <w:t xml:space="preserve">AOS auditors </w:t>
            </w:r>
            <w:r>
              <w:rPr>
                <w:rFonts w:ascii="Arial" w:hAnsi="Arial" w:cs="Arial"/>
                <w:i/>
                <w:iCs/>
                <w:color w:val="002060"/>
                <w:sz w:val="20"/>
                <w:szCs w:val="20"/>
              </w:rPr>
              <w:t xml:space="preserve">should consult with their regional legal consultant if they </w:t>
            </w:r>
            <w:r w:rsidRPr="006E1C20">
              <w:rPr>
                <w:rFonts w:ascii="Arial" w:hAnsi="Arial" w:cs="Arial"/>
                <w:i/>
                <w:iCs/>
                <w:color w:val="002060"/>
                <w:sz w:val="20"/>
                <w:szCs w:val="20"/>
              </w:rPr>
              <w:t>encounter a purchase order and are unsure if it can be viewed as a contract</w:t>
            </w:r>
            <w:r>
              <w:rPr>
                <w:rFonts w:ascii="Arial" w:hAnsi="Arial" w:cs="Arial"/>
                <w:i/>
                <w:iCs/>
                <w:color w:val="002060"/>
                <w:sz w:val="20"/>
                <w:szCs w:val="20"/>
              </w:rPr>
              <w:t>.</w:t>
            </w:r>
          </w:p>
        </w:tc>
      </w:tr>
    </w:tbl>
    <w:p w14:paraId="58DFC093"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F027D42" w14:textId="77777777" w:rsidR="0038229E" w:rsidRPr="000706D1" w:rsidRDefault="0038229E" w:rsidP="006672EA">
      <w:pPr>
        <w:pStyle w:val="Heading3"/>
        <w:jc w:val="both"/>
        <w:rPr>
          <w:rFonts w:cs="Arial"/>
          <w:b w:val="0"/>
          <w:sz w:val="24"/>
          <w:szCs w:val="24"/>
        </w:rPr>
      </w:pPr>
      <w:bookmarkStart w:id="71" w:name="_Toc212473128"/>
      <w:r w:rsidRPr="000706D1">
        <w:rPr>
          <w:rFonts w:cs="Arial"/>
          <w:sz w:val="24"/>
          <w:szCs w:val="24"/>
        </w:rPr>
        <w:t>Audit Implications Summary</w:t>
      </w:r>
      <w:bookmarkEnd w:id="71"/>
    </w:p>
    <w:tbl>
      <w:tblPr>
        <w:tblStyle w:val="TableGrid"/>
        <w:tblW w:w="5000" w:type="pct"/>
        <w:tblLook w:val="04A0" w:firstRow="1" w:lastRow="0" w:firstColumn="1" w:lastColumn="0" w:noHBand="0" w:noVBand="1"/>
      </w:tblPr>
      <w:tblGrid>
        <w:gridCol w:w="9350"/>
      </w:tblGrid>
      <w:tr w:rsidR="0038229E" w:rsidRPr="00F00D94" w14:paraId="6D1CEFF3" w14:textId="77777777" w:rsidTr="00E0350C">
        <w:tc>
          <w:tcPr>
            <w:tcW w:w="5000" w:type="pct"/>
          </w:tcPr>
          <w:p w14:paraId="686F766F" w14:textId="0C365BB8"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D0C7565" w14:textId="7E60BF25"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7089C05" w14:textId="78AE388E" w:rsidR="0038229E" w:rsidRPr="006E46AD" w:rsidRDefault="0038229E" w:rsidP="008B4BCE">
            <w:pPr>
              <w:pStyle w:val="ListParagraph"/>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0563732" w14:textId="77777777" w:rsidR="0038229E" w:rsidRPr="006E46AD" w:rsidRDefault="0038229E" w:rsidP="006672EA">
            <w:pPr>
              <w:widowControl w:val="0"/>
              <w:spacing w:after="240"/>
              <w:ind w:left="720"/>
              <w:jc w:val="both"/>
              <w:rPr>
                <w:rFonts w:ascii="Arial" w:hAnsi="Arial" w:cs="Arial"/>
                <w:b/>
                <w:sz w:val="20"/>
                <w:szCs w:val="20"/>
              </w:rPr>
            </w:pPr>
          </w:p>
          <w:p w14:paraId="469048AA" w14:textId="77777777" w:rsidR="0038229E" w:rsidRPr="006E46AD" w:rsidRDefault="0038229E" w:rsidP="008B4BCE">
            <w:pPr>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84070E2" w14:textId="77777777" w:rsidR="0038229E" w:rsidRPr="00F00D94" w:rsidRDefault="0038229E" w:rsidP="006672EA">
            <w:pPr>
              <w:pStyle w:val="ListParagraph"/>
              <w:spacing w:after="240"/>
              <w:jc w:val="both"/>
              <w:rPr>
                <w:rFonts w:ascii="Arial" w:hAnsi="Arial" w:cs="Arial"/>
                <w:b/>
              </w:rPr>
            </w:pPr>
          </w:p>
          <w:p w14:paraId="4B3760BF" w14:textId="205EDEF5" w:rsidR="0038229E" w:rsidRPr="00F00D94" w:rsidRDefault="0038229E" w:rsidP="008B4BCE">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487902">
              <w:rPr>
                <w:rFonts w:ascii="Arial" w:hAnsi="Arial" w:cs="Arial"/>
                <w:b/>
                <w:sz w:val="20"/>
              </w:rPr>
              <w:t xml:space="preserve">Test </w:t>
            </w:r>
            <w:r w:rsidRPr="00F00D94">
              <w:rPr>
                <w:rFonts w:ascii="Arial" w:hAnsi="Arial" w:cs="Arial"/>
                <w:b/>
                <w:sz w:val="20"/>
              </w:rPr>
              <w:t>including Sample Size:</w:t>
            </w:r>
          </w:p>
          <w:p w14:paraId="268766A4" w14:textId="77777777" w:rsidR="0038229E" w:rsidRPr="00F00D94" w:rsidRDefault="0038229E" w:rsidP="006672EA">
            <w:pPr>
              <w:pStyle w:val="ListParagraph"/>
              <w:spacing w:after="240"/>
              <w:jc w:val="both"/>
              <w:rPr>
                <w:rFonts w:ascii="Arial" w:hAnsi="Arial" w:cs="Arial"/>
                <w:b/>
              </w:rPr>
            </w:pPr>
          </w:p>
          <w:p w14:paraId="33796098" w14:textId="729C1546" w:rsidR="0038229E" w:rsidRPr="00F00D94" w:rsidRDefault="0038229E" w:rsidP="008B4BCE">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27B77D7" w14:textId="77777777" w:rsidR="0038229E" w:rsidRPr="00F00D94" w:rsidRDefault="0038229E" w:rsidP="006672EA">
            <w:pPr>
              <w:pStyle w:val="ListParagraph"/>
              <w:spacing w:after="240"/>
              <w:jc w:val="both"/>
              <w:rPr>
                <w:rFonts w:ascii="Arial" w:hAnsi="Arial" w:cs="Arial"/>
                <w:b/>
              </w:rPr>
            </w:pPr>
          </w:p>
          <w:p w14:paraId="65B15E07" w14:textId="77777777" w:rsidR="0038229E" w:rsidRPr="00F00D94" w:rsidRDefault="0038229E" w:rsidP="008B4BCE">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711419" w14:textId="77777777" w:rsidR="0038229E" w:rsidRPr="00F00D94" w:rsidRDefault="0038229E" w:rsidP="006672EA">
            <w:pPr>
              <w:pStyle w:val="APStepItem"/>
              <w:numPr>
                <w:ilvl w:val="0"/>
                <w:numId w:val="0"/>
              </w:numPr>
              <w:spacing w:after="240"/>
              <w:rPr>
                <w:rFonts w:cs="Arial"/>
                <w:b/>
              </w:rPr>
            </w:pPr>
          </w:p>
        </w:tc>
      </w:tr>
    </w:tbl>
    <w:p w14:paraId="69C12D5B" w14:textId="77777777" w:rsidR="00885BA6" w:rsidRDefault="00885BA6" w:rsidP="00885BA6">
      <w:pPr>
        <w:pStyle w:val="Heading2"/>
        <w:jc w:val="both"/>
        <w:rPr>
          <w:rFonts w:cs="Arial"/>
          <w:sz w:val="24"/>
        </w:rPr>
        <w:sectPr w:rsidR="00885BA6" w:rsidSect="00885BA6">
          <w:headerReference w:type="default" r:id="rId84"/>
          <w:pgSz w:w="12240" w:h="15840" w:code="1"/>
          <w:pgMar w:top="1440" w:right="1440" w:bottom="1440" w:left="1440" w:header="720" w:footer="720" w:gutter="0"/>
          <w:cols w:space="720"/>
          <w:docGrid w:linePitch="360"/>
        </w:sectPr>
      </w:pPr>
    </w:p>
    <w:p w14:paraId="217B036F" w14:textId="3085591B" w:rsidR="00885BA6" w:rsidRPr="000706D1" w:rsidRDefault="00885BA6" w:rsidP="00885BA6">
      <w:pPr>
        <w:pStyle w:val="Heading2"/>
        <w:jc w:val="both"/>
        <w:rPr>
          <w:rFonts w:cs="Arial"/>
          <w:sz w:val="24"/>
        </w:rPr>
      </w:pPr>
      <w:bookmarkStart w:id="72" w:name="_Toc212473129"/>
      <w:r w:rsidRPr="000706D1">
        <w:rPr>
          <w:rFonts w:cs="Arial"/>
          <w:sz w:val="24"/>
        </w:rPr>
        <w:t>N</w:t>
      </w:r>
      <w:r w:rsidR="0001160F">
        <w:rPr>
          <w:rFonts w:cs="Arial"/>
          <w:sz w:val="24"/>
        </w:rPr>
        <w:t>2</w:t>
      </w:r>
      <w:r w:rsidRPr="000706D1">
        <w:rPr>
          <w:rFonts w:cs="Arial"/>
          <w:sz w:val="24"/>
        </w:rPr>
        <w:t>.  SPECIAL TESTS AND PROVISIONS</w:t>
      </w:r>
      <w:r w:rsidR="0001160F">
        <w:rPr>
          <w:rFonts w:cs="Arial"/>
          <w:sz w:val="24"/>
        </w:rPr>
        <w:t xml:space="preserve"> – PUBLIC HOUSING WAITING LIST</w:t>
      </w:r>
      <w:bookmarkEnd w:id="72"/>
    </w:p>
    <w:p w14:paraId="073F7B31" w14:textId="77777777" w:rsidR="00885BA6" w:rsidRPr="000706D1" w:rsidRDefault="00885BA6" w:rsidP="00885BA6">
      <w:pPr>
        <w:pStyle w:val="Heading3"/>
        <w:jc w:val="both"/>
        <w:rPr>
          <w:rFonts w:cs="Arial"/>
          <w:sz w:val="24"/>
          <w:szCs w:val="24"/>
        </w:rPr>
      </w:pPr>
      <w:bookmarkStart w:id="73" w:name="_Toc212473130"/>
      <w:r w:rsidRPr="000706D1">
        <w:rPr>
          <w:rFonts w:cs="Arial"/>
          <w:sz w:val="24"/>
          <w:szCs w:val="24"/>
        </w:rPr>
        <w:t>OMB Compliance Requirements</w:t>
      </w:r>
      <w:bookmarkEnd w:id="73"/>
    </w:p>
    <w:p w14:paraId="2965AD51" w14:textId="77777777" w:rsidR="00885BA6" w:rsidRPr="005C1EBC" w:rsidRDefault="00885BA6" w:rsidP="00885BA6">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3CB6BDD7" w14:textId="77777777" w:rsidR="00885BA6" w:rsidRPr="00F00D94" w:rsidRDefault="00885BA6" w:rsidP="00885BA6">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499DAA89" w14:textId="77777777" w:rsidR="00885BA6" w:rsidRPr="00F00D94" w:rsidRDefault="00885BA6" w:rsidP="00885BA6">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40A423E9" w14:textId="77777777" w:rsidR="00885BA6" w:rsidRPr="000706D1" w:rsidRDefault="00885BA6" w:rsidP="00885BA6">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1A854427" w14:textId="77777777" w:rsidR="008B4BCE" w:rsidRPr="008B4BCE" w:rsidRDefault="00B20CBB" w:rsidP="00B20CB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B20CBB">
        <w:rPr>
          <w:rFonts w:ascii="Arial" w:hAnsi="Arial" w:cs="Arial"/>
          <w:bCs/>
        </w:rPr>
        <w:t xml:space="preserve">The PHA must establish and adopt written policies for the admission of tenants. The PHA tenant selection policies must include requirements for applications and waiting lists, a description of the policies for selecting applicants from the waiting lists, and policies for verification and documentation of information </w:t>
      </w:r>
      <w:r w:rsidRPr="008B4BCE">
        <w:rPr>
          <w:rFonts w:ascii="Arial" w:hAnsi="Arial" w:cs="Arial"/>
          <w:bCs/>
        </w:rPr>
        <w:t>relevant to the acceptance or rejection of an applicant (24 CFR sections 960.202 through 960.206).</w:t>
      </w:r>
    </w:p>
    <w:p w14:paraId="1B7C55EC" w14:textId="64297527" w:rsidR="00885BA6" w:rsidRPr="008B4BCE" w:rsidRDefault="00885BA6" w:rsidP="00B20CBB">
      <w:p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8B4BCE">
        <w:rPr>
          <w:rFonts w:ascii="Arial" w:hAnsi="Arial" w:cs="Arial"/>
          <w:bCs/>
          <w:i/>
          <w:iCs/>
        </w:rPr>
        <w:t xml:space="preserve"> </w:t>
      </w:r>
      <w:r w:rsidR="008B4BCE" w:rsidRPr="008B4BCE">
        <w:rPr>
          <w:rFonts w:ascii="Arial" w:hAnsi="Arial" w:cs="Arial"/>
          <w:bCs/>
          <w:i/>
          <w:iCs/>
        </w:rPr>
        <w:t xml:space="preserve">(Source: 2025 OMB Compliance Supplement, Part 4, HUD, #14.850 Public </w:t>
      </w:r>
      <w:r w:rsidR="007D76AB">
        <w:rPr>
          <w:rFonts w:ascii="Arial" w:hAnsi="Arial" w:cs="Arial"/>
          <w:bCs/>
          <w:i/>
          <w:iCs/>
        </w:rPr>
        <w:t>Housing Operating Fund</w:t>
      </w:r>
      <w:r w:rsidR="008B4BCE" w:rsidRPr="008B4BCE">
        <w:rPr>
          <w:rFonts w:ascii="Arial" w:hAnsi="Arial" w:cs="Arial"/>
          <w:bCs/>
          <w:i/>
          <w:iCs/>
        </w:rPr>
        <w:t>)</w:t>
      </w:r>
    </w:p>
    <w:p w14:paraId="0BF90E89" w14:textId="77777777" w:rsidR="00885BA6" w:rsidRPr="000706D1" w:rsidRDefault="00885BA6" w:rsidP="00885BA6">
      <w:pPr>
        <w:pStyle w:val="Heading3"/>
        <w:jc w:val="both"/>
        <w:rPr>
          <w:rFonts w:cs="Arial"/>
          <w:sz w:val="24"/>
          <w:szCs w:val="24"/>
        </w:rPr>
      </w:pPr>
      <w:bookmarkStart w:id="74" w:name="_Toc212473131"/>
      <w:r w:rsidRPr="000706D1">
        <w:rPr>
          <w:rFonts w:cs="Arial"/>
          <w:sz w:val="24"/>
          <w:szCs w:val="24"/>
        </w:rPr>
        <w:t>Additional Program Specific Information</w:t>
      </w:r>
      <w:bookmarkEnd w:id="74"/>
    </w:p>
    <w:p w14:paraId="08E02935" w14:textId="77777777" w:rsidR="00A3316B" w:rsidRPr="00AA5B05" w:rsidRDefault="00A3316B" w:rsidP="00A3316B">
      <w:pPr>
        <w:spacing w:after="240"/>
        <w:jc w:val="both"/>
        <w:rPr>
          <w:rFonts w:ascii="Arial" w:hAnsi="Arial" w:cs="Arial"/>
          <w:b/>
          <w:highlight w:val="yellow"/>
        </w:rPr>
      </w:pPr>
      <w:r w:rsidRPr="00AA5B05">
        <w:rPr>
          <w:rFonts w:ascii="Arial" w:hAnsi="Arial" w:cs="Arial"/>
          <w:b/>
          <w:highlight w:val="yellow"/>
        </w:rPr>
        <w:t>Add program specific requirements from:</w:t>
      </w:r>
    </w:p>
    <w:p w14:paraId="1A99980B" w14:textId="7F6A1076" w:rsidR="00A3316B" w:rsidRPr="00AA5B05" w:rsidRDefault="00A3316B" w:rsidP="00A3316B">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7D76AB">
        <w:rPr>
          <w:rFonts w:ascii="Arial" w:hAnsi="Arial" w:cs="Arial"/>
          <w:b/>
          <w:highlight w:val="yellow"/>
        </w:rPr>
        <w:t>,</w:t>
      </w:r>
      <w:r>
        <w:rPr>
          <w:rFonts w:ascii="Arial" w:hAnsi="Arial" w:cs="Arial"/>
          <w:b/>
          <w:highlight w:val="yellow"/>
        </w:rPr>
        <w:t xml:space="preserve"> </w:t>
      </w:r>
    </w:p>
    <w:p w14:paraId="116AA3E8" w14:textId="77777777" w:rsidR="00A3316B" w:rsidRPr="00AA5B05" w:rsidRDefault="00A3316B" w:rsidP="00A3316B">
      <w:pPr>
        <w:pStyle w:val="ListParagraph"/>
        <w:numPr>
          <w:ilvl w:val="0"/>
          <w:numId w:val="3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431EC0D1" w14:textId="77777777" w:rsidR="00A3316B" w:rsidRPr="00AA5B05" w:rsidRDefault="00A3316B" w:rsidP="00A3316B">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0DD7DAFC" w14:textId="77777777" w:rsidR="00A3316B" w:rsidRPr="00AA5B05" w:rsidRDefault="00A3316B" w:rsidP="00A3316B">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9EC9A1B" w14:textId="77777777" w:rsidR="00885BA6" w:rsidRPr="000706D1" w:rsidRDefault="00885BA6" w:rsidP="00885BA6">
      <w:pPr>
        <w:pStyle w:val="Heading3"/>
        <w:jc w:val="both"/>
        <w:rPr>
          <w:rFonts w:cs="Arial"/>
          <w:sz w:val="24"/>
          <w:szCs w:val="24"/>
        </w:rPr>
      </w:pPr>
      <w:bookmarkStart w:id="75" w:name="_Toc212473132"/>
      <w:r w:rsidRPr="000706D1">
        <w:rPr>
          <w:rFonts w:cs="Arial"/>
          <w:sz w:val="24"/>
          <w:szCs w:val="24"/>
        </w:rPr>
        <w:t>Audit Objectives and Control Testing</w:t>
      </w:r>
      <w:bookmarkEnd w:id="75"/>
    </w:p>
    <w:p w14:paraId="44E0E223" w14:textId="77777777" w:rsidR="00885BA6" w:rsidRPr="00F00D94" w:rsidRDefault="00885BA6" w:rsidP="00885BA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02503AE0" w14:textId="1EFE4995" w:rsidR="00885BA6" w:rsidRPr="008B4BCE" w:rsidRDefault="00885BA6" w:rsidP="008B4BCE">
      <w:pPr>
        <w:pStyle w:val="ListParagraph"/>
        <w:numPr>
          <w:ilvl w:val="2"/>
          <w:numId w:val="36"/>
        </w:numPr>
        <w:spacing w:after="240"/>
        <w:ind w:left="720" w:hanging="720"/>
        <w:jc w:val="both"/>
        <w:rPr>
          <w:rFonts w:ascii="Arial" w:hAnsi="Arial" w:cs="Arial"/>
        </w:rPr>
      </w:pPr>
      <w:r w:rsidRPr="008B4BCE">
        <w:rPr>
          <w:rFonts w:ascii="Arial" w:hAnsi="Arial" w:cs="Arial"/>
        </w:rPr>
        <w:t>Obtain an understanding of internal control, assess risk, and test internal control as required by 2 CFR section 200.514(c).</w:t>
      </w:r>
    </w:p>
    <w:p w14:paraId="5AEF54E7" w14:textId="77777777" w:rsidR="00885BA6" w:rsidRDefault="00885BA6" w:rsidP="00885BA6">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5F5A971D" w14:textId="11FAEFB3" w:rsidR="008B4BCE" w:rsidRPr="008B4BCE" w:rsidRDefault="008B4BCE" w:rsidP="007D76AB">
      <w:pPr>
        <w:pStyle w:val="BodyText"/>
        <w:numPr>
          <w:ilvl w:val="2"/>
          <w:numId w:val="36"/>
        </w:numPr>
        <w:ind w:left="720" w:hanging="720"/>
        <w:rPr>
          <w:rFonts w:ascii="Arial" w:hAnsi="Arial" w:cs="Arial"/>
          <w:szCs w:val="20"/>
        </w:rPr>
      </w:pPr>
      <w:r w:rsidRPr="008B4BCE">
        <w:rPr>
          <w:rFonts w:ascii="Arial" w:hAnsi="Arial" w:cs="Arial"/>
          <w:szCs w:val="20"/>
        </w:rPr>
        <w:t>Determine whether the PHA is following its tenant selection policies in placing applicants on the waiting list and selecting applicants from the waiting list to become tenants.</w:t>
      </w:r>
    </w:p>
    <w:p w14:paraId="2A98FE3C" w14:textId="5C69A7C3" w:rsidR="00885BA6" w:rsidRPr="008B4BCE" w:rsidRDefault="008B4BCE" w:rsidP="008B4BCE">
      <w:pPr>
        <w:spacing w:after="240"/>
        <w:jc w:val="both"/>
        <w:rPr>
          <w:rFonts w:ascii="Arial" w:hAnsi="Arial" w:cs="Arial"/>
          <w:bCs/>
          <w:i/>
          <w:iCs/>
        </w:rPr>
      </w:pPr>
      <w:r w:rsidRPr="008B4BCE">
        <w:rPr>
          <w:rFonts w:ascii="Arial" w:hAnsi="Arial" w:cs="Arial"/>
          <w:bCs/>
          <w:i/>
          <w:iCs/>
        </w:rPr>
        <w:t>(Source: 202</w:t>
      </w:r>
      <w:r>
        <w:rPr>
          <w:rFonts w:ascii="Arial" w:hAnsi="Arial" w:cs="Arial"/>
          <w:bCs/>
          <w:i/>
          <w:iCs/>
        </w:rPr>
        <w:t>5</w:t>
      </w:r>
      <w:r w:rsidRPr="008B4BCE">
        <w:rPr>
          <w:rFonts w:ascii="Arial" w:hAnsi="Arial" w:cs="Arial"/>
          <w:bCs/>
          <w:i/>
          <w:iCs/>
        </w:rPr>
        <w:t xml:space="preserve"> OMB Compliance Supplement, Part 4, HUD, #14.850 Public </w:t>
      </w:r>
      <w:r w:rsidR="007D76AB">
        <w:rPr>
          <w:rFonts w:ascii="Arial" w:hAnsi="Arial" w:cs="Arial"/>
          <w:bCs/>
          <w:i/>
          <w:iCs/>
        </w:rPr>
        <w:t>Housing Operating Fund</w:t>
      </w:r>
      <w:r w:rsidRPr="008B4BCE">
        <w:rPr>
          <w:rFonts w:ascii="Arial" w:hAnsi="Arial" w:cs="Arial"/>
          <w:bCs/>
          <w:i/>
          <w:iCs/>
        </w:rPr>
        <w:t>)</w:t>
      </w:r>
    </w:p>
    <w:p w14:paraId="4A5E05E2" w14:textId="77777777" w:rsidR="00885BA6" w:rsidRPr="00634FA3" w:rsidRDefault="00885BA6" w:rsidP="00885BA6">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885BA6" w:rsidRPr="00F00D94" w14:paraId="41A994C6" w14:textId="77777777" w:rsidTr="009F1483">
        <w:tc>
          <w:tcPr>
            <w:tcW w:w="5000" w:type="pct"/>
          </w:tcPr>
          <w:p w14:paraId="141490E3" w14:textId="77777777" w:rsidR="00885BA6" w:rsidRPr="006F5FFA" w:rsidRDefault="00885BA6" w:rsidP="009F148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4070983" w14:textId="77777777" w:rsidR="00885BA6" w:rsidRPr="00F00D94" w:rsidRDefault="00885BA6" w:rsidP="009F148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4D04D782" w14:textId="77777777" w:rsidR="00885BA6" w:rsidRPr="00F00D94" w:rsidRDefault="00885BA6" w:rsidP="009F1483">
            <w:pPr>
              <w:pStyle w:val="AuditProcedureHeading"/>
              <w:spacing w:after="240"/>
              <w:jc w:val="both"/>
              <w:rPr>
                <w:rFonts w:cs="Arial"/>
                <w:b/>
                <w:bCs/>
                <w:szCs w:val="20"/>
                <w:u w:val="single"/>
              </w:rPr>
            </w:pPr>
          </w:p>
          <w:p w14:paraId="4DCC65E0" w14:textId="77777777" w:rsidR="00885BA6" w:rsidRPr="00F00D94" w:rsidRDefault="00885BA6" w:rsidP="009F148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356D1F70" w14:textId="77777777" w:rsidR="00885BA6" w:rsidRPr="00F00D94" w:rsidRDefault="00885BA6" w:rsidP="009F1483">
            <w:pPr>
              <w:pStyle w:val="AuditProcedureHeading"/>
              <w:spacing w:after="240"/>
              <w:jc w:val="both"/>
              <w:rPr>
                <w:rFonts w:cs="Arial"/>
                <w:b/>
                <w:bCs/>
                <w:szCs w:val="20"/>
                <w:u w:val="single"/>
              </w:rPr>
            </w:pPr>
          </w:p>
          <w:p w14:paraId="365BD618" w14:textId="77777777" w:rsidR="00885BA6" w:rsidRPr="00F00D94" w:rsidRDefault="00885BA6" w:rsidP="009F148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C31185A" w14:textId="77777777" w:rsidR="00885BA6" w:rsidRPr="00F00D94" w:rsidRDefault="00885BA6" w:rsidP="009F1483">
            <w:pPr>
              <w:spacing w:after="240"/>
              <w:jc w:val="both"/>
              <w:rPr>
                <w:rFonts w:ascii="Arial" w:hAnsi="Arial" w:cs="Arial"/>
                <w:b/>
                <w:sz w:val="20"/>
                <w:u w:val="single"/>
              </w:rPr>
            </w:pPr>
          </w:p>
          <w:p w14:paraId="02803966" w14:textId="77777777" w:rsidR="00885BA6" w:rsidRPr="00F00D94" w:rsidRDefault="00885BA6" w:rsidP="009F148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C26A58C" w14:textId="77777777" w:rsidR="00885BA6" w:rsidRPr="00C35E5F" w:rsidRDefault="00885BA6" w:rsidP="009F1483">
            <w:pPr>
              <w:spacing w:after="240"/>
              <w:jc w:val="both"/>
              <w:rPr>
                <w:rFonts w:ascii="Arial" w:eastAsiaTheme="minorHAnsi" w:hAnsi="Arial" w:cs="Arial"/>
                <w:sz w:val="20"/>
                <w:szCs w:val="20"/>
              </w:rPr>
            </w:pPr>
          </w:p>
        </w:tc>
      </w:tr>
    </w:tbl>
    <w:p w14:paraId="21BD4125" w14:textId="77777777" w:rsidR="00885BA6" w:rsidRPr="00F00D94" w:rsidRDefault="00885BA6" w:rsidP="00885BA6">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7478EF19" w14:textId="77777777" w:rsidR="00885BA6" w:rsidRPr="000706D1" w:rsidRDefault="00885BA6" w:rsidP="00885BA6">
      <w:pPr>
        <w:pStyle w:val="Heading3"/>
        <w:jc w:val="both"/>
        <w:rPr>
          <w:rFonts w:cs="Arial"/>
          <w:sz w:val="24"/>
          <w:szCs w:val="24"/>
        </w:rPr>
      </w:pPr>
      <w:bookmarkStart w:id="76" w:name="_Toc212473133"/>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76"/>
    </w:p>
    <w:tbl>
      <w:tblPr>
        <w:tblStyle w:val="TableGrid"/>
        <w:tblW w:w="9558" w:type="dxa"/>
        <w:tblLayout w:type="fixed"/>
        <w:tblLook w:val="04A0" w:firstRow="1" w:lastRow="0" w:firstColumn="1" w:lastColumn="0" w:noHBand="0" w:noVBand="1"/>
      </w:tblPr>
      <w:tblGrid>
        <w:gridCol w:w="9558"/>
      </w:tblGrid>
      <w:tr w:rsidR="00885BA6" w:rsidRPr="00F00D94" w14:paraId="4FBF98F2" w14:textId="77777777" w:rsidTr="009F1483">
        <w:tc>
          <w:tcPr>
            <w:tcW w:w="9558" w:type="dxa"/>
          </w:tcPr>
          <w:p w14:paraId="5E7976EF" w14:textId="77777777" w:rsidR="00885BA6" w:rsidRDefault="00885BA6" w:rsidP="009F1483">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4D49B8B" w14:textId="77777777" w:rsidR="00885BA6" w:rsidRPr="00AC7B25" w:rsidRDefault="00885BA6" w:rsidP="009F1483">
            <w:pPr>
              <w:spacing w:after="240"/>
              <w:jc w:val="both"/>
              <w:rPr>
                <w:rFonts w:ascii="Arial" w:hAnsi="Arial" w:cs="Arial"/>
                <w:i/>
                <w:sz w:val="20"/>
                <w:szCs w:val="20"/>
              </w:rPr>
            </w:pPr>
            <w:r>
              <w:rPr>
                <w:rFonts w:ascii="Arial" w:hAnsi="Arial" w:cs="Arial"/>
                <w:i/>
                <w:sz w:val="20"/>
                <w:szCs w:val="20"/>
              </w:rPr>
              <w:t>(Source: 2025 OMB Compliance Supplement Part 3.2)</w:t>
            </w:r>
          </w:p>
          <w:p w14:paraId="6A1C51B3" w14:textId="18AFAB97" w:rsidR="008B4BCE" w:rsidRPr="008B4BCE" w:rsidRDefault="008B4BCE" w:rsidP="008B4BCE">
            <w:pPr>
              <w:pStyle w:val="ListParagraph"/>
              <w:widowControl w:val="0"/>
              <w:numPr>
                <w:ilvl w:val="2"/>
                <w:numId w:val="45"/>
              </w:numPr>
              <w:tabs>
                <w:tab w:val="left" w:pos="1539"/>
              </w:tabs>
              <w:suppressAutoHyphens w:val="0"/>
              <w:adjustRightInd/>
              <w:ind w:left="703"/>
              <w:rPr>
                <w:rFonts w:ascii="Arial" w:hAnsi="Arial" w:cs="Arial"/>
                <w:sz w:val="20"/>
                <w:szCs w:val="20"/>
              </w:rPr>
            </w:pPr>
            <w:r w:rsidRPr="008B4BCE">
              <w:rPr>
                <w:rFonts w:ascii="Arial" w:hAnsi="Arial" w:cs="Arial"/>
                <w:sz w:val="20"/>
                <w:szCs w:val="20"/>
              </w:rPr>
              <w:t>Review the PHA’s tenant selection</w:t>
            </w:r>
            <w:r w:rsidRPr="008B4BCE">
              <w:rPr>
                <w:rFonts w:ascii="Arial" w:hAnsi="Arial" w:cs="Arial"/>
                <w:spacing w:val="-17"/>
                <w:sz w:val="20"/>
                <w:szCs w:val="20"/>
              </w:rPr>
              <w:t xml:space="preserve"> </w:t>
            </w:r>
            <w:r w:rsidRPr="008B4BCE">
              <w:rPr>
                <w:rFonts w:ascii="Arial" w:hAnsi="Arial" w:cs="Arial"/>
                <w:spacing w:val="-3"/>
                <w:sz w:val="20"/>
                <w:szCs w:val="20"/>
              </w:rPr>
              <w:t>policies.</w:t>
            </w:r>
          </w:p>
          <w:p w14:paraId="5B772375" w14:textId="77777777" w:rsidR="008B4BCE" w:rsidRPr="008B4BCE" w:rsidRDefault="008B4BCE" w:rsidP="008B4BCE">
            <w:pPr>
              <w:pStyle w:val="BodyText"/>
              <w:rPr>
                <w:rFonts w:ascii="Arial" w:hAnsi="Arial" w:cs="Arial"/>
                <w:sz w:val="20"/>
                <w:szCs w:val="20"/>
              </w:rPr>
            </w:pPr>
          </w:p>
          <w:p w14:paraId="04981AC5" w14:textId="77777777" w:rsidR="008B4BCE" w:rsidRPr="008B4BCE" w:rsidRDefault="008B4BCE" w:rsidP="008B4BCE">
            <w:pPr>
              <w:pStyle w:val="ListParagraph"/>
              <w:widowControl w:val="0"/>
              <w:numPr>
                <w:ilvl w:val="2"/>
                <w:numId w:val="45"/>
              </w:numPr>
              <w:suppressAutoHyphens w:val="0"/>
              <w:adjustRightInd/>
              <w:ind w:left="703" w:right="647" w:hanging="703"/>
              <w:jc w:val="both"/>
              <w:rPr>
                <w:rFonts w:ascii="Arial" w:hAnsi="Arial" w:cs="Arial"/>
                <w:sz w:val="20"/>
                <w:szCs w:val="20"/>
              </w:rPr>
            </w:pPr>
            <w:r w:rsidRPr="008B4BCE">
              <w:rPr>
                <w:rFonts w:ascii="Arial" w:hAnsi="Arial" w:cs="Arial"/>
                <w:sz w:val="20"/>
                <w:szCs w:val="20"/>
              </w:rPr>
              <w:t>Test a sample of applicants added to the waiting list and ascertain if the</w:t>
            </w:r>
            <w:r w:rsidRPr="008B4BCE">
              <w:rPr>
                <w:rFonts w:ascii="Arial" w:hAnsi="Arial" w:cs="Arial"/>
                <w:spacing w:val="-24"/>
                <w:sz w:val="20"/>
                <w:szCs w:val="20"/>
              </w:rPr>
              <w:t xml:space="preserve"> </w:t>
            </w:r>
            <w:r w:rsidRPr="008B4BCE">
              <w:rPr>
                <w:rFonts w:ascii="Arial" w:hAnsi="Arial" w:cs="Arial"/>
                <w:sz w:val="20"/>
                <w:szCs w:val="20"/>
              </w:rPr>
              <w:t>PHA’s tenant selection policies were followed when placing applicants on the waiting list.</w:t>
            </w:r>
          </w:p>
          <w:p w14:paraId="5A47B42F" w14:textId="77777777" w:rsidR="008B4BCE" w:rsidRPr="008B4BCE" w:rsidRDefault="008B4BCE" w:rsidP="008B4BCE">
            <w:pPr>
              <w:pStyle w:val="BodyText"/>
              <w:ind w:left="703" w:hanging="703"/>
              <w:rPr>
                <w:rFonts w:ascii="Arial" w:hAnsi="Arial" w:cs="Arial"/>
                <w:sz w:val="20"/>
                <w:szCs w:val="20"/>
              </w:rPr>
            </w:pPr>
          </w:p>
          <w:p w14:paraId="1B6012D8" w14:textId="4BA19511" w:rsidR="00885BA6" w:rsidRPr="001B6A61" w:rsidRDefault="008B4BCE" w:rsidP="0062713F">
            <w:pPr>
              <w:pStyle w:val="ListParagraph"/>
              <w:widowControl w:val="0"/>
              <w:numPr>
                <w:ilvl w:val="2"/>
                <w:numId w:val="45"/>
              </w:numPr>
              <w:suppressAutoHyphens w:val="0"/>
              <w:adjustRightInd/>
              <w:ind w:left="703" w:right="620" w:hanging="703"/>
              <w:jc w:val="both"/>
              <w:rPr>
                <w:rFonts w:ascii="Arial" w:hAnsi="Arial" w:cs="Arial"/>
                <w:b/>
                <w:bCs/>
                <w:sz w:val="20"/>
              </w:rPr>
            </w:pPr>
            <w:r w:rsidRPr="008B4BCE">
              <w:rPr>
                <w:rFonts w:ascii="Arial" w:hAnsi="Arial" w:cs="Arial"/>
                <w:sz w:val="20"/>
                <w:szCs w:val="20"/>
              </w:rPr>
              <w:t>Test</w:t>
            </w:r>
            <w:r w:rsidRPr="008B4BCE">
              <w:rPr>
                <w:rFonts w:ascii="Arial" w:hAnsi="Arial" w:cs="Arial"/>
                <w:spacing w:val="-5"/>
                <w:sz w:val="20"/>
                <w:szCs w:val="20"/>
              </w:rPr>
              <w:t xml:space="preserve"> </w:t>
            </w:r>
            <w:r w:rsidRPr="008B4BCE">
              <w:rPr>
                <w:rFonts w:ascii="Arial" w:hAnsi="Arial" w:cs="Arial"/>
                <w:sz w:val="20"/>
                <w:szCs w:val="20"/>
              </w:rPr>
              <w:t>a</w:t>
            </w:r>
            <w:r w:rsidRPr="008B4BCE">
              <w:rPr>
                <w:rFonts w:ascii="Arial" w:hAnsi="Arial" w:cs="Arial"/>
                <w:spacing w:val="-5"/>
                <w:sz w:val="20"/>
                <w:szCs w:val="20"/>
              </w:rPr>
              <w:t xml:space="preserve"> </w:t>
            </w:r>
            <w:r w:rsidRPr="008B4BCE">
              <w:rPr>
                <w:rFonts w:ascii="Arial" w:hAnsi="Arial" w:cs="Arial"/>
                <w:sz w:val="20"/>
                <w:szCs w:val="20"/>
              </w:rPr>
              <w:t>sample</w:t>
            </w:r>
            <w:r w:rsidRPr="008B4BCE">
              <w:rPr>
                <w:rFonts w:ascii="Arial" w:hAnsi="Arial" w:cs="Arial"/>
                <w:spacing w:val="-5"/>
                <w:sz w:val="20"/>
                <w:szCs w:val="20"/>
              </w:rPr>
              <w:t xml:space="preserve"> </w:t>
            </w:r>
            <w:r w:rsidRPr="008B4BCE">
              <w:rPr>
                <w:rFonts w:ascii="Arial" w:hAnsi="Arial" w:cs="Arial"/>
                <w:sz w:val="20"/>
                <w:szCs w:val="20"/>
              </w:rPr>
              <w:t>of</w:t>
            </w:r>
            <w:r w:rsidRPr="008B4BCE">
              <w:rPr>
                <w:rFonts w:ascii="Arial" w:hAnsi="Arial" w:cs="Arial"/>
                <w:spacing w:val="-5"/>
                <w:sz w:val="20"/>
                <w:szCs w:val="20"/>
              </w:rPr>
              <w:t xml:space="preserve"> </w:t>
            </w:r>
            <w:r w:rsidRPr="008B4BCE">
              <w:rPr>
                <w:rFonts w:ascii="Arial" w:hAnsi="Arial" w:cs="Arial"/>
                <w:sz w:val="20"/>
                <w:szCs w:val="20"/>
              </w:rPr>
              <w:t>new</w:t>
            </w:r>
            <w:r w:rsidRPr="008B4BCE">
              <w:rPr>
                <w:rFonts w:ascii="Arial" w:hAnsi="Arial" w:cs="Arial"/>
                <w:spacing w:val="-5"/>
                <w:sz w:val="20"/>
                <w:szCs w:val="20"/>
              </w:rPr>
              <w:t xml:space="preserve"> </w:t>
            </w:r>
            <w:r w:rsidRPr="008B4BCE">
              <w:rPr>
                <w:rFonts w:ascii="Arial" w:hAnsi="Arial" w:cs="Arial"/>
                <w:sz w:val="20"/>
                <w:szCs w:val="20"/>
              </w:rPr>
              <w:t>tenants</w:t>
            </w:r>
            <w:r w:rsidRPr="008B4BCE">
              <w:rPr>
                <w:rFonts w:ascii="Arial" w:hAnsi="Arial" w:cs="Arial"/>
                <w:spacing w:val="-6"/>
                <w:sz w:val="20"/>
                <w:szCs w:val="20"/>
              </w:rPr>
              <w:t xml:space="preserve"> </w:t>
            </w:r>
            <w:r w:rsidRPr="008B4BCE">
              <w:rPr>
                <w:rFonts w:ascii="Arial" w:hAnsi="Arial" w:cs="Arial"/>
                <w:sz w:val="20"/>
                <w:szCs w:val="20"/>
              </w:rPr>
              <w:t>to</w:t>
            </w:r>
            <w:r w:rsidRPr="008B4BCE">
              <w:rPr>
                <w:rFonts w:ascii="Arial" w:hAnsi="Arial" w:cs="Arial"/>
                <w:spacing w:val="-5"/>
                <w:sz w:val="20"/>
                <w:szCs w:val="20"/>
              </w:rPr>
              <w:t xml:space="preserve"> </w:t>
            </w:r>
            <w:r w:rsidRPr="008B4BCE">
              <w:rPr>
                <w:rFonts w:ascii="Arial" w:hAnsi="Arial" w:cs="Arial"/>
                <w:sz w:val="20"/>
                <w:szCs w:val="20"/>
              </w:rPr>
              <w:t>ascertain</w:t>
            </w:r>
            <w:r w:rsidRPr="008B4BCE">
              <w:rPr>
                <w:rFonts w:ascii="Arial" w:hAnsi="Arial" w:cs="Arial"/>
                <w:spacing w:val="-5"/>
                <w:sz w:val="20"/>
                <w:szCs w:val="20"/>
              </w:rPr>
              <w:t xml:space="preserve"> </w:t>
            </w:r>
            <w:r w:rsidRPr="008B4BCE">
              <w:rPr>
                <w:rFonts w:ascii="Arial" w:hAnsi="Arial" w:cs="Arial"/>
                <w:sz w:val="20"/>
                <w:szCs w:val="20"/>
              </w:rPr>
              <w:t>if</w:t>
            </w:r>
            <w:r w:rsidRPr="008B4BCE">
              <w:rPr>
                <w:rFonts w:ascii="Arial" w:hAnsi="Arial" w:cs="Arial"/>
                <w:spacing w:val="-5"/>
                <w:sz w:val="20"/>
                <w:szCs w:val="20"/>
              </w:rPr>
              <w:t xml:space="preserve"> </w:t>
            </w:r>
            <w:r w:rsidRPr="008B4BCE">
              <w:rPr>
                <w:rFonts w:ascii="Arial" w:hAnsi="Arial" w:cs="Arial"/>
                <w:sz w:val="20"/>
                <w:szCs w:val="20"/>
              </w:rPr>
              <w:t>they</w:t>
            </w:r>
            <w:r w:rsidRPr="008B4BCE">
              <w:rPr>
                <w:rFonts w:ascii="Arial" w:hAnsi="Arial" w:cs="Arial"/>
                <w:spacing w:val="-3"/>
                <w:sz w:val="20"/>
                <w:szCs w:val="20"/>
              </w:rPr>
              <w:t xml:space="preserve"> </w:t>
            </w:r>
            <w:r w:rsidRPr="008B4BCE">
              <w:rPr>
                <w:rFonts w:ascii="Arial" w:hAnsi="Arial" w:cs="Arial"/>
                <w:sz w:val="20"/>
                <w:szCs w:val="20"/>
              </w:rPr>
              <w:t>were</w:t>
            </w:r>
            <w:r w:rsidRPr="008B4BCE">
              <w:rPr>
                <w:rFonts w:ascii="Arial" w:hAnsi="Arial" w:cs="Arial"/>
                <w:spacing w:val="-6"/>
                <w:sz w:val="20"/>
                <w:szCs w:val="20"/>
              </w:rPr>
              <w:t xml:space="preserve"> </w:t>
            </w:r>
            <w:r w:rsidRPr="008B4BCE">
              <w:rPr>
                <w:rFonts w:ascii="Arial" w:hAnsi="Arial" w:cs="Arial"/>
                <w:sz w:val="20"/>
                <w:szCs w:val="20"/>
              </w:rPr>
              <w:t>selected</w:t>
            </w:r>
            <w:r w:rsidRPr="008B4BCE">
              <w:rPr>
                <w:rFonts w:ascii="Arial" w:hAnsi="Arial" w:cs="Arial"/>
                <w:spacing w:val="-4"/>
                <w:sz w:val="20"/>
                <w:szCs w:val="20"/>
              </w:rPr>
              <w:t xml:space="preserve"> </w:t>
            </w:r>
            <w:r w:rsidRPr="008B4BCE">
              <w:rPr>
                <w:rFonts w:ascii="Arial" w:hAnsi="Arial" w:cs="Arial"/>
                <w:sz w:val="20"/>
                <w:szCs w:val="20"/>
              </w:rPr>
              <w:t>from</w:t>
            </w:r>
            <w:r w:rsidRPr="008B4BCE">
              <w:rPr>
                <w:rFonts w:ascii="Arial" w:hAnsi="Arial" w:cs="Arial"/>
                <w:spacing w:val="-5"/>
                <w:sz w:val="20"/>
                <w:szCs w:val="20"/>
              </w:rPr>
              <w:t xml:space="preserve"> </w:t>
            </w:r>
            <w:r w:rsidRPr="008B4BCE">
              <w:rPr>
                <w:rFonts w:ascii="Arial" w:hAnsi="Arial" w:cs="Arial"/>
                <w:sz w:val="20"/>
                <w:szCs w:val="20"/>
              </w:rPr>
              <w:t>the</w:t>
            </w:r>
            <w:r w:rsidRPr="008B4BCE">
              <w:rPr>
                <w:rFonts w:ascii="Arial" w:hAnsi="Arial" w:cs="Arial"/>
                <w:spacing w:val="-1"/>
                <w:sz w:val="20"/>
                <w:szCs w:val="20"/>
              </w:rPr>
              <w:t xml:space="preserve"> </w:t>
            </w:r>
            <w:r w:rsidRPr="008B4BCE">
              <w:rPr>
                <w:rFonts w:ascii="Arial" w:hAnsi="Arial" w:cs="Arial"/>
                <w:sz w:val="20"/>
                <w:szCs w:val="20"/>
              </w:rPr>
              <w:t>waiting list in accordance with the PHA’s tenant selection</w:t>
            </w:r>
            <w:r w:rsidRPr="008B4BCE">
              <w:rPr>
                <w:rFonts w:ascii="Arial" w:hAnsi="Arial" w:cs="Arial"/>
                <w:spacing w:val="-6"/>
                <w:sz w:val="20"/>
                <w:szCs w:val="20"/>
              </w:rPr>
              <w:t xml:space="preserve"> </w:t>
            </w:r>
            <w:r w:rsidRPr="008B4BCE">
              <w:rPr>
                <w:rFonts w:ascii="Arial" w:hAnsi="Arial" w:cs="Arial"/>
                <w:sz w:val="20"/>
                <w:szCs w:val="20"/>
              </w:rPr>
              <w:t>policies.</w:t>
            </w:r>
          </w:p>
        </w:tc>
      </w:tr>
    </w:tbl>
    <w:p w14:paraId="045B69C3" w14:textId="77777777" w:rsidR="00885BA6" w:rsidRPr="00F00D94" w:rsidRDefault="00885BA6" w:rsidP="00885BA6">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41F51C41" w14:textId="77777777" w:rsidR="00885BA6" w:rsidRPr="000706D1" w:rsidRDefault="00885BA6" w:rsidP="00885BA6">
      <w:pPr>
        <w:pStyle w:val="Heading3"/>
        <w:jc w:val="both"/>
        <w:rPr>
          <w:rFonts w:cs="Arial"/>
          <w:b w:val="0"/>
          <w:sz w:val="24"/>
          <w:szCs w:val="24"/>
        </w:rPr>
      </w:pPr>
      <w:bookmarkStart w:id="77" w:name="_Toc212473134"/>
      <w:r w:rsidRPr="000706D1">
        <w:rPr>
          <w:rFonts w:cs="Arial"/>
          <w:sz w:val="24"/>
          <w:szCs w:val="24"/>
        </w:rPr>
        <w:t>Audit Implications Summary</w:t>
      </w:r>
      <w:bookmarkEnd w:id="77"/>
    </w:p>
    <w:tbl>
      <w:tblPr>
        <w:tblStyle w:val="TableGrid"/>
        <w:tblW w:w="5000" w:type="pct"/>
        <w:tblLook w:val="04A0" w:firstRow="1" w:lastRow="0" w:firstColumn="1" w:lastColumn="0" w:noHBand="0" w:noVBand="1"/>
      </w:tblPr>
      <w:tblGrid>
        <w:gridCol w:w="9350"/>
      </w:tblGrid>
      <w:tr w:rsidR="00885BA6" w:rsidRPr="00F00D94" w14:paraId="588D8CD5" w14:textId="77777777" w:rsidTr="009F1483">
        <w:tc>
          <w:tcPr>
            <w:tcW w:w="5000" w:type="pct"/>
          </w:tcPr>
          <w:p w14:paraId="7349CF37" w14:textId="77777777" w:rsidR="00885BA6" w:rsidRDefault="00885BA6" w:rsidP="009F148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719F5681" w14:textId="77777777" w:rsidR="00885BA6" w:rsidRPr="006E46AD" w:rsidRDefault="00885BA6" w:rsidP="009F1483">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08C697DD" w14:textId="77777777" w:rsidR="00885BA6" w:rsidRPr="006E46AD" w:rsidRDefault="00885BA6" w:rsidP="008B4BCE">
            <w:pPr>
              <w:pStyle w:val="ListParagraph"/>
              <w:widowControl w:val="0"/>
              <w:numPr>
                <w:ilvl w:val="0"/>
                <w:numId w:val="46"/>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5BCBCA5" w14:textId="77777777" w:rsidR="00885BA6" w:rsidRPr="006E46AD" w:rsidRDefault="00885BA6" w:rsidP="009F1483">
            <w:pPr>
              <w:widowControl w:val="0"/>
              <w:spacing w:after="240"/>
              <w:ind w:left="720"/>
              <w:jc w:val="both"/>
              <w:rPr>
                <w:rFonts w:ascii="Arial" w:hAnsi="Arial" w:cs="Arial"/>
                <w:b/>
                <w:sz w:val="20"/>
                <w:szCs w:val="20"/>
              </w:rPr>
            </w:pPr>
          </w:p>
          <w:p w14:paraId="749DEB17" w14:textId="77777777" w:rsidR="00885BA6" w:rsidRPr="006E46AD" w:rsidRDefault="00885BA6" w:rsidP="008B4BCE">
            <w:pPr>
              <w:widowControl w:val="0"/>
              <w:numPr>
                <w:ilvl w:val="0"/>
                <w:numId w:val="46"/>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50D9CC" w14:textId="77777777" w:rsidR="00885BA6" w:rsidRPr="00F00D94" w:rsidRDefault="00885BA6" w:rsidP="009F1483">
            <w:pPr>
              <w:pStyle w:val="ListParagraph"/>
              <w:spacing w:after="240"/>
              <w:jc w:val="both"/>
              <w:rPr>
                <w:rFonts w:ascii="Arial" w:hAnsi="Arial" w:cs="Arial"/>
                <w:b/>
              </w:rPr>
            </w:pPr>
          </w:p>
          <w:p w14:paraId="5DC05E78" w14:textId="77777777" w:rsidR="00885BA6" w:rsidRPr="00F00D94" w:rsidRDefault="00885BA6" w:rsidP="008B4BCE">
            <w:pPr>
              <w:widowControl w:val="0"/>
              <w:numPr>
                <w:ilvl w:val="0"/>
                <w:numId w:val="46"/>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37F508FF" w14:textId="77777777" w:rsidR="00885BA6" w:rsidRPr="00F00D94" w:rsidRDefault="00885BA6" w:rsidP="009F1483">
            <w:pPr>
              <w:pStyle w:val="ListParagraph"/>
              <w:spacing w:after="240"/>
              <w:jc w:val="both"/>
              <w:rPr>
                <w:rFonts w:ascii="Arial" w:hAnsi="Arial" w:cs="Arial"/>
                <w:b/>
              </w:rPr>
            </w:pPr>
          </w:p>
          <w:p w14:paraId="4E66EB96" w14:textId="77777777" w:rsidR="00885BA6" w:rsidRPr="00F00D94" w:rsidRDefault="00885BA6" w:rsidP="008B4BCE">
            <w:pPr>
              <w:widowControl w:val="0"/>
              <w:numPr>
                <w:ilvl w:val="0"/>
                <w:numId w:val="4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D68C83C" w14:textId="77777777" w:rsidR="00885BA6" w:rsidRPr="00F00D94" w:rsidRDefault="00885BA6" w:rsidP="009F1483">
            <w:pPr>
              <w:pStyle w:val="ListParagraph"/>
              <w:spacing w:after="240"/>
              <w:jc w:val="both"/>
              <w:rPr>
                <w:rFonts w:ascii="Arial" w:hAnsi="Arial" w:cs="Arial"/>
                <w:b/>
              </w:rPr>
            </w:pPr>
          </w:p>
          <w:p w14:paraId="17D69179" w14:textId="77777777" w:rsidR="00885BA6" w:rsidRPr="00F00D94" w:rsidRDefault="00885BA6" w:rsidP="008B4BCE">
            <w:pPr>
              <w:widowControl w:val="0"/>
              <w:numPr>
                <w:ilvl w:val="0"/>
                <w:numId w:val="4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D97831C" w14:textId="77777777" w:rsidR="00885BA6" w:rsidRPr="00F00D94" w:rsidRDefault="00885BA6" w:rsidP="009F1483">
            <w:pPr>
              <w:pStyle w:val="APStepItem"/>
              <w:numPr>
                <w:ilvl w:val="0"/>
                <w:numId w:val="0"/>
              </w:numPr>
              <w:spacing w:after="240"/>
              <w:rPr>
                <w:rFonts w:cs="Arial"/>
                <w:b/>
              </w:rPr>
            </w:pPr>
          </w:p>
        </w:tc>
      </w:tr>
    </w:tbl>
    <w:p w14:paraId="0D9DF262" w14:textId="77777777" w:rsidR="00885BA6" w:rsidRDefault="00885BA6" w:rsidP="00885BA6">
      <w:pPr>
        <w:pStyle w:val="Heading2"/>
        <w:jc w:val="both"/>
        <w:rPr>
          <w:rFonts w:cs="Arial"/>
          <w:sz w:val="24"/>
        </w:rPr>
        <w:sectPr w:rsidR="00885BA6" w:rsidSect="00885BA6">
          <w:headerReference w:type="default" r:id="rId86"/>
          <w:pgSz w:w="12240" w:h="15840" w:code="1"/>
          <w:pgMar w:top="1440" w:right="1440" w:bottom="1440" w:left="1440" w:header="720" w:footer="720" w:gutter="0"/>
          <w:cols w:space="720"/>
          <w:docGrid w:linePitch="360"/>
        </w:sectPr>
      </w:pPr>
    </w:p>
    <w:p w14:paraId="53B8DACD" w14:textId="57C09237" w:rsidR="00885BA6" w:rsidRPr="000706D1" w:rsidRDefault="00885BA6" w:rsidP="00885BA6">
      <w:pPr>
        <w:pStyle w:val="Heading2"/>
        <w:jc w:val="both"/>
        <w:rPr>
          <w:rFonts w:cs="Arial"/>
          <w:sz w:val="24"/>
        </w:rPr>
      </w:pPr>
      <w:bookmarkStart w:id="78" w:name="_Toc212473135"/>
      <w:r w:rsidRPr="000706D1">
        <w:rPr>
          <w:rFonts w:cs="Arial"/>
          <w:sz w:val="24"/>
        </w:rPr>
        <w:t>N</w:t>
      </w:r>
      <w:r w:rsidR="00AA09E4">
        <w:rPr>
          <w:rFonts w:cs="Arial"/>
          <w:sz w:val="24"/>
        </w:rPr>
        <w:t>3</w:t>
      </w:r>
      <w:r w:rsidRPr="000706D1">
        <w:rPr>
          <w:rFonts w:cs="Arial"/>
          <w:sz w:val="24"/>
        </w:rPr>
        <w:t>.  SPECIAL TESTS AND PROVISIONS</w:t>
      </w:r>
      <w:r w:rsidR="008B4BCE">
        <w:rPr>
          <w:rFonts w:cs="Arial"/>
          <w:sz w:val="24"/>
        </w:rPr>
        <w:t xml:space="preserve"> – TENANT PARTICIPATION FUNDS</w:t>
      </w:r>
      <w:bookmarkEnd w:id="78"/>
    </w:p>
    <w:p w14:paraId="75AEDCBC" w14:textId="77777777" w:rsidR="00885BA6" w:rsidRPr="000706D1" w:rsidRDefault="00885BA6" w:rsidP="00885BA6">
      <w:pPr>
        <w:pStyle w:val="Heading3"/>
        <w:jc w:val="both"/>
        <w:rPr>
          <w:rFonts w:cs="Arial"/>
          <w:sz w:val="24"/>
          <w:szCs w:val="24"/>
        </w:rPr>
      </w:pPr>
      <w:bookmarkStart w:id="79" w:name="_Toc212473136"/>
      <w:r w:rsidRPr="000706D1">
        <w:rPr>
          <w:rFonts w:cs="Arial"/>
          <w:sz w:val="24"/>
          <w:szCs w:val="24"/>
        </w:rPr>
        <w:t>OMB Compliance Requirements</w:t>
      </w:r>
      <w:bookmarkEnd w:id="79"/>
    </w:p>
    <w:p w14:paraId="50571893" w14:textId="77777777" w:rsidR="00885BA6" w:rsidRPr="005C1EBC" w:rsidRDefault="00885BA6" w:rsidP="00885BA6">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3856980B" w14:textId="77777777" w:rsidR="00885BA6" w:rsidRPr="00F00D94" w:rsidRDefault="00885BA6" w:rsidP="00885BA6">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6D13B343" w14:textId="77777777" w:rsidR="00885BA6" w:rsidRPr="00F00D94" w:rsidRDefault="00885BA6" w:rsidP="00885BA6">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27D1064E" w14:textId="77777777" w:rsidR="00885BA6" w:rsidRPr="000706D1" w:rsidRDefault="00885BA6" w:rsidP="00885BA6">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18EBA6A5" w14:textId="09E2E40A" w:rsidR="00885BA6" w:rsidRDefault="008B4BCE" w:rsidP="008B4BCE">
      <w:pPr>
        <w:spacing w:after="240"/>
        <w:jc w:val="both"/>
        <w:rPr>
          <w:rFonts w:ascii="Arial" w:hAnsi="Arial" w:cs="Arial"/>
        </w:rPr>
      </w:pPr>
      <w:r w:rsidRPr="008B4BCE">
        <w:rPr>
          <w:rFonts w:ascii="Arial" w:hAnsi="Arial" w:cs="Arial"/>
        </w:rPr>
        <w:t>When tenant participation funds are provided to a PHA, the PHA must provide those funds to duly elected resident councils. Funding provided by a PHA to a duly elected resident council may be made only under a written agreement between the PHA and the resident council that includes a resident council budget. PHAs are permitted to fund $25 per unit per year for units represented by duly elected resident councils for resident services. Of this, $25, $15 per unit per year is provided to fund tenant participation activities. The agreement must require the local resident council to account to the PHA for the use of the funds and permit the PHA to inspect and audit the resident council’s financial records related to the agreement (24 CFR section 964.150).</w:t>
      </w:r>
    </w:p>
    <w:p w14:paraId="76BE5A09" w14:textId="4CED97DD" w:rsidR="008B4BCE" w:rsidRPr="008B4BCE" w:rsidRDefault="008B4BCE" w:rsidP="008B4BCE">
      <w:pPr>
        <w:spacing w:after="240"/>
        <w:jc w:val="both"/>
        <w:rPr>
          <w:rFonts w:ascii="Arial" w:hAnsi="Arial" w:cs="Arial"/>
          <w:bCs/>
          <w:i/>
          <w:iCs/>
        </w:rPr>
      </w:pPr>
      <w:r w:rsidRPr="006C797F">
        <w:rPr>
          <w:rFonts w:ascii="Arial" w:hAnsi="Arial" w:cs="Arial"/>
          <w:bCs/>
          <w:i/>
          <w:iCs/>
        </w:rPr>
        <w:t>(Source: 202</w:t>
      </w:r>
      <w:r>
        <w:rPr>
          <w:rFonts w:ascii="Arial" w:hAnsi="Arial" w:cs="Arial"/>
          <w:bCs/>
          <w:i/>
          <w:iCs/>
        </w:rPr>
        <w:t>5</w:t>
      </w:r>
      <w:r w:rsidRPr="006C797F">
        <w:rPr>
          <w:rFonts w:ascii="Arial" w:hAnsi="Arial" w:cs="Arial"/>
          <w:bCs/>
          <w:i/>
          <w:iCs/>
        </w:rPr>
        <w:t xml:space="preserve"> OMB Compliance Supplement, Part 4, HUD, #14.850 Public </w:t>
      </w:r>
      <w:r w:rsidR="007D76AB">
        <w:rPr>
          <w:rFonts w:ascii="Arial" w:hAnsi="Arial" w:cs="Arial"/>
          <w:bCs/>
          <w:i/>
          <w:iCs/>
        </w:rPr>
        <w:t>Housing Operating Fund</w:t>
      </w:r>
      <w:r w:rsidRPr="006C797F">
        <w:rPr>
          <w:rFonts w:ascii="Arial" w:hAnsi="Arial" w:cs="Arial"/>
          <w:bCs/>
          <w:i/>
          <w:iCs/>
        </w:rPr>
        <w:t>)</w:t>
      </w:r>
    </w:p>
    <w:p w14:paraId="6C1796CA" w14:textId="77777777" w:rsidR="00885BA6" w:rsidRPr="000706D1" w:rsidRDefault="00885BA6" w:rsidP="00885BA6">
      <w:pPr>
        <w:pStyle w:val="Heading3"/>
        <w:jc w:val="both"/>
        <w:rPr>
          <w:rFonts w:cs="Arial"/>
          <w:sz w:val="24"/>
          <w:szCs w:val="24"/>
        </w:rPr>
      </w:pPr>
      <w:bookmarkStart w:id="80" w:name="_Toc212473137"/>
      <w:r w:rsidRPr="000706D1">
        <w:rPr>
          <w:rFonts w:cs="Arial"/>
          <w:sz w:val="24"/>
          <w:szCs w:val="24"/>
        </w:rPr>
        <w:t>Additional Program Specific Information</w:t>
      </w:r>
      <w:bookmarkEnd w:id="80"/>
    </w:p>
    <w:p w14:paraId="3E3143A7" w14:textId="77777777" w:rsidR="00A3316B" w:rsidRPr="00AA5B05" w:rsidRDefault="00A3316B" w:rsidP="00A3316B">
      <w:pPr>
        <w:spacing w:after="240"/>
        <w:jc w:val="both"/>
        <w:rPr>
          <w:rFonts w:ascii="Arial" w:hAnsi="Arial" w:cs="Arial"/>
          <w:b/>
          <w:highlight w:val="yellow"/>
        </w:rPr>
      </w:pPr>
      <w:r w:rsidRPr="00AA5B05">
        <w:rPr>
          <w:rFonts w:ascii="Arial" w:hAnsi="Arial" w:cs="Arial"/>
          <w:b/>
          <w:highlight w:val="yellow"/>
        </w:rPr>
        <w:t>Add program specific requirements from:</w:t>
      </w:r>
    </w:p>
    <w:p w14:paraId="02FD248E" w14:textId="18967318" w:rsidR="00A3316B" w:rsidRPr="00AA5B05" w:rsidRDefault="00A3316B" w:rsidP="00A3316B">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7D76AB">
        <w:rPr>
          <w:rFonts w:ascii="Arial" w:hAnsi="Arial" w:cs="Arial"/>
          <w:b/>
          <w:highlight w:val="yellow"/>
        </w:rPr>
        <w:t>,</w:t>
      </w:r>
      <w:r>
        <w:rPr>
          <w:rFonts w:ascii="Arial" w:hAnsi="Arial" w:cs="Arial"/>
          <w:b/>
          <w:highlight w:val="yellow"/>
        </w:rPr>
        <w:t xml:space="preserve"> </w:t>
      </w:r>
    </w:p>
    <w:p w14:paraId="4470089E" w14:textId="77777777" w:rsidR="00A3316B" w:rsidRPr="00AA5B05" w:rsidRDefault="00A3316B" w:rsidP="00A3316B">
      <w:pPr>
        <w:pStyle w:val="ListParagraph"/>
        <w:numPr>
          <w:ilvl w:val="0"/>
          <w:numId w:val="3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1907759D" w14:textId="77777777" w:rsidR="00A3316B" w:rsidRPr="00AA5B05" w:rsidRDefault="00A3316B" w:rsidP="00A3316B">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4E37B4D7" w14:textId="77777777" w:rsidR="00A3316B" w:rsidRPr="00AA5B05" w:rsidRDefault="00A3316B" w:rsidP="00A3316B">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0AF12A4" w14:textId="77777777" w:rsidR="00885BA6" w:rsidRPr="000706D1" w:rsidRDefault="00885BA6" w:rsidP="00885BA6">
      <w:pPr>
        <w:pStyle w:val="Heading3"/>
        <w:jc w:val="both"/>
        <w:rPr>
          <w:rFonts w:cs="Arial"/>
          <w:sz w:val="24"/>
          <w:szCs w:val="24"/>
        </w:rPr>
      </w:pPr>
      <w:bookmarkStart w:id="81" w:name="_Toc212473138"/>
      <w:r w:rsidRPr="000706D1">
        <w:rPr>
          <w:rFonts w:cs="Arial"/>
          <w:sz w:val="24"/>
          <w:szCs w:val="24"/>
        </w:rPr>
        <w:t>Audit Objectives and Control Testing</w:t>
      </w:r>
      <w:bookmarkEnd w:id="81"/>
    </w:p>
    <w:p w14:paraId="176B031C" w14:textId="77777777" w:rsidR="00885BA6" w:rsidRPr="00F00D94" w:rsidRDefault="00885BA6" w:rsidP="00885BA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7F63015D" w14:textId="77777777" w:rsidR="00885BA6" w:rsidRPr="00F00D94" w:rsidRDefault="00885BA6" w:rsidP="00885BA6">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43855D5" w14:textId="77777777" w:rsidR="00885BA6" w:rsidRDefault="00885BA6" w:rsidP="00885BA6">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50418865" w14:textId="1C338842" w:rsidR="00885BA6" w:rsidRPr="008B4BCE" w:rsidRDefault="008B4BCE" w:rsidP="008B4BCE">
      <w:pPr>
        <w:pStyle w:val="ListParagraph"/>
        <w:numPr>
          <w:ilvl w:val="0"/>
          <w:numId w:val="44"/>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8B4BCE">
        <w:rPr>
          <w:rFonts w:ascii="Arial" w:hAnsi="Arial" w:cs="Arial"/>
        </w:rPr>
        <w:t>Determine whether the PHA has properly allocated tenant participation funds to resident councils and has determined that resident councils’ expenditures are adequately documented.</w:t>
      </w:r>
    </w:p>
    <w:p w14:paraId="171246A1" w14:textId="475128F2" w:rsidR="008B4BCE" w:rsidRPr="008B4BCE" w:rsidRDefault="008B4BCE" w:rsidP="008B4BCE">
      <w:pPr>
        <w:spacing w:after="240"/>
        <w:jc w:val="both"/>
        <w:rPr>
          <w:rFonts w:ascii="Arial" w:hAnsi="Arial" w:cs="Arial"/>
          <w:bCs/>
          <w:i/>
          <w:iCs/>
        </w:rPr>
      </w:pPr>
      <w:r w:rsidRPr="008B4BCE">
        <w:rPr>
          <w:rFonts w:ascii="Arial" w:hAnsi="Arial" w:cs="Arial"/>
          <w:bCs/>
          <w:i/>
          <w:iCs/>
        </w:rPr>
        <w:t>(Source: 202</w:t>
      </w:r>
      <w:r>
        <w:rPr>
          <w:rFonts w:ascii="Arial" w:hAnsi="Arial" w:cs="Arial"/>
          <w:bCs/>
          <w:i/>
          <w:iCs/>
        </w:rPr>
        <w:t>5</w:t>
      </w:r>
      <w:r w:rsidRPr="008B4BCE">
        <w:rPr>
          <w:rFonts w:ascii="Arial" w:hAnsi="Arial" w:cs="Arial"/>
          <w:bCs/>
          <w:i/>
          <w:iCs/>
        </w:rPr>
        <w:t xml:space="preserve"> OMB Compliance Supplement, Part 4, HUD, #14.850 Public </w:t>
      </w:r>
      <w:r w:rsidR="007D76AB">
        <w:rPr>
          <w:rFonts w:ascii="Arial" w:hAnsi="Arial" w:cs="Arial"/>
          <w:bCs/>
          <w:i/>
          <w:iCs/>
        </w:rPr>
        <w:t>Housing Operating Fund</w:t>
      </w:r>
      <w:r w:rsidRPr="008B4BCE">
        <w:rPr>
          <w:rFonts w:ascii="Arial" w:hAnsi="Arial" w:cs="Arial"/>
          <w:bCs/>
          <w:i/>
          <w:iCs/>
        </w:rPr>
        <w:t>)</w:t>
      </w:r>
    </w:p>
    <w:p w14:paraId="7D1A777C" w14:textId="77777777" w:rsidR="00885BA6" w:rsidRPr="00634FA3" w:rsidRDefault="00885BA6" w:rsidP="00885BA6">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885BA6" w:rsidRPr="00F00D94" w14:paraId="4DBC4F77" w14:textId="77777777" w:rsidTr="009F1483">
        <w:tc>
          <w:tcPr>
            <w:tcW w:w="5000" w:type="pct"/>
          </w:tcPr>
          <w:p w14:paraId="7B66C65B" w14:textId="77777777" w:rsidR="00885BA6" w:rsidRPr="006F5FFA" w:rsidRDefault="00885BA6" w:rsidP="009F148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0D48A12" w14:textId="77777777" w:rsidR="00885BA6" w:rsidRPr="00F00D94" w:rsidRDefault="00885BA6" w:rsidP="009F148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64C19580" w14:textId="77777777" w:rsidR="00885BA6" w:rsidRPr="00F00D94" w:rsidRDefault="00885BA6" w:rsidP="009F1483">
            <w:pPr>
              <w:pStyle w:val="AuditProcedureHeading"/>
              <w:spacing w:after="240"/>
              <w:jc w:val="both"/>
              <w:rPr>
                <w:rFonts w:cs="Arial"/>
                <w:b/>
                <w:bCs/>
                <w:szCs w:val="20"/>
                <w:u w:val="single"/>
              </w:rPr>
            </w:pPr>
          </w:p>
          <w:p w14:paraId="71913BD8" w14:textId="77777777" w:rsidR="00885BA6" w:rsidRPr="00F00D94" w:rsidRDefault="00885BA6" w:rsidP="009F148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BB1C055" w14:textId="77777777" w:rsidR="00885BA6" w:rsidRPr="00F00D94" w:rsidRDefault="00885BA6" w:rsidP="009F1483">
            <w:pPr>
              <w:pStyle w:val="AuditProcedureHeading"/>
              <w:spacing w:after="240"/>
              <w:jc w:val="both"/>
              <w:rPr>
                <w:rFonts w:cs="Arial"/>
                <w:b/>
                <w:bCs/>
                <w:szCs w:val="20"/>
                <w:u w:val="single"/>
              </w:rPr>
            </w:pPr>
          </w:p>
          <w:p w14:paraId="1D2C6841" w14:textId="77777777" w:rsidR="00885BA6" w:rsidRPr="00F00D94" w:rsidRDefault="00885BA6" w:rsidP="009F148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4BA84454" w14:textId="77777777" w:rsidR="00885BA6" w:rsidRPr="00F00D94" w:rsidRDefault="00885BA6" w:rsidP="009F1483">
            <w:pPr>
              <w:spacing w:after="240"/>
              <w:jc w:val="both"/>
              <w:rPr>
                <w:rFonts w:ascii="Arial" w:hAnsi="Arial" w:cs="Arial"/>
                <w:b/>
                <w:sz w:val="20"/>
                <w:u w:val="single"/>
              </w:rPr>
            </w:pPr>
          </w:p>
          <w:p w14:paraId="115225A2" w14:textId="77777777" w:rsidR="00885BA6" w:rsidRPr="00F00D94" w:rsidRDefault="00885BA6" w:rsidP="009F148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77A6689" w14:textId="77777777" w:rsidR="00885BA6" w:rsidRPr="00C35E5F" w:rsidRDefault="00885BA6" w:rsidP="009F1483">
            <w:pPr>
              <w:spacing w:after="240"/>
              <w:jc w:val="both"/>
              <w:rPr>
                <w:rFonts w:ascii="Arial" w:eastAsiaTheme="minorHAnsi" w:hAnsi="Arial" w:cs="Arial"/>
                <w:sz w:val="20"/>
                <w:szCs w:val="20"/>
              </w:rPr>
            </w:pPr>
          </w:p>
        </w:tc>
      </w:tr>
    </w:tbl>
    <w:p w14:paraId="4C415CD3" w14:textId="77777777" w:rsidR="00885BA6" w:rsidRPr="00F00D94" w:rsidRDefault="00885BA6" w:rsidP="00885BA6">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0292E745" w14:textId="77777777" w:rsidR="00885BA6" w:rsidRPr="000706D1" w:rsidRDefault="00885BA6" w:rsidP="00885BA6">
      <w:pPr>
        <w:pStyle w:val="Heading3"/>
        <w:jc w:val="both"/>
        <w:rPr>
          <w:rFonts w:cs="Arial"/>
          <w:sz w:val="24"/>
          <w:szCs w:val="24"/>
        </w:rPr>
      </w:pPr>
      <w:bookmarkStart w:id="82" w:name="_Toc212473139"/>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82"/>
    </w:p>
    <w:tbl>
      <w:tblPr>
        <w:tblStyle w:val="TableGrid"/>
        <w:tblW w:w="9558" w:type="dxa"/>
        <w:tblLayout w:type="fixed"/>
        <w:tblLook w:val="04A0" w:firstRow="1" w:lastRow="0" w:firstColumn="1" w:lastColumn="0" w:noHBand="0" w:noVBand="1"/>
      </w:tblPr>
      <w:tblGrid>
        <w:gridCol w:w="9558"/>
      </w:tblGrid>
      <w:tr w:rsidR="00885BA6" w:rsidRPr="00F00D94" w14:paraId="6BA12483" w14:textId="77777777" w:rsidTr="009F1483">
        <w:tc>
          <w:tcPr>
            <w:tcW w:w="9558" w:type="dxa"/>
          </w:tcPr>
          <w:p w14:paraId="58BEE2A9" w14:textId="77777777" w:rsidR="00885BA6" w:rsidRDefault="00885BA6" w:rsidP="009F1483">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E0A47C3" w14:textId="77777777" w:rsidR="00885BA6" w:rsidRPr="00AC7B25" w:rsidRDefault="00885BA6" w:rsidP="009F1483">
            <w:pPr>
              <w:spacing w:after="240"/>
              <w:jc w:val="both"/>
              <w:rPr>
                <w:rFonts w:ascii="Arial" w:hAnsi="Arial" w:cs="Arial"/>
                <w:i/>
                <w:sz w:val="20"/>
                <w:szCs w:val="20"/>
              </w:rPr>
            </w:pPr>
            <w:r>
              <w:rPr>
                <w:rFonts w:ascii="Arial" w:hAnsi="Arial" w:cs="Arial"/>
                <w:i/>
                <w:sz w:val="20"/>
                <w:szCs w:val="20"/>
              </w:rPr>
              <w:t>(Source: 2025 OMB Compliance Supplement Part 3.2)</w:t>
            </w:r>
          </w:p>
          <w:p w14:paraId="65B065B8" w14:textId="77777777" w:rsidR="008B4BCE" w:rsidRPr="008B4BCE" w:rsidRDefault="008B4BCE" w:rsidP="008B4BCE">
            <w:pPr>
              <w:pStyle w:val="ListParagraph"/>
              <w:numPr>
                <w:ilvl w:val="0"/>
                <w:numId w:val="48"/>
              </w:numPr>
              <w:spacing w:after="240"/>
              <w:ind w:left="703"/>
              <w:jc w:val="both"/>
              <w:rPr>
                <w:rFonts w:ascii="Arial" w:hAnsi="Arial" w:cs="Arial"/>
                <w:b/>
                <w:bCs/>
                <w:sz w:val="20"/>
                <w:szCs w:val="20"/>
              </w:rPr>
            </w:pPr>
            <w:r w:rsidRPr="008B4BCE">
              <w:rPr>
                <w:rFonts w:ascii="Arial" w:hAnsi="Arial" w:cs="Arial"/>
                <w:sz w:val="20"/>
                <w:szCs w:val="20"/>
              </w:rPr>
              <w:t>Review PHA project agreements and records to determine if funding provided</w:t>
            </w:r>
            <w:r w:rsidRPr="008B4BCE">
              <w:rPr>
                <w:rFonts w:ascii="Arial" w:hAnsi="Arial" w:cs="Arial"/>
                <w:spacing w:val="-26"/>
                <w:sz w:val="20"/>
                <w:szCs w:val="20"/>
              </w:rPr>
              <w:t xml:space="preserve"> </w:t>
            </w:r>
            <w:r w:rsidRPr="008B4BCE">
              <w:rPr>
                <w:rFonts w:ascii="Arial" w:hAnsi="Arial" w:cs="Arial"/>
                <w:sz w:val="20"/>
                <w:szCs w:val="20"/>
              </w:rPr>
              <w:t>for tenant participation has been allocated to resident councils in accordance with a written</w:t>
            </w:r>
            <w:r w:rsidRPr="008B4BCE">
              <w:rPr>
                <w:rFonts w:ascii="Arial" w:hAnsi="Arial" w:cs="Arial"/>
                <w:spacing w:val="-1"/>
                <w:sz w:val="20"/>
                <w:szCs w:val="20"/>
              </w:rPr>
              <w:t xml:space="preserve"> </w:t>
            </w:r>
            <w:r w:rsidRPr="008B4BCE">
              <w:rPr>
                <w:rFonts w:ascii="Arial" w:hAnsi="Arial" w:cs="Arial"/>
                <w:sz w:val="20"/>
                <w:szCs w:val="20"/>
              </w:rPr>
              <w:t>agreement.</w:t>
            </w:r>
          </w:p>
          <w:p w14:paraId="5B6FD091" w14:textId="1A9B551C" w:rsidR="008B4BCE" w:rsidRPr="001B6A61" w:rsidRDefault="008B4BCE" w:rsidP="008B4BCE">
            <w:pPr>
              <w:pStyle w:val="ListParagraph"/>
              <w:numPr>
                <w:ilvl w:val="0"/>
                <w:numId w:val="48"/>
              </w:numPr>
              <w:spacing w:after="240"/>
              <w:ind w:left="703"/>
              <w:jc w:val="both"/>
              <w:rPr>
                <w:rFonts w:ascii="Arial" w:hAnsi="Arial" w:cs="Arial"/>
                <w:b/>
                <w:bCs/>
                <w:sz w:val="20"/>
              </w:rPr>
            </w:pPr>
            <w:r w:rsidRPr="008B4BCE">
              <w:rPr>
                <w:rFonts w:ascii="Arial" w:hAnsi="Arial" w:cs="Arial"/>
                <w:sz w:val="20"/>
                <w:szCs w:val="20"/>
              </w:rPr>
              <w:t>Test a sample of the expenditures and supporting documentation reported to the PHA to determine if resident council expenditures are consistent with the resident council</w:t>
            </w:r>
            <w:r w:rsidRPr="008B4BCE">
              <w:rPr>
                <w:rFonts w:ascii="Arial" w:hAnsi="Arial" w:cs="Arial"/>
                <w:spacing w:val="-1"/>
                <w:sz w:val="20"/>
                <w:szCs w:val="20"/>
              </w:rPr>
              <w:t xml:space="preserve"> </w:t>
            </w:r>
            <w:r w:rsidRPr="008B4BCE">
              <w:rPr>
                <w:rFonts w:ascii="Arial" w:hAnsi="Arial" w:cs="Arial"/>
                <w:sz w:val="20"/>
                <w:szCs w:val="20"/>
              </w:rPr>
              <w:t>budget.</w:t>
            </w:r>
          </w:p>
        </w:tc>
      </w:tr>
    </w:tbl>
    <w:p w14:paraId="2002ADA1" w14:textId="77777777" w:rsidR="00885BA6" w:rsidRPr="00F00D94" w:rsidRDefault="00885BA6" w:rsidP="00885BA6">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21CBACAB" w14:textId="77777777" w:rsidR="00885BA6" w:rsidRPr="000706D1" w:rsidRDefault="00885BA6" w:rsidP="00885BA6">
      <w:pPr>
        <w:pStyle w:val="Heading3"/>
        <w:jc w:val="both"/>
        <w:rPr>
          <w:rFonts w:cs="Arial"/>
          <w:b w:val="0"/>
          <w:sz w:val="24"/>
          <w:szCs w:val="24"/>
        </w:rPr>
      </w:pPr>
      <w:bookmarkStart w:id="83" w:name="_Toc212473140"/>
      <w:r w:rsidRPr="000706D1">
        <w:rPr>
          <w:rFonts w:cs="Arial"/>
          <w:sz w:val="24"/>
          <w:szCs w:val="24"/>
        </w:rPr>
        <w:t>Audit Implications Summary</w:t>
      </w:r>
      <w:bookmarkEnd w:id="83"/>
    </w:p>
    <w:tbl>
      <w:tblPr>
        <w:tblStyle w:val="TableGrid"/>
        <w:tblW w:w="5000" w:type="pct"/>
        <w:tblLook w:val="04A0" w:firstRow="1" w:lastRow="0" w:firstColumn="1" w:lastColumn="0" w:noHBand="0" w:noVBand="1"/>
      </w:tblPr>
      <w:tblGrid>
        <w:gridCol w:w="9350"/>
      </w:tblGrid>
      <w:tr w:rsidR="00885BA6" w:rsidRPr="00F00D94" w14:paraId="2F7DAD21" w14:textId="77777777" w:rsidTr="009F1483">
        <w:tc>
          <w:tcPr>
            <w:tcW w:w="5000" w:type="pct"/>
          </w:tcPr>
          <w:p w14:paraId="1DABD1EC" w14:textId="77777777" w:rsidR="00885BA6" w:rsidRDefault="00885BA6" w:rsidP="009F148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63A10E3E" w14:textId="77777777" w:rsidR="00885BA6" w:rsidRPr="006E46AD" w:rsidRDefault="00885BA6" w:rsidP="009F1483">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34AC539D" w14:textId="77777777" w:rsidR="00885BA6" w:rsidRPr="006E46AD" w:rsidRDefault="00885BA6" w:rsidP="008B4BCE">
            <w:pPr>
              <w:pStyle w:val="ListParagraph"/>
              <w:widowControl w:val="0"/>
              <w:numPr>
                <w:ilvl w:val="0"/>
                <w:numId w:val="47"/>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521087E0" w14:textId="77777777" w:rsidR="00885BA6" w:rsidRPr="006E46AD" w:rsidRDefault="00885BA6" w:rsidP="009F1483">
            <w:pPr>
              <w:widowControl w:val="0"/>
              <w:spacing w:after="240"/>
              <w:ind w:left="720"/>
              <w:jc w:val="both"/>
              <w:rPr>
                <w:rFonts w:ascii="Arial" w:hAnsi="Arial" w:cs="Arial"/>
                <w:b/>
                <w:sz w:val="20"/>
                <w:szCs w:val="20"/>
              </w:rPr>
            </w:pPr>
          </w:p>
          <w:p w14:paraId="5F396E0C" w14:textId="77777777" w:rsidR="00885BA6" w:rsidRPr="006E46AD" w:rsidRDefault="00885BA6" w:rsidP="008B4BCE">
            <w:pPr>
              <w:widowControl w:val="0"/>
              <w:numPr>
                <w:ilvl w:val="0"/>
                <w:numId w:val="4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93F9BC0" w14:textId="77777777" w:rsidR="00885BA6" w:rsidRPr="00F00D94" w:rsidRDefault="00885BA6" w:rsidP="009F1483">
            <w:pPr>
              <w:pStyle w:val="ListParagraph"/>
              <w:spacing w:after="240"/>
              <w:jc w:val="both"/>
              <w:rPr>
                <w:rFonts w:ascii="Arial" w:hAnsi="Arial" w:cs="Arial"/>
                <w:b/>
              </w:rPr>
            </w:pPr>
          </w:p>
          <w:p w14:paraId="5846E2F9" w14:textId="77777777" w:rsidR="00885BA6" w:rsidRPr="00F00D94" w:rsidRDefault="00885BA6" w:rsidP="008B4BCE">
            <w:pPr>
              <w:widowControl w:val="0"/>
              <w:numPr>
                <w:ilvl w:val="0"/>
                <w:numId w:val="47"/>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327E5C93" w14:textId="77777777" w:rsidR="00885BA6" w:rsidRPr="00F00D94" w:rsidRDefault="00885BA6" w:rsidP="009F1483">
            <w:pPr>
              <w:pStyle w:val="ListParagraph"/>
              <w:spacing w:after="240"/>
              <w:jc w:val="both"/>
              <w:rPr>
                <w:rFonts w:ascii="Arial" w:hAnsi="Arial" w:cs="Arial"/>
                <w:b/>
              </w:rPr>
            </w:pPr>
          </w:p>
          <w:p w14:paraId="34B23F61" w14:textId="77777777" w:rsidR="00885BA6" w:rsidRPr="00F00D94" w:rsidRDefault="00885BA6" w:rsidP="008B4BCE">
            <w:pPr>
              <w:widowControl w:val="0"/>
              <w:numPr>
                <w:ilvl w:val="0"/>
                <w:numId w:val="4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35364D1F" w14:textId="77777777" w:rsidR="00885BA6" w:rsidRPr="00F00D94" w:rsidRDefault="00885BA6" w:rsidP="009F1483">
            <w:pPr>
              <w:pStyle w:val="ListParagraph"/>
              <w:spacing w:after="240"/>
              <w:jc w:val="both"/>
              <w:rPr>
                <w:rFonts w:ascii="Arial" w:hAnsi="Arial" w:cs="Arial"/>
                <w:b/>
              </w:rPr>
            </w:pPr>
          </w:p>
          <w:p w14:paraId="7F3972C7" w14:textId="77777777" w:rsidR="00885BA6" w:rsidRPr="00F00D94" w:rsidRDefault="00885BA6" w:rsidP="008B4BCE">
            <w:pPr>
              <w:widowControl w:val="0"/>
              <w:numPr>
                <w:ilvl w:val="0"/>
                <w:numId w:val="4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59F5384C" w14:textId="77777777" w:rsidR="00885BA6" w:rsidRPr="00F00D94" w:rsidRDefault="00885BA6" w:rsidP="009F1483">
            <w:pPr>
              <w:pStyle w:val="APStepItem"/>
              <w:numPr>
                <w:ilvl w:val="0"/>
                <w:numId w:val="0"/>
              </w:numPr>
              <w:spacing w:after="240"/>
              <w:rPr>
                <w:rFonts w:cs="Arial"/>
                <w:b/>
              </w:rPr>
            </w:pPr>
          </w:p>
        </w:tc>
      </w:tr>
    </w:tbl>
    <w:p w14:paraId="07AB872E" w14:textId="77777777" w:rsidR="00885BA6" w:rsidRDefault="00885BA6" w:rsidP="00885BA6">
      <w:pPr>
        <w:pStyle w:val="Heading2"/>
        <w:jc w:val="both"/>
        <w:rPr>
          <w:rFonts w:cs="Arial"/>
          <w:sz w:val="24"/>
        </w:rPr>
        <w:sectPr w:rsidR="00885BA6" w:rsidSect="00885BA6">
          <w:headerReference w:type="default" r:id="rId88"/>
          <w:pgSz w:w="12240" w:h="15840" w:code="1"/>
          <w:pgMar w:top="1440" w:right="1440" w:bottom="1440" w:left="1440" w:header="720" w:footer="720" w:gutter="0"/>
          <w:cols w:space="720"/>
          <w:docGrid w:linePitch="360"/>
        </w:sectPr>
      </w:pPr>
    </w:p>
    <w:p w14:paraId="73DC6DFD" w14:textId="3C1CA502" w:rsidR="00885BA6" w:rsidRPr="000706D1" w:rsidRDefault="00885BA6" w:rsidP="00885BA6">
      <w:pPr>
        <w:pStyle w:val="Heading2"/>
        <w:jc w:val="both"/>
        <w:rPr>
          <w:rFonts w:cs="Arial"/>
          <w:sz w:val="24"/>
        </w:rPr>
      </w:pPr>
      <w:bookmarkStart w:id="84" w:name="_Toc212473141"/>
      <w:r w:rsidRPr="000706D1">
        <w:rPr>
          <w:rFonts w:cs="Arial"/>
          <w:sz w:val="24"/>
        </w:rPr>
        <w:t>N</w:t>
      </w:r>
      <w:r w:rsidR="00AA09E4">
        <w:rPr>
          <w:rFonts w:cs="Arial"/>
          <w:sz w:val="24"/>
        </w:rPr>
        <w:t>4</w:t>
      </w:r>
      <w:r w:rsidRPr="000706D1">
        <w:rPr>
          <w:rFonts w:cs="Arial"/>
          <w:sz w:val="24"/>
        </w:rPr>
        <w:t>.  SPECIAL TESTS AND PROVISIONS</w:t>
      </w:r>
      <w:r w:rsidR="00AA09E4">
        <w:rPr>
          <w:rFonts w:cs="Arial"/>
          <w:sz w:val="24"/>
        </w:rPr>
        <w:t xml:space="preserve"> – PROJECT-BASED BUDGETING AND ACCOUNTING</w:t>
      </w:r>
      <w:bookmarkEnd w:id="84"/>
    </w:p>
    <w:p w14:paraId="6A748369" w14:textId="77777777" w:rsidR="00885BA6" w:rsidRPr="000706D1" w:rsidRDefault="00885BA6" w:rsidP="00885BA6">
      <w:pPr>
        <w:pStyle w:val="Heading3"/>
        <w:jc w:val="both"/>
        <w:rPr>
          <w:rFonts w:cs="Arial"/>
          <w:sz w:val="24"/>
          <w:szCs w:val="24"/>
        </w:rPr>
      </w:pPr>
      <w:bookmarkStart w:id="85" w:name="_Toc212473142"/>
      <w:r w:rsidRPr="000706D1">
        <w:rPr>
          <w:rFonts w:cs="Arial"/>
          <w:sz w:val="24"/>
          <w:szCs w:val="24"/>
        </w:rPr>
        <w:t>OMB Compliance Requirements</w:t>
      </w:r>
      <w:bookmarkEnd w:id="85"/>
    </w:p>
    <w:p w14:paraId="12E240C5" w14:textId="77777777" w:rsidR="00885BA6" w:rsidRPr="005C1EBC" w:rsidRDefault="00885BA6" w:rsidP="00885BA6">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0CDB6F15" w14:textId="77777777" w:rsidR="00885BA6" w:rsidRPr="00F00D94" w:rsidRDefault="00885BA6" w:rsidP="00885BA6">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59411DDE" w14:textId="77777777" w:rsidR="00885BA6" w:rsidRPr="00F00D94" w:rsidRDefault="00885BA6" w:rsidP="00885BA6">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3223B20E" w14:textId="77777777" w:rsidR="00885BA6" w:rsidRPr="000706D1" w:rsidRDefault="00885BA6" w:rsidP="00885BA6">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71124D26" w14:textId="0D517A6E" w:rsidR="00AA09E4" w:rsidRPr="00AA09E4" w:rsidRDefault="00AA09E4" w:rsidP="001364E4">
      <w:pPr>
        <w:pStyle w:val="BodyText"/>
        <w:jc w:val="both"/>
        <w:rPr>
          <w:rFonts w:ascii="Arial" w:hAnsi="Arial" w:cs="Arial"/>
        </w:rPr>
      </w:pPr>
      <w:r w:rsidRPr="00AA09E4">
        <w:rPr>
          <w:rFonts w:ascii="Arial" w:hAnsi="Arial" w:cs="Arial"/>
        </w:rPr>
        <w:t>PHAs implementing asset management shall develop and maintain a system of budgeting and accounting for each project in a manner that allows for analysis of actual revenues and expenses associated with each property (24 CFR section 990.280(a)). Prior to the beginning of its fiscal year, a PHA is required to prepare an operating budget. The PHA’s Board of Commissioners is required to review and approve the budget by resolution. The PHA is not required to submit the budget to HUD unless specifically requested under special circumstances. The approved board budget resolution must be submitted to HUD (24 CFR section 990.315(a)).</w:t>
      </w:r>
    </w:p>
    <w:p w14:paraId="738CA821" w14:textId="77777777" w:rsidR="00AA09E4" w:rsidRPr="00AA09E4" w:rsidRDefault="00AA09E4" w:rsidP="001364E4">
      <w:pPr>
        <w:pStyle w:val="BodyText"/>
        <w:jc w:val="both"/>
        <w:rPr>
          <w:rFonts w:ascii="Arial" w:hAnsi="Arial" w:cs="Arial"/>
        </w:rPr>
      </w:pPr>
      <w:r w:rsidRPr="00AA09E4">
        <w:rPr>
          <w:rFonts w:ascii="Arial" w:hAnsi="Arial" w:cs="Arial"/>
        </w:rPr>
        <w:t>Financial information to be budgeted and accounted for at a project level shall include all data needed to complete a project-based FDS following GAAP, including revenues, expenses, assets, liabilities, and equity data (24 CFR section 990.280(b)(1)).</w:t>
      </w:r>
    </w:p>
    <w:p w14:paraId="037021F7" w14:textId="77777777" w:rsidR="00AA09E4" w:rsidRPr="00AA09E4" w:rsidRDefault="00AA09E4" w:rsidP="001364E4">
      <w:pPr>
        <w:pStyle w:val="BodyText"/>
        <w:jc w:val="both"/>
        <w:rPr>
          <w:rFonts w:ascii="Arial" w:hAnsi="Arial" w:cs="Arial"/>
        </w:rPr>
      </w:pPr>
      <w:r w:rsidRPr="00AA09E4">
        <w:rPr>
          <w:rFonts w:ascii="Arial" w:hAnsi="Arial" w:cs="Arial"/>
        </w:rPr>
        <w:t>Tracking financial performance at the project level under project-based accounting provides information necessary to make effective decisions at the project level. PHAs may only charge projects for services received. For example, in accounting for project costs, PHAs will not be permitted to spread the cost of central maintenance across all projects (24 CFR section 990.280 and 2 CFR 200.405).</w:t>
      </w:r>
    </w:p>
    <w:p w14:paraId="2A85A99A" w14:textId="276F08BA" w:rsidR="00885BA6" w:rsidRPr="00AA09E4" w:rsidRDefault="00AA09E4" w:rsidP="001364E4">
      <w:pPr>
        <w:spacing w:after="240"/>
        <w:jc w:val="both"/>
        <w:rPr>
          <w:rFonts w:ascii="Arial" w:hAnsi="Arial" w:cs="Arial"/>
          <w:bCs/>
          <w:i/>
          <w:iCs/>
        </w:rPr>
      </w:pPr>
      <w:r w:rsidRPr="006C797F">
        <w:rPr>
          <w:rFonts w:ascii="Arial" w:hAnsi="Arial" w:cs="Arial"/>
          <w:bCs/>
          <w:i/>
          <w:iCs/>
        </w:rPr>
        <w:t>(Source: 202</w:t>
      </w:r>
      <w:r>
        <w:rPr>
          <w:rFonts w:ascii="Arial" w:hAnsi="Arial" w:cs="Arial"/>
          <w:bCs/>
          <w:i/>
          <w:iCs/>
        </w:rPr>
        <w:t>5</w:t>
      </w:r>
      <w:r w:rsidRPr="006C797F">
        <w:rPr>
          <w:rFonts w:ascii="Arial" w:hAnsi="Arial" w:cs="Arial"/>
          <w:bCs/>
          <w:i/>
          <w:iCs/>
        </w:rPr>
        <w:t xml:space="preserve"> OMB Compliance Supplement, Part 4, HUD, #14.850 Public </w:t>
      </w:r>
      <w:r w:rsidR="007D76AB">
        <w:rPr>
          <w:rFonts w:ascii="Arial" w:hAnsi="Arial" w:cs="Arial"/>
          <w:bCs/>
          <w:i/>
          <w:iCs/>
        </w:rPr>
        <w:t>Housing Operating Fund</w:t>
      </w:r>
      <w:r w:rsidRPr="006C797F">
        <w:rPr>
          <w:rFonts w:ascii="Arial" w:hAnsi="Arial" w:cs="Arial"/>
          <w:bCs/>
          <w:i/>
          <w:iCs/>
        </w:rPr>
        <w:t>)</w:t>
      </w:r>
    </w:p>
    <w:p w14:paraId="64C855A1" w14:textId="77777777" w:rsidR="00885BA6" w:rsidRPr="000706D1" w:rsidRDefault="00885BA6" w:rsidP="00885BA6">
      <w:pPr>
        <w:pStyle w:val="Heading3"/>
        <w:jc w:val="both"/>
        <w:rPr>
          <w:rFonts w:cs="Arial"/>
          <w:sz w:val="24"/>
          <w:szCs w:val="24"/>
        </w:rPr>
      </w:pPr>
      <w:bookmarkStart w:id="86" w:name="_Toc212473143"/>
      <w:r w:rsidRPr="000706D1">
        <w:rPr>
          <w:rFonts w:cs="Arial"/>
          <w:sz w:val="24"/>
          <w:szCs w:val="24"/>
        </w:rPr>
        <w:t>Additional Program Specific Information</w:t>
      </w:r>
      <w:bookmarkEnd w:id="86"/>
    </w:p>
    <w:p w14:paraId="74068FA4" w14:textId="77777777" w:rsidR="00A3316B" w:rsidRPr="00AA5B05" w:rsidRDefault="00A3316B" w:rsidP="00A3316B">
      <w:pPr>
        <w:spacing w:after="240"/>
        <w:jc w:val="both"/>
        <w:rPr>
          <w:rFonts w:ascii="Arial" w:hAnsi="Arial" w:cs="Arial"/>
          <w:b/>
          <w:highlight w:val="yellow"/>
        </w:rPr>
      </w:pPr>
      <w:r w:rsidRPr="00AA5B05">
        <w:rPr>
          <w:rFonts w:ascii="Arial" w:hAnsi="Arial" w:cs="Arial"/>
          <w:b/>
          <w:highlight w:val="yellow"/>
        </w:rPr>
        <w:t>Add program specific requirements from:</w:t>
      </w:r>
    </w:p>
    <w:p w14:paraId="3AC16E81" w14:textId="0442D64F" w:rsidR="00A3316B" w:rsidRPr="00AA5B05" w:rsidRDefault="00A3316B" w:rsidP="00A3316B">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1364E4">
        <w:rPr>
          <w:rFonts w:ascii="Arial" w:hAnsi="Arial" w:cs="Arial"/>
          <w:b/>
          <w:highlight w:val="yellow"/>
        </w:rPr>
        <w:t>,</w:t>
      </w:r>
      <w:r>
        <w:rPr>
          <w:rFonts w:ascii="Arial" w:hAnsi="Arial" w:cs="Arial"/>
          <w:b/>
          <w:highlight w:val="yellow"/>
        </w:rPr>
        <w:t xml:space="preserve"> </w:t>
      </w:r>
    </w:p>
    <w:p w14:paraId="29B9224E" w14:textId="77777777" w:rsidR="00A3316B" w:rsidRPr="00AA5B05" w:rsidRDefault="00A3316B" w:rsidP="00A3316B">
      <w:pPr>
        <w:pStyle w:val="ListParagraph"/>
        <w:numPr>
          <w:ilvl w:val="0"/>
          <w:numId w:val="3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3E65E334" w14:textId="77777777" w:rsidR="00A3316B" w:rsidRPr="00AA5B05" w:rsidRDefault="00A3316B" w:rsidP="00A3316B">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65CA05B3" w14:textId="77777777" w:rsidR="00A3316B" w:rsidRPr="00AA5B05" w:rsidRDefault="00A3316B" w:rsidP="00A3316B">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BBD8DB6" w14:textId="77777777" w:rsidR="00885BA6" w:rsidRPr="000706D1" w:rsidRDefault="00885BA6" w:rsidP="00885BA6">
      <w:pPr>
        <w:pStyle w:val="Heading3"/>
        <w:jc w:val="both"/>
        <w:rPr>
          <w:rFonts w:cs="Arial"/>
          <w:sz w:val="24"/>
          <w:szCs w:val="24"/>
        </w:rPr>
      </w:pPr>
      <w:bookmarkStart w:id="87" w:name="_Toc212473144"/>
      <w:r w:rsidRPr="000706D1">
        <w:rPr>
          <w:rFonts w:cs="Arial"/>
          <w:sz w:val="24"/>
          <w:szCs w:val="24"/>
        </w:rPr>
        <w:t>Audit Objectives and Control Testing</w:t>
      </w:r>
      <w:bookmarkEnd w:id="87"/>
    </w:p>
    <w:p w14:paraId="21F23B70" w14:textId="77777777" w:rsidR="00885BA6" w:rsidRPr="00F00D94" w:rsidRDefault="00885BA6" w:rsidP="00885BA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4DEF3A1" w14:textId="77777777" w:rsidR="00885BA6" w:rsidRPr="00F00D94" w:rsidRDefault="00885BA6" w:rsidP="00885BA6">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58354D51" w14:textId="77777777" w:rsidR="00885BA6" w:rsidRDefault="00885BA6" w:rsidP="00885BA6">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0FE3F080" w14:textId="4A2EBB94" w:rsidR="00885BA6" w:rsidRPr="00AA09E4" w:rsidRDefault="00AA09E4" w:rsidP="00AA09E4">
      <w:pPr>
        <w:pStyle w:val="ListParagraph"/>
        <w:numPr>
          <w:ilvl w:val="0"/>
          <w:numId w:val="49"/>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AA09E4">
        <w:rPr>
          <w:rFonts w:ascii="Arial" w:hAnsi="Arial" w:cs="Arial"/>
        </w:rPr>
        <w:t>Determine whether each asset management PHA has implemented project-based budgeting and accounting.</w:t>
      </w:r>
    </w:p>
    <w:p w14:paraId="28E05170" w14:textId="74AADC6C" w:rsidR="00AA09E4" w:rsidRPr="00AA09E4" w:rsidRDefault="00AA09E4" w:rsidP="00AA09E4">
      <w:pPr>
        <w:spacing w:after="240"/>
        <w:jc w:val="both"/>
        <w:rPr>
          <w:rFonts w:ascii="Arial" w:hAnsi="Arial" w:cs="Arial"/>
          <w:bCs/>
          <w:i/>
          <w:iCs/>
        </w:rPr>
      </w:pPr>
      <w:r w:rsidRPr="00AA09E4">
        <w:rPr>
          <w:rFonts w:ascii="Arial" w:hAnsi="Arial" w:cs="Arial"/>
          <w:bCs/>
          <w:i/>
          <w:iCs/>
        </w:rPr>
        <w:t>(Source: 202</w:t>
      </w:r>
      <w:r>
        <w:rPr>
          <w:rFonts w:ascii="Arial" w:hAnsi="Arial" w:cs="Arial"/>
          <w:bCs/>
          <w:i/>
          <w:iCs/>
        </w:rPr>
        <w:t>5</w:t>
      </w:r>
      <w:r w:rsidRPr="00AA09E4">
        <w:rPr>
          <w:rFonts w:ascii="Arial" w:hAnsi="Arial" w:cs="Arial"/>
          <w:bCs/>
          <w:i/>
          <w:iCs/>
        </w:rPr>
        <w:t xml:space="preserve"> OMB Compliance Supplement, Part 4, HUD, #14.850 Public </w:t>
      </w:r>
      <w:r w:rsidR="007D76AB">
        <w:rPr>
          <w:rFonts w:ascii="Arial" w:hAnsi="Arial" w:cs="Arial"/>
          <w:bCs/>
          <w:i/>
          <w:iCs/>
        </w:rPr>
        <w:t>Housing Operating Fund</w:t>
      </w:r>
      <w:r w:rsidRPr="00AA09E4">
        <w:rPr>
          <w:rFonts w:ascii="Arial" w:hAnsi="Arial" w:cs="Arial"/>
          <w:bCs/>
          <w:i/>
          <w:iCs/>
        </w:rPr>
        <w:t>)</w:t>
      </w:r>
    </w:p>
    <w:p w14:paraId="368E0A55" w14:textId="77777777" w:rsidR="00885BA6" w:rsidRPr="00634FA3" w:rsidRDefault="00885BA6" w:rsidP="00885BA6">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885BA6" w:rsidRPr="00F00D94" w14:paraId="75D5F12A" w14:textId="77777777" w:rsidTr="009F1483">
        <w:tc>
          <w:tcPr>
            <w:tcW w:w="5000" w:type="pct"/>
          </w:tcPr>
          <w:p w14:paraId="022F42B0" w14:textId="77777777" w:rsidR="00885BA6" w:rsidRPr="006F5FFA" w:rsidRDefault="00885BA6" w:rsidP="009F148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6A1E0B50" w14:textId="77777777" w:rsidR="00885BA6" w:rsidRPr="00F00D94" w:rsidRDefault="00885BA6" w:rsidP="009F148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DA4F0CE" w14:textId="77777777" w:rsidR="00885BA6" w:rsidRPr="00F00D94" w:rsidRDefault="00885BA6" w:rsidP="009F1483">
            <w:pPr>
              <w:pStyle w:val="AuditProcedureHeading"/>
              <w:spacing w:after="240"/>
              <w:jc w:val="both"/>
              <w:rPr>
                <w:rFonts w:cs="Arial"/>
                <w:b/>
                <w:bCs/>
                <w:szCs w:val="20"/>
                <w:u w:val="single"/>
              </w:rPr>
            </w:pPr>
          </w:p>
          <w:p w14:paraId="5BB6D92A" w14:textId="77777777" w:rsidR="00885BA6" w:rsidRPr="00F00D94" w:rsidRDefault="00885BA6" w:rsidP="009F148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0B6014B" w14:textId="77777777" w:rsidR="00885BA6" w:rsidRPr="00F00D94" w:rsidRDefault="00885BA6" w:rsidP="009F1483">
            <w:pPr>
              <w:pStyle w:val="AuditProcedureHeading"/>
              <w:spacing w:after="240"/>
              <w:jc w:val="both"/>
              <w:rPr>
                <w:rFonts w:cs="Arial"/>
                <w:b/>
                <w:bCs/>
                <w:szCs w:val="20"/>
                <w:u w:val="single"/>
              </w:rPr>
            </w:pPr>
          </w:p>
          <w:p w14:paraId="315C5657" w14:textId="77777777" w:rsidR="00885BA6" w:rsidRPr="00F00D94" w:rsidRDefault="00885BA6" w:rsidP="009F148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E691502" w14:textId="77777777" w:rsidR="00885BA6" w:rsidRPr="00F00D94" w:rsidRDefault="00885BA6" w:rsidP="009F1483">
            <w:pPr>
              <w:spacing w:after="240"/>
              <w:jc w:val="both"/>
              <w:rPr>
                <w:rFonts w:ascii="Arial" w:hAnsi="Arial" w:cs="Arial"/>
                <w:b/>
                <w:sz w:val="20"/>
                <w:u w:val="single"/>
              </w:rPr>
            </w:pPr>
          </w:p>
          <w:p w14:paraId="6057B98D" w14:textId="77777777" w:rsidR="00885BA6" w:rsidRPr="00F00D94" w:rsidRDefault="00885BA6" w:rsidP="009F148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0764F89" w14:textId="77777777" w:rsidR="00885BA6" w:rsidRPr="00C35E5F" w:rsidRDefault="00885BA6" w:rsidP="009F1483">
            <w:pPr>
              <w:spacing w:after="240"/>
              <w:jc w:val="both"/>
              <w:rPr>
                <w:rFonts w:ascii="Arial" w:eastAsiaTheme="minorHAnsi" w:hAnsi="Arial" w:cs="Arial"/>
                <w:sz w:val="20"/>
                <w:szCs w:val="20"/>
              </w:rPr>
            </w:pPr>
          </w:p>
        </w:tc>
      </w:tr>
    </w:tbl>
    <w:p w14:paraId="2B91D384" w14:textId="77777777" w:rsidR="00885BA6" w:rsidRPr="00F00D94" w:rsidRDefault="00885BA6" w:rsidP="00885BA6">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46C4127" w14:textId="77777777" w:rsidR="00885BA6" w:rsidRPr="000706D1" w:rsidRDefault="00885BA6" w:rsidP="00885BA6">
      <w:pPr>
        <w:pStyle w:val="Heading3"/>
        <w:jc w:val="both"/>
        <w:rPr>
          <w:rFonts w:cs="Arial"/>
          <w:sz w:val="24"/>
          <w:szCs w:val="24"/>
        </w:rPr>
      </w:pPr>
      <w:bookmarkStart w:id="88" w:name="_Toc212473145"/>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88"/>
    </w:p>
    <w:tbl>
      <w:tblPr>
        <w:tblStyle w:val="TableGrid"/>
        <w:tblW w:w="9558" w:type="dxa"/>
        <w:tblLayout w:type="fixed"/>
        <w:tblLook w:val="04A0" w:firstRow="1" w:lastRow="0" w:firstColumn="1" w:lastColumn="0" w:noHBand="0" w:noVBand="1"/>
      </w:tblPr>
      <w:tblGrid>
        <w:gridCol w:w="9558"/>
      </w:tblGrid>
      <w:tr w:rsidR="00885BA6" w:rsidRPr="00F00D94" w14:paraId="40CF99CA" w14:textId="77777777" w:rsidTr="009F1483">
        <w:tc>
          <w:tcPr>
            <w:tcW w:w="9558" w:type="dxa"/>
          </w:tcPr>
          <w:p w14:paraId="180C329D" w14:textId="77777777" w:rsidR="00885BA6" w:rsidRDefault="00885BA6" w:rsidP="009F1483">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FE626A" w14:textId="77777777" w:rsidR="00885BA6" w:rsidRPr="00AC7B25" w:rsidRDefault="00885BA6" w:rsidP="009F1483">
            <w:pPr>
              <w:spacing w:after="240"/>
              <w:jc w:val="both"/>
              <w:rPr>
                <w:rFonts w:ascii="Arial" w:hAnsi="Arial" w:cs="Arial"/>
                <w:i/>
                <w:sz w:val="20"/>
                <w:szCs w:val="20"/>
              </w:rPr>
            </w:pPr>
            <w:r>
              <w:rPr>
                <w:rFonts w:ascii="Arial" w:hAnsi="Arial" w:cs="Arial"/>
                <w:i/>
                <w:sz w:val="20"/>
                <w:szCs w:val="20"/>
              </w:rPr>
              <w:t>(Source: 2025 OMB Compliance Supplement Part 3.2)</w:t>
            </w:r>
          </w:p>
          <w:p w14:paraId="4758E067" w14:textId="77777777" w:rsidR="00AA09E4" w:rsidRPr="00AA09E4" w:rsidRDefault="00AA09E4" w:rsidP="00AA09E4">
            <w:pPr>
              <w:pStyle w:val="ListParagraph"/>
              <w:widowControl w:val="0"/>
              <w:numPr>
                <w:ilvl w:val="0"/>
                <w:numId w:val="50"/>
              </w:numPr>
              <w:tabs>
                <w:tab w:val="left" w:pos="2259"/>
                <w:tab w:val="left" w:pos="2260"/>
              </w:tabs>
              <w:suppressAutoHyphens w:val="0"/>
              <w:adjustRightInd/>
              <w:spacing w:before="1"/>
              <w:jc w:val="both"/>
              <w:rPr>
                <w:rFonts w:ascii="Arial" w:hAnsi="Arial" w:cs="Arial"/>
                <w:sz w:val="20"/>
                <w:szCs w:val="20"/>
              </w:rPr>
            </w:pPr>
            <w:r w:rsidRPr="00AA09E4">
              <w:rPr>
                <w:rFonts w:ascii="Arial" w:hAnsi="Arial" w:cs="Arial"/>
                <w:sz w:val="20"/>
                <w:szCs w:val="20"/>
              </w:rPr>
              <w:t>Obtain the PHA’s budget and determine if it is project</w:t>
            </w:r>
            <w:r w:rsidRPr="00AA09E4">
              <w:rPr>
                <w:rFonts w:ascii="Arial" w:hAnsi="Arial" w:cs="Arial"/>
                <w:spacing w:val="-20"/>
                <w:sz w:val="20"/>
                <w:szCs w:val="20"/>
              </w:rPr>
              <w:t xml:space="preserve"> </w:t>
            </w:r>
            <w:r w:rsidRPr="00AA09E4">
              <w:rPr>
                <w:rFonts w:ascii="Arial" w:hAnsi="Arial" w:cs="Arial"/>
                <w:spacing w:val="-3"/>
                <w:sz w:val="20"/>
                <w:szCs w:val="20"/>
              </w:rPr>
              <w:t>based.</w:t>
            </w:r>
          </w:p>
          <w:p w14:paraId="37A5B70B" w14:textId="77777777" w:rsidR="00AA09E4" w:rsidRPr="00AA09E4" w:rsidRDefault="00AA09E4" w:rsidP="00AA09E4">
            <w:pPr>
              <w:pStyle w:val="BodyText"/>
              <w:spacing w:before="11"/>
              <w:jc w:val="both"/>
              <w:rPr>
                <w:rFonts w:ascii="Arial" w:hAnsi="Arial" w:cs="Arial"/>
                <w:sz w:val="20"/>
                <w:szCs w:val="20"/>
              </w:rPr>
            </w:pPr>
          </w:p>
          <w:p w14:paraId="6B6C02DA" w14:textId="77777777" w:rsidR="00AA09E4" w:rsidRPr="00AA09E4" w:rsidRDefault="00AA09E4" w:rsidP="00AA09E4">
            <w:pPr>
              <w:pStyle w:val="ListParagraph"/>
              <w:widowControl w:val="0"/>
              <w:numPr>
                <w:ilvl w:val="0"/>
                <w:numId w:val="50"/>
              </w:numPr>
              <w:tabs>
                <w:tab w:val="left" w:pos="2259"/>
                <w:tab w:val="left" w:pos="2260"/>
              </w:tabs>
              <w:suppressAutoHyphens w:val="0"/>
              <w:adjustRightInd/>
              <w:ind w:right="545"/>
              <w:jc w:val="both"/>
              <w:rPr>
                <w:rFonts w:ascii="Arial" w:hAnsi="Arial" w:cs="Arial"/>
                <w:sz w:val="20"/>
                <w:szCs w:val="20"/>
              </w:rPr>
            </w:pPr>
            <w:r w:rsidRPr="00AA09E4">
              <w:rPr>
                <w:rFonts w:ascii="Arial" w:hAnsi="Arial" w:cs="Arial"/>
                <w:sz w:val="20"/>
                <w:szCs w:val="20"/>
              </w:rPr>
              <w:t>Confirm that the PHA maintains a board-approved budget, which was approved by</w:t>
            </w:r>
            <w:r w:rsidRPr="00AA09E4">
              <w:rPr>
                <w:rFonts w:ascii="Arial" w:hAnsi="Arial" w:cs="Arial"/>
                <w:spacing w:val="-5"/>
                <w:sz w:val="20"/>
                <w:szCs w:val="20"/>
              </w:rPr>
              <w:t xml:space="preserve"> </w:t>
            </w:r>
            <w:r w:rsidRPr="00AA09E4">
              <w:rPr>
                <w:rFonts w:ascii="Arial" w:hAnsi="Arial" w:cs="Arial"/>
                <w:sz w:val="20"/>
                <w:szCs w:val="20"/>
              </w:rPr>
              <w:t>a</w:t>
            </w:r>
            <w:r w:rsidRPr="00AA09E4">
              <w:rPr>
                <w:rFonts w:ascii="Arial" w:hAnsi="Arial" w:cs="Arial"/>
                <w:spacing w:val="-4"/>
                <w:sz w:val="20"/>
                <w:szCs w:val="20"/>
              </w:rPr>
              <w:t xml:space="preserve"> </w:t>
            </w:r>
            <w:r w:rsidRPr="00AA09E4">
              <w:rPr>
                <w:rFonts w:ascii="Arial" w:hAnsi="Arial" w:cs="Arial"/>
                <w:sz w:val="20"/>
                <w:szCs w:val="20"/>
              </w:rPr>
              <w:t>board</w:t>
            </w:r>
            <w:r w:rsidRPr="00AA09E4">
              <w:rPr>
                <w:rFonts w:ascii="Arial" w:hAnsi="Arial" w:cs="Arial"/>
                <w:spacing w:val="-4"/>
                <w:sz w:val="20"/>
                <w:szCs w:val="20"/>
              </w:rPr>
              <w:t xml:space="preserve"> </w:t>
            </w:r>
            <w:r w:rsidRPr="00AA09E4">
              <w:rPr>
                <w:rFonts w:ascii="Arial" w:hAnsi="Arial" w:cs="Arial"/>
                <w:sz w:val="20"/>
                <w:szCs w:val="20"/>
              </w:rPr>
              <w:t>resolution</w:t>
            </w:r>
            <w:r w:rsidRPr="00AA09E4">
              <w:rPr>
                <w:rFonts w:ascii="Arial" w:hAnsi="Arial" w:cs="Arial"/>
                <w:spacing w:val="-4"/>
                <w:sz w:val="20"/>
                <w:szCs w:val="20"/>
              </w:rPr>
              <w:t xml:space="preserve"> </w:t>
            </w:r>
            <w:r w:rsidRPr="00AA09E4">
              <w:rPr>
                <w:rFonts w:ascii="Arial" w:hAnsi="Arial" w:cs="Arial"/>
                <w:sz w:val="20"/>
                <w:szCs w:val="20"/>
              </w:rPr>
              <w:t>before</w:t>
            </w:r>
            <w:r w:rsidRPr="00AA09E4">
              <w:rPr>
                <w:rFonts w:ascii="Arial" w:hAnsi="Arial" w:cs="Arial"/>
                <w:spacing w:val="-6"/>
                <w:sz w:val="20"/>
                <w:szCs w:val="20"/>
              </w:rPr>
              <w:t xml:space="preserve"> </w:t>
            </w:r>
            <w:r w:rsidRPr="00AA09E4">
              <w:rPr>
                <w:rFonts w:ascii="Arial" w:hAnsi="Arial" w:cs="Arial"/>
                <w:sz w:val="20"/>
                <w:szCs w:val="20"/>
              </w:rPr>
              <w:t>the</w:t>
            </w:r>
            <w:r w:rsidRPr="00AA09E4">
              <w:rPr>
                <w:rFonts w:ascii="Arial" w:hAnsi="Arial" w:cs="Arial"/>
                <w:spacing w:val="-4"/>
                <w:sz w:val="20"/>
                <w:szCs w:val="20"/>
              </w:rPr>
              <w:t xml:space="preserve"> </w:t>
            </w:r>
            <w:r w:rsidRPr="00AA09E4">
              <w:rPr>
                <w:rFonts w:ascii="Arial" w:hAnsi="Arial" w:cs="Arial"/>
                <w:sz w:val="20"/>
                <w:szCs w:val="20"/>
              </w:rPr>
              <w:t>beginning</w:t>
            </w:r>
            <w:r w:rsidRPr="00AA09E4">
              <w:rPr>
                <w:rFonts w:ascii="Arial" w:hAnsi="Arial" w:cs="Arial"/>
                <w:spacing w:val="-4"/>
                <w:sz w:val="20"/>
                <w:szCs w:val="20"/>
              </w:rPr>
              <w:t xml:space="preserve"> </w:t>
            </w:r>
            <w:r w:rsidRPr="00AA09E4">
              <w:rPr>
                <w:rFonts w:ascii="Arial" w:hAnsi="Arial" w:cs="Arial"/>
                <w:sz w:val="20"/>
                <w:szCs w:val="20"/>
              </w:rPr>
              <w:t>of</w:t>
            </w:r>
            <w:r w:rsidRPr="00AA09E4">
              <w:rPr>
                <w:rFonts w:ascii="Arial" w:hAnsi="Arial" w:cs="Arial"/>
                <w:spacing w:val="-6"/>
                <w:sz w:val="20"/>
                <w:szCs w:val="20"/>
              </w:rPr>
              <w:t xml:space="preserve"> </w:t>
            </w:r>
            <w:r w:rsidRPr="00AA09E4">
              <w:rPr>
                <w:rFonts w:ascii="Arial" w:hAnsi="Arial" w:cs="Arial"/>
                <w:sz w:val="20"/>
                <w:szCs w:val="20"/>
              </w:rPr>
              <w:t>the</w:t>
            </w:r>
            <w:r w:rsidRPr="00AA09E4">
              <w:rPr>
                <w:rFonts w:ascii="Arial" w:hAnsi="Arial" w:cs="Arial"/>
                <w:spacing w:val="-6"/>
                <w:sz w:val="20"/>
                <w:szCs w:val="20"/>
              </w:rPr>
              <w:t xml:space="preserve"> </w:t>
            </w:r>
            <w:r w:rsidRPr="00AA09E4">
              <w:rPr>
                <w:rFonts w:ascii="Arial" w:hAnsi="Arial" w:cs="Arial"/>
                <w:sz w:val="20"/>
                <w:szCs w:val="20"/>
              </w:rPr>
              <w:t>PHA’s</w:t>
            </w:r>
            <w:r w:rsidRPr="00AA09E4">
              <w:rPr>
                <w:rFonts w:ascii="Arial" w:hAnsi="Arial" w:cs="Arial"/>
                <w:spacing w:val="-5"/>
                <w:sz w:val="20"/>
                <w:szCs w:val="20"/>
              </w:rPr>
              <w:t xml:space="preserve"> </w:t>
            </w:r>
            <w:r w:rsidRPr="00AA09E4">
              <w:rPr>
                <w:rFonts w:ascii="Arial" w:hAnsi="Arial" w:cs="Arial"/>
                <w:sz w:val="20"/>
                <w:szCs w:val="20"/>
              </w:rPr>
              <w:t>fiscal</w:t>
            </w:r>
            <w:r w:rsidRPr="00AA09E4">
              <w:rPr>
                <w:rFonts w:ascii="Arial" w:hAnsi="Arial" w:cs="Arial"/>
                <w:spacing w:val="-1"/>
                <w:sz w:val="20"/>
                <w:szCs w:val="20"/>
              </w:rPr>
              <w:t xml:space="preserve"> </w:t>
            </w:r>
            <w:r w:rsidRPr="00AA09E4">
              <w:rPr>
                <w:rFonts w:ascii="Arial" w:hAnsi="Arial" w:cs="Arial"/>
                <w:spacing w:val="-4"/>
                <w:sz w:val="20"/>
                <w:szCs w:val="20"/>
              </w:rPr>
              <w:t>year.</w:t>
            </w:r>
          </w:p>
          <w:p w14:paraId="29B64794" w14:textId="77777777" w:rsidR="00AA09E4" w:rsidRPr="00AA09E4" w:rsidRDefault="00AA09E4" w:rsidP="00AA09E4">
            <w:pPr>
              <w:pStyle w:val="BodyText"/>
              <w:jc w:val="both"/>
              <w:rPr>
                <w:rFonts w:ascii="Arial" w:hAnsi="Arial" w:cs="Arial"/>
                <w:sz w:val="20"/>
                <w:szCs w:val="20"/>
              </w:rPr>
            </w:pPr>
          </w:p>
          <w:p w14:paraId="50E4BF46" w14:textId="77777777" w:rsidR="00AA09E4" w:rsidRPr="00AA09E4" w:rsidRDefault="00AA09E4" w:rsidP="00AA09E4">
            <w:pPr>
              <w:pStyle w:val="ListParagraph"/>
              <w:widowControl w:val="0"/>
              <w:numPr>
                <w:ilvl w:val="0"/>
                <w:numId w:val="50"/>
              </w:numPr>
              <w:tabs>
                <w:tab w:val="left" w:pos="2259"/>
                <w:tab w:val="left" w:pos="2260"/>
              </w:tabs>
              <w:suppressAutoHyphens w:val="0"/>
              <w:adjustRightInd/>
              <w:ind w:right="641"/>
              <w:jc w:val="both"/>
              <w:rPr>
                <w:rFonts w:ascii="Arial" w:hAnsi="Arial" w:cs="Arial"/>
                <w:sz w:val="20"/>
                <w:szCs w:val="20"/>
              </w:rPr>
            </w:pPr>
            <w:r w:rsidRPr="00AA09E4">
              <w:rPr>
                <w:rFonts w:ascii="Arial" w:hAnsi="Arial" w:cs="Arial"/>
                <w:sz w:val="20"/>
                <w:szCs w:val="20"/>
              </w:rPr>
              <w:t>Review</w:t>
            </w:r>
            <w:r w:rsidRPr="00AA09E4">
              <w:rPr>
                <w:rFonts w:ascii="Arial" w:hAnsi="Arial" w:cs="Arial"/>
                <w:spacing w:val="-7"/>
                <w:sz w:val="20"/>
                <w:szCs w:val="20"/>
              </w:rPr>
              <w:t xml:space="preserve"> </w:t>
            </w:r>
            <w:r w:rsidRPr="00AA09E4">
              <w:rPr>
                <w:rFonts w:ascii="Arial" w:hAnsi="Arial" w:cs="Arial"/>
                <w:spacing w:val="-4"/>
                <w:sz w:val="20"/>
                <w:szCs w:val="20"/>
              </w:rPr>
              <w:t>the</w:t>
            </w:r>
            <w:r w:rsidRPr="00AA09E4">
              <w:rPr>
                <w:rFonts w:ascii="Arial" w:hAnsi="Arial" w:cs="Arial"/>
                <w:spacing w:val="-13"/>
                <w:sz w:val="20"/>
                <w:szCs w:val="20"/>
              </w:rPr>
              <w:t xml:space="preserve"> </w:t>
            </w:r>
            <w:r w:rsidRPr="00AA09E4">
              <w:rPr>
                <w:rFonts w:ascii="Arial" w:hAnsi="Arial" w:cs="Arial"/>
                <w:sz w:val="20"/>
                <w:szCs w:val="20"/>
              </w:rPr>
              <w:t>FDS</w:t>
            </w:r>
            <w:r w:rsidRPr="00AA09E4">
              <w:rPr>
                <w:rFonts w:ascii="Arial" w:hAnsi="Arial" w:cs="Arial"/>
                <w:spacing w:val="-7"/>
                <w:sz w:val="20"/>
                <w:szCs w:val="20"/>
              </w:rPr>
              <w:t xml:space="preserve"> </w:t>
            </w:r>
            <w:r w:rsidRPr="00AA09E4">
              <w:rPr>
                <w:rFonts w:ascii="Arial" w:hAnsi="Arial" w:cs="Arial"/>
                <w:sz w:val="20"/>
                <w:szCs w:val="20"/>
              </w:rPr>
              <w:t>and</w:t>
            </w:r>
            <w:r w:rsidRPr="00AA09E4">
              <w:rPr>
                <w:rFonts w:ascii="Arial" w:hAnsi="Arial" w:cs="Arial"/>
                <w:spacing w:val="-5"/>
                <w:sz w:val="20"/>
                <w:szCs w:val="20"/>
              </w:rPr>
              <w:t xml:space="preserve"> </w:t>
            </w:r>
            <w:r w:rsidRPr="00AA09E4">
              <w:rPr>
                <w:rFonts w:ascii="Arial" w:hAnsi="Arial" w:cs="Arial"/>
                <w:sz w:val="20"/>
                <w:szCs w:val="20"/>
              </w:rPr>
              <w:t>determine</w:t>
            </w:r>
            <w:r w:rsidRPr="00AA09E4">
              <w:rPr>
                <w:rFonts w:ascii="Arial" w:hAnsi="Arial" w:cs="Arial"/>
                <w:spacing w:val="-5"/>
                <w:sz w:val="20"/>
                <w:szCs w:val="20"/>
              </w:rPr>
              <w:t xml:space="preserve"> </w:t>
            </w:r>
            <w:r w:rsidRPr="00AA09E4">
              <w:rPr>
                <w:rFonts w:ascii="Arial" w:hAnsi="Arial" w:cs="Arial"/>
                <w:sz w:val="20"/>
                <w:szCs w:val="20"/>
              </w:rPr>
              <w:t>whether</w:t>
            </w:r>
            <w:r w:rsidRPr="00AA09E4">
              <w:rPr>
                <w:rFonts w:ascii="Arial" w:hAnsi="Arial" w:cs="Arial"/>
                <w:spacing w:val="-5"/>
                <w:sz w:val="20"/>
                <w:szCs w:val="20"/>
              </w:rPr>
              <w:t xml:space="preserve"> </w:t>
            </w:r>
            <w:r w:rsidRPr="00AA09E4">
              <w:rPr>
                <w:rFonts w:ascii="Arial" w:hAnsi="Arial" w:cs="Arial"/>
                <w:sz w:val="20"/>
                <w:szCs w:val="20"/>
              </w:rPr>
              <w:t>each</w:t>
            </w:r>
            <w:r w:rsidRPr="00AA09E4">
              <w:rPr>
                <w:rFonts w:ascii="Arial" w:hAnsi="Arial" w:cs="Arial"/>
                <w:spacing w:val="-5"/>
                <w:sz w:val="20"/>
                <w:szCs w:val="20"/>
              </w:rPr>
              <w:t xml:space="preserve"> </w:t>
            </w:r>
            <w:r w:rsidRPr="00AA09E4">
              <w:rPr>
                <w:rFonts w:ascii="Arial" w:hAnsi="Arial" w:cs="Arial"/>
                <w:sz w:val="20"/>
                <w:szCs w:val="20"/>
              </w:rPr>
              <w:t>project</w:t>
            </w:r>
            <w:r w:rsidRPr="00AA09E4">
              <w:rPr>
                <w:rFonts w:ascii="Arial" w:hAnsi="Arial" w:cs="Arial"/>
                <w:spacing w:val="-6"/>
                <w:sz w:val="20"/>
                <w:szCs w:val="20"/>
              </w:rPr>
              <w:t xml:space="preserve"> </w:t>
            </w:r>
            <w:r w:rsidRPr="00AA09E4">
              <w:rPr>
                <w:rFonts w:ascii="Arial" w:hAnsi="Arial" w:cs="Arial"/>
                <w:sz w:val="20"/>
                <w:szCs w:val="20"/>
              </w:rPr>
              <w:t>has</w:t>
            </w:r>
            <w:r w:rsidRPr="00AA09E4">
              <w:rPr>
                <w:rFonts w:ascii="Arial" w:hAnsi="Arial" w:cs="Arial"/>
                <w:spacing w:val="-7"/>
                <w:sz w:val="20"/>
                <w:szCs w:val="20"/>
              </w:rPr>
              <w:t xml:space="preserve"> </w:t>
            </w:r>
            <w:r w:rsidRPr="00AA09E4">
              <w:rPr>
                <w:rFonts w:ascii="Arial" w:hAnsi="Arial" w:cs="Arial"/>
                <w:sz w:val="20"/>
                <w:szCs w:val="20"/>
              </w:rPr>
              <w:t>its</w:t>
            </w:r>
            <w:r w:rsidRPr="00AA09E4">
              <w:rPr>
                <w:rFonts w:ascii="Arial" w:hAnsi="Arial" w:cs="Arial"/>
                <w:spacing w:val="-6"/>
                <w:sz w:val="20"/>
                <w:szCs w:val="20"/>
              </w:rPr>
              <w:t xml:space="preserve"> </w:t>
            </w:r>
            <w:r w:rsidRPr="00AA09E4">
              <w:rPr>
                <w:rFonts w:ascii="Arial" w:hAnsi="Arial" w:cs="Arial"/>
                <w:sz w:val="20"/>
                <w:szCs w:val="20"/>
              </w:rPr>
              <w:t>own</w:t>
            </w:r>
            <w:r w:rsidRPr="00AA09E4">
              <w:rPr>
                <w:rFonts w:ascii="Arial" w:hAnsi="Arial" w:cs="Arial"/>
                <w:spacing w:val="-4"/>
                <w:sz w:val="20"/>
                <w:szCs w:val="20"/>
              </w:rPr>
              <w:t xml:space="preserve"> </w:t>
            </w:r>
            <w:r w:rsidRPr="00AA09E4">
              <w:rPr>
                <w:rFonts w:ascii="Arial" w:hAnsi="Arial" w:cs="Arial"/>
                <w:sz w:val="20"/>
                <w:szCs w:val="20"/>
              </w:rPr>
              <w:t>column</w:t>
            </w:r>
            <w:r w:rsidRPr="00AA09E4">
              <w:rPr>
                <w:rFonts w:ascii="Arial" w:hAnsi="Arial" w:cs="Arial"/>
                <w:spacing w:val="-6"/>
                <w:sz w:val="20"/>
                <w:szCs w:val="20"/>
              </w:rPr>
              <w:t xml:space="preserve"> </w:t>
            </w:r>
            <w:r w:rsidRPr="00AA09E4">
              <w:rPr>
                <w:rFonts w:ascii="Arial" w:hAnsi="Arial" w:cs="Arial"/>
                <w:sz w:val="20"/>
                <w:szCs w:val="20"/>
              </w:rPr>
              <w:t>on</w:t>
            </w:r>
            <w:r w:rsidRPr="00AA09E4">
              <w:rPr>
                <w:rFonts w:ascii="Arial" w:hAnsi="Arial" w:cs="Arial"/>
                <w:spacing w:val="-1"/>
                <w:sz w:val="20"/>
                <w:szCs w:val="20"/>
              </w:rPr>
              <w:t xml:space="preserve"> </w:t>
            </w:r>
            <w:r w:rsidRPr="00AA09E4">
              <w:rPr>
                <w:rFonts w:ascii="Arial" w:hAnsi="Arial" w:cs="Arial"/>
                <w:sz w:val="20"/>
                <w:szCs w:val="20"/>
              </w:rPr>
              <w:t>the FDS.</w:t>
            </w:r>
          </w:p>
          <w:p w14:paraId="728AB758" w14:textId="77777777" w:rsidR="00AA09E4" w:rsidRPr="00AA09E4" w:rsidRDefault="00AA09E4" w:rsidP="00AA09E4">
            <w:pPr>
              <w:pStyle w:val="BodyText"/>
              <w:jc w:val="both"/>
              <w:rPr>
                <w:rFonts w:ascii="Arial" w:hAnsi="Arial" w:cs="Arial"/>
                <w:sz w:val="20"/>
                <w:szCs w:val="20"/>
              </w:rPr>
            </w:pPr>
          </w:p>
          <w:p w14:paraId="4EA89FC8" w14:textId="77777777" w:rsidR="00AA09E4" w:rsidRPr="00AA09E4" w:rsidRDefault="00AA09E4" w:rsidP="00AA09E4">
            <w:pPr>
              <w:pStyle w:val="ListParagraph"/>
              <w:widowControl w:val="0"/>
              <w:numPr>
                <w:ilvl w:val="0"/>
                <w:numId w:val="50"/>
              </w:numPr>
              <w:tabs>
                <w:tab w:val="left" w:pos="2259"/>
                <w:tab w:val="left" w:pos="2260"/>
              </w:tabs>
              <w:suppressAutoHyphens w:val="0"/>
              <w:adjustRightInd/>
              <w:ind w:right="530"/>
              <w:jc w:val="both"/>
              <w:rPr>
                <w:rFonts w:ascii="Arial" w:hAnsi="Arial" w:cs="Arial"/>
                <w:sz w:val="20"/>
                <w:szCs w:val="20"/>
              </w:rPr>
            </w:pPr>
            <w:r w:rsidRPr="00AA09E4">
              <w:rPr>
                <w:rFonts w:ascii="Arial" w:hAnsi="Arial" w:cs="Arial"/>
                <w:sz w:val="20"/>
                <w:szCs w:val="20"/>
              </w:rPr>
              <w:t xml:space="preserve">Review budget to actual reports. Verify that actual revenue and expenses associated with each </w:t>
            </w:r>
            <w:r w:rsidRPr="00AA09E4">
              <w:rPr>
                <w:rFonts w:ascii="Arial" w:hAnsi="Arial" w:cs="Arial"/>
                <w:spacing w:val="-4"/>
                <w:sz w:val="20"/>
                <w:szCs w:val="20"/>
              </w:rPr>
              <w:t xml:space="preserve">project </w:t>
            </w:r>
            <w:r w:rsidRPr="00AA09E4">
              <w:rPr>
                <w:rFonts w:ascii="Arial" w:hAnsi="Arial" w:cs="Arial"/>
                <w:sz w:val="20"/>
                <w:szCs w:val="20"/>
              </w:rPr>
              <w:t>are analyzed periodically by the PHA. Confirm that the PHA addresses significant variances between the budget and actual</w:t>
            </w:r>
            <w:r w:rsidRPr="00AA09E4">
              <w:rPr>
                <w:rFonts w:ascii="Arial" w:hAnsi="Arial" w:cs="Arial"/>
                <w:spacing w:val="-14"/>
                <w:sz w:val="20"/>
                <w:szCs w:val="20"/>
              </w:rPr>
              <w:t xml:space="preserve"> </w:t>
            </w:r>
            <w:r w:rsidRPr="00AA09E4">
              <w:rPr>
                <w:rFonts w:ascii="Arial" w:hAnsi="Arial" w:cs="Arial"/>
                <w:sz w:val="20"/>
                <w:szCs w:val="20"/>
              </w:rPr>
              <w:t>data.</w:t>
            </w:r>
          </w:p>
          <w:p w14:paraId="08124AE3" w14:textId="77777777" w:rsidR="00AA09E4" w:rsidRPr="001B6A61" w:rsidRDefault="00AA09E4" w:rsidP="009F1483">
            <w:pPr>
              <w:spacing w:after="240"/>
              <w:jc w:val="both"/>
              <w:rPr>
                <w:rFonts w:ascii="Arial" w:hAnsi="Arial" w:cs="Arial"/>
                <w:b/>
                <w:bCs/>
                <w:sz w:val="20"/>
              </w:rPr>
            </w:pPr>
          </w:p>
        </w:tc>
      </w:tr>
    </w:tbl>
    <w:p w14:paraId="774BC47A" w14:textId="77777777" w:rsidR="00885BA6" w:rsidRPr="00F00D94" w:rsidRDefault="00885BA6" w:rsidP="00885BA6">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30BD8451" w14:textId="77777777" w:rsidR="00885BA6" w:rsidRPr="000706D1" w:rsidRDefault="00885BA6" w:rsidP="00885BA6">
      <w:pPr>
        <w:pStyle w:val="Heading3"/>
        <w:jc w:val="both"/>
        <w:rPr>
          <w:rFonts w:cs="Arial"/>
          <w:b w:val="0"/>
          <w:sz w:val="24"/>
          <w:szCs w:val="24"/>
        </w:rPr>
      </w:pPr>
      <w:bookmarkStart w:id="89" w:name="_Toc212473146"/>
      <w:r w:rsidRPr="000706D1">
        <w:rPr>
          <w:rFonts w:cs="Arial"/>
          <w:sz w:val="24"/>
          <w:szCs w:val="24"/>
        </w:rPr>
        <w:t>Audit Implications Summary</w:t>
      </w:r>
      <w:bookmarkEnd w:id="89"/>
    </w:p>
    <w:tbl>
      <w:tblPr>
        <w:tblStyle w:val="TableGrid"/>
        <w:tblW w:w="5000" w:type="pct"/>
        <w:tblLook w:val="04A0" w:firstRow="1" w:lastRow="0" w:firstColumn="1" w:lastColumn="0" w:noHBand="0" w:noVBand="1"/>
      </w:tblPr>
      <w:tblGrid>
        <w:gridCol w:w="9350"/>
      </w:tblGrid>
      <w:tr w:rsidR="00885BA6" w:rsidRPr="00F00D94" w14:paraId="0DAF9ADE" w14:textId="77777777" w:rsidTr="009F1483">
        <w:tc>
          <w:tcPr>
            <w:tcW w:w="5000" w:type="pct"/>
          </w:tcPr>
          <w:p w14:paraId="7189E4F9" w14:textId="77777777" w:rsidR="00885BA6" w:rsidRDefault="00885BA6" w:rsidP="009F148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2222495" w14:textId="77777777" w:rsidR="00885BA6" w:rsidRPr="006E46AD" w:rsidRDefault="00885BA6" w:rsidP="009F1483">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02E25959" w14:textId="77777777" w:rsidR="00885BA6" w:rsidRPr="006E46AD" w:rsidRDefault="00885BA6" w:rsidP="00AA09E4">
            <w:pPr>
              <w:pStyle w:val="ListParagraph"/>
              <w:widowControl w:val="0"/>
              <w:numPr>
                <w:ilvl w:val="0"/>
                <w:numId w:val="5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08A706B" w14:textId="77777777" w:rsidR="00885BA6" w:rsidRPr="006E46AD" w:rsidRDefault="00885BA6" w:rsidP="009F1483">
            <w:pPr>
              <w:widowControl w:val="0"/>
              <w:spacing w:after="240"/>
              <w:ind w:left="720"/>
              <w:jc w:val="both"/>
              <w:rPr>
                <w:rFonts w:ascii="Arial" w:hAnsi="Arial" w:cs="Arial"/>
                <w:b/>
                <w:sz w:val="20"/>
                <w:szCs w:val="20"/>
              </w:rPr>
            </w:pPr>
          </w:p>
          <w:p w14:paraId="1A077E7C" w14:textId="77777777" w:rsidR="00885BA6" w:rsidRPr="006E46AD" w:rsidRDefault="00885BA6" w:rsidP="00AA09E4">
            <w:pPr>
              <w:widowControl w:val="0"/>
              <w:numPr>
                <w:ilvl w:val="0"/>
                <w:numId w:val="5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C8C1BB6" w14:textId="77777777" w:rsidR="00885BA6" w:rsidRPr="00F00D94" w:rsidRDefault="00885BA6" w:rsidP="009F1483">
            <w:pPr>
              <w:pStyle w:val="ListParagraph"/>
              <w:spacing w:after="240"/>
              <w:jc w:val="both"/>
              <w:rPr>
                <w:rFonts w:ascii="Arial" w:hAnsi="Arial" w:cs="Arial"/>
                <w:b/>
              </w:rPr>
            </w:pPr>
          </w:p>
          <w:p w14:paraId="160FE598" w14:textId="77777777" w:rsidR="00885BA6" w:rsidRPr="00F00D94" w:rsidRDefault="00885BA6" w:rsidP="00AA09E4">
            <w:pPr>
              <w:widowControl w:val="0"/>
              <w:numPr>
                <w:ilvl w:val="0"/>
                <w:numId w:val="5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7AE7AED7" w14:textId="77777777" w:rsidR="00885BA6" w:rsidRPr="00F00D94" w:rsidRDefault="00885BA6" w:rsidP="009F1483">
            <w:pPr>
              <w:pStyle w:val="ListParagraph"/>
              <w:spacing w:after="240"/>
              <w:jc w:val="both"/>
              <w:rPr>
                <w:rFonts w:ascii="Arial" w:hAnsi="Arial" w:cs="Arial"/>
                <w:b/>
              </w:rPr>
            </w:pPr>
          </w:p>
          <w:p w14:paraId="252B57E8" w14:textId="77777777" w:rsidR="00885BA6" w:rsidRPr="00F00D94" w:rsidRDefault="00885BA6" w:rsidP="00AA09E4">
            <w:pPr>
              <w:widowControl w:val="0"/>
              <w:numPr>
                <w:ilvl w:val="0"/>
                <w:numId w:val="5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AD8250B" w14:textId="77777777" w:rsidR="00885BA6" w:rsidRPr="00F00D94" w:rsidRDefault="00885BA6" w:rsidP="009F1483">
            <w:pPr>
              <w:pStyle w:val="ListParagraph"/>
              <w:spacing w:after="240"/>
              <w:jc w:val="both"/>
              <w:rPr>
                <w:rFonts w:ascii="Arial" w:hAnsi="Arial" w:cs="Arial"/>
                <w:b/>
              </w:rPr>
            </w:pPr>
          </w:p>
          <w:p w14:paraId="2111CE98" w14:textId="77777777" w:rsidR="00885BA6" w:rsidRPr="00F00D94" w:rsidRDefault="00885BA6" w:rsidP="00AA09E4">
            <w:pPr>
              <w:widowControl w:val="0"/>
              <w:numPr>
                <w:ilvl w:val="0"/>
                <w:numId w:val="5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32F6E84" w14:textId="77777777" w:rsidR="00885BA6" w:rsidRPr="00F00D94" w:rsidRDefault="00885BA6" w:rsidP="009F1483">
            <w:pPr>
              <w:pStyle w:val="APStepItem"/>
              <w:numPr>
                <w:ilvl w:val="0"/>
                <w:numId w:val="0"/>
              </w:numPr>
              <w:spacing w:after="240"/>
              <w:rPr>
                <w:rFonts w:cs="Arial"/>
                <w:b/>
              </w:rPr>
            </w:pPr>
          </w:p>
        </w:tc>
      </w:tr>
    </w:tbl>
    <w:p w14:paraId="21F22790" w14:textId="77777777" w:rsidR="008B4BCE" w:rsidRDefault="008B4BCE" w:rsidP="008B4BCE">
      <w:pPr>
        <w:pStyle w:val="Heading2"/>
        <w:jc w:val="both"/>
        <w:rPr>
          <w:rFonts w:cs="Arial"/>
          <w:sz w:val="24"/>
        </w:rPr>
        <w:sectPr w:rsidR="008B4BCE" w:rsidSect="00885BA6">
          <w:headerReference w:type="default" r:id="rId90"/>
          <w:pgSz w:w="12240" w:h="15840" w:code="1"/>
          <w:pgMar w:top="1440" w:right="1440" w:bottom="1440" w:left="1440" w:header="720" w:footer="720" w:gutter="0"/>
          <w:cols w:space="720"/>
          <w:docGrid w:linePitch="360"/>
        </w:sectPr>
      </w:pPr>
    </w:p>
    <w:p w14:paraId="38B296CB" w14:textId="67BE9CEC" w:rsidR="008B4BCE" w:rsidRPr="000706D1" w:rsidRDefault="008B4BCE" w:rsidP="008B4BCE">
      <w:pPr>
        <w:pStyle w:val="Heading2"/>
        <w:jc w:val="both"/>
        <w:rPr>
          <w:rFonts w:cs="Arial"/>
          <w:sz w:val="24"/>
        </w:rPr>
      </w:pPr>
      <w:bookmarkStart w:id="90" w:name="_Toc212473147"/>
      <w:r w:rsidRPr="000706D1">
        <w:rPr>
          <w:rFonts w:cs="Arial"/>
          <w:sz w:val="24"/>
        </w:rPr>
        <w:t>N</w:t>
      </w:r>
      <w:r w:rsidR="005C5BD9">
        <w:rPr>
          <w:rFonts w:cs="Arial"/>
          <w:sz w:val="24"/>
        </w:rPr>
        <w:t>5</w:t>
      </w:r>
      <w:r w:rsidRPr="000706D1">
        <w:rPr>
          <w:rFonts w:cs="Arial"/>
          <w:sz w:val="24"/>
        </w:rPr>
        <w:t>.  SPECIAL TESTS AND PROVISIONS</w:t>
      </w:r>
      <w:r w:rsidR="005C5BD9">
        <w:rPr>
          <w:rFonts w:cs="Arial"/>
          <w:sz w:val="24"/>
        </w:rPr>
        <w:t xml:space="preserve"> – BALANCE SHEET ALLOCATIONS</w:t>
      </w:r>
      <w:bookmarkEnd w:id="90"/>
    </w:p>
    <w:p w14:paraId="364FC097" w14:textId="77777777" w:rsidR="008B4BCE" w:rsidRPr="000706D1" w:rsidRDefault="008B4BCE" w:rsidP="008B4BCE">
      <w:pPr>
        <w:pStyle w:val="Heading3"/>
        <w:jc w:val="both"/>
        <w:rPr>
          <w:rFonts w:cs="Arial"/>
          <w:sz w:val="24"/>
          <w:szCs w:val="24"/>
        </w:rPr>
      </w:pPr>
      <w:bookmarkStart w:id="91" w:name="_Toc212473148"/>
      <w:r w:rsidRPr="000706D1">
        <w:rPr>
          <w:rFonts w:cs="Arial"/>
          <w:sz w:val="24"/>
          <w:szCs w:val="24"/>
        </w:rPr>
        <w:t>OMB Compliance Requirements</w:t>
      </w:r>
      <w:bookmarkEnd w:id="91"/>
    </w:p>
    <w:p w14:paraId="2C9C2857" w14:textId="77777777" w:rsidR="008B4BCE" w:rsidRPr="005C1EBC" w:rsidRDefault="008B4BCE" w:rsidP="008B4BC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7DC45004" w14:textId="77777777" w:rsidR="008B4BCE" w:rsidRPr="00F00D94" w:rsidRDefault="008B4BCE" w:rsidP="008B4BC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6F3EB56B" w14:textId="77777777" w:rsidR="008B4BCE" w:rsidRPr="00F00D94" w:rsidRDefault="008B4BCE" w:rsidP="008B4BCE">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53C2AF66" w14:textId="77777777" w:rsidR="008B4BCE" w:rsidRPr="000706D1" w:rsidRDefault="008B4BCE" w:rsidP="008B4BCE">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62C8A7F" w14:textId="196F1FFD" w:rsidR="000A7411" w:rsidRPr="000A7411" w:rsidRDefault="000A7411" w:rsidP="000A7411">
      <w:pPr>
        <w:spacing w:after="240"/>
        <w:jc w:val="both"/>
        <w:rPr>
          <w:rFonts w:ascii="Arial" w:hAnsi="Arial" w:cs="Arial"/>
          <w:b/>
          <w:highlight w:val="yellow"/>
        </w:rPr>
      </w:pPr>
      <w:r w:rsidRPr="00F93C0A">
        <w:rPr>
          <w:rFonts w:ascii="Arial" w:hAnsi="Arial" w:cs="Arial"/>
        </w:rPr>
        <w:t xml:space="preserve">PHAs implementing asset management using the COCC model must apportion their assets, liabilities, and equities to their projects and COCC at the time of conversion to project-based accounting. Most PHAs have already completed this process; however, some PHAs may still be establishing their COCC for the first time. Assets, liabilities, and associated net assets should be assigned to the applicable project or COCC if a direct relationship exists, including personal and real property. HUD has provided guidance on this subject in Section 4.3 in the </w:t>
      </w:r>
      <w:hyperlink r:id="rId91">
        <w:r w:rsidRPr="00F93C0A">
          <w:rPr>
            <w:rFonts w:ascii="Arial" w:hAnsi="Arial" w:cs="Arial"/>
            <w:color w:val="0000FF"/>
            <w:u w:val="single" w:color="0000FF"/>
          </w:rPr>
          <w:t>Supplement to Handbook 7475.1</w:t>
        </w:r>
      </w:hyperlink>
      <w:r w:rsidRPr="00F93C0A">
        <w:rPr>
          <w:rFonts w:ascii="Arial" w:hAnsi="Arial" w:cs="Arial"/>
          <w:color w:val="0000FF"/>
        </w:rPr>
        <w:t xml:space="preserve"> </w:t>
      </w:r>
      <w:r w:rsidRPr="00F93C0A">
        <w:rPr>
          <w:rFonts w:ascii="Arial" w:hAnsi="Arial" w:cs="Arial"/>
        </w:rPr>
        <w:t>and PIH Notice 2008-17, Guidance on Disposition of Excess Equipment and Non- Dwelling Real Property under Asset Management (24 CFR section 990.280(b)(1)).</w:t>
      </w:r>
    </w:p>
    <w:p w14:paraId="3239DB96" w14:textId="3814A923" w:rsidR="008B4BCE" w:rsidRPr="000A7411" w:rsidRDefault="000A7411" w:rsidP="000A7411">
      <w:pPr>
        <w:spacing w:after="240"/>
        <w:jc w:val="both"/>
        <w:rPr>
          <w:rFonts w:ascii="Arial" w:hAnsi="Arial" w:cs="Arial"/>
          <w:bCs/>
          <w:i/>
          <w:iCs/>
        </w:rPr>
      </w:pPr>
      <w:r w:rsidRPr="006C797F">
        <w:rPr>
          <w:rFonts w:ascii="Arial" w:hAnsi="Arial" w:cs="Arial"/>
          <w:bCs/>
          <w:i/>
          <w:iCs/>
        </w:rPr>
        <w:t>(Source: 202</w:t>
      </w:r>
      <w:r>
        <w:rPr>
          <w:rFonts w:ascii="Arial" w:hAnsi="Arial" w:cs="Arial"/>
          <w:bCs/>
          <w:i/>
          <w:iCs/>
        </w:rPr>
        <w:t>5</w:t>
      </w:r>
      <w:r w:rsidRPr="006C797F">
        <w:rPr>
          <w:rFonts w:ascii="Arial" w:hAnsi="Arial" w:cs="Arial"/>
          <w:bCs/>
          <w:i/>
          <w:iCs/>
        </w:rPr>
        <w:t xml:space="preserve"> OMB Compliance Supplement, Part 4, HUD, #14.850 </w:t>
      </w:r>
      <w:r>
        <w:rPr>
          <w:rFonts w:ascii="Arial" w:hAnsi="Arial" w:cs="Arial"/>
          <w:bCs/>
          <w:i/>
          <w:iCs/>
        </w:rPr>
        <w:t>Public Housing Operating Fund</w:t>
      </w:r>
      <w:r w:rsidRPr="006C797F">
        <w:rPr>
          <w:rFonts w:ascii="Arial" w:hAnsi="Arial" w:cs="Arial"/>
          <w:bCs/>
          <w:i/>
          <w:iCs/>
        </w:rPr>
        <w:t>)</w:t>
      </w:r>
    </w:p>
    <w:p w14:paraId="70A9E7D3" w14:textId="77777777" w:rsidR="008B4BCE" w:rsidRPr="000706D1" w:rsidRDefault="008B4BCE" w:rsidP="008B4BCE">
      <w:pPr>
        <w:pStyle w:val="Heading3"/>
        <w:jc w:val="both"/>
        <w:rPr>
          <w:rFonts w:cs="Arial"/>
          <w:sz w:val="24"/>
          <w:szCs w:val="24"/>
        </w:rPr>
      </w:pPr>
      <w:bookmarkStart w:id="92" w:name="_Toc212473149"/>
      <w:r w:rsidRPr="000706D1">
        <w:rPr>
          <w:rFonts w:cs="Arial"/>
          <w:sz w:val="24"/>
          <w:szCs w:val="24"/>
        </w:rPr>
        <w:t>Additional Program Specific Information</w:t>
      </w:r>
      <w:bookmarkEnd w:id="92"/>
    </w:p>
    <w:p w14:paraId="1AA1F264" w14:textId="77777777" w:rsidR="00A3316B" w:rsidRPr="00AA5B05" w:rsidRDefault="00A3316B" w:rsidP="00A3316B">
      <w:pPr>
        <w:spacing w:after="240"/>
        <w:jc w:val="both"/>
        <w:rPr>
          <w:rFonts w:ascii="Arial" w:hAnsi="Arial" w:cs="Arial"/>
          <w:b/>
          <w:highlight w:val="yellow"/>
        </w:rPr>
      </w:pPr>
      <w:r w:rsidRPr="00AA5B05">
        <w:rPr>
          <w:rFonts w:ascii="Arial" w:hAnsi="Arial" w:cs="Arial"/>
          <w:b/>
          <w:highlight w:val="yellow"/>
        </w:rPr>
        <w:t>Add program specific requirements from:</w:t>
      </w:r>
    </w:p>
    <w:p w14:paraId="51DCB24E" w14:textId="52534DF0" w:rsidR="00A3316B" w:rsidRPr="00AA5B05" w:rsidRDefault="00A3316B" w:rsidP="00A3316B">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1364E4">
        <w:rPr>
          <w:rFonts w:ascii="Arial" w:hAnsi="Arial" w:cs="Arial"/>
          <w:b/>
          <w:highlight w:val="yellow"/>
        </w:rPr>
        <w:t>,</w:t>
      </w:r>
      <w:r>
        <w:rPr>
          <w:rFonts w:ascii="Arial" w:hAnsi="Arial" w:cs="Arial"/>
          <w:b/>
          <w:highlight w:val="yellow"/>
        </w:rPr>
        <w:t xml:space="preserve"> </w:t>
      </w:r>
    </w:p>
    <w:p w14:paraId="1AB13B39" w14:textId="77777777" w:rsidR="00A3316B" w:rsidRPr="00AA5B05" w:rsidRDefault="00A3316B" w:rsidP="00A3316B">
      <w:pPr>
        <w:pStyle w:val="ListParagraph"/>
        <w:numPr>
          <w:ilvl w:val="0"/>
          <w:numId w:val="3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1C39A7DE" w14:textId="77777777" w:rsidR="00A3316B" w:rsidRPr="00AA5B05" w:rsidRDefault="00A3316B" w:rsidP="00A3316B">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6AE99EED" w14:textId="77777777" w:rsidR="00A3316B" w:rsidRPr="00AA5B05" w:rsidRDefault="00A3316B" w:rsidP="00A3316B">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267038D" w14:textId="77777777" w:rsidR="008B4BCE" w:rsidRPr="000706D1" w:rsidRDefault="008B4BCE" w:rsidP="008B4BCE">
      <w:pPr>
        <w:pStyle w:val="Heading3"/>
        <w:jc w:val="both"/>
        <w:rPr>
          <w:rFonts w:cs="Arial"/>
          <w:sz w:val="24"/>
          <w:szCs w:val="24"/>
        </w:rPr>
      </w:pPr>
      <w:bookmarkStart w:id="93" w:name="_Toc212473150"/>
      <w:r w:rsidRPr="000706D1">
        <w:rPr>
          <w:rFonts w:cs="Arial"/>
          <w:sz w:val="24"/>
          <w:szCs w:val="24"/>
        </w:rPr>
        <w:t>Audit Objectives and Control Testing</w:t>
      </w:r>
      <w:bookmarkEnd w:id="93"/>
    </w:p>
    <w:p w14:paraId="75001B93" w14:textId="77777777" w:rsidR="008B4BCE" w:rsidRPr="00F00D94" w:rsidRDefault="008B4BCE" w:rsidP="008B4BCE">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02ED136" w14:textId="77777777" w:rsidR="008B4BCE" w:rsidRPr="00F00D94" w:rsidRDefault="008B4BCE" w:rsidP="008B4BCE">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F1CD35E" w14:textId="77777777" w:rsidR="008B4BCE" w:rsidRDefault="008B4BCE" w:rsidP="008B4BCE">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4FE59351" w14:textId="29E3BFA0" w:rsidR="008B4BCE" w:rsidRPr="000A7411" w:rsidRDefault="000A7411" w:rsidP="000A7411">
      <w:pPr>
        <w:pStyle w:val="ListParagraph"/>
        <w:numPr>
          <w:ilvl w:val="0"/>
          <w:numId w:val="52"/>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0A7411">
        <w:rPr>
          <w:rFonts w:ascii="Arial" w:hAnsi="Arial" w:cs="Arial"/>
        </w:rPr>
        <w:t>Determine if PHAs have apportioned their assets, liabilities, and equity between the projects and COCC.</w:t>
      </w:r>
    </w:p>
    <w:p w14:paraId="14FAA46E" w14:textId="504B9B2A" w:rsidR="000A7411" w:rsidRPr="000A7411" w:rsidRDefault="000A7411" w:rsidP="000A7411">
      <w:pPr>
        <w:spacing w:after="240"/>
        <w:jc w:val="both"/>
        <w:rPr>
          <w:rFonts w:ascii="Arial" w:hAnsi="Arial" w:cs="Arial"/>
          <w:bCs/>
          <w:i/>
          <w:iCs/>
        </w:rPr>
      </w:pPr>
      <w:r w:rsidRPr="000A7411">
        <w:rPr>
          <w:rFonts w:ascii="Arial" w:hAnsi="Arial" w:cs="Arial"/>
          <w:bCs/>
          <w:i/>
          <w:iCs/>
        </w:rPr>
        <w:t>(Source: 202</w:t>
      </w:r>
      <w:r>
        <w:rPr>
          <w:rFonts w:ascii="Arial" w:hAnsi="Arial" w:cs="Arial"/>
          <w:bCs/>
          <w:i/>
          <w:iCs/>
        </w:rPr>
        <w:t>5</w:t>
      </w:r>
      <w:r w:rsidRPr="000A7411">
        <w:rPr>
          <w:rFonts w:ascii="Arial" w:hAnsi="Arial" w:cs="Arial"/>
          <w:bCs/>
          <w:i/>
          <w:iCs/>
        </w:rPr>
        <w:t xml:space="preserve"> OMB Compliance Supplement, Part 4, HUD, #14.850 Public Housing Operating Fund)</w:t>
      </w:r>
    </w:p>
    <w:p w14:paraId="35515FEC" w14:textId="77777777" w:rsidR="008B4BCE" w:rsidRPr="00634FA3" w:rsidRDefault="008B4BCE" w:rsidP="008B4BCE">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8B4BCE" w:rsidRPr="00F00D94" w14:paraId="01CBF7DB" w14:textId="77777777" w:rsidTr="009F1483">
        <w:tc>
          <w:tcPr>
            <w:tcW w:w="5000" w:type="pct"/>
          </w:tcPr>
          <w:p w14:paraId="0DD99DE1" w14:textId="77777777" w:rsidR="008B4BCE" w:rsidRPr="006F5FFA" w:rsidRDefault="008B4BCE" w:rsidP="009F148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08A7C9A" w14:textId="77777777" w:rsidR="008B4BCE" w:rsidRPr="00F00D94" w:rsidRDefault="008B4BCE" w:rsidP="009F148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BDB252C" w14:textId="77777777" w:rsidR="008B4BCE" w:rsidRPr="00F00D94" w:rsidRDefault="008B4BCE" w:rsidP="009F1483">
            <w:pPr>
              <w:pStyle w:val="AuditProcedureHeading"/>
              <w:spacing w:after="240"/>
              <w:jc w:val="both"/>
              <w:rPr>
                <w:rFonts w:cs="Arial"/>
                <w:b/>
                <w:bCs/>
                <w:szCs w:val="20"/>
                <w:u w:val="single"/>
              </w:rPr>
            </w:pPr>
          </w:p>
          <w:p w14:paraId="712DBAF5" w14:textId="77777777" w:rsidR="008B4BCE" w:rsidRPr="00F00D94" w:rsidRDefault="008B4BCE" w:rsidP="009F148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6A4F21" w14:textId="77777777" w:rsidR="008B4BCE" w:rsidRPr="00F00D94" w:rsidRDefault="008B4BCE" w:rsidP="009F1483">
            <w:pPr>
              <w:pStyle w:val="AuditProcedureHeading"/>
              <w:spacing w:after="240"/>
              <w:jc w:val="both"/>
              <w:rPr>
                <w:rFonts w:cs="Arial"/>
                <w:b/>
                <w:bCs/>
                <w:szCs w:val="20"/>
                <w:u w:val="single"/>
              </w:rPr>
            </w:pPr>
          </w:p>
          <w:p w14:paraId="436A5DDC" w14:textId="77777777" w:rsidR="008B4BCE" w:rsidRPr="00F00D94" w:rsidRDefault="008B4BCE" w:rsidP="009F148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9F9597" w14:textId="77777777" w:rsidR="008B4BCE" w:rsidRPr="00F00D94" w:rsidRDefault="008B4BCE" w:rsidP="009F1483">
            <w:pPr>
              <w:spacing w:after="240"/>
              <w:jc w:val="both"/>
              <w:rPr>
                <w:rFonts w:ascii="Arial" w:hAnsi="Arial" w:cs="Arial"/>
                <w:b/>
                <w:sz w:val="20"/>
                <w:u w:val="single"/>
              </w:rPr>
            </w:pPr>
          </w:p>
          <w:p w14:paraId="1F3ABC71" w14:textId="77777777" w:rsidR="008B4BCE" w:rsidRPr="00F00D94" w:rsidRDefault="008B4BCE" w:rsidP="009F148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B5BF4D2" w14:textId="77777777" w:rsidR="008B4BCE" w:rsidRPr="00C35E5F" w:rsidRDefault="008B4BCE" w:rsidP="009F1483">
            <w:pPr>
              <w:spacing w:after="240"/>
              <w:jc w:val="both"/>
              <w:rPr>
                <w:rFonts w:ascii="Arial" w:eastAsiaTheme="minorHAnsi" w:hAnsi="Arial" w:cs="Arial"/>
                <w:sz w:val="20"/>
                <w:szCs w:val="20"/>
              </w:rPr>
            </w:pPr>
          </w:p>
        </w:tc>
      </w:tr>
    </w:tbl>
    <w:p w14:paraId="08F03EB0" w14:textId="77777777" w:rsidR="008B4BCE" w:rsidRPr="00F00D94" w:rsidRDefault="008B4BCE" w:rsidP="008B4BCE">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03A1AD47" w14:textId="77777777" w:rsidR="008B4BCE" w:rsidRPr="000706D1" w:rsidRDefault="008B4BCE" w:rsidP="008B4BCE">
      <w:pPr>
        <w:pStyle w:val="Heading3"/>
        <w:jc w:val="both"/>
        <w:rPr>
          <w:rFonts w:cs="Arial"/>
          <w:sz w:val="24"/>
          <w:szCs w:val="24"/>
        </w:rPr>
      </w:pPr>
      <w:bookmarkStart w:id="94" w:name="_Toc212473151"/>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94"/>
    </w:p>
    <w:tbl>
      <w:tblPr>
        <w:tblStyle w:val="TableGrid"/>
        <w:tblW w:w="9558" w:type="dxa"/>
        <w:tblLayout w:type="fixed"/>
        <w:tblLook w:val="04A0" w:firstRow="1" w:lastRow="0" w:firstColumn="1" w:lastColumn="0" w:noHBand="0" w:noVBand="1"/>
      </w:tblPr>
      <w:tblGrid>
        <w:gridCol w:w="9558"/>
      </w:tblGrid>
      <w:tr w:rsidR="008B4BCE" w:rsidRPr="00F00D94" w14:paraId="6ED6253A" w14:textId="77777777" w:rsidTr="009F1483">
        <w:tc>
          <w:tcPr>
            <w:tcW w:w="9558" w:type="dxa"/>
          </w:tcPr>
          <w:p w14:paraId="6C811DE6" w14:textId="77777777" w:rsidR="008B4BCE" w:rsidRDefault="008B4BCE" w:rsidP="009F1483">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3064FC71" w14:textId="77777777" w:rsidR="008B4BCE" w:rsidRPr="00AC7B25" w:rsidRDefault="008B4BCE" w:rsidP="009F1483">
            <w:pPr>
              <w:spacing w:after="240"/>
              <w:jc w:val="both"/>
              <w:rPr>
                <w:rFonts w:ascii="Arial" w:hAnsi="Arial" w:cs="Arial"/>
                <w:i/>
                <w:sz w:val="20"/>
                <w:szCs w:val="20"/>
              </w:rPr>
            </w:pPr>
            <w:r>
              <w:rPr>
                <w:rFonts w:ascii="Arial" w:hAnsi="Arial" w:cs="Arial"/>
                <w:i/>
                <w:sz w:val="20"/>
                <w:szCs w:val="20"/>
              </w:rPr>
              <w:t>(Source: 2025 OMB Compliance Supplement Part 3.2)</w:t>
            </w:r>
          </w:p>
          <w:p w14:paraId="7ABDCBC8" w14:textId="77777777" w:rsidR="0062713F" w:rsidRPr="0062713F" w:rsidRDefault="0062713F" w:rsidP="0062713F">
            <w:pPr>
              <w:pStyle w:val="ListParagraph"/>
              <w:widowControl w:val="0"/>
              <w:numPr>
                <w:ilvl w:val="2"/>
                <w:numId w:val="84"/>
              </w:numPr>
              <w:tabs>
                <w:tab w:val="left" w:pos="793"/>
              </w:tabs>
              <w:suppressAutoHyphens w:val="0"/>
              <w:adjustRightInd/>
              <w:ind w:left="703" w:hanging="703"/>
              <w:jc w:val="both"/>
              <w:rPr>
                <w:rFonts w:ascii="Arial" w:hAnsi="Arial" w:cs="Arial"/>
                <w:sz w:val="20"/>
                <w:szCs w:val="20"/>
              </w:rPr>
            </w:pPr>
            <w:r w:rsidRPr="0062713F">
              <w:rPr>
                <w:rFonts w:ascii="Arial" w:hAnsi="Arial" w:cs="Arial"/>
                <w:sz w:val="20"/>
                <w:szCs w:val="20"/>
              </w:rPr>
              <w:t>Select a sample of assets, liabilities, and</w:t>
            </w:r>
            <w:r w:rsidRPr="0062713F">
              <w:rPr>
                <w:rFonts w:ascii="Arial" w:hAnsi="Arial" w:cs="Arial"/>
                <w:spacing w:val="-12"/>
                <w:sz w:val="20"/>
                <w:szCs w:val="20"/>
              </w:rPr>
              <w:t xml:space="preserve"> </w:t>
            </w:r>
            <w:r w:rsidRPr="0062713F">
              <w:rPr>
                <w:rFonts w:ascii="Arial" w:hAnsi="Arial" w:cs="Arial"/>
                <w:spacing w:val="-3"/>
                <w:sz w:val="20"/>
                <w:szCs w:val="20"/>
              </w:rPr>
              <w:t>equities.</w:t>
            </w:r>
          </w:p>
          <w:p w14:paraId="5E3F9FE1" w14:textId="77777777" w:rsidR="0062713F" w:rsidRPr="0062713F" w:rsidRDefault="0062713F" w:rsidP="0062713F">
            <w:pPr>
              <w:pStyle w:val="BodyText"/>
              <w:tabs>
                <w:tab w:val="left" w:pos="793"/>
              </w:tabs>
              <w:ind w:left="703" w:hanging="703"/>
              <w:jc w:val="both"/>
              <w:rPr>
                <w:rFonts w:ascii="Arial" w:hAnsi="Arial" w:cs="Arial"/>
                <w:sz w:val="20"/>
                <w:szCs w:val="20"/>
              </w:rPr>
            </w:pPr>
          </w:p>
          <w:p w14:paraId="2D353F9D" w14:textId="5883D814" w:rsidR="008B4BCE" w:rsidRPr="001B6A61" w:rsidRDefault="0062713F" w:rsidP="0062713F">
            <w:pPr>
              <w:pStyle w:val="ListParagraph"/>
              <w:widowControl w:val="0"/>
              <w:numPr>
                <w:ilvl w:val="2"/>
                <w:numId w:val="84"/>
              </w:numPr>
              <w:tabs>
                <w:tab w:val="left" w:pos="793"/>
              </w:tabs>
              <w:suppressAutoHyphens w:val="0"/>
              <w:adjustRightInd/>
              <w:ind w:left="703" w:hanging="703"/>
              <w:jc w:val="both"/>
              <w:rPr>
                <w:rFonts w:ascii="Arial" w:hAnsi="Arial" w:cs="Arial"/>
                <w:b/>
                <w:bCs/>
                <w:sz w:val="20"/>
              </w:rPr>
            </w:pPr>
            <w:r w:rsidRPr="0062713F">
              <w:rPr>
                <w:rFonts w:ascii="Arial" w:hAnsi="Arial" w:cs="Arial"/>
                <w:sz w:val="20"/>
                <w:szCs w:val="20"/>
              </w:rPr>
              <w:t>Determine that they were appropriately allocated to projects and</w:t>
            </w:r>
            <w:r w:rsidRPr="0062713F">
              <w:rPr>
                <w:rFonts w:ascii="Arial" w:hAnsi="Arial" w:cs="Arial"/>
                <w:spacing w:val="-23"/>
                <w:sz w:val="20"/>
                <w:szCs w:val="20"/>
              </w:rPr>
              <w:t xml:space="preserve"> </w:t>
            </w:r>
            <w:r w:rsidRPr="0062713F">
              <w:rPr>
                <w:rFonts w:ascii="Arial" w:hAnsi="Arial" w:cs="Arial"/>
                <w:spacing w:val="-3"/>
                <w:sz w:val="20"/>
                <w:szCs w:val="20"/>
              </w:rPr>
              <w:t>COCC.</w:t>
            </w:r>
          </w:p>
        </w:tc>
      </w:tr>
    </w:tbl>
    <w:p w14:paraId="285F0EF1" w14:textId="77777777" w:rsidR="008B4BCE" w:rsidRPr="00F00D94" w:rsidRDefault="008B4BCE" w:rsidP="008B4BCE">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61CD0A8A" w14:textId="77777777" w:rsidR="008B4BCE" w:rsidRPr="000706D1" w:rsidRDefault="008B4BCE" w:rsidP="008B4BCE">
      <w:pPr>
        <w:pStyle w:val="Heading3"/>
        <w:jc w:val="both"/>
        <w:rPr>
          <w:rFonts w:cs="Arial"/>
          <w:b w:val="0"/>
          <w:sz w:val="24"/>
          <w:szCs w:val="24"/>
        </w:rPr>
      </w:pPr>
      <w:bookmarkStart w:id="95" w:name="_Toc212473152"/>
      <w:r w:rsidRPr="000706D1">
        <w:rPr>
          <w:rFonts w:cs="Arial"/>
          <w:sz w:val="24"/>
          <w:szCs w:val="24"/>
        </w:rPr>
        <w:t>Audit Implications Summary</w:t>
      </w:r>
      <w:bookmarkEnd w:id="95"/>
    </w:p>
    <w:tbl>
      <w:tblPr>
        <w:tblStyle w:val="TableGrid"/>
        <w:tblW w:w="5000" w:type="pct"/>
        <w:tblLook w:val="04A0" w:firstRow="1" w:lastRow="0" w:firstColumn="1" w:lastColumn="0" w:noHBand="0" w:noVBand="1"/>
      </w:tblPr>
      <w:tblGrid>
        <w:gridCol w:w="9350"/>
      </w:tblGrid>
      <w:tr w:rsidR="008B4BCE" w:rsidRPr="00F00D94" w14:paraId="6443DA22" w14:textId="77777777" w:rsidTr="009F1483">
        <w:tc>
          <w:tcPr>
            <w:tcW w:w="5000" w:type="pct"/>
          </w:tcPr>
          <w:p w14:paraId="121A4BEB" w14:textId="77777777" w:rsidR="008B4BCE" w:rsidRDefault="008B4BCE" w:rsidP="009F148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5DF2C8C" w14:textId="77777777" w:rsidR="008B4BCE" w:rsidRPr="006E46AD" w:rsidRDefault="008B4BCE" w:rsidP="009F1483">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DBCB6D9" w14:textId="77777777" w:rsidR="008B4BCE" w:rsidRPr="006E46AD" w:rsidRDefault="008B4BCE" w:rsidP="000A7411">
            <w:pPr>
              <w:pStyle w:val="ListParagraph"/>
              <w:widowControl w:val="0"/>
              <w:numPr>
                <w:ilvl w:val="0"/>
                <w:numId w:val="53"/>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3BBF8151" w14:textId="77777777" w:rsidR="008B4BCE" w:rsidRPr="006E46AD" w:rsidRDefault="008B4BCE" w:rsidP="009F1483">
            <w:pPr>
              <w:widowControl w:val="0"/>
              <w:spacing w:after="240"/>
              <w:ind w:left="720"/>
              <w:jc w:val="both"/>
              <w:rPr>
                <w:rFonts w:ascii="Arial" w:hAnsi="Arial" w:cs="Arial"/>
                <w:b/>
                <w:sz w:val="20"/>
                <w:szCs w:val="20"/>
              </w:rPr>
            </w:pPr>
          </w:p>
          <w:p w14:paraId="3CD0DC23" w14:textId="77777777" w:rsidR="008B4BCE" w:rsidRPr="006E46AD" w:rsidRDefault="008B4BCE" w:rsidP="000A7411">
            <w:pPr>
              <w:widowControl w:val="0"/>
              <w:numPr>
                <w:ilvl w:val="0"/>
                <w:numId w:val="5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39A1125" w14:textId="77777777" w:rsidR="008B4BCE" w:rsidRPr="00F00D94" w:rsidRDefault="008B4BCE" w:rsidP="009F1483">
            <w:pPr>
              <w:pStyle w:val="ListParagraph"/>
              <w:spacing w:after="240"/>
              <w:jc w:val="both"/>
              <w:rPr>
                <w:rFonts w:ascii="Arial" w:hAnsi="Arial" w:cs="Arial"/>
                <w:b/>
              </w:rPr>
            </w:pPr>
          </w:p>
          <w:p w14:paraId="38907788" w14:textId="77777777" w:rsidR="008B4BCE" w:rsidRPr="00F00D94" w:rsidRDefault="008B4BCE" w:rsidP="000A7411">
            <w:pPr>
              <w:widowControl w:val="0"/>
              <w:numPr>
                <w:ilvl w:val="0"/>
                <w:numId w:val="53"/>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19467400" w14:textId="77777777" w:rsidR="008B4BCE" w:rsidRPr="00F00D94" w:rsidRDefault="008B4BCE" w:rsidP="009F1483">
            <w:pPr>
              <w:pStyle w:val="ListParagraph"/>
              <w:spacing w:after="240"/>
              <w:jc w:val="both"/>
              <w:rPr>
                <w:rFonts w:ascii="Arial" w:hAnsi="Arial" w:cs="Arial"/>
                <w:b/>
              </w:rPr>
            </w:pPr>
          </w:p>
          <w:p w14:paraId="3EDCE470" w14:textId="77777777" w:rsidR="008B4BCE" w:rsidRPr="00F00D94" w:rsidRDefault="008B4BCE" w:rsidP="000A7411">
            <w:pPr>
              <w:widowControl w:val="0"/>
              <w:numPr>
                <w:ilvl w:val="0"/>
                <w:numId w:val="5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3B347E9F" w14:textId="77777777" w:rsidR="008B4BCE" w:rsidRPr="00F00D94" w:rsidRDefault="008B4BCE" w:rsidP="009F1483">
            <w:pPr>
              <w:pStyle w:val="ListParagraph"/>
              <w:spacing w:after="240"/>
              <w:jc w:val="both"/>
              <w:rPr>
                <w:rFonts w:ascii="Arial" w:hAnsi="Arial" w:cs="Arial"/>
                <w:b/>
              </w:rPr>
            </w:pPr>
          </w:p>
          <w:p w14:paraId="67EA5CBF" w14:textId="77777777" w:rsidR="008B4BCE" w:rsidRPr="00F00D94" w:rsidRDefault="008B4BCE" w:rsidP="000A7411">
            <w:pPr>
              <w:widowControl w:val="0"/>
              <w:numPr>
                <w:ilvl w:val="0"/>
                <w:numId w:val="5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4F4F410" w14:textId="77777777" w:rsidR="008B4BCE" w:rsidRPr="00F00D94" w:rsidRDefault="008B4BCE" w:rsidP="009F1483">
            <w:pPr>
              <w:pStyle w:val="APStepItem"/>
              <w:numPr>
                <w:ilvl w:val="0"/>
                <w:numId w:val="0"/>
              </w:numPr>
              <w:spacing w:after="240"/>
              <w:rPr>
                <w:rFonts w:cs="Arial"/>
                <w:b/>
              </w:rPr>
            </w:pPr>
          </w:p>
        </w:tc>
      </w:tr>
    </w:tbl>
    <w:p w14:paraId="6A253B9F" w14:textId="77777777" w:rsidR="008B4BCE" w:rsidRDefault="008B4BCE" w:rsidP="008B4BCE">
      <w:pPr>
        <w:pStyle w:val="Heading2"/>
        <w:jc w:val="both"/>
        <w:rPr>
          <w:rFonts w:cs="Arial"/>
          <w:sz w:val="24"/>
        </w:rPr>
        <w:sectPr w:rsidR="008B4BCE" w:rsidSect="00885BA6">
          <w:headerReference w:type="default" r:id="rId93"/>
          <w:pgSz w:w="12240" w:h="15840" w:code="1"/>
          <w:pgMar w:top="1440" w:right="1440" w:bottom="1440" w:left="1440" w:header="720" w:footer="720" w:gutter="0"/>
          <w:cols w:space="720"/>
          <w:docGrid w:linePitch="360"/>
        </w:sectPr>
      </w:pPr>
    </w:p>
    <w:p w14:paraId="652B5F00" w14:textId="68370F14" w:rsidR="008B4BCE" w:rsidRPr="000706D1" w:rsidRDefault="008B4BCE" w:rsidP="008B4BCE">
      <w:pPr>
        <w:pStyle w:val="Heading2"/>
        <w:jc w:val="both"/>
        <w:rPr>
          <w:rFonts w:cs="Arial"/>
          <w:sz w:val="24"/>
        </w:rPr>
      </w:pPr>
      <w:bookmarkStart w:id="96" w:name="_Toc212473153"/>
      <w:r w:rsidRPr="000706D1">
        <w:rPr>
          <w:rFonts w:cs="Arial"/>
          <w:sz w:val="24"/>
        </w:rPr>
        <w:t>N</w:t>
      </w:r>
      <w:r w:rsidR="00031514">
        <w:rPr>
          <w:rFonts w:cs="Arial"/>
          <w:sz w:val="24"/>
        </w:rPr>
        <w:t>6</w:t>
      </w:r>
      <w:r w:rsidRPr="000706D1">
        <w:rPr>
          <w:rFonts w:cs="Arial"/>
          <w:sz w:val="24"/>
        </w:rPr>
        <w:t>.  SPECIAL TESTS AND PROVISIONS</w:t>
      </w:r>
      <w:r w:rsidR="00031514">
        <w:rPr>
          <w:rFonts w:cs="Arial"/>
          <w:sz w:val="24"/>
        </w:rPr>
        <w:t xml:space="preserve"> – FEES CHARGED FOR CENTRALIZED SERVICES</w:t>
      </w:r>
      <w:bookmarkEnd w:id="96"/>
    </w:p>
    <w:p w14:paraId="4BE88201" w14:textId="77777777" w:rsidR="008B4BCE" w:rsidRPr="000706D1" w:rsidRDefault="008B4BCE" w:rsidP="008B4BCE">
      <w:pPr>
        <w:pStyle w:val="Heading3"/>
        <w:jc w:val="both"/>
        <w:rPr>
          <w:rFonts w:cs="Arial"/>
          <w:sz w:val="24"/>
          <w:szCs w:val="24"/>
        </w:rPr>
      </w:pPr>
      <w:bookmarkStart w:id="97" w:name="_Toc212473154"/>
      <w:r w:rsidRPr="000706D1">
        <w:rPr>
          <w:rFonts w:cs="Arial"/>
          <w:sz w:val="24"/>
          <w:szCs w:val="24"/>
        </w:rPr>
        <w:t>OMB Compliance Requirements</w:t>
      </w:r>
      <w:bookmarkEnd w:id="97"/>
    </w:p>
    <w:p w14:paraId="31D035A2" w14:textId="77777777" w:rsidR="008B4BCE" w:rsidRPr="005C1EBC" w:rsidRDefault="008B4BCE" w:rsidP="008B4BC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1BA65674" w14:textId="77777777" w:rsidR="008B4BCE" w:rsidRPr="00F00D94" w:rsidRDefault="008B4BCE" w:rsidP="008B4BC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574F685F" w14:textId="77777777" w:rsidR="008B4BCE" w:rsidRPr="00F00D94" w:rsidRDefault="008B4BCE" w:rsidP="008B4BCE">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1C63E240" w14:textId="77777777" w:rsidR="008B4BCE" w:rsidRPr="000706D1" w:rsidRDefault="008B4BCE" w:rsidP="008B4BCE">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CE18678" w14:textId="388291A5" w:rsidR="00031514" w:rsidRPr="00F93C0A" w:rsidRDefault="00031514" w:rsidP="00031514">
      <w:pPr>
        <w:spacing w:after="240"/>
        <w:jc w:val="both"/>
        <w:rPr>
          <w:rFonts w:ascii="Arial" w:hAnsi="Arial" w:cs="Arial"/>
        </w:rPr>
      </w:pPr>
      <w:r w:rsidRPr="00F93C0A">
        <w:rPr>
          <w:rFonts w:ascii="Arial" w:hAnsi="Arial" w:cs="Arial"/>
        </w:rPr>
        <w:t xml:space="preserve">In the case where a COCC chooses to centralize functions that directly support a project (e.g., central maintenance), it must charge each project using a fee-for-service approach, with the exception of charges for rent collections, resident services, security/protective services, waiting lists, and work-order processing (see Section 7.10 of the </w:t>
      </w:r>
      <w:hyperlink r:id="rId94">
        <w:r w:rsidRPr="00F93C0A">
          <w:rPr>
            <w:rFonts w:ascii="Arial" w:hAnsi="Arial" w:cs="Arial"/>
            <w:color w:val="0000FF"/>
            <w:u w:val="single" w:color="0000FF"/>
          </w:rPr>
          <w:t>Supplement to Handbook 7475.1</w:t>
        </w:r>
      </w:hyperlink>
      <w:r w:rsidRPr="00F93C0A">
        <w:rPr>
          <w:rFonts w:ascii="Arial" w:hAnsi="Arial" w:cs="Arial"/>
        </w:rPr>
        <w:t>). Each project must be charged for the services received and only to the extent that such amounts are reasonable. Guidance on fee reasonableness for centralized service fees is provided in Section 7.10 in the Supplement to HUD Handbook 7475.1. HUD considers any fees that are within HUD guidance to be reasonable. PHAs are requested to consult with HUD regarding any fees that depart from HUD guidance, and HUD will provide its view on the reasonableness of the fees. Any fees above the HUD guidelines that have not been approved by HUD must be reviewed in detail to determine if the additional costs are justified by local conditions or other factors (24 CFR section 990.280(d)).</w:t>
      </w:r>
    </w:p>
    <w:p w14:paraId="68DA15DA" w14:textId="2583340A" w:rsidR="008B4BCE" w:rsidRPr="00031514" w:rsidRDefault="00031514" w:rsidP="00031514">
      <w:pPr>
        <w:spacing w:after="240"/>
        <w:jc w:val="both"/>
        <w:rPr>
          <w:rFonts w:ascii="Arial" w:hAnsi="Arial" w:cs="Arial"/>
          <w:bCs/>
          <w:i/>
          <w:iCs/>
        </w:rPr>
      </w:pPr>
      <w:r w:rsidRPr="006C797F">
        <w:rPr>
          <w:rFonts w:ascii="Arial" w:hAnsi="Arial" w:cs="Arial"/>
          <w:bCs/>
          <w:i/>
          <w:iCs/>
        </w:rPr>
        <w:t>(Source: 202</w:t>
      </w:r>
      <w:r>
        <w:rPr>
          <w:rFonts w:ascii="Arial" w:hAnsi="Arial" w:cs="Arial"/>
          <w:bCs/>
          <w:i/>
          <w:iCs/>
        </w:rPr>
        <w:t>5</w:t>
      </w:r>
      <w:r w:rsidRPr="006C797F">
        <w:rPr>
          <w:rFonts w:ascii="Arial" w:hAnsi="Arial" w:cs="Arial"/>
          <w:bCs/>
          <w:i/>
          <w:iCs/>
        </w:rPr>
        <w:t xml:space="preserve"> OMB Compliance Supplement, Part 4, HUD, #14.850 </w:t>
      </w:r>
      <w:r>
        <w:rPr>
          <w:rFonts w:ascii="Arial" w:hAnsi="Arial" w:cs="Arial"/>
          <w:bCs/>
          <w:i/>
          <w:iCs/>
        </w:rPr>
        <w:t>Public Housing Operating Fund</w:t>
      </w:r>
      <w:r w:rsidRPr="006C797F">
        <w:rPr>
          <w:rFonts w:ascii="Arial" w:hAnsi="Arial" w:cs="Arial"/>
          <w:bCs/>
          <w:i/>
          <w:iCs/>
        </w:rPr>
        <w:t>)</w:t>
      </w:r>
    </w:p>
    <w:p w14:paraId="11852DE8" w14:textId="77777777" w:rsidR="008B4BCE" w:rsidRPr="000706D1" w:rsidRDefault="008B4BCE" w:rsidP="008B4BCE">
      <w:pPr>
        <w:pStyle w:val="Heading3"/>
        <w:jc w:val="both"/>
        <w:rPr>
          <w:rFonts w:cs="Arial"/>
          <w:sz w:val="24"/>
          <w:szCs w:val="24"/>
        </w:rPr>
      </w:pPr>
      <w:bookmarkStart w:id="98" w:name="_Toc212473155"/>
      <w:r w:rsidRPr="000706D1">
        <w:rPr>
          <w:rFonts w:cs="Arial"/>
          <w:sz w:val="24"/>
          <w:szCs w:val="24"/>
        </w:rPr>
        <w:t>Additional Program Specific Information</w:t>
      </w:r>
      <w:bookmarkEnd w:id="98"/>
    </w:p>
    <w:p w14:paraId="3D3ECB5D" w14:textId="77777777" w:rsidR="008B4BCE" w:rsidRPr="00AA5B05" w:rsidRDefault="008B4BCE" w:rsidP="008B4BCE">
      <w:pPr>
        <w:spacing w:after="240"/>
        <w:jc w:val="both"/>
        <w:rPr>
          <w:rFonts w:ascii="Arial" w:hAnsi="Arial" w:cs="Arial"/>
          <w:b/>
          <w:highlight w:val="yellow"/>
        </w:rPr>
      </w:pPr>
      <w:r w:rsidRPr="00AA5B05">
        <w:rPr>
          <w:rFonts w:ascii="Arial" w:hAnsi="Arial" w:cs="Arial"/>
          <w:b/>
          <w:highlight w:val="yellow"/>
        </w:rPr>
        <w:t>Add program specific requirements from:</w:t>
      </w:r>
    </w:p>
    <w:p w14:paraId="2D0C7D76" w14:textId="728CB806" w:rsidR="008B4BCE" w:rsidRPr="00AA5B05" w:rsidRDefault="008B4BCE" w:rsidP="008B4BCE">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1364E4">
        <w:rPr>
          <w:rFonts w:ascii="Arial" w:hAnsi="Arial" w:cs="Arial"/>
          <w:b/>
          <w:highlight w:val="yellow"/>
        </w:rPr>
        <w:t>,</w:t>
      </w:r>
      <w:r w:rsidR="00031514">
        <w:rPr>
          <w:rFonts w:ascii="Arial" w:hAnsi="Arial" w:cs="Arial"/>
          <w:b/>
          <w:highlight w:val="yellow"/>
        </w:rPr>
        <w:t xml:space="preserve"> </w:t>
      </w:r>
    </w:p>
    <w:p w14:paraId="5335E711" w14:textId="77777777" w:rsidR="008B4BCE" w:rsidRPr="00AA5B05" w:rsidRDefault="008B4BCE" w:rsidP="008B4BCE">
      <w:pPr>
        <w:pStyle w:val="ListParagraph"/>
        <w:numPr>
          <w:ilvl w:val="0"/>
          <w:numId w:val="3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55EE50CA" w14:textId="77777777" w:rsidR="008B4BCE" w:rsidRPr="00AA5B05" w:rsidRDefault="008B4BCE" w:rsidP="008B4BCE">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329E3884" w14:textId="77777777" w:rsidR="008B4BCE" w:rsidRPr="00AA5B05" w:rsidRDefault="008B4BCE" w:rsidP="008B4BCE">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AEADF57" w14:textId="77777777" w:rsidR="008B4BCE" w:rsidRPr="000706D1" w:rsidRDefault="008B4BCE" w:rsidP="008B4BCE">
      <w:pPr>
        <w:pStyle w:val="Heading3"/>
        <w:jc w:val="both"/>
        <w:rPr>
          <w:rFonts w:cs="Arial"/>
          <w:sz w:val="24"/>
          <w:szCs w:val="24"/>
        </w:rPr>
      </w:pPr>
      <w:bookmarkStart w:id="99" w:name="_Toc212473156"/>
      <w:r w:rsidRPr="000706D1">
        <w:rPr>
          <w:rFonts w:cs="Arial"/>
          <w:sz w:val="24"/>
          <w:szCs w:val="24"/>
        </w:rPr>
        <w:t>Audit Objectives and Control Testing</w:t>
      </w:r>
      <w:bookmarkEnd w:id="99"/>
    </w:p>
    <w:p w14:paraId="1F870013" w14:textId="77777777" w:rsidR="008B4BCE" w:rsidRPr="00F00D94" w:rsidRDefault="008B4BCE" w:rsidP="008B4BCE">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1A88EF" w14:textId="77777777" w:rsidR="008B4BCE" w:rsidRPr="00F00D94" w:rsidRDefault="008B4BCE" w:rsidP="008B4BCE">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2A03FCDC" w14:textId="77777777" w:rsidR="008B4BCE" w:rsidRPr="00A3316B" w:rsidRDefault="008B4BCE" w:rsidP="008B4BCE">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A3316B">
        <w:rPr>
          <w:rFonts w:ascii="Arial" w:hAnsi="Arial" w:cs="Arial"/>
          <w:i/>
        </w:rPr>
        <w:t>(Source: 2025 OMB Compliance Supplement Part 3.2)</w:t>
      </w:r>
    </w:p>
    <w:p w14:paraId="4637B2B2" w14:textId="70519946" w:rsidR="00A3316B" w:rsidRPr="00A3316B" w:rsidRDefault="00A3316B" w:rsidP="00A3316B">
      <w:pPr>
        <w:pStyle w:val="ListParagraph"/>
        <w:numPr>
          <w:ilvl w:val="0"/>
          <w:numId w:val="54"/>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A3316B">
        <w:rPr>
          <w:rFonts w:ascii="Arial" w:hAnsi="Arial" w:cs="Arial"/>
        </w:rPr>
        <w:t>Determine whether the fees charged by the COCC to the project for centralized maintenance and inspections are reasonable.</w:t>
      </w:r>
    </w:p>
    <w:p w14:paraId="51D98047" w14:textId="4DB58040" w:rsidR="00A3316B" w:rsidRPr="00A3316B" w:rsidRDefault="00A3316B" w:rsidP="00A3316B">
      <w:pPr>
        <w:spacing w:after="240"/>
        <w:jc w:val="both"/>
        <w:rPr>
          <w:rFonts w:ascii="Arial" w:hAnsi="Arial" w:cs="Arial"/>
          <w:bCs/>
          <w:i/>
          <w:iCs/>
        </w:rPr>
      </w:pPr>
      <w:r w:rsidRPr="00A3316B">
        <w:rPr>
          <w:rFonts w:ascii="Arial" w:hAnsi="Arial" w:cs="Arial"/>
          <w:bCs/>
          <w:i/>
          <w:iCs/>
        </w:rPr>
        <w:t>(Source: 202</w:t>
      </w:r>
      <w:r>
        <w:rPr>
          <w:rFonts w:ascii="Arial" w:hAnsi="Arial" w:cs="Arial"/>
          <w:bCs/>
          <w:i/>
          <w:iCs/>
        </w:rPr>
        <w:t>5</w:t>
      </w:r>
      <w:r w:rsidRPr="00A3316B">
        <w:rPr>
          <w:rFonts w:ascii="Arial" w:hAnsi="Arial" w:cs="Arial"/>
          <w:bCs/>
          <w:i/>
          <w:iCs/>
        </w:rPr>
        <w:t xml:space="preserve"> OMB Compliance Supplement, Part 4, HUD, #14.850 Public </w:t>
      </w:r>
      <w:r w:rsidR="007D76AB">
        <w:rPr>
          <w:rFonts w:ascii="Arial" w:hAnsi="Arial" w:cs="Arial"/>
          <w:bCs/>
          <w:i/>
          <w:iCs/>
        </w:rPr>
        <w:t>Housing Operating Fund</w:t>
      </w:r>
      <w:r w:rsidRPr="00A3316B">
        <w:rPr>
          <w:rFonts w:ascii="Arial" w:hAnsi="Arial" w:cs="Arial"/>
          <w:bCs/>
          <w:i/>
          <w:iCs/>
        </w:rPr>
        <w:t>)</w:t>
      </w:r>
    </w:p>
    <w:p w14:paraId="399A582B" w14:textId="77777777" w:rsidR="008B4BCE" w:rsidRPr="00634FA3" w:rsidRDefault="008B4BCE" w:rsidP="008B4BCE">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8B4BCE" w:rsidRPr="00F00D94" w14:paraId="5A0E2CE9" w14:textId="77777777" w:rsidTr="009F1483">
        <w:tc>
          <w:tcPr>
            <w:tcW w:w="5000" w:type="pct"/>
          </w:tcPr>
          <w:p w14:paraId="71353E10" w14:textId="77777777" w:rsidR="008B4BCE" w:rsidRPr="006F5FFA" w:rsidRDefault="008B4BCE" w:rsidP="009F148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29AE0DA" w14:textId="77777777" w:rsidR="008B4BCE" w:rsidRPr="00F00D94" w:rsidRDefault="008B4BCE" w:rsidP="009F148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2AB0DA8C" w14:textId="77777777" w:rsidR="008B4BCE" w:rsidRPr="00F00D94" w:rsidRDefault="008B4BCE" w:rsidP="009F1483">
            <w:pPr>
              <w:pStyle w:val="AuditProcedureHeading"/>
              <w:spacing w:after="240"/>
              <w:jc w:val="both"/>
              <w:rPr>
                <w:rFonts w:cs="Arial"/>
                <w:b/>
                <w:bCs/>
                <w:szCs w:val="20"/>
                <w:u w:val="single"/>
              </w:rPr>
            </w:pPr>
          </w:p>
          <w:p w14:paraId="5DBCEE0C" w14:textId="77777777" w:rsidR="008B4BCE" w:rsidRPr="00F00D94" w:rsidRDefault="008B4BCE" w:rsidP="009F148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34051D40" w14:textId="77777777" w:rsidR="008B4BCE" w:rsidRPr="00F00D94" w:rsidRDefault="008B4BCE" w:rsidP="009F1483">
            <w:pPr>
              <w:pStyle w:val="AuditProcedureHeading"/>
              <w:spacing w:after="240"/>
              <w:jc w:val="both"/>
              <w:rPr>
                <w:rFonts w:cs="Arial"/>
                <w:b/>
                <w:bCs/>
                <w:szCs w:val="20"/>
                <w:u w:val="single"/>
              </w:rPr>
            </w:pPr>
          </w:p>
          <w:p w14:paraId="433FE064" w14:textId="77777777" w:rsidR="008B4BCE" w:rsidRPr="00F00D94" w:rsidRDefault="008B4BCE" w:rsidP="009F148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4902264" w14:textId="77777777" w:rsidR="008B4BCE" w:rsidRPr="00F00D94" w:rsidRDefault="008B4BCE" w:rsidP="009F1483">
            <w:pPr>
              <w:spacing w:after="240"/>
              <w:jc w:val="both"/>
              <w:rPr>
                <w:rFonts w:ascii="Arial" w:hAnsi="Arial" w:cs="Arial"/>
                <w:b/>
                <w:sz w:val="20"/>
                <w:u w:val="single"/>
              </w:rPr>
            </w:pPr>
          </w:p>
          <w:p w14:paraId="28840370" w14:textId="77777777" w:rsidR="008B4BCE" w:rsidRPr="00F00D94" w:rsidRDefault="008B4BCE" w:rsidP="009F148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B84A080" w14:textId="77777777" w:rsidR="008B4BCE" w:rsidRPr="00C35E5F" w:rsidRDefault="008B4BCE" w:rsidP="009F1483">
            <w:pPr>
              <w:spacing w:after="240"/>
              <w:jc w:val="both"/>
              <w:rPr>
                <w:rFonts w:ascii="Arial" w:eastAsiaTheme="minorHAnsi" w:hAnsi="Arial" w:cs="Arial"/>
                <w:sz w:val="20"/>
                <w:szCs w:val="20"/>
              </w:rPr>
            </w:pPr>
          </w:p>
        </w:tc>
      </w:tr>
    </w:tbl>
    <w:p w14:paraId="6CDDBB63" w14:textId="77777777" w:rsidR="008B4BCE" w:rsidRPr="00F00D94" w:rsidRDefault="008B4BCE" w:rsidP="008B4BCE">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16AAF84" w14:textId="77777777" w:rsidR="008B4BCE" w:rsidRPr="000706D1" w:rsidRDefault="008B4BCE" w:rsidP="008B4BCE">
      <w:pPr>
        <w:pStyle w:val="Heading3"/>
        <w:jc w:val="both"/>
        <w:rPr>
          <w:rFonts w:cs="Arial"/>
          <w:sz w:val="24"/>
          <w:szCs w:val="24"/>
        </w:rPr>
      </w:pPr>
      <w:bookmarkStart w:id="100" w:name="_Toc212473157"/>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00"/>
    </w:p>
    <w:tbl>
      <w:tblPr>
        <w:tblStyle w:val="TableGrid"/>
        <w:tblW w:w="9558" w:type="dxa"/>
        <w:tblLayout w:type="fixed"/>
        <w:tblLook w:val="04A0" w:firstRow="1" w:lastRow="0" w:firstColumn="1" w:lastColumn="0" w:noHBand="0" w:noVBand="1"/>
      </w:tblPr>
      <w:tblGrid>
        <w:gridCol w:w="9558"/>
      </w:tblGrid>
      <w:tr w:rsidR="008B4BCE" w:rsidRPr="00F00D94" w14:paraId="1BB91292" w14:textId="77777777" w:rsidTr="009F1483">
        <w:tc>
          <w:tcPr>
            <w:tcW w:w="9558" w:type="dxa"/>
          </w:tcPr>
          <w:p w14:paraId="44DC19D1" w14:textId="77777777" w:rsidR="008B4BCE" w:rsidRDefault="008B4BCE" w:rsidP="009F1483">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AD74FFA" w14:textId="77777777" w:rsidR="008B4BCE" w:rsidRDefault="008B4BCE" w:rsidP="009F1483">
            <w:pPr>
              <w:spacing w:after="240"/>
              <w:jc w:val="both"/>
              <w:rPr>
                <w:rFonts w:ascii="Arial" w:hAnsi="Arial" w:cs="Arial"/>
                <w:i/>
                <w:sz w:val="20"/>
                <w:szCs w:val="20"/>
              </w:rPr>
            </w:pPr>
            <w:r>
              <w:rPr>
                <w:rFonts w:ascii="Arial" w:hAnsi="Arial" w:cs="Arial"/>
                <w:i/>
                <w:sz w:val="20"/>
                <w:szCs w:val="20"/>
              </w:rPr>
              <w:t>(Source: 2025 OMB Compliance Supplement Part 3.2)</w:t>
            </w:r>
          </w:p>
          <w:p w14:paraId="60A83F40" w14:textId="77777777" w:rsidR="00A3316B" w:rsidRPr="0062713F" w:rsidRDefault="00A3316B" w:rsidP="001C3146">
            <w:pPr>
              <w:pStyle w:val="ListParagraph"/>
              <w:widowControl w:val="0"/>
              <w:numPr>
                <w:ilvl w:val="0"/>
                <w:numId w:val="55"/>
              </w:numPr>
              <w:tabs>
                <w:tab w:val="left" w:pos="2259"/>
                <w:tab w:val="left" w:pos="2260"/>
              </w:tabs>
              <w:ind w:left="703" w:right="5" w:hanging="703"/>
              <w:rPr>
                <w:rFonts w:ascii="Arial" w:hAnsi="Arial" w:cs="Arial"/>
                <w:sz w:val="20"/>
                <w:szCs w:val="20"/>
              </w:rPr>
            </w:pPr>
            <w:r w:rsidRPr="0062713F">
              <w:rPr>
                <w:rFonts w:ascii="Arial" w:hAnsi="Arial" w:cs="Arial"/>
                <w:sz w:val="20"/>
                <w:szCs w:val="20"/>
              </w:rPr>
              <w:t>Select</w:t>
            </w:r>
            <w:r w:rsidRPr="0062713F">
              <w:rPr>
                <w:rFonts w:ascii="Arial" w:hAnsi="Arial" w:cs="Arial"/>
                <w:spacing w:val="-6"/>
                <w:sz w:val="20"/>
                <w:szCs w:val="20"/>
              </w:rPr>
              <w:t xml:space="preserve"> </w:t>
            </w:r>
            <w:r w:rsidRPr="0062713F">
              <w:rPr>
                <w:rFonts w:ascii="Arial" w:hAnsi="Arial" w:cs="Arial"/>
                <w:sz w:val="20"/>
                <w:szCs w:val="20"/>
              </w:rPr>
              <w:t>a</w:t>
            </w:r>
            <w:r w:rsidRPr="0062713F">
              <w:rPr>
                <w:rFonts w:ascii="Arial" w:hAnsi="Arial" w:cs="Arial"/>
                <w:spacing w:val="-5"/>
                <w:sz w:val="20"/>
                <w:szCs w:val="20"/>
              </w:rPr>
              <w:t xml:space="preserve"> </w:t>
            </w:r>
            <w:r w:rsidRPr="0062713F">
              <w:rPr>
                <w:rFonts w:ascii="Arial" w:hAnsi="Arial" w:cs="Arial"/>
                <w:sz w:val="20"/>
                <w:szCs w:val="20"/>
              </w:rPr>
              <w:t>sample</w:t>
            </w:r>
            <w:r w:rsidRPr="0062713F">
              <w:rPr>
                <w:rFonts w:ascii="Arial" w:hAnsi="Arial" w:cs="Arial"/>
                <w:spacing w:val="-6"/>
                <w:sz w:val="20"/>
                <w:szCs w:val="20"/>
              </w:rPr>
              <w:t xml:space="preserve"> </w:t>
            </w:r>
            <w:r w:rsidRPr="0062713F">
              <w:rPr>
                <w:rFonts w:ascii="Arial" w:hAnsi="Arial" w:cs="Arial"/>
                <w:sz w:val="20"/>
                <w:szCs w:val="20"/>
              </w:rPr>
              <w:t>of</w:t>
            </w:r>
            <w:r w:rsidRPr="0062713F">
              <w:rPr>
                <w:rFonts w:ascii="Arial" w:hAnsi="Arial" w:cs="Arial"/>
                <w:spacing w:val="-5"/>
                <w:sz w:val="20"/>
                <w:szCs w:val="20"/>
              </w:rPr>
              <w:t xml:space="preserve"> </w:t>
            </w:r>
            <w:r w:rsidRPr="0062713F">
              <w:rPr>
                <w:rFonts w:ascii="Arial" w:hAnsi="Arial" w:cs="Arial"/>
                <w:sz w:val="20"/>
                <w:szCs w:val="20"/>
              </w:rPr>
              <w:t>fees</w:t>
            </w:r>
            <w:r w:rsidRPr="0062713F">
              <w:rPr>
                <w:rFonts w:ascii="Arial" w:hAnsi="Arial" w:cs="Arial"/>
                <w:spacing w:val="-4"/>
                <w:sz w:val="20"/>
                <w:szCs w:val="20"/>
              </w:rPr>
              <w:t xml:space="preserve"> </w:t>
            </w:r>
            <w:r w:rsidRPr="0062713F">
              <w:rPr>
                <w:rFonts w:ascii="Arial" w:hAnsi="Arial" w:cs="Arial"/>
                <w:sz w:val="20"/>
                <w:szCs w:val="20"/>
              </w:rPr>
              <w:t>charged</w:t>
            </w:r>
            <w:r w:rsidRPr="0062713F">
              <w:rPr>
                <w:rFonts w:ascii="Arial" w:hAnsi="Arial" w:cs="Arial"/>
                <w:spacing w:val="-5"/>
                <w:sz w:val="20"/>
                <w:szCs w:val="20"/>
              </w:rPr>
              <w:t xml:space="preserve"> </w:t>
            </w:r>
            <w:r w:rsidRPr="0062713F">
              <w:rPr>
                <w:rFonts w:ascii="Arial" w:hAnsi="Arial" w:cs="Arial"/>
                <w:sz w:val="20"/>
                <w:szCs w:val="20"/>
              </w:rPr>
              <w:t>by</w:t>
            </w:r>
            <w:r w:rsidRPr="0062713F">
              <w:rPr>
                <w:rFonts w:ascii="Arial" w:hAnsi="Arial" w:cs="Arial"/>
                <w:spacing w:val="-6"/>
                <w:sz w:val="20"/>
                <w:szCs w:val="20"/>
              </w:rPr>
              <w:t xml:space="preserve"> </w:t>
            </w:r>
            <w:r w:rsidRPr="0062713F">
              <w:rPr>
                <w:rFonts w:ascii="Arial" w:hAnsi="Arial" w:cs="Arial"/>
                <w:sz w:val="20"/>
                <w:szCs w:val="20"/>
              </w:rPr>
              <w:t>the</w:t>
            </w:r>
            <w:r w:rsidRPr="0062713F">
              <w:rPr>
                <w:rFonts w:ascii="Arial" w:hAnsi="Arial" w:cs="Arial"/>
                <w:spacing w:val="-5"/>
                <w:sz w:val="20"/>
                <w:szCs w:val="20"/>
              </w:rPr>
              <w:t xml:space="preserve"> </w:t>
            </w:r>
            <w:r w:rsidRPr="0062713F">
              <w:rPr>
                <w:rFonts w:ascii="Arial" w:hAnsi="Arial" w:cs="Arial"/>
                <w:sz w:val="20"/>
                <w:szCs w:val="20"/>
              </w:rPr>
              <w:t>COCC</w:t>
            </w:r>
            <w:r w:rsidRPr="0062713F">
              <w:rPr>
                <w:rFonts w:ascii="Arial" w:hAnsi="Arial" w:cs="Arial"/>
                <w:spacing w:val="-6"/>
                <w:sz w:val="20"/>
                <w:szCs w:val="20"/>
              </w:rPr>
              <w:t xml:space="preserve"> </w:t>
            </w:r>
            <w:r w:rsidRPr="0062713F">
              <w:rPr>
                <w:rFonts w:ascii="Arial" w:hAnsi="Arial" w:cs="Arial"/>
                <w:sz w:val="20"/>
                <w:szCs w:val="20"/>
              </w:rPr>
              <w:t>to</w:t>
            </w:r>
            <w:r w:rsidRPr="0062713F">
              <w:rPr>
                <w:rFonts w:ascii="Arial" w:hAnsi="Arial" w:cs="Arial"/>
                <w:spacing w:val="-5"/>
                <w:sz w:val="20"/>
                <w:szCs w:val="20"/>
              </w:rPr>
              <w:t xml:space="preserve"> </w:t>
            </w:r>
            <w:r w:rsidRPr="0062713F">
              <w:rPr>
                <w:rFonts w:ascii="Arial" w:hAnsi="Arial" w:cs="Arial"/>
                <w:sz w:val="20"/>
                <w:szCs w:val="20"/>
              </w:rPr>
              <w:t>a</w:t>
            </w:r>
            <w:r w:rsidRPr="0062713F">
              <w:rPr>
                <w:rFonts w:ascii="Arial" w:hAnsi="Arial" w:cs="Arial"/>
                <w:spacing w:val="-5"/>
                <w:sz w:val="20"/>
                <w:szCs w:val="20"/>
              </w:rPr>
              <w:t xml:space="preserve"> </w:t>
            </w:r>
            <w:r w:rsidRPr="0062713F">
              <w:rPr>
                <w:rFonts w:ascii="Arial" w:hAnsi="Arial" w:cs="Arial"/>
                <w:sz w:val="20"/>
                <w:szCs w:val="20"/>
              </w:rPr>
              <w:t>project</w:t>
            </w:r>
            <w:r w:rsidRPr="0062713F">
              <w:rPr>
                <w:rFonts w:ascii="Arial" w:hAnsi="Arial" w:cs="Arial"/>
                <w:spacing w:val="-6"/>
                <w:sz w:val="20"/>
                <w:szCs w:val="20"/>
              </w:rPr>
              <w:t xml:space="preserve"> </w:t>
            </w:r>
            <w:r w:rsidRPr="0062713F">
              <w:rPr>
                <w:rFonts w:ascii="Arial" w:hAnsi="Arial" w:cs="Arial"/>
                <w:sz w:val="20"/>
                <w:szCs w:val="20"/>
              </w:rPr>
              <w:t>for</w:t>
            </w:r>
            <w:r w:rsidRPr="0062713F">
              <w:rPr>
                <w:rFonts w:ascii="Arial" w:hAnsi="Arial" w:cs="Arial"/>
                <w:spacing w:val="-5"/>
                <w:sz w:val="20"/>
                <w:szCs w:val="20"/>
              </w:rPr>
              <w:t xml:space="preserve"> </w:t>
            </w:r>
            <w:r w:rsidRPr="0062713F">
              <w:rPr>
                <w:rFonts w:ascii="Arial" w:hAnsi="Arial" w:cs="Arial"/>
                <w:sz w:val="20"/>
                <w:szCs w:val="20"/>
              </w:rPr>
              <w:t>centralized maintenance and inspection</w:t>
            </w:r>
            <w:r w:rsidRPr="0062713F">
              <w:rPr>
                <w:rFonts w:ascii="Arial" w:hAnsi="Arial" w:cs="Arial"/>
                <w:spacing w:val="-2"/>
                <w:sz w:val="20"/>
                <w:szCs w:val="20"/>
              </w:rPr>
              <w:t xml:space="preserve"> </w:t>
            </w:r>
            <w:r w:rsidRPr="0062713F">
              <w:rPr>
                <w:rFonts w:ascii="Arial" w:hAnsi="Arial" w:cs="Arial"/>
                <w:sz w:val="20"/>
                <w:szCs w:val="20"/>
              </w:rPr>
              <w:t>services.</w:t>
            </w:r>
          </w:p>
          <w:p w14:paraId="5822440B" w14:textId="77777777" w:rsidR="00A3316B" w:rsidRPr="0062713F" w:rsidRDefault="00A3316B" w:rsidP="00A3316B">
            <w:pPr>
              <w:pStyle w:val="ListParagraph"/>
              <w:widowControl w:val="0"/>
              <w:tabs>
                <w:tab w:val="left" w:pos="2259"/>
                <w:tab w:val="left" w:pos="2260"/>
              </w:tabs>
              <w:ind w:left="703" w:right="5"/>
              <w:rPr>
                <w:rFonts w:ascii="Arial" w:hAnsi="Arial" w:cs="Arial"/>
                <w:sz w:val="20"/>
                <w:szCs w:val="20"/>
              </w:rPr>
            </w:pPr>
          </w:p>
          <w:p w14:paraId="03F7A6F3" w14:textId="77777777" w:rsidR="00A3316B" w:rsidRPr="0062713F" w:rsidRDefault="00A3316B" w:rsidP="001C3146">
            <w:pPr>
              <w:pStyle w:val="ListParagraph"/>
              <w:widowControl w:val="0"/>
              <w:numPr>
                <w:ilvl w:val="0"/>
                <w:numId w:val="55"/>
              </w:numPr>
              <w:tabs>
                <w:tab w:val="left" w:pos="2259"/>
                <w:tab w:val="left" w:pos="2260"/>
              </w:tabs>
              <w:ind w:left="703" w:right="5" w:hanging="703"/>
              <w:rPr>
                <w:rFonts w:ascii="Arial" w:hAnsi="Arial" w:cs="Arial"/>
                <w:sz w:val="20"/>
                <w:szCs w:val="20"/>
              </w:rPr>
            </w:pPr>
            <w:r w:rsidRPr="0062713F">
              <w:rPr>
                <w:rFonts w:ascii="Arial" w:hAnsi="Arial" w:cs="Arial"/>
                <w:sz w:val="20"/>
                <w:szCs w:val="20"/>
              </w:rPr>
              <w:t>Determine if the fees comply with fee reasonable guidelines set by</w:t>
            </w:r>
            <w:r w:rsidRPr="0062713F">
              <w:rPr>
                <w:rFonts w:ascii="Arial" w:hAnsi="Arial" w:cs="Arial"/>
                <w:spacing w:val="-30"/>
                <w:sz w:val="20"/>
                <w:szCs w:val="20"/>
              </w:rPr>
              <w:t xml:space="preserve"> </w:t>
            </w:r>
            <w:r w:rsidRPr="0062713F">
              <w:rPr>
                <w:rFonts w:ascii="Arial" w:hAnsi="Arial" w:cs="Arial"/>
                <w:spacing w:val="-5"/>
                <w:sz w:val="20"/>
                <w:szCs w:val="20"/>
              </w:rPr>
              <w:t>HUD.</w:t>
            </w:r>
          </w:p>
          <w:p w14:paraId="76624F2C" w14:textId="77777777" w:rsidR="00A3316B" w:rsidRPr="0062713F" w:rsidRDefault="00A3316B" w:rsidP="00A3316B">
            <w:pPr>
              <w:widowControl w:val="0"/>
              <w:tabs>
                <w:tab w:val="left" w:pos="2259"/>
                <w:tab w:val="left" w:pos="2260"/>
              </w:tabs>
              <w:ind w:right="5"/>
              <w:rPr>
                <w:rFonts w:ascii="Arial" w:hAnsi="Arial" w:cs="Arial"/>
                <w:sz w:val="20"/>
                <w:szCs w:val="20"/>
              </w:rPr>
            </w:pPr>
          </w:p>
          <w:p w14:paraId="2AA2CD99" w14:textId="77777777" w:rsidR="008B4BCE" w:rsidRPr="001364E4" w:rsidRDefault="00A3316B" w:rsidP="001C3146">
            <w:pPr>
              <w:pStyle w:val="ListParagraph"/>
              <w:widowControl w:val="0"/>
              <w:numPr>
                <w:ilvl w:val="0"/>
                <w:numId w:val="55"/>
              </w:numPr>
              <w:tabs>
                <w:tab w:val="left" w:pos="2259"/>
                <w:tab w:val="left" w:pos="2260"/>
              </w:tabs>
              <w:ind w:left="703" w:right="5" w:hanging="703"/>
              <w:rPr>
                <w:sz w:val="24"/>
              </w:rPr>
            </w:pPr>
            <w:r w:rsidRPr="0062713F">
              <w:rPr>
                <w:rFonts w:ascii="Arial" w:hAnsi="Arial" w:cs="Arial"/>
                <w:sz w:val="20"/>
                <w:szCs w:val="20"/>
              </w:rPr>
              <w:t>For any fees that do not meet the reasonableness guidelines, review the documentation maintained by the PHA to determine if the fees were approved by HUD or are</w:t>
            </w:r>
            <w:r w:rsidRPr="0062713F">
              <w:rPr>
                <w:rFonts w:ascii="Arial" w:hAnsi="Arial" w:cs="Arial"/>
                <w:spacing w:val="-2"/>
                <w:sz w:val="20"/>
                <w:szCs w:val="20"/>
              </w:rPr>
              <w:t xml:space="preserve"> </w:t>
            </w:r>
            <w:r w:rsidRPr="0062713F">
              <w:rPr>
                <w:rFonts w:ascii="Arial" w:hAnsi="Arial" w:cs="Arial"/>
                <w:sz w:val="20"/>
                <w:szCs w:val="20"/>
              </w:rPr>
              <w:t>reasonable.</w:t>
            </w:r>
          </w:p>
          <w:p w14:paraId="42B63E2C" w14:textId="77777777" w:rsidR="001364E4" w:rsidRPr="001364E4" w:rsidRDefault="001364E4" w:rsidP="001364E4">
            <w:pPr>
              <w:pStyle w:val="ListParagraph"/>
              <w:rPr>
                <w:sz w:val="24"/>
              </w:rPr>
            </w:pPr>
          </w:p>
          <w:p w14:paraId="4123F69F" w14:textId="328C5619" w:rsidR="001364E4" w:rsidRPr="00A3316B" w:rsidRDefault="001364E4" w:rsidP="001364E4">
            <w:pPr>
              <w:pStyle w:val="ListParagraph"/>
              <w:widowControl w:val="0"/>
              <w:tabs>
                <w:tab w:val="left" w:pos="2259"/>
                <w:tab w:val="left" w:pos="2260"/>
              </w:tabs>
              <w:ind w:left="703" w:right="5"/>
              <w:rPr>
                <w:sz w:val="24"/>
              </w:rPr>
            </w:pPr>
          </w:p>
        </w:tc>
      </w:tr>
    </w:tbl>
    <w:p w14:paraId="260A3897" w14:textId="77777777" w:rsidR="008B4BCE" w:rsidRPr="00F00D94" w:rsidRDefault="008B4BCE" w:rsidP="008B4BCE">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7129D29E" w14:textId="77777777" w:rsidR="008B4BCE" w:rsidRPr="000706D1" w:rsidRDefault="008B4BCE" w:rsidP="008B4BCE">
      <w:pPr>
        <w:pStyle w:val="Heading3"/>
        <w:jc w:val="both"/>
        <w:rPr>
          <w:rFonts w:cs="Arial"/>
          <w:b w:val="0"/>
          <w:sz w:val="24"/>
          <w:szCs w:val="24"/>
        </w:rPr>
      </w:pPr>
      <w:bookmarkStart w:id="101" w:name="_Toc212473158"/>
      <w:r w:rsidRPr="000706D1">
        <w:rPr>
          <w:rFonts w:cs="Arial"/>
          <w:sz w:val="24"/>
          <w:szCs w:val="24"/>
        </w:rPr>
        <w:t>Audit Implications Summary</w:t>
      </w:r>
      <w:bookmarkEnd w:id="101"/>
    </w:p>
    <w:tbl>
      <w:tblPr>
        <w:tblStyle w:val="TableGrid"/>
        <w:tblW w:w="5000" w:type="pct"/>
        <w:tblLook w:val="04A0" w:firstRow="1" w:lastRow="0" w:firstColumn="1" w:lastColumn="0" w:noHBand="0" w:noVBand="1"/>
      </w:tblPr>
      <w:tblGrid>
        <w:gridCol w:w="9350"/>
      </w:tblGrid>
      <w:tr w:rsidR="008B4BCE" w:rsidRPr="00F00D94" w14:paraId="621C79D2" w14:textId="77777777" w:rsidTr="009F1483">
        <w:tc>
          <w:tcPr>
            <w:tcW w:w="5000" w:type="pct"/>
          </w:tcPr>
          <w:p w14:paraId="6C81E876" w14:textId="77777777" w:rsidR="008B4BCE" w:rsidRDefault="008B4BCE" w:rsidP="009F148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EBFFAD1" w14:textId="77777777" w:rsidR="008B4BCE" w:rsidRPr="006E46AD" w:rsidRDefault="008B4BCE" w:rsidP="009F1483">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3605F8D2" w14:textId="77777777" w:rsidR="008B4BCE" w:rsidRPr="006E46AD" w:rsidRDefault="008B4BCE" w:rsidP="001C3146">
            <w:pPr>
              <w:pStyle w:val="ListParagraph"/>
              <w:widowControl w:val="0"/>
              <w:numPr>
                <w:ilvl w:val="0"/>
                <w:numId w:val="56"/>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1E27626A" w14:textId="77777777" w:rsidR="008B4BCE" w:rsidRPr="006E46AD" w:rsidRDefault="008B4BCE" w:rsidP="009F1483">
            <w:pPr>
              <w:widowControl w:val="0"/>
              <w:spacing w:after="240"/>
              <w:ind w:left="720"/>
              <w:jc w:val="both"/>
              <w:rPr>
                <w:rFonts w:ascii="Arial" w:hAnsi="Arial" w:cs="Arial"/>
                <w:b/>
                <w:sz w:val="20"/>
                <w:szCs w:val="20"/>
              </w:rPr>
            </w:pPr>
          </w:p>
          <w:p w14:paraId="67F732FB" w14:textId="77777777" w:rsidR="008B4BCE" w:rsidRPr="006E46AD" w:rsidRDefault="008B4BCE" w:rsidP="001C3146">
            <w:pPr>
              <w:widowControl w:val="0"/>
              <w:numPr>
                <w:ilvl w:val="0"/>
                <w:numId w:val="56"/>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6BA30D" w14:textId="77777777" w:rsidR="008B4BCE" w:rsidRPr="00F00D94" w:rsidRDefault="008B4BCE" w:rsidP="009F1483">
            <w:pPr>
              <w:pStyle w:val="ListParagraph"/>
              <w:spacing w:after="240"/>
              <w:jc w:val="both"/>
              <w:rPr>
                <w:rFonts w:ascii="Arial" w:hAnsi="Arial" w:cs="Arial"/>
                <w:b/>
              </w:rPr>
            </w:pPr>
          </w:p>
          <w:p w14:paraId="695AD15C" w14:textId="77777777" w:rsidR="008B4BCE" w:rsidRPr="00F00D94" w:rsidRDefault="008B4BCE" w:rsidP="001C3146">
            <w:pPr>
              <w:widowControl w:val="0"/>
              <w:numPr>
                <w:ilvl w:val="0"/>
                <w:numId w:val="56"/>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5C1E93A2" w14:textId="77777777" w:rsidR="008B4BCE" w:rsidRPr="00F00D94" w:rsidRDefault="008B4BCE" w:rsidP="009F1483">
            <w:pPr>
              <w:pStyle w:val="ListParagraph"/>
              <w:spacing w:after="240"/>
              <w:jc w:val="both"/>
              <w:rPr>
                <w:rFonts w:ascii="Arial" w:hAnsi="Arial" w:cs="Arial"/>
                <w:b/>
              </w:rPr>
            </w:pPr>
          </w:p>
          <w:p w14:paraId="1C128632" w14:textId="77777777" w:rsidR="008B4BCE" w:rsidRPr="00F00D94" w:rsidRDefault="008B4BCE" w:rsidP="001C3146">
            <w:pPr>
              <w:widowControl w:val="0"/>
              <w:numPr>
                <w:ilvl w:val="0"/>
                <w:numId w:val="5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DB2E590" w14:textId="77777777" w:rsidR="008B4BCE" w:rsidRPr="00F00D94" w:rsidRDefault="008B4BCE" w:rsidP="009F1483">
            <w:pPr>
              <w:pStyle w:val="ListParagraph"/>
              <w:spacing w:after="240"/>
              <w:jc w:val="both"/>
              <w:rPr>
                <w:rFonts w:ascii="Arial" w:hAnsi="Arial" w:cs="Arial"/>
                <w:b/>
              </w:rPr>
            </w:pPr>
          </w:p>
          <w:p w14:paraId="231D7E09" w14:textId="77777777" w:rsidR="008B4BCE" w:rsidRPr="00F00D94" w:rsidRDefault="008B4BCE" w:rsidP="001C3146">
            <w:pPr>
              <w:widowControl w:val="0"/>
              <w:numPr>
                <w:ilvl w:val="0"/>
                <w:numId w:val="5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D78E601" w14:textId="77777777" w:rsidR="008B4BCE" w:rsidRPr="00F00D94" w:rsidRDefault="008B4BCE" w:rsidP="009F1483">
            <w:pPr>
              <w:pStyle w:val="APStepItem"/>
              <w:numPr>
                <w:ilvl w:val="0"/>
                <w:numId w:val="0"/>
              </w:numPr>
              <w:spacing w:after="240"/>
              <w:rPr>
                <w:rFonts w:cs="Arial"/>
                <w:b/>
              </w:rPr>
            </w:pPr>
          </w:p>
        </w:tc>
      </w:tr>
    </w:tbl>
    <w:p w14:paraId="7643409A" w14:textId="77777777" w:rsidR="008B4BCE" w:rsidRDefault="008B4BCE" w:rsidP="008B4BCE">
      <w:pPr>
        <w:pStyle w:val="Heading2"/>
        <w:jc w:val="both"/>
        <w:rPr>
          <w:rFonts w:cs="Arial"/>
          <w:sz w:val="24"/>
        </w:rPr>
        <w:sectPr w:rsidR="008B4BCE" w:rsidSect="00885BA6">
          <w:headerReference w:type="default" r:id="rId96"/>
          <w:pgSz w:w="12240" w:h="15840" w:code="1"/>
          <w:pgMar w:top="1440" w:right="1440" w:bottom="1440" w:left="1440" w:header="720" w:footer="720" w:gutter="0"/>
          <w:cols w:space="720"/>
          <w:docGrid w:linePitch="360"/>
        </w:sectPr>
      </w:pPr>
    </w:p>
    <w:p w14:paraId="1E5C70A5" w14:textId="7C711CC1" w:rsidR="008B4BCE" w:rsidRPr="000706D1" w:rsidRDefault="008B4BCE" w:rsidP="008B4BCE">
      <w:pPr>
        <w:pStyle w:val="Heading2"/>
        <w:jc w:val="both"/>
        <w:rPr>
          <w:rFonts w:cs="Arial"/>
          <w:sz w:val="24"/>
        </w:rPr>
      </w:pPr>
      <w:bookmarkStart w:id="102" w:name="_Toc212473159"/>
      <w:r w:rsidRPr="000706D1">
        <w:rPr>
          <w:rFonts w:cs="Arial"/>
          <w:sz w:val="24"/>
        </w:rPr>
        <w:t>N</w:t>
      </w:r>
      <w:r w:rsidR="00A3316B">
        <w:rPr>
          <w:rFonts w:cs="Arial"/>
          <w:sz w:val="24"/>
        </w:rPr>
        <w:t>7</w:t>
      </w:r>
      <w:r w:rsidRPr="000706D1">
        <w:rPr>
          <w:rFonts w:cs="Arial"/>
          <w:sz w:val="24"/>
        </w:rPr>
        <w:t>.  SPECIAL TESTS AND PROVISIONS</w:t>
      </w:r>
      <w:r w:rsidR="00A3316B">
        <w:rPr>
          <w:rFonts w:cs="Arial"/>
          <w:sz w:val="24"/>
        </w:rPr>
        <w:t xml:space="preserve"> – PRORATING FRONT-LINE CENTRALIZED SERVICES</w:t>
      </w:r>
      <w:bookmarkEnd w:id="102"/>
    </w:p>
    <w:p w14:paraId="5B5A3CE3" w14:textId="77777777" w:rsidR="008B4BCE" w:rsidRPr="000706D1" w:rsidRDefault="008B4BCE" w:rsidP="008B4BCE">
      <w:pPr>
        <w:pStyle w:val="Heading3"/>
        <w:jc w:val="both"/>
        <w:rPr>
          <w:rFonts w:cs="Arial"/>
          <w:sz w:val="24"/>
          <w:szCs w:val="24"/>
        </w:rPr>
      </w:pPr>
      <w:bookmarkStart w:id="103" w:name="_Toc212473160"/>
      <w:r w:rsidRPr="000706D1">
        <w:rPr>
          <w:rFonts w:cs="Arial"/>
          <w:sz w:val="24"/>
          <w:szCs w:val="24"/>
        </w:rPr>
        <w:t>OMB Compliance Requirements</w:t>
      </w:r>
      <w:bookmarkEnd w:id="103"/>
    </w:p>
    <w:p w14:paraId="2FDEAD3A" w14:textId="77777777" w:rsidR="008B4BCE" w:rsidRPr="005C1EBC" w:rsidRDefault="008B4BCE" w:rsidP="008B4BC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0CA85EF8" w14:textId="77777777" w:rsidR="008B4BCE" w:rsidRPr="00F00D94" w:rsidRDefault="008B4BCE" w:rsidP="008B4BC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324FFBDA" w14:textId="77777777" w:rsidR="008B4BCE" w:rsidRPr="00F00D94" w:rsidRDefault="008B4BCE" w:rsidP="008B4BCE">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417DB708" w14:textId="77777777" w:rsidR="008B4BCE" w:rsidRPr="000706D1" w:rsidRDefault="008B4BCE" w:rsidP="00A3316B">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37060BB2" w14:textId="70068DD7" w:rsidR="00A3316B" w:rsidRPr="00A3316B" w:rsidRDefault="00A3316B" w:rsidP="00A3316B">
      <w:pPr>
        <w:jc w:val="both"/>
        <w:rPr>
          <w:rFonts w:ascii="Arial" w:hAnsi="Arial" w:cs="Arial"/>
          <w:bCs/>
        </w:rPr>
      </w:pPr>
      <w:r w:rsidRPr="00A3316B">
        <w:rPr>
          <w:rFonts w:ascii="Arial" w:hAnsi="Arial" w:cs="Arial"/>
          <w:bCs/>
        </w:rPr>
        <w:t>When a COCC chooses to centralize certain front-line project costs (e.g., rent collection, resident services, security, waiting lists, work order processing), it may (rather than using fee-for-service) prorate these costs based on a reasonable, documented methodology. The prorating of these costs (e.g., cost allocation plan) shall reflect the PHA’s broader accounting policy.</w:t>
      </w:r>
    </w:p>
    <w:p w14:paraId="27BCD5D6" w14:textId="77777777" w:rsidR="00A3316B" w:rsidRPr="00A3316B" w:rsidRDefault="00A3316B" w:rsidP="00A3316B">
      <w:pPr>
        <w:pStyle w:val="BodyText"/>
        <w:spacing w:after="0"/>
        <w:jc w:val="both"/>
        <w:rPr>
          <w:rFonts w:ascii="Arial" w:hAnsi="Arial" w:cs="Arial"/>
          <w:bCs/>
          <w:szCs w:val="20"/>
        </w:rPr>
      </w:pPr>
    </w:p>
    <w:p w14:paraId="33C2089B" w14:textId="5DB299A2" w:rsidR="00A3316B" w:rsidRPr="00A3316B" w:rsidRDefault="00A3316B" w:rsidP="00A3316B">
      <w:pPr>
        <w:pStyle w:val="BodyText"/>
        <w:spacing w:after="0"/>
        <w:jc w:val="both"/>
        <w:rPr>
          <w:rFonts w:ascii="Arial" w:hAnsi="Arial" w:cs="Arial"/>
          <w:bCs/>
          <w:szCs w:val="20"/>
        </w:rPr>
      </w:pPr>
      <w:r w:rsidRPr="00A3316B">
        <w:rPr>
          <w:rFonts w:ascii="Arial" w:hAnsi="Arial" w:cs="Arial"/>
          <w:bCs/>
          <w:szCs w:val="20"/>
        </w:rPr>
        <w:t>Projects with on-site staff that can provide these services at a project may not also be charged these services using proration. A PHA could prorate these costs based on a percentage of units, bedroom distribution, turnover, or other reasonable methods. With the exception of a central waiting list, resident services, and security/protective services, a project may not pay for the cost of a supervisor overseeing a front-line task that is performed centrally (see Section 7.10 of the Supplement to HUD Handbook 7475.1) (24 CFR section 990.280).</w:t>
      </w:r>
    </w:p>
    <w:p w14:paraId="0EE389C6" w14:textId="35D102BE" w:rsidR="008B4BCE" w:rsidRDefault="008B4BCE" w:rsidP="00A3316B">
      <w:pPr>
        <w:jc w:val="both"/>
        <w:rPr>
          <w:rFonts w:ascii="Arial" w:hAnsi="Arial" w:cs="Arial"/>
          <w:b/>
          <w:highlight w:val="yellow"/>
        </w:rPr>
      </w:pPr>
    </w:p>
    <w:p w14:paraId="478BA8BE" w14:textId="7FD0B04E" w:rsidR="00A3316B" w:rsidRPr="0054556F" w:rsidRDefault="00A3316B" w:rsidP="00A3316B">
      <w:pPr>
        <w:jc w:val="both"/>
        <w:rPr>
          <w:rFonts w:ascii="Arial" w:hAnsi="Arial" w:cs="Arial"/>
          <w:bCs/>
          <w:i/>
          <w:iCs/>
        </w:rPr>
      </w:pPr>
      <w:r w:rsidRPr="006C797F">
        <w:rPr>
          <w:rFonts w:ascii="Arial" w:hAnsi="Arial" w:cs="Arial"/>
          <w:bCs/>
          <w:i/>
          <w:iCs/>
        </w:rPr>
        <w:t>(Source: 202</w:t>
      </w:r>
      <w:r>
        <w:rPr>
          <w:rFonts w:ascii="Arial" w:hAnsi="Arial" w:cs="Arial"/>
          <w:bCs/>
          <w:i/>
          <w:iCs/>
        </w:rPr>
        <w:t>5</w:t>
      </w:r>
      <w:r w:rsidRPr="006C797F">
        <w:rPr>
          <w:rFonts w:ascii="Arial" w:hAnsi="Arial" w:cs="Arial"/>
          <w:bCs/>
          <w:i/>
          <w:iCs/>
        </w:rPr>
        <w:t xml:space="preserve"> OMB Compliance Supplement, Part 4, HUD, #14.850 Public </w:t>
      </w:r>
      <w:r w:rsidR="007D76AB">
        <w:rPr>
          <w:rFonts w:ascii="Arial" w:hAnsi="Arial" w:cs="Arial"/>
          <w:bCs/>
          <w:i/>
          <w:iCs/>
        </w:rPr>
        <w:t>Housing Operating Fund</w:t>
      </w:r>
      <w:r w:rsidRPr="006C797F">
        <w:rPr>
          <w:rFonts w:ascii="Arial" w:hAnsi="Arial" w:cs="Arial"/>
          <w:bCs/>
          <w:i/>
          <w:iCs/>
        </w:rPr>
        <w:t>)</w:t>
      </w:r>
    </w:p>
    <w:p w14:paraId="3E34BC0E" w14:textId="77777777" w:rsidR="00A3316B" w:rsidRPr="004A0AB6" w:rsidRDefault="00A3316B" w:rsidP="00A3316B">
      <w:pPr>
        <w:jc w:val="both"/>
        <w:rPr>
          <w:rFonts w:ascii="Arial" w:hAnsi="Arial" w:cs="Arial"/>
          <w:b/>
          <w:highlight w:val="yellow"/>
        </w:rPr>
      </w:pPr>
    </w:p>
    <w:p w14:paraId="25A04FE3" w14:textId="77777777" w:rsidR="008B4BCE" w:rsidRPr="000706D1" w:rsidRDefault="008B4BCE" w:rsidP="00A3316B">
      <w:pPr>
        <w:pStyle w:val="Heading3"/>
        <w:spacing w:after="0"/>
        <w:jc w:val="both"/>
        <w:rPr>
          <w:rFonts w:cs="Arial"/>
          <w:sz w:val="24"/>
          <w:szCs w:val="24"/>
        </w:rPr>
      </w:pPr>
      <w:bookmarkStart w:id="104" w:name="_Toc212473161"/>
      <w:r w:rsidRPr="000706D1">
        <w:rPr>
          <w:rFonts w:cs="Arial"/>
          <w:sz w:val="24"/>
          <w:szCs w:val="24"/>
        </w:rPr>
        <w:t>Additional Program Specific Information</w:t>
      </w:r>
      <w:bookmarkEnd w:id="104"/>
    </w:p>
    <w:p w14:paraId="12258FCF" w14:textId="77777777" w:rsidR="008B4BCE" w:rsidRPr="00AA5B05" w:rsidRDefault="008B4BCE" w:rsidP="008B4BCE">
      <w:pPr>
        <w:spacing w:after="240"/>
        <w:jc w:val="both"/>
        <w:rPr>
          <w:rFonts w:ascii="Arial" w:hAnsi="Arial" w:cs="Arial"/>
          <w:b/>
          <w:highlight w:val="yellow"/>
        </w:rPr>
      </w:pPr>
      <w:r w:rsidRPr="00AA5B05">
        <w:rPr>
          <w:rFonts w:ascii="Arial" w:hAnsi="Arial" w:cs="Arial"/>
          <w:b/>
          <w:highlight w:val="yellow"/>
        </w:rPr>
        <w:t>Add program specific requirements from:</w:t>
      </w:r>
    </w:p>
    <w:p w14:paraId="460AB198" w14:textId="77777777" w:rsidR="008B4BCE" w:rsidRPr="00AA5B05" w:rsidRDefault="008B4BCE" w:rsidP="008B4BCE">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234BF34E" w14:textId="77777777" w:rsidR="008B4BCE" w:rsidRPr="00AA5B05" w:rsidRDefault="008B4BCE" w:rsidP="008B4BCE">
      <w:pPr>
        <w:pStyle w:val="ListParagraph"/>
        <w:numPr>
          <w:ilvl w:val="0"/>
          <w:numId w:val="3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33C1BE12" w14:textId="77777777" w:rsidR="008B4BCE" w:rsidRPr="00AA5B05" w:rsidRDefault="008B4BCE" w:rsidP="008B4BCE">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2AA57E00" w14:textId="77777777" w:rsidR="008B4BCE" w:rsidRPr="00AA5B05" w:rsidRDefault="008B4BCE" w:rsidP="008B4BCE">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9DF8817" w14:textId="77777777" w:rsidR="008B4BCE" w:rsidRPr="000706D1" w:rsidRDefault="008B4BCE" w:rsidP="008B4BCE">
      <w:pPr>
        <w:pStyle w:val="Heading3"/>
        <w:jc w:val="both"/>
        <w:rPr>
          <w:rFonts w:cs="Arial"/>
          <w:sz w:val="24"/>
          <w:szCs w:val="24"/>
        </w:rPr>
      </w:pPr>
      <w:bookmarkStart w:id="105" w:name="_Toc212473162"/>
      <w:r w:rsidRPr="000706D1">
        <w:rPr>
          <w:rFonts w:cs="Arial"/>
          <w:sz w:val="24"/>
          <w:szCs w:val="24"/>
        </w:rPr>
        <w:t>Audit Objectives and Control Testing</w:t>
      </w:r>
      <w:bookmarkEnd w:id="105"/>
    </w:p>
    <w:p w14:paraId="7F7495C5" w14:textId="77777777" w:rsidR="008B4BCE" w:rsidRPr="00F00D94" w:rsidRDefault="008B4BCE" w:rsidP="008B4BCE">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36A2A858" w14:textId="77777777" w:rsidR="008B4BCE" w:rsidRPr="00F00D94" w:rsidRDefault="008B4BCE" w:rsidP="008B4BCE">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9210286" w14:textId="77777777" w:rsidR="008B4BCE" w:rsidRDefault="008B4BCE" w:rsidP="008B4BCE">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226A9E41" w14:textId="434689AB" w:rsidR="008B4BCE" w:rsidRPr="00A3316B" w:rsidRDefault="00A3316B" w:rsidP="001C3146">
      <w:pPr>
        <w:pStyle w:val="ListParagraph"/>
        <w:numPr>
          <w:ilvl w:val="0"/>
          <w:numId w:val="57"/>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A3316B">
        <w:rPr>
          <w:rFonts w:ascii="Arial" w:hAnsi="Arial" w:cs="Arial"/>
        </w:rPr>
        <w:t>Determine whether the centralized direct project costs charged to the project(s) by the COCC are reasonable, supervisory costs are properly charged, and costs are not charged to the project using proration if on-site staff can provide the services.</w:t>
      </w:r>
    </w:p>
    <w:p w14:paraId="7B5B61C1" w14:textId="4642727C" w:rsidR="00A3316B" w:rsidRPr="00A3316B" w:rsidRDefault="00A3316B" w:rsidP="00A3316B">
      <w:pPr>
        <w:spacing w:after="240"/>
        <w:jc w:val="both"/>
        <w:rPr>
          <w:rFonts w:ascii="Arial" w:hAnsi="Arial" w:cs="Arial"/>
          <w:bCs/>
          <w:i/>
          <w:iCs/>
        </w:rPr>
      </w:pPr>
      <w:r w:rsidRPr="00A3316B">
        <w:rPr>
          <w:rFonts w:ascii="Arial" w:hAnsi="Arial" w:cs="Arial"/>
          <w:bCs/>
          <w:i/>
          <w:iCs/>
        </w:rPr>
        <w:t>(Source: 202</w:t>
      </w:r>
      <w:r>
        <w:rPr>
          <w:rFonts w:ascii="Arial" w:hAnsi="Arial" w:cs="Arial"/>
          <w:bCs/>
          <w:i/>
          <w:iCs/>
        </w:rPr>
        <w:t>5</w:t>
      </w:r>
      <w:r w:rsidRPr="00A3316B">
        <w:rPr>
          <w:rFonts w:ascii="Arial" w:hAnsi="Arial" w:cs="Arial"/>
          <w:bCs/>
          <w:i/>
          <w:iCs/>
        </w:rPr>
        <w:t xml:space="preserve"> OMB Compliance Supplement, Part 4, HUD, #14.850 Public Housing Operating Fund)</w:t>
      </w:r>
    </w:p>
    <w:p w14:paraId="6F45F9B4" w14:textId="77777777" w:rsidR="008B4BCE" w:rsidRPr="00634FA3" w:rsidRDefault="008B4BCE" w:rsidP="008B4BCE">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8B4BCE" w:rsidRPr="00F00D94" w14:paraId="0D52CCE4" w14:textId="77777777" w:rsidTr="009F1483">
        <w:tc>
          <w:tcPr>
            <w:tcW w:w="5000" w:type="pct"/>
          </w:tcPr>
          <w:p w14:paraId="6A896347" w14:textId="77777777" w:rsidR="008B4BCE" w:rsidRPr="006F5FFA" w:rsidRDefault="008B4BCE" w:rsidP="009F148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3B2826B" w14:textId="77777777" w:rsidR="008B4BCE" w:rsidRPr="00F00D94" w:rsidRDefault="008B4BCE" w:rsidP="009F148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624224BA" w14:textId="77777777" w:rsidR="008B4BCE" w:rsidRPr="00F00D94" w:rsidRDefault="008B4BCE" w:rsidP="009F1483">
            <w:pPr>
              <w:pStyle w:val="AuditProcedureHeading"/>
              <w:spacing w:after="240"/>
              <w:jc w:val="both"/>
              <w:rPr>
                <w:rFonts w:cs="Arial"/>
                <w:b/>
                <w:bCs/>
                <w:szCs w:val="20"/>
                <w:u w:val="single"/>
              </w:rPr>
            </w:pPr>
          </w:p>
          <w:p w14:paraId="1E87D5F4" w14:textId="77777777" w:rsidR="008B4BCE" w:rsidRPr="00F00D94" w:rsidRDefault="008B4BCE" w:rsidP="009F148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C27B812" w14:textId="77777777" w:rsidR="008B4BCE" w:rsidRPr="00F00D94" w:rsidRDefault="008B4BCE" w:rsidP="009F1483">
            <w:pPr>
              <w:pStyle w:val="AuditProcedureHeading"/>
              <w:spacing w:after="240"/>
              <w:jc w:val="both"/>
              <w:rPr>
                <w:rFonts w:cs="Arial"/>
                <w:b/>
                <w:bCs/>
                <w:szCs w:val="20"/>
                <w:u w:val="single"/>
              </w:rPr>
            </w:pPr>
          </w:p>
          <w:p w14:paraId="7ACD80D9" w14:textId="77777777" w:rsidR="008B4BCE" w:rsidRPr="00F00D94" w:rsidRDefault="008B4BCE" w:rsidP="009F148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8D4FDC4" w14:textId="77777777" w:rsidR="008B4BCE" w:rsidRPr="00F00D94" w:rsidRDefault="008B4BCE" w:rsidP="009F1483">
            <w:pPr>
              <w:spacing w:after="240"/>
              <w:jc w:val="both"/>
              <w:rPr>
                <w:rFonts w:ascii="Arial" w:hAnsi="Arial" w:cs="Arial"/>
                <w:b/>
                <w:sz w:val="20"/>
                <w:u w:val="single"/>
              </w:rPr>
            </w:pPr>
          </w:p>
          <w:p w14:paraId="5E1828A2" w14:textId="77777777" w:rsidR="008B4BCE" w:rsidRPr="00F00D94" w:rsidRDefault="008B4BCE" w:rsidP="009F148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5FDBC649" w14:textId="77777777" w:rsidR="008B4BCE" w:rsidRPr="00C35E5F" w:rsidRDefault="008B4BCE" w:rsidP="009F1483">
            <w:pPr>
              <w:spacing w:after="240"/>
              <w:jc w:val="both"/>
              <w:rPr>
                <w:rFonts w:ascii="Arial" w:eastAsiaTheme="minorHAnsi" w:hAnsi="Arial" w:cs="Arial"/>
                <w:sz w:val="20"/>
                <w:szCs w:val="20"/>
              </w:rPr>
            </w:pPr>
          </w:p>
        </w:tc>
      </w:tr>
    </w:tbl>
    <w:p w14:paraId="3C8B0FA9" w14:textId="77777777" w:rsidR="008B4BCE" w:rsidRPr="00F00D94" w:rsidRDefault="008B4BCE" w:rsidP="008B4BCE">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DE48F26" w14:textId="77777777" w:rsidR="008B4BCE" w:rsidRPr="000706D1" w:rsidRDefault="008B4BCE" w:rsidP="008B4BCE">
      <w:pPr>
        <w:pStyle w:val="Heading3"/>
        <w:jc w:val="both"/>
        <w:rPr>
          <w:rFonts w:cs="Arial"/>
          <w:sz w:val="24"/>
          <w:szCs w:val="24"/>
        </w:rPr>
      </w:pPr>
      <w:bookmarkStart w:id="106" w:name="_Toc212473163"/>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06"/>
    </w:p>
    <w:tbl>
      <w:tblPr>
        <w:tblStyle w:val="TableGrid"/>
        <w:tblW w:w="9558" w:type="dxa"/>
        <w:tblLayout w:type="fixed"/>
        <w:tblLook w:val="04A0" w:firstRow="1" w:lastRow="0" w:firstColumn="1" w:lastColumn="0" w:noHBand="0" w:noVBand="1"/>
      </w:tblPr>
      <w:tblGrid>
        <w:gridCol w:w="9558"/>
      </w:tblGrid>
      <w:tr w:rsidR="008B4BCE" w:rsidRPr="00F00D94" w14:paraId="02B3738E" w14:textId="77777777" w:rsidTr="009F1483">
        <w:tc>
          <w:tcPr>
            <w:tcW w:w="9558" w:type="dxa"/>
          </w:tcPr>
          <w:p w14:paraId="04548CF5" w14:textId="77777777" w:rsidR="008B4BCE" w:rsidRDefault="008B4BCE" w:rsidP="009F1483">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3AB058EA" w14:textId="77777777" w:rsidR="008B4BCE" w:rsidRPr="00AC7B25" w:rsidRDefault="008B4BCE" w:rsidP="009F1483">
            <w:pPr>
              <w:spacing w:after="240"/>
              <w:jc w:val="both"/>
              <w:rPr>
                <w:rFonts w:ascii="Arial" w:hAnsi="Arial" w:cs="Arial"/>
                <w:i/>
                <w:sz w:val="20"/>
                <w:szCs w:val="20"/>
              </w:rPr>
            </w:pPr>
            <w:r>
              <w:rPr>
                <w:rFonts w:ascii="Arial" w:hAnsi="Arial" w:cs="Arial"/>
                <w:i/>
                <w:sz w:val="20"/>
                <w:szCs w:val="20"/>
              </w:rPr>
              <w:t>(Source: 2025 OMB Compliance Supplement Part 3.2)</w:t>
            </w:r>
          </w:p>
          <w:p w14:paraId="7605EE3B" w14:textId="4DB70DF7" w:rsidR="00A3316B" w:rsidRPr="00A3316B" w:rsidRDefault="00A3316B" w:rsidP="00A3316B">
            <w:pPr>
              <w:spacing w:after="240"/>
              <w:ind w:left="703" w:hanging="720"/>
              <w:jc w:val="both"/>
              <w:rPr>
                <w:rFonts w:ascii="Arial" w:hAnsi="Arial" w:cs="Arial"/>
                <w:sz w:val="20"/>
              </w:rPr>
            </w:pPr>
            <w:r w:rsidRPr="00A3316B">
              <w:rPr>
                <w:rFonts w:ascii="Arial" w:hAnsi="Arial" w:cs="Arial"/>
                <w:sz w:val="20"/>
              </w:rPr>
              <w:t>a.</w:t>
            </w:r>
            <w:r w:rsidRPr="00A3316B">
              <w:rPr>
                <w:rFonts w:ascii="Arial" w:hAnsi="Arial" w:cs="Arial"/>
                <w:sz w:val="20"/>
              </w:rPr>
              <w:tab/>
              <w:t>Ascertain if the project is pro-rating front-line centralized services and, if so—</w:t>
            </w:r>
          </w:p>
          <w:p w14:paraId="4C930104" w14:textId="61B18B53" w:rsidR="00A3316B" w:rsidRPr="00A3316B" w:rsidRDefault="00A3316B" w:rsidP="00A3316B">
            <w:pPr>
              <w:spacing w:after="240"/>
              <w:ind w:left="703" w:hanging="720"/>
              <w:jc w:val="both"/>
              <w:rPr>
                <w:rFonts w:ascii="Arial" w:hAnsi="Arial" w:cs="Arial"/>
                <w:sz w:val="20"/>
              </w:rPr>
            </w:pPr>
            <w:r w:rsidRPr="00A3316B">
              <w:rPr>
                <w:rFonts w:ascii="Arial" w:hAnsi="Arial" w:cs="Arial"/>
                <w:sz w:val="20"/>
              </w:rPr>
              <w:t>b.</w:t>
            </w:r>
            <w:r w:rsidRPr="00A3316B">
              <w:rPr>
                <w:rFonts w:ascii="Arial" w:hAnsi="Arial" w:cs="Arial"/>
                <w:sz w:val="20"/>
              </w:rPr>
              <w:tab/>
              <w:t>Select a sample of costs prorated by the COCC to a project for centralized front- line project costs.</w:t>
            </w:r>
          </w:p>
          <w:p w14:paraId="526C937B" w14:textId="0F1C6E44" w:rsidR="00A3316B" w:rsidRPr="00A3316B" w:rsidRDefault="00A3316B" w:rsidP="00A3316B">
            <w:pPr>
              <w:spacing w:after="240"/>
              <w:ind w:left="703" w:hanging="720"/>
              <w:jc w:val="both"/>
              <w:rPr>
                <w:rFonts w:ascii="Arial" w:hAnsi="Arial" w:cs="Arial"/>
                <w:sz w:val="20"/>
              </w:rPr>
            </w:pPr>
            <w:r w:rsidRPr="00A3316B">
              <w:rPr>
                <w:rFonts w:ascii="Arial" w:hAnsi="Arial" w:cs="Arial"/>
                <w:sz w:val="20"/>
              </w:rPr>
              <w:t>c.</w:t>
            </w:r>
            <w:r w:rsidRPr="00A3316B">
              <w:rPr>
                <w:rFonts w:ascii="Arial" w:hAnsi="Arial" w:cs="Arial"/>
                <w:sz w:val="20"/>
              </w:rPr>
              <w:tab/>
              <w:t>Review the method used to prorate amounts, including the method used to determine the degree of cost allocation to the respective project(s) to ensure that the documented method mirrors the method associated with costs charged to a project.</w:t>
            </w:r>
          </w:p>
          <w:p w14:paraId="275914D4" w14:textId="0ADD662A" w:rsidR="00A3316B" w:rsidRPr="00A3316B" w:rsidRDefault="00A3316B" w:rsidP="00A3316B">
            <w:pPr>
              <w:spacing w:after="240"/>
              <w:ind w:left="703" w:hanging="720"/>
              <w:jc w:val="both"/>
              <w:rPr>
                <w:rFonts w:ascii="Arial" w:hAnsi="Arial" w:cs="Arial"/>
                <w:sz w:val="20"/>
              </w:rPr>
            </w:pPr>
            <w:r w:rsidRPr="00A3316B">
              <w:rPr>
                <w:rFonts w:ascii="Arial" w:hAnsi="Arial" w:cs="Arial"/>
                <w:sz w:val="20"/>
              </w:rPr>
              <w:t>d.</w:t>
            </w:r>
            <w:r w:rsidRPr="00A3316B">
              <w:rPr>
                <w:rFonts w:ascii="Arial" w:hAnsi="Arial" w:cs="Arial"/>
                <w:sz w:val="20"/>
              </w:rPr>
              <w:tab/>
              <w:t>Verify that charges are based on the methodology established by the PHA.</w:t>
            </w:r>
          </w:p>
          <w:p w14:paraId="2A1C5051" w14:textId="68D1D38A" w:rsidR="00A3316B" w:rsidRPr="00A3316B" w:rsidRDefault="00A3316B" w:rsidP="00A3316B">
            <w:pPr>
              <w:spacing w:after="240"/>
              <w:ind w:left="703" w:hanging="720"/>
              <w:jc w:val="both"/>
              <w:rPr>
                <w:rFonts w:ascii="Arial" w:hAnsi="Arial" w:cs="Arial"/>
                <w:sz w:val="20"/>
              </w:rPr>
            </w:pPr>
            <w:r w:rsidRPr="00A3316B">
              <w:rPr>
                <w:rFonts w:ascii="Arial" w:hAnsi="Arial" w:cs="Arial"/>
                <w:sz w:val="20"/>
              </w:rPr>
              <w:t>e.</w:t>
            </w:r>
            <w:r w:rsidRPr="00A3316B">
              <w:rPr>
                <w:rFonts w:ascii="Arial" w:hAnsi="Arial" w:cs="Arial"/>
                <w:sz w:val="20"/>
              </w:rPr>
              <w:tab/>
              <w:t>Confirm, by obtaining written representations from management, that the project(s) charged lack the on-site human resources to perform the function and whether such services were provided in the past. Verification can also be ascertained by reviewing the staff's roles and responsibilities and determining if the services provided fall under these roles and responsibilities.</w:t>
            </w:r>
          </w:p>
          <w:p w14:paraId="1A4FCE8B" w14:textId="735741B2" w:rsidR="00A3316B" w:rsidRPr="0062713F" w:rsidRDefault="00A3316B" w:rsidP="0062713F">
            <w:pPr>
              <w:spacing w:after="240"/>
              <w:ind w:left="703" w:hanging="720"/>
              <w:jc w:val="both"/>
              <w:rPr>
                <w:rFonts w:ascii="Arial" w:hAnsi="Arial" w:cs="Arial"/>
                <w:sz w:val="20"/>
              </w:rPr>
            </w:pPr>
            <w:r w:rsidRPr="00A3316B">
              <w:rPr>
                <w:rFonts w:ascii="Arial" w:hAnsi="Arial" w:cs="Arial"/>
                <w:sz w:val="20"/>
              </w:rPr>
              <w:t>f.</w:t>
            </w:r>
            <w:r w:rsidRPr="00A3316B">
              <w:rPr>
                <w:rFonts w:ascii="Arial" w:hAnsi="Arial" w:cs="Arial"/>
                <w:sz w:val="20"/>
              </w:rPr>
              <w:tab/>
              <w:t>Verify that no ineligible supervisory costs are charged to the project(s).</w:t>
            </w:r>
          </w:p>
        </w:tc>
      </w:tr>
    </w:tbl>
    <w:p w14:paraId="3964C5E2" w14:textId="77777777" w:rsidR="008B4BCE" w:rsidRPr="00F00D94" w:rsidRDefault="008B4BCE" w:rsidP="008B4BCE">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6A084AE4" w14:textId="77777777" w:rsidR="008B4BCE" w:rsidRPr="000706D1" w:rsidRDefault="008B4BCE" w:rsidP="008B4BCE">
      <w:pPr>
        <w:pStyle w:val="Heading3"/>
        <w:jc w:val="both"/>
        <w:rPr>
          <w:rFonts w:cs="Arial"/>
          <w:b w:val="0"/>
          <w:sz w:val="24"/>
          <w:szCs w:val="24"/>
        </w:rPr>
      </w:pPr>
      <w:bookmarkStart w:id="107" w:name="_Toc212473164"/>
      <w:r w:rsidRPr="000706D1">
        <w:rPr>
          <w:rFonts w:cs="Arial"/>
          <w:sz w:val="24"/>
          <w:szCs w:val="24"/>
        </w:rPr>
        <w:t>Audit Implications Summary</w:t>
      </w:r>
      <w:bookmarkEnd w:id="107"/>
    </w:p>
    <w:tbl>
      <w:tblPr>
        <w:tblStyle w:val="TableGrid"/>
        <w:tblW w:w="5000" w:type="pct"/>
        <w:tblLook w:val="04A0" w:firstRow="1" w:lastRow="0" w:firstColumn="1" w:lastColumn="0" w:noHBand="0" w:noVBand="1"/>
      </w:tblPr>
      <w:tblGrid>
        <w:gridCol w:w="9350"/>
      </w:tblGrid>
      <w:tr w:rsidR="008B4BCE" w:rsidRPr="00F00D94" w14:paraId="00736E51" w14:textId="77777777" w:rsidTr="009F1483">
        <w:tc>
          <w:tcPr>
            <w:tcW w:w="5000" w:type="pct"/>
          </w:tcPr>
          <w:p w14:paraId="5B2DEADD" w14:textId="77777777" w:rsidR="008B4BCE" w:rsidRDefault="008B4BCE" w:rsidP="009F148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B97F88E" w14:textId="77777777" w:rsidR="008B4BCE" w:rsidRPr="006E46AD" w:rsidRDefault="008B4BCE" w:rsidP="009F1483">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60271203" w14:textId="77777777" w:rsidR="008B4BCE" w:rsidRPr="006E46AD" w:rsidRDefault="008B4BCE" w:rsidP="001C3146">
            <w:pPr>
              <w:pStyle w:val="ListParagraph"/>
              <w:widowControl w:val="0"/>
              <w:numPr>
                <w:ilvl w:val="0"/>
                <w:numId w:val="58"/>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55EAE04B" w14:textId="77777777" w:rsidR="008B4BCE" w:rsidRPr="006E46AD" w:rsidRDefault="008B4BCE" w:rsidP="009F1483">
            <w:pPr>
              <w:widowControl w:val="0"/>
              <w:spacing w:after="240"/>
              <w:ind w:left="720"/>
              <w:jc w:val="both"/>
              <w:rPr>
                <w:rFonts w:ascii="Arial" w:hAnsi="Arial" w:cs="Arial"/>
                <w:b/>
                <w:sz w:val="20"/>
                <w:szCs w:val="20"/>
              </w:rPr>
            </w:pPr>
          </w:p>
          <w:p w14:paraId="2EAB89F8" w14:textId="77777777" w:rsidR="008B4BCE" w:rsidRPr="006E46AD" w:rsidRDefault="008B4BCE" w:rsidP="001C3146">
            <w:pPr>
              <w:widowControl w:val="0"/>
              <w:numPr>
                <w:ilvl w:val="0"/>
                <w:numId w:val="5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05D8B814" w14:textId="77777777" w:rsidR="008B4BCE" w:rsidRPr="00F00D94" w:rsidRDefault="008B4BCE" w:rsidP="009F1483">
            <w:pPr>
              <w:pStyle w:val="ListParagraph"/>
              <w:spacing w:after="240"/>
              <w:jc w:val="both"/>
              <w:rPr>
                <w:rFonts w:ascii="Arial" w:hAnsi="Arial" w:cs="Arial"/>
                <w:b/>
              </w:rPr>
            </w:pPr>
          </w:p>
          <w:p w14:paraId="661A8798" w14:textId="77777777" w:rsidR="008B4BCE" w:rsidRPr="00F00D94" w:rsidRDefault="008B4BCE" w:rsidP="001C3146">
            <w:pPr>
              <w:widowControl w:val="0"/>
              <w:numPr>
                <w:ilvl w:val="0"/>
                <w:numId w:val="58"/>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22D0B221" w14:textId="77777777" w:rsidR="008B4BCE" w:rsidRPr="00F00D94" w:rsidRDefault="008B4BCE" w:rsidP="009F1483">
            <w:pPr>
              <w:pStyle w:val="ListParagraph"/>
              <w:spacing w:after="240"/>
              <w:jc w:val="both"/>
              <w:rPr>
                <w:rFonts w:ascii="Arial" w:hAnsi="Arial" w:cs="Arial"/>
                <w:b/>
              </w:rPr>
            </w:pPr>
          </w:p>
          <w:p w14:paraId="3B4E62A5" w14:textId="77777777" w:rsidR="008B4BCE" w:rsidRPr="00F00D94" w:rsidRDefault="008B4BCE" w:rsidP="001C3146">
            <w:pPr>
              <w:widowControl w:val="0"/>
              <w:numPr>
                <w:ilvl w:val="0"/>
                <w:numId w:val="5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92B38CB" w14:textId="77777777" w:rsidR="008B4BCE" w:rsidRPr="00F00D94" w:rsidRDefault="008B4BCE" w:rsidP="009F1483">
            <w:pPr>
              <w:pStyle w:val="ListParagraph"/>
              <w:spacing w:after="240"/>
              <w:jc w:val="both"/>
              <w:rPr>
                <w:rFonts w:ascii="Arial" w:hAnsi="Arial" w:cs="Arial"/>
                <w:b/>
              </w:rPr>
            </w:pPr>
          </w:p>
          <w:p w14:paraId="1A2EB052" w14:textId="77777777" w:rsidR="008B4BCE" w:rsidRPr="00F00D94" w:rsidRDefault="008B4BCE" w:rsidP="001C3146">
            <w:pPr>
              <w:widowControl w:val="0"/>
              <w:numPr>
                <w:ilvl w:val="0"/>
                <w:numId w:val="5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C2EF4D6" w14:textId="77777777" w:rsidR="008B4BCE" w:rsidRPr="00F00D94" w:rsidRDefault="008B4BCE" w:rsidP="009F1483">
            <w:pPr>
              <w:pStyle w:val="APStepItem"/>
              <w:numPr>
                <w:ilvl w:val="0"/>
                <w:numId w:val="0"/>
              </w:numPr>
              <w:spacing w:after="240"/>
              <w:rPr>
                <w:rFonts w:cs="Arial"/>
                <w:b/>
              </w:rPr>
            </w:pPr>
          </w:p>
        </w:tc>
      </w:tr>
    </w:tbl>
    <w:p w14:paraId="3532634A" w14:textId="77777777" w:rsidR="008B4BCE" w:rsidRDefault="008B4BCE" w:rsidP="008B4BCE">
      <w:pPr>
        <w:pStyle w:val="Heading2"/>
        <w:jc w:val="both"/>
        <w:rPr>
          <w:rFonts w:cs="Arial"/>
          <w:sz w:val="24"/>
        </w:rPr>
        <w:sectPr w:rsidR="008B4BCE" w:rsidSect="00885BA6">
          <w:headerReference w:type="default" r:id="rId98"/>
          <w:pgSz w:w="12240" w:h="15840" w:code="1"/>
          <w:pgMar w:top="1440" w:right="1440" w:bottom="1440" w:left="1440" w:header="720" w:footer="720" w:gutter="0"/>
          <w:cols w:space="720"/>
          <w:docGrid w:linePitch="360"/>
        </w:sectPr>
      </w:pPr>
    </w:p>
    <w:p w14:paraId="2B15C762" w14:textId="1002638A" w:rsidR="008B4BCE" w:rsidRPr="000706D1" w:rsidRDefault="008B4BCE" w:rsidP="008B4BCE">
      <w:pPr>
        <w:pStyle w:val="Heading2"/>
        <w:jc w:val="both"/>
        <w:rPr>
          <w:rFonts w:cs="Arial"/>
          <w:sz w:val="24"/>
        </w:rPr>
      </w:pPr>
      <w:bookmarkStart w:id="108" w:name="_Toc212473165"/>
      <w:r w:rsidRPr="000706D1">
        <w:rPr>
          <w:rFonts w:cs="Arial"/>
          <w:sz w:val="24"/>
        </w:rPr>
        <w:t>N</w:t>
      </w:r>
      <w:r w:rsidR="00474638">
        <w:rPr>
          <w:rFonts w:cs="Arial"/>
          <w:sz w:val="24"/>
        </w:rPr>
        <w:t>8</w:t>
      </w:r>
      <w:r w:rsidRPr="000706D1">
        <w:rPr>
          <w:rFonts w:cs="Arial"/>
          <w:sz w:val="24"/>
        </w:rPr>
        <w:t>.  SPECIAL TESTS AND PROVISIONS</w:t>
      </w:r>
      <w:r w:rsidR="00474638">
        <w:rPr>
          <w:rFonts w:cs="Arial"/>
          <w:sz w:val="24"/>
        </w:rPr>
        <w:t xml:space="preserve"> – ASSET MANAGEMENT FEE</w:t>
      </w:r>
      <w:bookmarkEnd w:id="108"/>
    </w:p>
    <w:p w14:paraId="7D8EBF4F" w14:textId="77777777" w:rsidR="008B4BCE" w:rsidRPr="000706D1" w:rsidRDefault="008B4BCE" w:rsidP="008B4BCE">
      <w:pPr>
        <w:pStyle w:val="Heading3"/>
        <w:jc w:val="both"/>
        <w:rPr>
          <w:rFonts w:cs="Arial"/>
          <w:sz w:val="24"/>
          <w:szCs w:val="24"/>
        </w:rPr>
      </w:pPr>
      <w:bookmarkStart w:id="109" w:name="_Toc212473166"/>
      <w:r w:rsidRPr="000706D1">
        <w:rPr>
          <w:rFonts w:cs="Arial"/>
          <w:sz w:val="24"/>
          <w:szCs w:val="24"/>
        </w:rPr>
        <w:t>OMB Compliance Requirements</w:t>
      </w:r>
      <w:bookmarkEnd w:id="109"/>
    </w:p>
    <w:p w14:paraId="684E2931" w14:textId="77777777" w:rsidR="008B4BCE" w:rsidRPr="005C1EBC" w:rsidRDefault="008B4BCE" w:rsidP="008B4BC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198F216F" w14:textId="77777777" w:rsidR="008B4BCE" w:rsidRPr="00F00D94" w:rsidRDefault="008B4BCE" w:rsidP="008B4BC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230250A1" w14:textId="77777777" w:rsidR="008B4BCE" w:rsidRPr="00F00D94" w:rsidRDefault="008B4BCE" w:rsidP="008B4BCE">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2ADBF7E6" w14:textId="77777777" w:rsidR="008B4BCE" w:rsidRPr="000706D1" w:rsidRDefault="008B4BCE" w:rsidP="008B4BCE">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2B3C3DE3" w14:textId="7FE72188" w:rsidR="00474638" w:rsidRDefault="00474638" w:rsidP="00474638">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74638">
        <w:rPr>
          <w:rFonts w:ascii="Arial" w:hAnsi="Arial" w:cs="Arial"/>
        </w:rPr>
        <w:t>The COCC may charge a reasonable asset management fee to projects to fund the operations of the central office. HUD will generally consider an asset management fee of $10 per unit month (PUM) charged to each project as reasonable. Sections</w:t>
      </w:r>
      <w:r w:rsidR="008F458B">
        <w:rPr>
          <w:rFonts w:ascii="Arial" w:hAnsi="Arial" w:cs="Arial"/>
        </w:rPr>
        <w:t xml:space="preserve"> </w:t>
      </w:r>
      <w:r w:rsidRPr="00474638">
        <w:rPr>
          <w:rFonts w:ascii="Arial" w:hAnsi="Arial" w:cs="Arial"/>
        </w:rPr>
        <w:t>7.4 and 7.6 in the Supplement to Handbook 7475.1 provide guidance on reasonable standards for asset management fees. HUD considers any fees that are within HUD guidance to be reasonable. PHAs are requested to consult with HUD regarding any fees that depart from HUD guidance and</w:t>
      </w:r>
      <w:r>
        <w:rPr>
          <w:rFonts w:ascii="Arial" w:hAnsi="Arial" w:cs="Arial"/>
        </w:rPr>
        <w:t xml:space="preserve"> </w:t>
      </w:r>
      <w:r w:rsidRPr="00474638">
        <w:rPr>
          <w:rFonts w:ascii="Arial" w:hAnsi="Arial" w:cs="Arial"/>
        </w:rPr>
        <w:t>HUD will provide its view on the reasonableness of the fees. Any fees above the HUD guidelines that have not been approved by HUD need to be reviewed in detail to determine if the additional costs are justified by local conditions or other factors (24 CFR section 990.280(b)(5)(ii)).</w:t>
      </w:r>
    </w:p>
    <w:p w14:paraId="0FE5B955" w14:textId="4A209456" w:rsidR="00474638" w:rsidRPr="00474638" w:rsidRDefault="00474638" w:rsidP="00474638">
      <w:pPr>
        <w:spacing w:after="240"/>
        <w:jc w:val="both"/>
        <w:rPr>
          <w:rFonts w:ascii="Arial" w:hAnsi="Arial" w:cs="Arial"/>
          <w:bCs/>
          <w:i/>
          <w:iCs/>
        </w:rPr>
      </w:pPr>
      <w:r w:rsidRPr="006C797F">
        <w:rPr>
          <w:rFonts w:ascii="Arial" w:hAnsi="Arial" w:cs="Arial"/>
          <w:bCs/>
          <w:i/>
          <w:iCs/>
        </w:rPr>
        <w:t>(Source: 202</w:t>
      </w:r>
      <w:r>
        <w:rPr>
          <w:rFonts w:ascii="Arial" w:hAnsi="Arial" w:cs="Arial"/>
          <w:bCs/>
          <w:i/>
          <w:iCs/>
        </w:rPr>
        <w:t>5</w:t>
      </w:r>
      <w:r w:rsidRPr="006C797F">
        <w:rPr>
          <w:rFonts w:ascii="Arial" w:hAnsi="Arial" w:cs="Arial"/>
          <w:bCs/>
          <w:i/>
          <w:iCs/>
        </w:rPr>
        <w:t xml:space="preserve"> OMB Compliance Supplement, Part 4, HUD, #14.850 </w:t>
      </w:r>
      <w:r>
        <w:rPr>
          <w:rFonts w:ascii="Arial" w:hAnsi="Arial" w:cs="Arial"/>
          <w:bCs/>
          <w:i/>
          <w:iCs/>
        </w:rPr>
        <w:t>Public Housing Operating Fund</w:t>
      </w:r>
      <w:r w:rsidRPr="006C797F">
        <w:rPr>
          <w:rFonts w:ascii="Arial" w:hAnsi="Arial" w:cs="Arial"/>
          <w:bCs/>
          <w:i/>
          <w:iCs/>
        </w:rPr>
        <w:t>)</w:t>
      </w:r>
    </w:p>
    <w:p w14:paraId="5C71FD5C" w14:textId="77777777" w:rsidR="008B4BCE" w:rsidRPr="000706D1" w:rsidRDefault="008B4BCE" w:rsidP="008B4BCE">
      <w:pPr>
        <w:pStyle w:val="Heading3"/>
        <w:jc w:val="both"/>
        <w:rPr>
          <w:rFonts w:cs="Arial"/>
          <w:sz w:val="24"/>
          <w:szCs w:val="24"/>
        </w:rPr>
      </w:pPr>
      <w:bookmarkStart w:id="110" w:name="_Toc212473167"/>
      <w:r w:rsidRPr="000706D1">
        <w:rPr>
          <w:rFonts w:cs="Arial"/>
          <w:sz w:val="24"/>
          <w:szCs w:val="24"/>
        </w:rPr>
        <w:t>Additional Program Specific Information</w:t>
      </w:r>
      <w:bookmarkEnd w:id="110"/>
    </w:p>
    <w:p w14:paraId="1C119481" w14:textId="77777777" w:rsidR="008B4BCE" w:rsidRPr="00AA5B05" w:rsidRDefault="008B4BCE" w:rsidP="008B4BCE">
      <w:pPr>
        <w:spacing w:after="240"/>
        <w:jc w:val="both"/>
        <w:rPr>
          <w:rFonts w:ascii="Arial" w:hAnsi="Arial" w:cs="Arial"/>
          <w:b/>
          <w:highlight w:val="yellow"/>
        </w:rPr>
      </w:pPr>
      <w:r w:rsidRPr="00AA5B05">
        <w:rPr>
          <w:rFonts w:ascii="Arial" w:hAnsi="Arial" w:cs="Arial"/>
          <w:b/>
          <w:highlight w:val="yellow"/>
        </w:rPr>
        <w:t>Add program specific requirements from:</w:t>
      </w:r>
    </w:p>
    <w:p w14:paraId="697AE9C9" w14:textId="77777777" w:rsidR="008B4BCE" w:rsidRPr="00AA5B05" w:rsidRDefault="008B4BCE" w:rsidP="008B4BCE">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2B67A474" w14:textId="77777777" w:rsidR="008B4BCE" w:rsidRPr="00AA5B05" w:rsidRDefault="008B4BCE" w:rsidP="008B4BCE">
      <w:pPr>
        <w:pStyle w:val="ListParagraph"/>
        <w:numPr>
          <w:ilvl w:val="0"/>
          <w:numId w:val="3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421CC737" w14:textId="77777777" w:rsidR="008B4BCE" w:rsidRPr="00AA5B05" w:rsidRDefault="008B4BCE" w:rsidP="008B4BCE">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651350FC" w14:textId="77777777" w:rsidR="008B4BCE" w:rsidRPr="00AA5B05" w:rsidRDefault="008B4BCE" w:rsidP="008B4BCE">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116C2BE" w14:textId="77777777" w:rsidR="008B4BCE" w:rsidRPr="000706D1" w:rsidRDefault="008B4BCE" w:rsidP="008B4BCE">
      <w:pPr>
        <w:pStyle w:val="Heading3"/>
        <w:jc w:val="both"/>
        <w:rPr>
          <w:rFonts w:cs="Arial"/>
          <w:sz w:val="24"/>
          <w:szCs w:val="24"/>
        </w:rPr>
      </w:pPr>
      <w:bookmarkStart w:id="111" w:name="_Toc212473168"/>
      <w:r w:rsidRPr="000706D1">
        <w:rPr>
          <w:rFonts w:cs="Arial"/>
          <w:sz w:val="24"/>
          <w:szCs w:val="24"/>
        </w:rPr>
        <w:t>Audit Objectives and Control Testing</w:t>
      </w:r>
      <w:bookmarkEnd w:id="111"/>
    </w:p>
    <w:p w14:paraId="5139BBC7" w14:textId="77777777" w:rsidR="008B4BCE" w:rsidRPr="00F00D94" w:rsidRDefault="008B4BCE" w:rsidP="008B4BCE">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EE5A972" w14:textId="77777777" w:rsidR="008B4BCE" w:rsidRPr="00F00D94" w:rsidRDefault="008B4BCE" w:rsidP="008B4BCE">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BA24053" w14:textId="77777777" w:rsidR="008B4BCE" w:rsidRDefault="008B4BCE" w:rsidP="008B4BCE">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5A8A75AF" w14:textId="42A7C10D" w:rsidR="008B4BCE" w:rsidRDefault="00BF65AC" w:rsidP="00BF65AC">
      <w:pPr>
        <w:pStyle w:val="ListParagraph"/>
        <w:numPr>
          <w:ilvl w:val="0"/>
          <w:numId w:val="59"/>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BF65AC">
        <w:rPr>
          <w:rFonts w:ascii="Arial" w:hAnsi="Arial" w:cs="Arial"/>
          <w:iCs/>
        </w:rPr>
        <w:t>Determine whether the asset management fees charged by the COCC to the projects are reasonable.</w:t>
      </w:r>
    </w:p>
    <w:p w14:paraId="0D3D5832" w14:textId="11C9B7FD" w:rsidR="00BF65AC" w:rsidRPr="00BF65AC" w:rsidRDefault="00BF65AC" w:rsidP="00BF65AC">
      <w:pPr>
        <w:spacing w:after="240"/>
        <w:jc w:val="both"/>
        <w:rPr>
          <w:rFonts w:ascii="Arial" w:hAnsi="Arial" w:cs="Arial"/>
          <w:bCs/>
          <w:i/>
          <w:iCs/>
        </w:rPr>
      </w:pPr>
      <w:r w:rsidRPr="00BF65AC">
        <w:rPr>
          <w:rFonts w:ascii="Arial" w:hAnsi="Arial" w:cs="Arial"/>
          <w:bCs/>
          <w:i/>
          <w:iCs/>
        </w:rPr>
        <w:t>(Source: 202</w:t>
      </w:r>
      <w:r>
        <w:rPr>
          <w:rFonts w:ascii="Arial" w:hAnsi="Arial" w:cs="Arial"/>
          <w:bCs/>
          <w:i/>
          <w:iCs/>
        </w:rPr>
        <w:t>5</w:t>
      </w:r>
      <w:r w:rsidRPr="00BF65AC">
        <w:rPr>
          <w:rFonts w:ascii="Arial" w:hAnsi="Arial" w:cs="Arial"/>
          <w:bCs/>
          <w:i/>
          <w:iCs/>
        </w:rPr>
        <w:t xml:space="preserve"> OMB Compliance Supplement, Part 4, HUD, #14.850 Public Housing Operating Fund)</w:t>
      </w:r>
    </w:p>
    <w:p w14:paraId="0CD1A9FF" w14:textId="77777777" w:rsidR="008B4BCE" w:rsidRPr="00634FA3" w:rsidRDefault="008B4BCE" w:rsidP="008B4BCE">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8B4BCE" w:rsidRPr="00F00D94" w14:paraId="0D2DEA16" w14:textId="77777777" w:rsidTr="009F1483">
        <w:tc>
          <w:tcPr>
            <w:tcW w:w="5000" w:type="pct"/>
          </w:tcPr>
          <w:p w14:paraId="627352EF" w14:textId="77777777" w:rsidR="008B4BCE" w:rsidRPr="006F5FFA" w:rsidRDefault="008B4BCE" w:rsidP="009F148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D41769C" w14:textId="77777777" w:rsidR="008B4BCE" w:rsidRPr="00F00D94" w:rsidRDefault="008B4BCE" w:rsidP="009F148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3702C11" w14:textId="77777777" w:rsidR="008B4BCE" w:rsidRPr="00F00D94" w:rsidRDefault="008B4BCE" w:rsidP="009F1483">
            <w:pPr>
              <w:pStyle w:val="AuditProcedureHeading"/>
              <w:spacing w:after="240"/>
              <w:jc w:val="both"/>
              <w:rPr>
                <w:rFonts w:cs="Arial"/>
                <w:b/>
                <w:bCs/>
                <w:szCs w:val="20"/>
                <w:u w:val="single"/>
              </w:rPr>
            </w:pPr>
          </w:p>
          <w:p w14:paraId="11576983" w14:textId="77777777" w:rsidR="008B4BCE" w:rsidRPr="00F00D94" w:rsidRDefault="008B4BCE" w:rsidP="009F148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1777831" w14:textId="77777777" w:rsidR="008B4BCE" w:rsidRPr="00F00D94" w:rsidRDefault="008B4BCE" w:rsidP="009F1483">
            <w:pPr>
              <w:pStyle w:val="AuditProcedureHeading"/>
              <w:spacing w:after="240"/>
              <w:jc w:val="both"/>
              <w:rPr>
                <w:rFonts w:cs="Arial"/>
                <w:b/>
                <w:bCs/>
                <w:szCs w:val="20"/>
                <w:u w:val="single"/>
              </w:rPr>
            </w:pPr>
          </w:p>
          <w:p w14:paraId="3F4AD315" w14:textId="77777777" w:rsidR="008B4BCE" w:rsidRPr="00F00D94" w:rsidRDefault="008B4BCE" w:rsidP="009F148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49099F5" w14:textId="77777777" w:rsidR="008B4BCE" w:rsidRPr="00F00D94" w:rsidRDefault="008B4BCE" w:rsidP="009F1483">
            <w:pPr>
              <w:spacing w:after="240"/>
              <w:jc w:val="both"/>
              <w:rPr>
                <w:rFonts w:ascii="Arial" w:hAnsi="Arial" w:cs="Arial"/>
                <w:b/>
                <w:sz w:val="20"/>
                <w:u w:val="single"/>
              </w:rPr>
            </w:pPr>
          </w:p>
          <w:p w14:paraId="2A6F10DD" w14:textId="77777777" w:rsidR="008B4BCE" w:rsidRPr="00F00D94" w:rsidRDefault="008B4BCE" w:rsidP="009F148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1E6C55B" w14:textId="77777777" w:rsidR="008B4BCE" w:rsidRPr="00C35E5F" w:rsidRDefault="008B4BCE" w:rsidP="009F1483">
            <w:pPr>
              <w:spacing w:after="240"/>
              <w:jc w:val="both"/>
              <w:rPr>
                <w:rFonts w:ascii="Arial" w:eastAsiaTheme="minorHAnsi" w:hAnsi="Arial" w:cs="Arial"/>
                <w:sz w:val="20"/>
                <w:szCs w:val="20"/>
              </w:rPr>
            </w:pPr>
          </w:p>
        </w:tc>
      </w:tr>
    </w:tbl>
    <w:p w14:paraId="357A000C" w14:textId="77777777" w:rsidR="008B4BCE" w:rsidRPr="00F00D94" w:rsidRDefault="008B4BCE" w:rsidP="008B4BCE">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460A3B8" w14:textId="77777777" w:rsidR="008B4BCE" w:rsidRPr="000706D1" w:rsidRDefault="008B4BCE" w:rsidP="008B4BCE">
      <w:pPr>
        <w:pStyle w:val="Heading3"/>
        <w:jc w:val="both"/>
        <w:rPr>
          <w:rFonts w:cs="Arial"/>
          <w:sz w:val="24"/>
          <w:szCs w:val="24"/>
        </w:rPr>
      </w:pPr>
      <w:bookmarkStart w:id="112" w:name="_Toc212473169"/>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12"/>
    </w:p>
    <w:tbl>
      <w:tblPr>
        <w:tblStyle w:val="TableGrid"/>
        <w:tblW w:w="9558" w:type="dxa"/>
        <w:tblLayout w:type="fixed"/>
        <w:tblLook w:val="04A0" w:firstRow="1" w:lastRow="0" w:firstColumn="1" w:lastColumn="0" w:noHBand="0" w:noVBand="1"/>
      </w:tblPr>
      <w:tblGrid>
        <w:gridCol w:w="9558"/>
      </w:tblGrid>
      <w:tr w:rsidR="008B4BCE" w:rsidRPr="00F00D94" w14:paraId="312E073D" w14:textId="77777777" w:rsidTr="009F1483">
        <w:tc>
          <w:tcPr>
            <w:tcW w:w="9558" w:type="dxa"/>
          </w:tcPr>
          <w:p w14:paraId="2A758C75" w14:textId="77777777" w:rsidR="008B4BCE" w:rsidRPr="0062713F" w:rsidRDefault="008B4BCE" w:rsidP="009F1483">
            <w:pPr>
              <w:spacing w:after="240"/>
              <w:jc w:val="both"/>
              <w:rPr>
                <w:rFonts w:ascii="Arial" w:hAnsi="Arial" w:cs="Arial"/>
                <w:i/>
                <w:sz w:val="20"/>
                <w:szCs w:val="20"/>
              </w:rPr>
            </w:pPr>
            <w:r w:rsidRPr="0062713F">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DE29B16" w14:textId="3C324FE0" w:rsidR="008B4BCE" w:rsidRPr="0062713F" w:rsidRDefault="008B4BCE" w:rsidP="009F1483">
            <w:pPr>
              <w:spacing w:after="240"/>
              <w:jc w:val="both"/>
              <w:rPr>
                <w:rFonts w:ascii="Arial" w:hAnsi="Arial" w:cs="Arial"/>
                <w:i/>
                <w:sz w:val="20"/>
                <w:szCs w:val="20"/>
              </w:rPr>
            </w:pPr>
            <w:r w:rsidRPr="0062713F">
              <w:rPr>
                <w:rFonts w:ascii="Arial" w:hAnsi="Arial" w:cs="Arial"/>
                <w:i/>
                <w:sz w:val="20"/>
                <w:szCs w:val="20"/>
              </w:rPr>
              <w:t>(Source: 2025 OMB Compliance Supplement Part 3.2)</w:t>
            </w:r>
          </w:p>
          <w:p w14:paraId="08322FE8" w14:textId="6EF0CD0F" w:rsidR="00390A39" w:rsidRPr="0062713F" w:rsidRDefault="00390A39" w:rsidP="00390A39">
            <w:pPr>
              <w:spacing w:after="240"/>
              <w:jc w:val="both"/>
              <w:rPr>
                <w:rFonts w:ascii="Arial" w:hAnsi="Arial" w:cs="Arial"/>
                <w:sz w:val="20"/>
                <w:szCs w:val="20"/>
              </w:rPr>
            </w:pPr>
            <w:r w:rsidRPr="0062713F">
              <w:rPr>
                <w:rFonts w:ascii="Arial" w:hAnsi="Arial" w:cs="Arial"/>
                <w:sz w:val="20"/>
                <w:szCs w:val="20"/>
              </w:rPr>
              <w:t>a.</w:t>
            </w:r>
            <w:r w:rsidRPr="0062713F">
              <w:rPr>
                <w:rFonts w:ascii="Arial" w:hAnsi="Arial" w:cs="Arial"/>
                <w:sz w:val="20"/>
                <w:szCs w:val="20"/>
              </w:rPr>
              <w:tab/>
              <w:t>Select a sample of projects that were charged an asset management fee.</w:t>
            </w:r>
          </w:p>
          <w:p w14:paraId="16D8275F" w14:textId="68A3AAD3" w:rsidR="00390A39" w:rsidRPr="0062713F" w:rsidRDefault="00390A39" w:rsidP="00390A39">
            <w:pPr>
              <w:spacing w:after="240"/>
              <w:jc w:val="both"/>
              <w:rPr>
                <w:rFonts w:ascii="Arial" w:hAnsi="Arial" w:cs="Arial"/>
                <w:sz w:val="20"/>
                <w:szCs w:val="20"/>
              </w:rPr>
            </w:pPr>
            <w:r w:rsidRPr="0062713F">
              <w:rPr>
                <w:rFonts w:ascii="Arial" w:hAnsi="Arial" w:cs="Arial"/>
                <w:sz w:val="20"/>
                <w:szCs w:val="20"/>
              </w:rPr>
              <w:t>b.</w:t>
            </w:r>
            <w:r w:rsidRPr="0062713F">
              <w:rPr>
                <w:rFonts w:ascii="Arial" w:hAnsi="Arial" w:cs="Arial"/>
                <w:sz w:val="20"/>
                <w:szCs w:val="20"/>
              </w:rPr>
              <w:tab/>
              <w:t>Determine if the fees comply with fee reasonable guidelines set by HUD.</w:t>
            </w:r>
          </w:p>
          <w:p w14:paraId="07570A2D" w14:textId="7D6B2B2B" w:rsidR="00390A39" w:rsidRPr="0062713F" w:rsidRDefault="00390A39" w:rsidP="00390A39">
            <w:pPr>
              <w:spacing w:after="240"/>
              <w:ind w:left="703" w:hanging="703"/>
              <w:jc w:val="both"/>
              <w:rPr>
                <w:rFonts w:ascii="Arial" w:hAnsi="Arial" w:cs="Arial"/>
                <w:b/>
                <w:bCs/>
                <w:sz w:val="20"/>
                <w:szCs w:val="20"/>
              </w:rPr>
            </w:pPr>
            <w:r w:rsidRPr="0062713F">
              <w:rPr>
                <w:rFonts w:ascii="Arial" w:hAnsi="Arial" w:cs="Arial"/>
                <w:sz w:val="20"/>
                <w:szCs w:val="20"/>
              </w:rPr>
              <w:t>c.</w:t>
            </w:r>
            <w:r w:rsidRPr="0062713F">
              <w:rPr>
                <w:rFonts w:ascii="Arial" w:hAnsi="Arial" w:cs="Arial"/>
                <w:sz w:val="20"/>
                <w:szCs w:val="20"/>
              </w:rPr>
              <w:tab/>
              <w:t>For any fees that do not meet the reasonableness guidelines, review the documentation maintained by the PHA to determine if the fees were approved by HUD or are reasonable.</w:t>
            </w:r>
          </w:p>
        </w:tc>
      </w:tr>
    </w:tbl>
    <w:p w14:paraId="4DD86D0D" w14:textId="77777777" w:rsidR="008B4BCE" w:rsidRPr="00F00D94" w:rsidRDefault="008B4BCE" w:rsidP="008B4BCE">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02DC66EA" w14:textId="77777777" w:rsidR="008B4BCE" w:rsidRPr="000706D1" w:rsidRDefault="008B4BCE" w:rsidP="008B4BCE">
      <w:pPr>
        <w:pStyle w:val="Heading3"/>
        <w:jc w:val="both"/>
        <w:rPr>
          <w:rFonts w:cs="Arial"/>
          <w:b w:val="0"/>
          <w:sz w:val="24"/>
          <w:szCs w:val="24"/>
        </w:rPr>
      </w:pPr>
      <w:bookmarkStart w:id="113" w:name="_Toc212473170"/>
      <w:r w:rsidRPr="000706D1">
        <w:rPr>
          <w:rFonts w:cs="Arial"/>
          <w:sz w:val="24"/>
          <w:szCs w:val="24"/>
        </w:rPr>
        <w:t>Audit Implications Summary</w:t>
      </w:r>
      <w:bookmarkEnd w:id="113"/>
    </w:p>
    <w:tbl>
      <w:tblPr>
        <w:tblStyle w:val="TableGrid"/>
        <w:tblW w:w="5000" w:type="pct"/>
        <w:tblLook w:val="04A0" w:firstRow="1" w:lastRow="0" w:firstColumn="1" w:lastColumn="0" w:noHBand="0" w:noVBand="1"/>
      </w:tblPr>
      <w:tblGrid>
        <w:gridCol w:w="9350"/>
      </w:tblGrid>
      <w:tr w:rsidR="008B4BCE" w:rsidRPr="00F00D94" w14:paraId="6BE1F48D" w14:textId="77777777" w:rsidTr="009F1483">
        <w:tc>
          <w:tcPr>
            <w:tcW w:w="5000" w:type="pct"/>
          </w:tcPr>
          <w:p w14:paraId="5C64D4A8" w14:textId="77777777" w:rsidR="008B4BCE" w:rsidRDefault="008B4BCE" w:rsidP="009F148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33F0CF9" w14:textId="77777777" w:rsidR="008B4BCE" w:rsidRPr="006E46AD" w:rsidRDefault="008B4BCE" w:rsidP="009F1483">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4E17211" w14:textId="77777777" w:rsidR="008B4BCE" w:rsidRPr="006E46AD" w:rsidRDefault="008B4BCE" w:rsidP="00390A39">
            <w:pPr>
              <w:pStyle w:val="ListParagraph"/>
              <w:widowControl w:val="0"/>
              <w:numPr>
                <w:ilvl w:val="0"/>
                <w:numId w:val="6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17E1C634" w14:textId="77777777" w:rsidR="008B4BCE" w:rsidRPr="006E46AD" w:rsidRDefault="008B4BCE" w:rsidP="009F1483">
            <w:pPr>
              <w:widowControl w:val="0"/>
              <w:spacing w:after="240"/>
              <w:ind w:left="720"/>
              <w:jc w:val="both"/>
              <w:rPr>
                <w:rFonts w:ascii="Arial" w:hAnsi="Arial" w:cs="Arial"/>
                <w:b/>
                <w:sz w:val="20"/>
                <w:szCs w:val="20"/>
              </w:rPr>
            </w:pPr>
          </w:p>
          <w:p w14:paraId="4B7D6C11" w14:textId="77777777" w:rsidR="008B4BCE" w:rsidRPr="006E46AD" w:rsidRDefault="008B4BCE" w:rsidP="00390A39">
            <w:pPr>
              <w:widowControl w:val="0"/>
              <w:numPr>
                <w:ilvl w:val="0"/>
                <w:numId w:val="6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5A7A457" w14:textId="77777777" w:rsidR="008B4BCE" w:rsidRPr="00F00D94" w:rsidRDefault="008B4BCE" w:rsidP="009F1483">
            <w:pPr>
              <w:pStyle w:val="ListParagraph"/>
              <w:spacing w:after="240"/>
              <w:jc w:val="both"/>
              <w:rPr>
                <w:rFonts w:ascii="Arial" w:hAnsi="Arial" w:cs="Arial"/>
                <w:b/>
              </w:rPr>
            </w:pPr>
          </w:p>
          <w:p w14:paraId="2B58611E" w14:textId="77777777" w:rsidR="008B4BCE" w:rsidRPr="00F00D94" w:rsidRDefault="008B4BCE" w:rsidP="00390A39">
            <w:pPr>
              <w:widowControl w:val="0"/>
              <w:numPr>
                <w:ilvl w:val="0"/>
                <w:numId w:val="60"/>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7892889F" w14:textId="77777777" w:rsidR="008B4BCE" w:rsidRPr="00F00D94" w:rsidRDefault="008B4BCE" w:rsidP="009F1483">
            <w:pPr>
              <w:pStyle w:val="ListParagraph"/>
              <w:spacing w:after="240"/>
              <w:jc w:val="both"/>
              <w:rPr>
                <w:rFonts w:ascii="Arial" w:hAnsi="Arial" w:cs="Arial"/>
                <w:b/>
              </w:rPr>
            </w:pPr>
          </w:p>
          <w:p w14:paraId="28903BF7" w14:textId="77777777" w:rsidR="008B4BCE" w:rsidRPr="00F00D94" w:rsidRDefault="008B4BCE" w:rsidP="00390A39">
            <w:pPr>
              <w:widowControl w:val="0"/>
              <w:numPr>
                <w:ilvl w:val="0"/>
                <w:numId w:val="6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059447A" w14:textId="77777777" w:rsidR="008B4BCE" w:rsidRPr="00F00D94" w:rsidRDefault="008B4BCE" w:rsidP="009F1483">
            <w:pPr>
              <w:pStyle w:val="ListParagraph"/>
              <w:spacing w:after="240"/>
              <w:jc w:val="both"/>
              <w:rPr>
                <w:rFonts w:ascii="Arial" w:hAnsi="Arial" w:cs="Arial"/>
                <w:b/>
              </w:rPr>
            </w:pPr>
          </w:p>
          <w:p w14:paraId="3BA4DCAE" w14:textId="77777777" w:rsidR="008B4BCE" w:rsidRPr="00F00D94" w:rsidRDefault="008B4BCE" w:rsidP="00390A39">
            <w:pPr>
              <w:widowControl w:val="0"/>
              <w:numPr>
                <w:ilvl w:val="0"/>
                <w:numId w:val="6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EB2C951" w14:textId="77777777" w:rsidR="008B4BCE" w:rsidRPr="00F00D94" w:rsidRDefault="008B4BCE" w:rsidP="009F1483">
            <w:pPr>
              <w:pStyle w:val="APStepItem"/>
              <w:numPr>
                <w:ilvl w:val="0"/>
                <w:numId w:val="0"/>
              </w:numPr>
              <w:spacing w:after="240"/>
              <w:rPr>
                <w:rFonts w:cs="Arial"/>
                <w:b/>
              </w:rPr>
            </w:pPr>
          </w:p>
        </w:tc>
      </w:tr>
    </w:tbl>
    <w:p w14:paraId="3B72CB1D" w14:textId="77777777" w:rsidR="008B4BCE" w:rsidRDefault="008B4BCE" w:rsidP="008B4BCE">
      <w:pPr>
        <w:pStyle w:val="Heading2"/>
        <w:jc w:val="both"/>
        <w:rPr>
          <w:rFonts w:cs="Arial"/>
          <w:sz w:val="24"/>
        </w:rPr>
        <w:sectPr w:rsidR="008B4BCE" w:rsidSect="00885BA6">
          <w:headerReference w:type="default" r:id="rId100"/>
          <w:pgSz w:w="12240" w:h="15840" w:code="1"/>
          <w:pgMar w:top="1440" w:right="1440" w:bottom="1440" w:left="1440" w:header="720" w:footer="720" w:gutter="0"/>
          <w:cols w:space="720"/>
          <w:docGrid w:linePitch="360"/>
        </w:sectPr>
      </w:pPr>
    </w:p>
    <w:p w14:paraId="1EF2DD5C" w14:textId="01FD7819" w:rsidR="008B4BCE" w:rsidRPr="000706D1" w:rsidRDefault="008B4BCE" w:rsidP="008B4BCE">
      <w:pPr>
        <w:pStyle w:val="Heading2"/>
        <w:jc w:val="both"/>
        <w:rPr>
          <w:rFonts w:cs="Arial"/>
          <w:sz w:val="24"/>
        </w:rPr>
      </w:pPr>
      <w:bookmarkStart w:id="114" w:name="_Toc212473171"/>
      <w:r w:rsidRPr="000706D1">
        <w:rPr>
          <w:rFonts w:cs="Arial"/>
          <w:sz w:val="24"/>
        </w:rPr>
        <w:t>N</w:t>
      </w:r>
      <w:r w:rsidR="00616E36">
        <w:rPr>
          <w:rFonts w:cs="Arial"/>
          <w:sz w:val="24"/>
        </w:rPr>
        <w:t>9</w:t>
      </w:r>
      <w:r w:rsidRPr="000706D1">
        <w:rPr>
          <w:rFonts w:cs="Arial"/>
          <w:sz w:val="24"/>
        </w:rPr>
        <w:t>.  SPECIAL TESTS AND PROVISIONS</w:t>
      </w:r>
      <w:r w:rsidR="00616E36">
        <w:rPr>
          <w:rFonts w:cs="Arial"/>
          <w:sz w:val="24"/>
        </w:rPr>
        <w:t xml:space="preserve"> – MANAGEMENT FEES</w:t>
      </w:r>
      <w:bookmarkEnd w:id="114"/>
    </w:p>
    <w:p w14:paraId="6622E78A" w14:textId="77777777" w:rsidR="008B4BCE" w:rsidRPr="000706D1" w:rsidRDefault="008B4BCE" w:rsidP="008B4BCE">
      <w:pPr>
        <w:pStyle w:val="Heading3"/>
        <w:jc w:val="both"/>
        <w:rPr>
          <w:rFonts w:cs="Arial"/>
          <w:sz w:val="24"/>
          <w:szCs w:val="24"/>
        </w:rPr>
      </w:pPr>
      <w:bookmarkStart w:id="115" w:name="_Toc212473172"/>
      <w:r w:rsidRPr="000706D1">
        <w:rPr>
          <w:rFonts w:cs="Arial"/>
          <w:sz w:val="24"/>
          <w:szCs w:val="24"/>
        </w:rPr>
        <w:t>OMB Compliance Requirements</w:t>
      </w:r>
      <w:bookmarkEnd w:id="115"/>
    </w:p>
    <w:p w14:paraId="64198028" w14:textId="77777777" w:rsidR="008B4BCE" w:rsidRPr="005C1EBC" w:rsidRDefault="008B4BCE" w:rsidP="008B4BC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4156755E" w14:textId="77777777" w:rsidR="008B4BCE" w:rsidRPr="00F00D94" w:rsidRDefault="008B4BCE" w:rsidP="008B4BC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2CE17423" w14:textId="77777777" w:rsidR="008B4BCE" w:rsidRPr="00F00D94" w:rsidRDefault="008B4BCE" w:rsidP="008B4BCE">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60312626" w14:textId="77777777" w:rsidR="008B4BCE" w:rsidRPr="000706D1" w:rsidRDefault="008B4BCE" w:rsidP="008B4BCE">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04251BF0" w14:textId="41B7EC61" w:rsidR="00616E36" w:rsidRDefault="00616E36" w:rsidP="008B4BCE">
      <w:pPr>
        <w:spacing w:after="240"/>
        <w:jc w:val="both"/>
        <w:rPr>
          <w:rFonts w:ascii="Arial" w:hAnsi="Arial" w:cs="Arial"/>
          <w:bCs/>
        </w:rPr>
      </w:pPr>
      <w:r w:rsidRPr="00616E36">
        <w:rPr>
          <w:rFonts w:ascii="Arial" w:hAnsi="Arial" w:cs="Arial"/>
          <w:bCs/>
        </w:rPr>
        <w:t xml:space="preserve">The COCC may charge reasonable management fees. Management fees may include property management fees and bookkeeping fees. Fee reasonableness standards for the property management fee and bookkeeping fee are provided in sections 7.4 and 7.5 in the in the </w:t>
      </w:r>
      <w:hyperlink r:id="rId101" w:history="1">
        <w:r w:rsidRPr="0062713F">
          <w:rPr>
            <w:rStyle w:val="Hyperlink"/>
            <w:rFonts w:cs="Arial"/>
            <w:bCs/>
          </w:rPr>
          <w:t>Supplement to Handbook 7475.1</w:t>
        </w:r>
      </w:hyperlink>
      <w:r w:rsidRPr="00616E36">
        <w:rPr>
          <w:rFonts w:ascii="Arial" w:hAnsi="Arial" w:cs="Arial"/>
          <w:bCs/>
        </w:rPr>
        <w:t>. HUD considers any fees that are within HUD guidance to be reasonable. PHAs are requested to consult with HUD regarding any fees that depart from HUD guidance and HUD will provide its view on the reasonableness of the fees. Any fees above the HUD guidelines that have not been approved by HUD need to be reviewed in detail to determine if the additional costs are justified by local conditions or other factors (24 CFR section 990.280(b)(4)), including cost reasonableness guidance under 2 CFR Part 200.</w:t>
      </w:r>
    </w:p>
    <w:p w14:paraId="24C4A669" w14:textId="2189F730" w:rsidR="00616E36" w:rsidRPr="00616E36" w:rsidRDefault="00616E36" w:rsidP="008B4BCE">
      <w:pPr>
        <w:spacing w:after="240"/>
        <w:jc w:val="both"/>
        <w:rPr>
          <w:rFonts w:ascii="Arial" w:hAnsi="Arial" w:cs="Arial"/>
          <w:bCs/>
          <w:i/>
          <w:iCs/>
        </w:rPr>
      </w:pPr>
      <w:r w:rsidRPr="006C797F">
        <w:rPr>
          <w:rFonts w:ascii="Arial" w:hAnsi="Arial" w:cs="Arial"/>
          <w:bCs/>
          <w:i/>
          <w:iCs/>
        </w:rPr>
        <w:t>(Source: 202</w:t>
      </w:r>
      <w:r>
        <w:rPr>
          <w:rFonts w:ascii="Arial" w:hAnsi="Arial" w:cs="Arial"/>
          <w:bCs/>
          <w:i/>
          <w:iCs/>
        </w:rPr>
        <w:t>5</w:t>
      </w:r>
      <w:r w:rsidRPr="006C797F">
        <w:rPr>
          <w:rFonts w:ascii="Arial" w:hAnsi="Arial" w:cs="Arial"/>
          <w:bCs/>
          <w:i/>
          <w:iCs/>
        </w:rPr>
        <w:t xml:space="preserve"> OMB Compliance Supplement, Part 4, HUD, #14.850 </w:t>
      </w:r>
      <w:r>
        <w:rPr>
          <w:rFonts w:ascii="Arial" w:hAnsi="Arial" w:cs="Arial"/>
          <w:bCs/>
          <w:i/>
          <w:iCs/>
        </w:rPr>
        <w:t>Public Housing Operating Fund</w:t>
      </w:r>
      <w:r w:rsidRPr="006C797F">
        <w:rPr>
          <w:rFonts w:ascii="Arial" w:hAnsi="Arial" w:cs="Arial"/>
          <w:bCs/>
          <w:i/>
          <w:iCs/>
        </w:rPr>
        <w:t>)</w:t>
      </w:r>
    </w:p>
    <w:p w14:paraId="655AADBF" w14:textId="77777777" w:rsidR="008B4BCE" w:rsidRPr="000706D1" w:rsidRDefault="008B4BCE" w:rsidP="008B4BCE">
      <w:pPr>
        <w:pStyle w:val="Heading3"/>
        <w:jc w:val="both"/>
        <w:rPr>
          <w:rFonts w:cs="Arial"/>
          <w:sz w:val="24"/>
          <w:szCs w:val="24"/>
        </w:rPr>
      </w:pPr>
      <w:bookmarkStart w:id="116" w:name="_Toc212473173"/>
      <w:r w:rsidRPr="000706D1">
        <w:rPr>
          <w:rFonts w:cs="Arial"/>
          <w:sz w:val="24"/>
          <w:szCs w:val="24"/>
        </w:rPr>
        <w:t>Additional Program Specific Information</w:t>
      </w:r>
      <w:bookmarkEnd w:id="116"/>
    </w:p>
    <w:p w14:paraId="62C8554C" w14:textId="77777777" w:rsidR="008B4BCE" w:rsidRPr="00AA5B05" w:rsidRDefault="008B4BCE" w:rsidP="008B4BCE">
      <w:pPr>
        <w:spacing w:after="240"/>
        <w:jc w:val="both"/>
        <w:rPr>
          <w:rFonts w:ascii="Arial" w:hAnsi="Arial" w:cs="Arial"/>
          <w:b/>
          <w:highlight w:val="yellow"/>
        </w:rPr>
      </w:pPr>
      <w:r w:rsidRPr="00AA5B05">
        <w:rPr>
          <w:rFonts w:ascii="Arial" w:hAnsi="Arial" w:cs="Arial"/>
          <w:b/>
          <w:highlight w:val="yellow"/>
        </w:rPr>
        <w:t>Add program specific requirements from:</w:t>
      </w:r>
    </w:p>
    <w:p w14:paraId="3A7D2771" w14:textId="77777777" w:rsidR="008B4BCE" w:rsidRPr="00AA5B05" w:rsidRDefault="008B4BCE" w:rsidP="008B4BCE">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E5EE3ED" w14:textId="77777777" w:rsidR="008B4BCE" w:rsidRPr="00AA5B05" w:rsidRDefault="008B4BCE" w:rsidP="008B4BCE">
      <w:pPr>
        <w:pStyle w:val="ListParagraph"/>
        <w:numPr>
          <w:ilvl w:val="0"/>
          <w:numId w:val="3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495AFF0C" w14:textId="77777777" w:rsidR="008B4BCE" w:rsidRPr="00AA5B05" w:rsidRDefault="008B4BCE" w:rsidP="008B4BCE">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42F74441" w14:textId="77777777" w:rsidR="008B4BCE" w:rsidRPr="00AA5B05" w:rsidRDefault="008B4BCE" w:rsidP="008B4BCE">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30243BD" w14:textId="77777777" w:rsidR="008B4BCE" w:rsidRPr="000706D1" w:rsidRDefault="008B4BCE" w:rsidP="008B4BCE">
      <w:pPr>
        <w:pStyle w:val="Heading3"/>
        <w:jc w:val="both"/>
        <w:rPr>
          <w:rFonts w:cs="Arial"/>
          <w:sz w:val="24"/>
          <w:szCs w:val="24"/>
        </w:rPr>
      </w:pPr>
      <w:bookmarkStart w:id="117" w:name="_Toc212473174"/>
      <w:r w:rsidRPr="000706D1">
        <w:rPr>
          <w:rFonts w:cs="Arial"/>
          <w:sz w:val="24"/>
          <w:szCs w:val="24"/>
        </w:rPr>
        <w:t>Audit Objectives and Control Testing</w:t>
      </w:r>
      <w:bookmarkEnd w:id="117"/>
    </w:p>
    <w:p w14:paraId="28ED6022" w14:textId="77777777" w:rsidR="008B4BCE" w:rsidRPr="00F00D94" w:rsidRDefault="008B4BCE" w:rsidP="008B4BCE">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358DD437" w14:textId="77777777" w:rsidR="008B4BCE" w:rsidRPr="00F00D94" w:rsidRDefault="008B4BCE" w:rsidP="008B4BCE">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D130FFC" w14:textId="77777777" w:rsidR="008B4BCE" w:rsidRDefault="008B4BCE" w:rsidP="008B4BCE">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7F58ED64" w14:textId="0D06CBC6" w:rsidR="008B4BCE" w:rsidRPr="00340086" w:rsidRDefault="00340086" w:rsidP="00340086">
      <w:pPr>
        <w:pStyle w:val="ListParagraph"/>
        <w:numPr>
          <w:ilvl w:val="0"/>
          <w:numId w:val="61"/>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340086">
        <w:rPr>
          <w:rFonts w:ascii="Arial" w:hAnsi="Arial" w:cs="Arial"/>
        </w:rPr>
        <w:t>Determine whether the fees charged by the COCC for management services are reasonable.</w:t>
      </w:r>
    </w:p>
    <w:p w14:paraId="1EAB3B15" w14:textId="1414659A" w:rsidR="00340086" w:rsidRPr="00340086" w:rsidRDefault="00340086" w:rsidP="00340086">
      <w:pPr>
        <w:spacing w:after="240"/>
        <w:jc w:val="both"/>
        <w:rPr>
          <w:rFonts w:ascii="Arial" w:hAnsi="Arial" w:cs="Arial"/>
          <w:iCs/>
        </w:rPr>
      </w:pPr>
      <w:r w:rsidRPr="00340086">
        <w:rPr>
          <w:rFonts w:ascii="Arial" w:hAnsi="Arial" w:cs="Arial"/>
          <w:bCs/>
          <w:i/>
          <w:iCs/>
        </w:rPr>
        <w:t>(Source: 202</w:t>
      </w:r>
      <w:r>
        <w:rPr>
          <w:rFonts w:ascii="Arial" w:hAnsi="Arial" w:cs="Arial"/>
          <w:bCs/>
          <w:i/>
          <w:iCs/>
        </w:rPr>
        <w:t>5</w:t>
      </w:r>
      <w:r w:rsidRPr="00340086">
        <w:rPr>
          <w:rFonts w:ascii="Arial" w:hAnsi="Arial" w:cs="Arial"/>
          <w:bCs/>
          <w:i/>
          <w:iCs/>
        </w:rPr>
        <w:t xml:space="preserve"> OMB Compliance Supplement, Part 4, HUD, #14.850 Public Housing Operating Fund)</w:t>
      </w:r>
    </w:p>
    <w:p w14:paraId="11981409" w14:textId="77777777" w:rsidR="008B4BCE" w:rsidRPr="00634FA3" w:rsidRDefault="008B4BCE" w:rsidP="008B4BCE">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8B4BCE" w:rsidRPr="00F00D94" w14:paraId="050D0FF9" w14:textId="77777777" w:rsidTr="009F1483">
        <w:tc>
          <w:tcPr>
            <w:tcW w:w="5000" w:type="pct"/>
          </w:tcPr>
          <w:p w14:paraId="124556BE" w14:textId="77777777" w:rsidR="008B4BCE" w:rsidRPr="006F5FFA" w:rsidRDefault="008B4BCE" w:rsidP="009F148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91D76B7" w14:textId="77777777" w:rsidR="008B4BCE" w:rsidRPr="00F00D94" w:rsidRDefault="008B4BCE" w:rsidP="009F148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4A600D17" w14:textId="77777777" w:rsidR="008B4BCE" w:rsidRPr="00F00D94" w:rsidRDefault="008B4BCE" w:rsidP="009F1483">
            <w:pPr>
              <w:pStyle w:val="AuditProcedureHeading"/>
              <w:spacing w:after="240"/>
              <w:jc w:val="both"/>
              <w:rPr>
                <w:rFonts w:cs="Arial"/>
                <w:b/>
                <w:bCs/>
                <w:szCs w:val="20"/>
                <w:u w:val="single"/>
              </w:rPr>
            </w:pPr>
          </w:p>
          <w:p w14:paraId="61E3178D" w14:textId="77777777" w:rsidR="008B4BCE" w:rsidRPr="00F00D94" w:rsidRDefault="008B4BCE" w:rsidP="009F148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00B6126" w14:textId="77777777" w:rsidR="008B4BCE" w:rsidRPr="00F00D94" w:rsidRDefault="008B4BCE" w:rsidP="009F1483">
            <w:pPr>
              <w:pStyle w:val="AuditProcedureHeading"/>
              <w:spacing w:after="240"/>
              <w:jc w:val="both"/>
              <w:rPr>
                <w:rFonts w:cs="Arial"/>
                <w:b/>
                <w:bCs/>
                <w:szCs w:val="20"/>
                <w:u w:val="single"/>
              </w:rPr>
            </w:pPr>
          </w:p>
          <w:p w14:paraId="2F9AE258" w14:textId="77777777" w:rsidR="008B4BCE" w:rsidRPr="00F00D94" w:rsidRDefault="008B4BCE" w:rsidP="009F148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3EA2741" w14:textId="77777777" w:rsidR="008B4BCE" w:rsidRPr="00F00D94" w:rsidRDefault="008B4BCE" w:rsidP="009F1483">
            <w:pPr>
              <w:spacing w:after="240"/>
              <w:jc w:val="both"/>
              <w:rPr>
                <w:rFonts w:ascii="Arial" w:hAnsi="Arial" w:cs="Arial"/>
                <w:b/>
                <w:sz w:val="20"/>
                <w:u w:val="single"/>
              </w:rPr>
            </w:pPr>
          </w:p>
          <w:p w14:paraId="28F0C7EC" w14:textId="77777777" w:rsidR="008B4BCE" w:rsidRPr="00F00D94" w:rsidRDefault="008B4BCE" w:rsidP="009F148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832845F" w14:textId="77777777" w:rsidR="008B4BCE" w:rsidRPr="00C35E5F" w:rsidRDefault="008B4BCE" w:rsidP="009F1483">
            <w:pPr>
              <w:spacing w:after="240"/>
              <w:jc w:val="both"/>
              <w:rPr>
                <w:rFonts w:ascii="Arial" w:eastAsiaTheme="minorHAnsi" w:hAnsi="Arial" w:cs="Arial"/>
                <w:sz w:val="20"/>
                <w:szCs w:val="20"/>
              </w:rPr>
            </w:pPr>
          </w:p>
        </w:tc>
      </w:tr>
    </w:tbl>
    <w:p w14:paraId="612A86AA" w14:textId="77777777" w:rsidR="008B4BCE" w:rsidRPr="00F00D94" w:rsidRDefault="008B4BCE" w:rsidP="008B4BCE">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7D2557" w14:textId="77777777" w:rsidR="008B4BCE" w:rsidRPr="000706D1" w:rsidRDefault="008B4BCE" w:rsidP="008B4BCE">
      <w:pPr>
        <w:pStyle w:val="Heading3"/>
        <w:jc w:val="both"/>
        <w:rPr>
          <w:rFonts w:cs="Arial"/>
          <w:sz w:val="24"/>
          <w:szCs w:val="24"/>
        </w:rPr>
      </w:pPr>
      <w:bookmarkStart w:id="118" w:name="_Toc212473175"/>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18"/>
    </w:p>
    <w:tbl>
      <w:tblPr>
        <w:tblStyle w:val="TableGrid"/>
        <w:tblW w:w="9558" w:type="dxa"/>
        <w:tblLayout w:type="fixed"/>
        <w:tblLook w:val="04A0" w:firstRow="1" w:lastRow="0" w:firstColumn="1" w:lastColumn="0" w:noHBand="0" w:noVBand="1"/>
      </w:tblPr>
      <w:tblGrid>
        <w:gridCol w:w="9558"/>
      </w:tblGrid>
      <w:tr w:rsidR="008B4BCE" w:rsidRPr="00F00D94" w14:paraId="6A58769E" w14:textId="77777777" w:rsidTr="009F1483">
        <w:tc>
          <w:tcPr>
            <w:tcW w:w="9558" w:type="dxa"/>
          </w:tcPr>
          <w:p w14:paraId="570E3E90" w14:textId="77777777" w:rsidR="008B4BCE" w:rsidRDefault="008B4BCE" w:rsidP="009F1483">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88310D9" w14:textId="77777777" w:rsidR="008B4BCE" w:rsidRPr="00AC7B25" w:rsidRDefault="008B4BCE" w:rsidP="009F1483">
            <w:pPr>
              <w:spacing w:after="240"/>
              <w:jc w:val="both"/>
              <w:rPr>
                <w:rFonts w:ascii="Arial" w:hAnsi="Arial" w:cs="Arial"/>
                <w:i/>
                <w:sz w:val="20"/>
                <w:szCs w:val="20"/>
              </w:rPr>
            </w:pPr>
            <w:r>
              <w:rPr>
                <w:rFonts w:ascii="Arial" w:hAnsi="Arial" w:cs="Arial"/>
                <w:i/>
                <w:sz w:val="20"/>
                <w:szCs w:val="20"/>
              </w:rPr>
              <w:t>(Source: 2025 OMB Compliance Supplement Part 3.2)</w:t>
            </w:r>
          </w:p>
          <w:p w14:paraId="24B18DE9" w14:textId="62A66107" w:rsidR="00340086" w:rsidRPr="00340086" w:rsidRDefault="00340086" w:rsidP="00340086">
            <w:pPr>
              <w:spacing w:after="240"/>
              <w:ind w:left="703" w:hanging="720"/>
              <w:jc w:val="both"/>
              <w:rPr>
                <w:rFonts w:ascii="Arial" w:hAnsi="Arial" w:cs="Arial"/>
                <w:sz w:val="20"/>
              </w:rPr>
            </w:pPr>
            <w:r w:rsidRPr="00340086">
              <w:rPr>
                <w:rFonts w:ascii="Arial" w:hAnsi="Arial" w:cs="Arial"/>
                <w:sz w:val="20"/>
              </w:rPr>
              <w:t>a.</w:t>
            </w:r>
            <w:r w:rsidRPr="00340086">
              <w:rPr>
                <w:rFonts w:ascii="Arial" w:hAnsi="Arial" w:cs="Arial"/>
                <w:sz w:val="20"/>
              </w:rPr>
              <w:tab/>
              <w:t>Select a sample of property management fees and bookkeeping fees charged by the COCC and determine if the fees comply with fee reasonable guidelines set by HUD.</w:t>
            </w:r>
          </w:p>
          <w:p w14:paraId="372A3C4F" w14:textId="4A9DD6AC" w:rsidR="00340086" w:rsidRPr="00340086" w:rsidRDefault="00340086" w:rsidP="00340086">
            <w:pPr>
              <w:spacing w:after="240"/>
              <w:ind w:left="703" w:hanging="720"/>
              <w:jc w:val="both"/>
              <w:rPr>
                <w:rFonts w:ascii="Arial" w:hAnsi="Arial" w:cs="Arial"/>
                <w:sz w:val="20"/>
              </w:rPr>
            </w:pPr>
            <w:r w:rsidRPr="00340086">
              <w:rPr>
                <w:rFonts w:ascii="Arial" w:hAnsi="Arial" w:cs="Arial"/>
                <w:sz w:val="20"/>
              </w:rPr>
              <w:t>b.</w:t>
            </w:r>
            <w:r w:rsidRPr="00340086">
              <w:rPr>
                <w:rFonts w:ascii="Arial" w:hAnsi="Arial" w:cs="Arial"/>
                <w:sz w:val="20"/>
              </w:rPr>
              <w:tab/>
              <w:t>For any fees that do not meet the reasonableness guidelines, review the documentation maintained by the PHA to determine if the fees were approved by HUD or are reasonable.</w:t>
            </w:r>
          </w:p>
        </w:tc>
      </w:tr>
    </w:tbl>
    <w:p w14:paraId="5ECB7605" w14:textId="77777777" w:rsidR="008B4BCE" w:rsidRPr="00F00D94" w:rsidRDefault="008B4BCE" w:rsidP="008B4BCE">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3E7B89DD" w14:textId="77777777" w:rsidR="008B4BCE" w:rsidRPr="000706D1" w:rsidRDefault="008B4BCE" w:rsidP="008B4BCE">
      <w:pPr>
        <w:pStyle w:val="Heading3"/>
        <w:jc w:val="both"/>
        <w:rPr>
          <w:rFonts w:cs="Arial"/>
          <w:b w:val="0"/>
          <w:sz w:val="24"/>
          <w:szCs w:val="24"/>
        </w:rPr>
      </w:pPr>
      <w:bookmarkStart w:id="119" w:name="_Toc212473176"/>
      <w:r w:rsidRPr="000706D1">
        <w:rPr>
          <w:rFonts w:cs="Arial"/>
          <w:sz w:val="24"/>
          <w:szCs w:val="24"/>
        </w:rPr>
        <w:t>Audit Implications Summary</w:t>
      </w:r>
      <w:bookmarkEnd w:id="119"/>
    </w:p>
    <w:tbl>
      <w:tblPr>
        <w:tblStyle w:val="TableGrid"/>
        <w:tblW w:w="5000" w:type="pct"/>
        <w:tblLook w:val="04A0" w:firstRow="1" w:lastRow="0" w:firstColumn="1" w:lastColumn="0" w:noHBand="0" w:noVBand="1"/>
      </w:tblPr>
      <w:tblGrid>
        <w:gridCol w:w="9350"/>
      </w:tblGrid>
      <w:tr w:rsidR="008B4BCE" w:rsidRPr="00F00D94" w14:paraId="011B211A" w14:textId="77777777" w:rsidTr="009F1483">
        <w:tc>
          <w:tcPr>
            <w:tcW w:w="5000" w:type="pct"/>
          </w:tcPr>
          <w:p w14:paraId="2464BA47" w14:textId="77777777" w:rsidR="008B4BCE" w:rsidRDefault="008B4BCE" w:rsidP="009F148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74B0B36" w14:textId="77777777" w:rsidR="008B4BCE" w:rsidRPr="006E46AD" w:rsidRDefault="008B4BCE" w:rsidP="009F1483">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4F9F328" w14:textId="77777777" w:rsidR="008B4BCE" w:rsidRPr="006E46AD" w:rsidRDefault="008B4BCE" w:rsidP="00C04E8C">
            <w:pPr>
              <w:pStyle w:val="ListParagraph"/>
              <w:widowControl w:val="0"/>
              <w:numPr>
                <w:ilvl w:val="0"/>
                <w:numId w:val="62"/>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23F20586" w14:textId="77777777" w:rsidR="008B4BCE" w:rsidRPr="006E46AD" w:rsidRDefault="008B4BCE" w:rsidP="009F1483">
            <w:pPr>
              <w:widowControl w:val="0"/>
              <w:spacing w:after="240"/>
              <w:ind w:left="720"/>
              <w:jc w:val="both"/>
              <w:rPr>
                <w:rFonts w:ascii="Arial" w:hAnsi="Arial" w:cs="Arial"/>
                <w:b/>
                <w:sz w:val="20"/>
                <w:szCs w:val="20"/>
              </w:rPr>
            </w:pPr>
          </w:p>
          <w:p w14:paraId="16CA9DCE" w14:textId="77777777" w:rsidR="008B4BCE" w:rsidRPr="006E46AD" w:rsidRDefault="008B4BCE" w:rsidP="00C04E8C">
            <w:pPr>
              <w:widowControl w:val="0"/>
              <w:numPr>
                <w:ilvl w:val="0"/>
                <w:numId w:val="6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6149D2F" w14:textId="77777777" w:rsidR="008B4BCE" w:rsidRPr="00F00D94" w:rsidRDefault="008B4BCE" w:rsidP="009F1483">
            <w:pPr>
              <w:pStyle w:val="ListParagraph"/>
              <w:spacing w:after="240"/>
              <w:jc w:val="both"/>
              <w:rPr>
                <w:rFonts w:ascii="Arial" w:hAnsi="Arial" w:cs="Arial"/>
                <w:b/>
              </w:rPr>
            </w:pPr>
          </w:p>
          <w:p w14:paraId="0FDEFA81" w14:textId="77777777" w:rsidR="008B4BCE" w:rsidRPr="00F00D94" w:rsidRDefault="008B4BCE" w:rsidP="00C04E8C">
            <w:pPr>
              <w:widowControl w:val="0"/>
              <w:numPr>
                <w:ilvl w:val="0"/>
                <w:numId w:val="62"/>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783CE606" w14:textId="77777777" w:rsidR="008B4BCE" w:rsidRPr="00F00D94" w:rsidRDefault="008B4BCE" w:rsidP="009F1483">
            <w:pPr>
              <w:pStyle w:val="ListParagraph"/>
              <w:spacing w:after="240"/>
              <w:jc w:val="both"/>
              <w:rPr>
                <w:rFonts w:ascii="Arial" w:hAnsi="Arial" w:cs="Arial"/>
                <w:b/>
              </w:rPr>
            </w:pPr>
          </w:p>
          <w:p w14:paraId="5351791A" w14:textId="77777777" w:rsidR="008B4BCE" w:rsidRPr="00F00D94" w:rsidRDefault="008B4BCE" w:rsidP="00C04E8C">
            <w:pPr>
              <w:widowControl w:val="0"/>
              <w:numPr>
                <w:ilvl w:val="0"/>
                <w:numId w:val="6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9FBD46" w14:textId="77777777" w:rsidR="008B4BCE" w:rsidRPr="00F00D94" w:rsidRDefault="008B4BCE" w:rsidP="009F1483">
            <w:pPr>
              <w:pStyle w:val="ListParagraph"/>
              <w:spacing w:after="240"/>
              <w:jc w:val="both"/>
              <w:rPr>
                <w:rFonts w:ascii="Arial" w:hAnsi="Arial" w:cs="Arial"/>
                <w:b/>
              </w:rPr>
            </w:pPr>
          </w:p>
          <w:p w14:paraId="462D16AC" w14:textId="77777777" w:rsidR="008B4BCE" w:rsidRPr="00F00D94" w:rsidRDefault="008B4BCE" w:rsidP="00C04E8C">
            <w:pPr>
              <w:widowControl w:val="0"/>
              <w:numPr>
                <w:ilvl w:val="0"/>
                <w:numId w:val="6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ACBA238" w14:textId="77777777" w:rsidR="008B4BCE" w:rsidRPr="00F00D94" w:rsidRDefault="008B4BCE" w:rsidP="009F1483">
            <w:pPr>
              <w:pStyle w:val="APStepItem"/>
              <w:numPr>
                <w:ilvl w:val="0"/>
                <w:numId w:val="0"/>
              </w:numPr>
              <w:spacing w:after="240"/>
              <w:rPr>
                <w:rFonts w:cs="Arial"/>
                <w:b/>
              </w:rPr>
            </w:pPr>
          </w:p>
        </w:tc>
      </w:tr>
    </w:tbl>
    <w:p w14:paraId="7BA4A5BC" w14:textId="77777777" w:rsidR="001C3146" w:rsidRDefault="001C3146" w:rsidP="00A3316B">
      <w:pPr>
        <w:pStyle w:val="Heading2"/>
        <w:jc w:val="both"/>
        <w:rPr>
          <w:rFonts w:cs="Arial"/>
          <w:sz w:val="24"/>
        </w:rPr>
        <w:sectPr w:rsidR="001C3146" w:rsidSect="00885BA6">
          <w:headerReference w:type="default" r:id="rId103"/>
          <w:pgSz w:w="12240" w:h="15840" w:code="1"/>
          <w:pgMar w:top="1440" w:right="1440" w:bottom="1440" w:left="1440" w:header="720" w:footer="720" w:gutter="0"/>
          <w:cols w:space="720"/>
          <w:docGrid w:linePitch="360"/>
        </w:sectPr>
      </w:pPr>
    </w:p>
    <w:p w14:paraId="16D070BD" w14:textId="5880501C" w:rsidR="00A3316B" w:rsidRPr="000706D1" w:rsidRDefault="00A3316B" w:rsidP="00A3316B">
      <w:pPr>
        <w:pStyle w:val="Heading2"/>
        <w:jc w:val="both"/>
        <w:rPr>
          <w:rFonts w:cs="Arial"/>
          <w:sz w:val="24"/>
        </w:rPr>
      </w:pPr>
      <w:bookmarkStart w:id="120" w:name="_Toc212473177"/>
      <w:r w:rsidRPr="000706D1">
        <w:rPr>
          <w:rFonts w:cs="Arial"/>
          <w:sz w:val="24"/>
        </w:rPr>
        <w:t>N</w:t>
      </w:r>
      <w:r w:rsidR="00C04E8C">
        <w:rPr>
          <w:rFonts w:cs="Arial"/>
          <w:sz w:val="24"/>
        </w:rPr>
        <w:t>10</w:t>
      </w:r>
      <w:r w:rsidRPr="000706D1">
        <w:rPr>
          <w:rFonts w:cs="Arial"/>
          <w:sz w:val="24"/>
        </w:rPr>
        <w:t>.  SPECIAL TESTS AND PROVISIONS</w:t>
      </w:r>
      <w:r w:rsidR="00C04E8C">
        <w:rPr>
          <w:rFonts w:cs="Arial"/>
          <w:sz w:val="24"/>
        </w:rPr>
        <w:t xml:space="preserve"> – </w:t>
      </w:r>
      <w:r w:rsidR="008F458B">
        <w:rPr>
          <w:rFonts w:cs="Arial"/>
          <w:sz w:val="24"/>
        </w:rPr>
        <w:t>ALLOCATED OVERHEAD</w:t>
      </w:r>
      <w:bookmarkEnd w:id="120"/>
    </w:p>
    <w:p w14:paraId="5581C844" w14:textId="77777777" w:rsidR="00A3316B" w:rsidRPr="000706D1" w:rsidRDefault="00A3316B" w:rsidP="00A3316B">
      <w:pPr>
        <w:pStyle w:val="Heading3"/>
        <w:jc w:val="both"/>
        <w:rPr>
          <w:rFonts w:cs="Arial"/>
          <w:sz w:val="24"/>
          <w:szCs w:val="24"/>
        </w:rPr>
      </w:pPr>
      <w:bookmarkStart w:id="121" w:name="_Toc212473178"/>
      <w:r w:rsidRPr="000706D1">
        <w:rPr>
          <w:rFonts w:cs="Arial"/>
          <w:sz w:val="24"/>
          <w:szCs w:val="24"/>
        </w:rPr>
        <w:t>OMB Compliance Requirements</w:t>
      </w:r>
      <w:bookmarkEnd w:id="121"/>
    </w:p>
    <w:p w14:paraId="6EECCF16" w14:textId="77777777" w:rsidR="00A3316B" w:rsidRPr="005C1EBC" w:rsidRDefault="00A3316B" w:rsidP="00A3316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0DD17EE6" w14:textId="77777777" w:rsidR="00A3316B" w:rsidRPr="00F00D94" w:rsidRDefault="00A3316B" w:rsidP="00A3316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38FDF36E" w14:textId="77777777" w:rsidR="00A3316B" w:rsidRPr="00F00D94" w:rsidRDefault="00A3316B" w:rsidP="00A3316B">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01708D72" w14:textId="77777777" w:rsidR="00A3316B" w:rsidRPr="000706D1" w:rsidRDefault="00A3316B" w:rsidP="00A3316B">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0FA62F51" w14:textId="77777777" w:rsidR="008F458B" w:rsidRDefault="00C04E8C" w:rsidP="00C04E8C">
      <w:pPr>
        <w:spacing w:after="240"/>
        <w:jc w:val="both"/>
        <w:rPr>
          <w:rFonts w:ascii="Arial" w:hAnsi="Arial" w:cs="Arial"/>
          <w:bCs/>
        </w:rPr>
      </w:pPr>
      <w:r w:rsidRPr="00C04E8C">
        <w:rPr>
          <w:rFonts w:ascii="Arial" w:hAnsi="Arial" w:cs="Arial"/>
          <w:bCs/>
        </w:rPr>
        <w:t>Under current appropriation language, all PHAs with over</w:t>
      </w:r>
      <w:r>
        <w:rPr>
          <w:rFonts w:ascii="Arial" w:hAnsi="Arial" w:cs="Arial"/>
          <w:bCs/>
        </w:rPr>
        <w:t xml:space="preserve"> </w:t>
      </w:r>
      <w:r w:rsidRPr="00C04E8C">
        <w:rPr>
          <w:rFonts w:ascii="Arial" w:hAnsi="Arial" w:cs="Arial"/>
          <w:bCs/>
        </w:rPr>
        <w:t>400 public housing units must convert to asset management (Section 225 of Title II of the HUD portion of the Consolidated Appropriations Act, 2008 (Pub. L. No. 110-161) and if carried forward in all subsequent Acts).</w:t>
      </w:r>
      <w:r>
        <w:rPr>
          <w:rFonts w:ascii="Arial" w:hAnsi="Arial" w:cs="Arial"/>
          <w:bCs/>
        </w:rPr>
        <w:t xml:space="preserve"> </w:t>
      </w:r>
    </w:p>
    <w:p w14:paraId="4A93373F" w14:textId="747D8D64" w:rsidR="00A3316B" w:rsidRDefault="00C04E8C" w:rsidP="00C04E8C">
      <w:pPr>
        <w:spacing w:after="240"/>
        <w:jc w:val="both"/>
        <w:rPr>
          <w:rFonts w:ascii="Arial" w:hAnsi="Arial" w:cs="Arial"/>
          <w:bCs/>
        </w:rPr>
      </w:pPr>
      <w:r w:rsidRPr="00C04E8C">
        <w:rPr>
          <w:rFonts w:ascii="Arial" w:hAnsi="Arial" w:cs="Arial"/>
          <w:bCs/>
        </w:rPr>
        <w:t>PHAs with over 400 public housing units are allowed two reporting models as part of the conversion to asset management—the establishment of a COCC or the allocated overhead method (FDS line 91810). For those PHAs that established a COCC, the reasonableness of the fees charged is tested in the previous Special Tests (six through nine). For those PHAs that converted to asset management, but are reporting using the allocated overheard method, reasonableness is tested in this section by reviewing the allocated overhead expense account and comparing fees in that account to the fee standards set by HUD in sections 7.4, 7.5, and 7.6 in the Supplement to HUD Handbook 7475.1 (24 CFR section 990.280(b)(4)).</w:t>
      </w:r>
    </w:p>
    <w:p w14:paraId="226547D0" w14:textId="3F4B20A3" w:rsidR="00C04E8C" w:rsidRPr="00C04E8C" w:rsidRDefault="00C04E8C" w:rsidP="00C04E8C">
      <w:pPr>
        <w:spacing w:after="240"/>
        <w:jc w:val="both"/>
        <w:rPr>
          <w:rFonts w:ascii="Arial" w:hAnsi="Arial" w:cs="Arial"/>
          <w:bCs/>
          <w:i/>
          <w:iCs/>
        </w:rPr>
      </w:pPr>
      <w:r w:rsidRPr="006C797F">
        <w:rPr>
          <w:rFonts w:ascii="Arial" w:hAnsi="Arial" w:cs="Arial"/>
          <w:bCs/>
          <w:i/>
          <w:iCs/>
        </w:rPr>
        <w:t>(Source: 202</w:t>
      </w:r>
      <w:r>
        <w:rPr>
          <w:rFonts w:ascii="Arial" w:hAnsi="Arial" w:cs="Arial"/>
          <w:bCs/>
          <w:i/>
          <w:iCs/>
        </w:rPr>
        <w:t>5</w:t>
      </w:r>
      <w:r w:rsidRPr="006C797F">
        <w:rPr>
          <w:rFonts w:ascii="Arial" w:hAnsi="Arial" w:cs="Arial"/>
          <w:bCs/>
          <w:i/>
          <w:iCs/>
        </w:rPr>
        <w:t xml:space="preserve"> OMB Compliance Supplement, Part 4, HUD, #14.850 </w:t>
      </w:r>
      <w:r>
        <w:rPr>
          <w:rFonts w:ascii="Arial" w:hAnsi="Arial" w:cs="Arial"/>
          <w:bCs/>
          <w:i/>
          <w:iCs/>
        </w:rPr>
        <w:t>Public Housing Operating Fund</w:t>
      </w:r>
      <w:r w:rsidRPr="006C797F">
        <w:rPr>
          <w:rFonts w:ascii="Arial" w:hAnsi="Arial" w:cs="Arial"/>
          <w:bCs/>
          <w:i/>
          <w:iCs/>
        </w:rPr>
        <w:t>)</w:t>
      </w:r>
    </w:p>
    <w:p w14:paraId="0CBB4581" w14:textId="77777777" w:rsidR="00A3316B" w:rsidRPr="000706D1" w:rsidRDefault="00A3316B" w:rsidP="00A3316B">
      <w:pPr>
        <w:pStyle w:val="Heading3"/>
        <w:jc w:val="both"/>
        <w:rPr>
          <w:rFonts w:cs="Arial"/>
          <w:sz w:val="24"/>
          <w:szCs w:val="24"/>
        </w:rPr>
      </w:pPr>
      <w:bookmarkStart w:id="122" w:name="_Toc212473179"/>
      <w:r w:rsidRPr="000706D1">
        <w:rPr>
          <w:rFonts w:cs="Arial"/>
          <w:sz w:val="24"/>
          <w:szCs w:val="24"/>
        </w:rPr>
        <w:t>Additional Program Specific Information</w:t>
      </w:r>
      <w:bookmarkEnd w:id="122"/>
    </w:p>
    <w:p w14:paraId="076622A2" w14:textId="77777777" w:rsidR="00A3316B" w:rsidRPr="00AA5B05" w:rsidRDefault="00A3316B" w:rsidP="00A3316B">
      <w:pPr>
        <w:spacing w:after="240"/>
        <w:jc w:val="both"/>
        <w:rPr>
          <w:rFonts w:ascii="Arial" w:hAnsi="Arial" w:cs="Arial"/>
          <w:b/>
          <w:highlight w:val="yellow"/>
        </w:rPr>
      </w:pPr>
      <w:r w:rsidRPr="00AA5B05">
        <w:rPr>
          <w:rFonts w:ascii="Arial" w:hAnsi="Arial" w:cs="Arial"/>
          <w:b/>
          <w:highlight w:val="yellow"/>
        </w:rPr>
        <w:t>Add program specific requirements from:</w:t>
      </w:r>
    </w:p>
    <w:p w14:paraId="744B603D" w14:textId="77777777" w:rsidR="00A3316B" w:rsidRPr="00AA5B05" w:rsidRDefault="00A3316B" w:rsidP="00A3316B">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0AB7F7A1" w14:textId="77777777" w:rsidR="00A3316B" w:rsidRPr="00AA5B05" w:rsidRDefault="00A3316B" w:rsidP="00A3316B">
      <w:pPr>
        <w:pStyle w:val="ListParagraph"/>
        <w:numPr>
          <w:ilvl w:val="0"/>
          <w:numId w:val="3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4EA38B84" w14:textId="77777777" w:rsidR="00A3316B" w:rsidRPr="00AA5B05" w:rsidRDefault="00A3316B" w:rsidP="00A3316B">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732C3159" w14:textId="77777777" w:rsidR="00A3316B" w:rsidRPr="00AA5B05" w:rsidRDefault="00A3316B" w:rsidP="00A3316B">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016E20D7" w14:textId="77777777" w:rsidR="00A3316B" w:rsidRPr="000706D1" w:rsidRDefault="00A3316B" w:rsidP="00A3316B">
      <w:pPr>
        <w:pStyle w:val="Heading3"/>
        <w:jc w:val="both"/>
        <w:rPr>
          <w:rFonts w:cs="Arial"/>
          <w:sz w:val="24"/>
          <w:szCs w:val="24"/>
        </w:rPr>
      </w:pPr>
      <w:bookmarkStart w:id="123" w:name="_Toc212473180"/>
      <w:r w:rsidRPr="000706D1">
        <w:rPr>
          <w:rFonts w:cs="Arial"/>
          <w:sz w:val="24"/>
          <w:szCs w:val="24"/>
        </w:rPr>
        <w:t>Audit Objectives and Control Testing</w:t>
      </w:r>
      <w:bookmarkEnd w:id="123"/>
    </w:p>
    <w:p w14:paraId="78EE952B" w14:textId="77777777" w:rsidR="00A3316B" w:rsidRPr="00F00D94" w:rsidRDefault="00A3316B" w:rsidP="00A3316B">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73DD943F" w14:textId="77777777" w:rsidR="00A3316B" w:rsidRPr="00F00D94" w:rsidRDefault="00A3316B" w:rsidP="00A3316B">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68D2369" w14:textId="77777777" w:rsidR="00A3316B" w:rsidRDefault="00A3316B" w:rsidP="00A3316B">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3F9423A0" w14:textId="425351FE" w:rsidR="00A3316B" w:rsidRDefault="00C04E8C" w:rsidP="00C04E8C">
      <w:pPr>
        <w:pStyle w:val="ListParagraph"/>
        <w:numPr>
          <w:ilvl w:val="0"/>
          <w:numId w:val="63"/>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C04E8C">
        <w:rPr>
          <w:rFonts w:ascii="Arial" w:hAnsi="Arial" w:cs="Arial"/>
          <w:iCs/>
        </w:rPr>
        <w:t>Determine whether the amount of allocated overhead charged to projects is reasonable.</w:t>
      </w:r>
    </w:p>
    <w:p w14:paraId="58FB1F97" w14:textId="4E121990" w:rsidR="00C04E8C" w:rsidRPr="00C04E8C" w:rsidRDefault="00C04E8C" w:rsidP="00C04E8C">
      <w:pPr>
        <w:spacing w:after="240"/>
        <w:jc w:val="both"/>
        <w:rPr>
          <w:rFonts w:ascii="Arial" w:hAnsi="Arial" w:cs="Arial"/>
          <w:bCs/>
          <w:i/>
          <w:iCs/>
        </w:rPr>
      </w:pPr>
      <w:r w:rsidRPr="00C04E8C">
        <w:rPr>
          <w:rFonts w:ascii="Arial" w:hAnsi="Arial" w:cs="Arial"/>
          <w:bCs/>
          <w:i/>
          <w:iCs/>
        </w:rPr>
        <w:t>(Source: 202</w:t>
      </w:r>
      <w:r>
        <w:rPr>
          <w:rFonts w:ascii="Arial" w:hAnsi="Arial" w:cs="Arial"/>
          <w:bCs/>
          <w:i/>
          <w:iCs/>
        </w:rPr>
        <w:t>5</w:t>
      </w:r>
      <w:r w:rsidRPr="00C04E8C">
        <w:rPr>
          <w:rFonts w:ascii="Arial" w:hAnsi="Arial" w:cs="Arial"/>
          <w:bCs/>
          <w:i/>
          <w:iCs/>
        </w:rPr>
        <w:t xml:space="preserve"> OMB Compliance Supplement, Part 4, HUD, #14.850 Public Housing Operating Fund)</w:t>
      </w:r>
    </w:p>
    <w:p w14:paraId="3127789C" w14:textId="77777777" w:rsidR="00A3316B" w:rsidRPr="00634FA3" w:rsidRDefault="00A3316B" w:rsidP="00A3316B">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A3316B" w:rsidRPr="00F00D94" w14:paraId="1E4790A5" w14:textId="77777777" w:rsidTr="009F1483">
        <w:tc>
          <w:tcPr>
            <w:tcW w:w="5000" w:type="pct"/>
          </w:tcPr>
          <w:p w14:paraId="524AB716" w14:textId="77777777" w:rsidR="00A3316B" w:rsidRPr="006F5FFA" w:rsidRDefault="00A3316B" w:rsidP="009F148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75EAC99" w14:textId="77777777" w:rsidR="00A3316B" w:rsidRPr="00F00D94" w:rsidRDefault="00A3316B" w:rsidP="009F148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261028C0" w14:textId="77777777" w:rsidR="00A3316B" w:rsidRPr="00F00D94" w:rsidRDefault="00A3316B" w:rsidP="009F1483">
            <w:pPr>
              <w:pStyle w:val="AuditProcedureHeading"/>
              <w:spacing w:after="240"/>
              <w:jc w:val="both"/>
              <w:rPr>
                <w:rFonts w:cs="Arial"/>
                <w:b/>
                <w:bCs/>
                <w:szCs w:val="20"/>
                <w:u w:val="single"/>
              </w:rPr>
            </w:pPr>
          </w:p>
          <w:p w14:paraId="54F805F2" w14:textId="77777777" w:rsidR="00A3316B" w:rsidRPr="00F00D94" w:rsidRDefault="00A3316B" w:rsidP="009F148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4A08F798" w14:textId="77777777" w:rsidR="00A3316B" w:rsidRPr="00F00D94" w:rsidRDefault="00A3316B" w:rsidP="009F1483">
            <w:pPr>
              <w:pStyle w:val="AuditProcedureHeading"/>
              <w:spacing w:after="240"/>
              <w:jc w:val="both"/>
              <w:rPr>
                <w:rFonts w:cs="Arial"/>
                <w:b/>
                <w:bCs/>
                <w:szCs w:val="20"/>
                <w:u w:val="single"/>
              </w:rPr>
            </w:pPr>
          </w:p>
          <w:p w14:paraId="550F6486" w14:textId="77777777" w:rsidR="00A3316B" w:rsidRPr="00F00D94" w:rsidRDefault="00A3316B" w:rsidP="009F148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4A904E82" w14:textId="77777777" w:rsidR="00A3316B" w:rsidRPr="00F00D94" w:rsidRDefault="00A3316B" w:rsidP="009F1483">
            <w:pPr>
              <w:spacing w:after="240"/>
              <w:jc w:val="both"/>
              <w:rPr>
                <w:rFonts w:ascii="Arial" w:hAnsi="Arial" w:cs="Arial"/>
                <w:b/>
                <w:sz w:val="20"/>
                <w:u w:val="single"/>
              </w:rPr>
            </w:pPr>
          </w:p>
          <w:p w14:paraId="1D20A54C" w14:textId="77777777" w:rsidR="00A3316B" w:rsidRPr="00F00D94" w:rsidRDefault="00A3316B" w:rsidP="009F148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87226CF" w14:textId="77777777" w:rsidR="00A3316B" w:rsidRPr="00C35E5F" w:rsidRDefault="00A3316B" w:rsidP="009F1483">
            <w:pPr>
              <w:spacing w:after="240"/>
              <w:jc w:val="both"/>
              <w:rPr>
                <w:rFonts w:ascii="Arial" w:eastAsiaTheme="minorHAnsi" w:hAnsi="Arial" w:cs="Arial"/>
                <w:sz w:val="20"/>
                <w:szCs w:val="20"/>
              </w:rPr>
            </w:pPr>
          </w:p>
        </w:tc>
      </w:tr>
    </w:tbl>
    <w:p w14:paraId="3A84BB52" w14:textId="77777777" w:rsidR="00A3316B" w:rsidRPr="00F00D94" w:rsidRDefault="00A3316B" w:rsidP="00A3316B">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113072B" w14:textId="77777777" w:rsidR="00A3316B" w:rsidRPr="000706D1" w:rsidRDefault="00A3316B" w:rsidP="00A3316B">
      <w:pPr>
        <w:pStyle w:val="Heading3"/>
        <w:jc w:val="both"/>
        <w:rPr>
          <w:rFonts w:cs="Arial"/>
          <w:sz w:val="24"/>
          <w:szCs w:val="24"/>
        </w:rPr>
      </w:pPr>
      <w:bookmarkStart w:id="124" w:name="_Toc212473181"/>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24"/>
    </w:p>
    <w:tbl>
      <w:tblPr>
        <w:tblStyle w:val="TableGrid"/>
        <w:tblW w:w="9558" w:type="dxa"/>
        <w:tblLayout w:type="fixed"/>
        <w:tblLook w:val="04A0" w:firstRow="1" w:lastRow="0" w:firstColumn="1" w:lastColumn="0" w:noHBand="0" w:noVBand="1"/>
      </w:tblPr>
      <w:tblGrid>
        <w:gridCol w:w="9558"/>
      </w:tblGrid>
      <w:tr w:rsidR="00A3316B" w:rsidRPr="00F00D94" w14:paraId="03E493C3" w14:textId="77777777" w:rsidTr="009F1483">
        <w:tc>
          <w:tcPr>
            <w:tcW w:w="9558" w:type="dxa"/>
          </w:tcPr>
          <w:p w14:paraId="2206AFF3" w14:textId="77777777" w:rsidR="00A3316B" w:rsidRDefault="00A3316B" w:rsidP="009F1483">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598C102" w14:textId="77777777" w:rsidR="00A3316B" w:rsidRPr="00AC7B25" w:rsidRDefault="00A3316B" w:rsidP="009F1483">
            <w:pPr>
              <w:spacing w:after="240"/>
              <w:jc w:val="both"/>
              <w:rPr>
                <w:rFonts w:ascii="Arial" w:hAnsi="Arial" w:cs="Arial"/>
                <w:i/>
                <w:sz w:val="20"/>
                <w:szCs w:val="20"/>
              </w:rPr>
            </w:pPr>
            <w:r>
              <w:rPr>
                <w:rFonts w:ascii="Arial" w:hAnsi="Arial" w:cs="Arial"/>
                <w:i/>
                <w:sz w:val="20"/>
                <w:szCs w:val="20"/>
              </w:rPr>
              <w:t>(Source: 2025 OMB Compliance Supplement Part 3.2)</w:t>
            </w:r>
          </w:p>
          <w:p w14:paraId="7FC9B4C3" w14:textId="3E43A08F" w:rsidR="00C04E8C" w:rsidRPr="00C04E8C" w:rsidRDefault="00C04E8C" w:rsidP="00C04E8C">
            <w:pPr>
              <w:spacing w:after="240"/>
              <w:ind w:left="703" w:hanging="703"/>
              <w:jc w:val="both"/>
              <w:rPr>
                <w:rFonts w:ascii="Arial" w:hAnsi="Arial" w:cs="Arial"/>
                <w:sz w:val="20"/>
              </w:rPr>
            </w:pPr>
            <w:r w:rsidRPr="00C04E8C">
              <w:rPr>
                <w:rFonts w:ascii="Arial" w:hAnsi="Arial" w:cs="Arial"/>
                <w:sz w:val="20"/>
              </w:rPr>
              <w:t>a.</w:t>
            </w:r>
            <w:r w:rsidRPr="00C04E8C">
              <w:rPr>
                <w:rFonts w:ascii="Arial" w:hAnsi="Arial" w:cs="Arial"/>
                <w:sz w:val="20"/>
              </w:rPr>
              <w:tab/>
              <w:t>For PHAs using the allocated overhead method, select a sample of projects and review the amount of overhead costs charged through the allocated overhead expense line.</w:t>
            </w:r>
          </w:p>
          <w:p w14:paraId="003171BA" w14:textId="78288942" w:rsidR="00C04E8C" w:rsidRPr="00C04E8C" w:rsidRDefault="00C04E8C" w:rsidP="00C04E8C">
            <w:pPr>
              <w:spacing w:after="240"/>
              <w:ind w:left="703" w:hanging="703"/>
              <w:jc w:val="both"/>
              <w:rPr>
                <w:rFonts w:ascii="Arial" w:hAnsi="Arial" w:cs="Arial"/>
                <w:sz w:val="20"/>
              </w:rPr>
            </w:pPr>
            <w:r w:rsidRPr="00C04E8C">
              <w:rPr>
                <w:rFonts w:ascii="Arial" w:hAnsi="Arial" w:cs="Arial"/>
                <w:sz w:val="20"/>
              </w:rPr>
              <w:t>b.</w:t>
            </w:r>
            <w:r w:rsidRPr="00C04E8C">
              <w:rPr>
                <w:rFonts w:ascii="Arial" w:hAnsi="Arial" w:cs="Arial"/>
                <w:sz w:val="20"/>
              </w:rPr>
              <w:tab/>
              <w:t>Determine if the allocated overhead expense line is reasonable compared to the fee standards allowed by HUD.</w:t>
            </w:r>
          </w:p>
        </w:tc>
      </w:tr>
    </w:tbl>
    <w:p w14:paraId="7305533D" w14:textId="77777777" w:rsidR="00A3316B" w:rsidRPr="00F00D94" w:rsidRDefault="00A3316B" w:rsidP="00A3316B">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2E574A9A" w14:textId="77777777" w:rsidR="00A3316B" w:rsidRPr="000706D1" w:rsidRDefault="00A3316B" w:rsidP="00A3316B">
      <w:pPr>
        <w:pStyle w:val="Heading3"/>
        <w:jc w:val="both"/>
        <w:rPr>
          <w:rFonts w:cs="Arial"/>
          <w:b w:val="0"/>
          <w:sz w:val="24"/>
          <w:szCs w:val="24"/>
        </w:rPr>
      </w:pPr>
      <w:bookmarkStart w:id="125" w:name="_Toc212473182"/>
      <w:r w:rsidRPr="000706D1">
        <w:rPr>
          <w:rFonts w:cs="Arial"/>
          <w:sz w:val="24"/>
          <w:szCs w:val="24"/>
        </w:rPr>
        <w:t>Audit Implications Summary</w:t>
      </w:r>
      <w:bookmarkEnd w:id="125"/>
    </w:p>
    <w:tbl>
      <w:tblPr>
        <w:tblStyle w:val="TableGrid"/>
        <w:tblW w:w="5000" w:type="pct"/>
        <w:tblLook w:val="04A0" w:firstRow="1" w:lastRow="0" w:firstColumn="1" w:lastColumn="0" w:noHBand="0" w:noVBand="1"/>
      </w:tblPr>
      <w:tblGrid>
        <w:gridCol w:w="9350"/>
      </w:tblGrid>
      <w:tr w:rsidR="00A3316B" w:rsidRPr="00F00D94" w14:paraId="1AA7F3B9" w14:textId="77777777" w:rsidTr="009F1483">
        <w:tc>
          <w:tcPr>
            <w:tcW w:w="5000" w:type="pct"/>
          </w:tcPr>
          <w:p w14:paraId="65D5B7CE" w14:textId="77777777" w:rsidR="00A3316B" w:rsidRDefault="00A3316B" w:rsidP="009F148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2F94D13" w14:textId="77777777" w:rsidR="00A3316B" w:rsidRPr="006E46AD" w:rsidRDefault="00A3316B" w:rsidP="009F1483">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10EB9AE" w14:textId="77777777" w:rsidR="00A3316B" w:rsidRPr="006E46AD" w:rsidRDefault="00A3316B" w:rsidP="00C04E8C">
            <w:pPr>
              <w:pStyle w:val="ListParagraph"/>
              <w:widowControl w:val="0"/>
              <w:numPr>
                <w:ilvl w:val="0"/>
                <w:numId w:val="6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6CF611A3" w14:textId="77777777" w:rsidR="00A3316B" w:rsidRPr="006E46AD" w:rsidRDefault="00A3316B" w:rsidP="009F1483">
            <w:pPr>
              <w:widowControl w:val="0"/>
              <w:spacing w:after="240"/>
              <w:ind w:left="720"/>
              <w:jc w:val="both"/>
              <w:rPr>
                <w:rFonts w:ascii="Arial" w:hAnsi="Arial" w:cs="Arial"/>
                <w:b/>
                <w:sz w:val="20"/>
                <w:szCs w:val="20"/>
              </w:rPr>
            </w:pPr>
          </w:p>
          <w:p w14:paraId="370F9AB8" w14:textId="77777777" w:rsidR="00A3316B" w:rsidRPr="006E46AD" w:rsidRDefault="00A3316B" w:rsidP="00C04E8C">
            <w:pPr>
              <w:widowControl w:val="0"/>
              <w:numPr>
                <w:ilvl w:val="0"/>
                <w:numId w:val="6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CAF4C19" w14:textId="77777777" w:rsidR="00A3316B" w:rsidRPr="00F00D94" w:rsidRDefault="00A3316B" w:rsidP="009F1483">
            <w:pPr>
              <w:pStyle w:val="ListParagraph"/>
              <w:spacing w:after="240"/>
              <w:jc w:val="both"/>
              <w:rPr>
                <w:rFonts w:ascii="Arial" w:hAnsi="Arial" w:cs="Arial"/>
                <w:b/>
              </w:rPr>
            </w:pPr>
          </w:p>
          <w:p w14:paraId="1C075152" w14:textId="77777777" w:rsidR="00A3316B" w:rsidRPr="00F00D94" w:rsidRDefault="00A3316B" w:rsidP="00C04E8C">
            <w:pPr>
              <w:widowControl w:val="0"/>
              <w:numPr>
                <w:ilvl w:val="0"/>
                <w:numId w:val="6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5FC7828A" w14:textId="77777777" w:rsidR="00A3316B" w:rsidRPr="00F00D94" w:rsidRDefault="00A3316B" w:rsidP="009F1483">
            <w:pPr>
              <w:pStyle w:val="ListParagraph"/>
              <w:spacing w:after="240"/>
              <w:jc w:val="both"/>
              <w:rPr>
                <w:rFonts w:ascii="Arial" w:hAnsi="Arial" w:cs="Arial"/>
                <w:b/>
              </w:rPr>
            </w:pPr>
          </w:p>
          <w:p w14:paraId="03E7DA7A" w14:textId="77777777" w:rsidR="00A3316B" w:rsidRPr="00F00D94" w:rsidRDefault="00A3316B" w:rsidP="00C04E8C">
            <w:pPr>
              <w:widowControl w:val="0"/>
              <w:numPr>
                <w:ilvl w:val="0"/>
                <w:numId w:val="6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0B534D6" w14:textId="77777777" w:rsidR="00A3316B" w:rsidRPr="00F00D94" w:rsidRDefault="00A3316B" w:rsidP="009F1483">
            <w:pPr>
              <w:pStyle w:val="ListParagraph"/>
              <w:spacing w:after="240"/>
              <w:jc w:val="both"/>
              <w:rPr>
                <w:rFonts w:ascii="Arial" w:hAnsi="Arial" w:cs="Arial"/>
                <w:b/>
              </w:rPr>
            </w:pPr>
          </w:p>
          <w:p w14:paraId="72B8F09F" w14:textId="77777777" w:rsidR="00A3316B" w:rsidRPr="00F00D94" w:rsidRDefault="00A3316B" w:rsidP="00C04E8C">
            <w:pPr>
              <w:widowControl w:val="0"/>
              <w:numPr>
                <w:ilvl w:val="0"/>
                <w:numId w:val="6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BF3FFC5" w14:textId="77777777" w:rsidR="00A3316B" w:rsidRPr="00F00D94" w:rsidRDefault="00A3316B" w:rsidP="009F1483">
            <w:pPr>
              <w:pStyle w:val="APStepItem"/>
              <w:numPr>
                <w:ilvl w:val="0"/>
                <w:numId w:val="0"/>
              </w:numPr>
              <w:spacing w:after="240"/>
              <w:rPr>
                <w:rFonts w:cs="Arial"/>
                <w:b/>
              </w:rPr>
            </w:pPr>
          </w:p>
        </w:tc>
      </w:tr>
    </w:tbl>
    <w:p w14:paraId="1C127A21" w14:textId="77777777" w:rsidR="001C3146" w:rsidRDefault="001C3146" w:rsidP="001C3146">
      <w:pPr>
        <w:pStyle w:val="Heading2"/>
        <w:jc w:val="both"/>
        <w:rPr>
          <w:rFonts w:cs="Arial"/>
          <w:sz w:val="24"/>
        </w:rPr>
        <w:sectPr w:rsidR="001C3146" w:rsidSect="00885BA6">
          <w:headerReference w:type="default" r:id="rId105"/>
          <w:pgSz w:w="12240" w:h="15840" w:code="1"/>
          <w:pgMar w:top="1440" w:right="1440" w:bottom="1440" w:left="1440" w:header="720" w:footer="720" w:gutter="0"/>
          <w:cols w:space="720"/>
          <w:docGrid w:linePitch="360"/>
        </w:sectPr>
      </w:pPr>
    </w:p>
    <w:p w14:paraId="3C267990" w14:textId="06ECB868" w:rsidR="001C3146" w:rsidRPr="000706D1" w:rsidRDefault="001C3146" w:rsidP="001C3146">
      <w:pPr>
        <w:pStyle w:val="Heading2"/>
        <w:jc w:val="both"/>
        <w:rPr>
          <w:rFonts w:cs="Arial"/>
          <w:sz w:val="24"/>
        </w:rPr>
      </w:pPr>
      <w:bookmarkStart w:id="126" w:name="_Toc212473183"/>
      <w:r w:rsidRPr="000706D1">
        <w:rPr>
          <w:rFonts w:cs="Arial"/>
          <w:sz w:val="24"/>
        </w:rPr>
        <w:t>N</w:t>
      </w:r>
      <w:r w:rsidR="00786806">
        <w:rPr>
          <w:rFonts w:cs="Arial"/>
          <w:sz w:val="24"/>
        </w:rPr>
        <w:t>11</w:t>
      </w:r>
      <w:r w:rsidRPr="000706D1">
        <w:rPr>
          <w:rFonts w:cs="Arial"/>
          <w:sz w:val="24"/>
        </w:rPr>
        <w:t>.  SPECIAL TESTS AND PROVISIONS</w:t>
      </w:r>
      <w:r w:rsidR="00786806">
        <w:rPr>
          <w:rFonts w:cs="Arial"/>
          <w:sz w:val="24"/>
        </w:rPr>
        <w:t xml:space="preserve"> – FUNDING CENTRAL OFFICE WITH CAPITAL FUND PROGRAM FUNDS</w:t>
      </w:r>
      <w:bookmarkEnd w:id="126"/>
    </w:p>
    <w:p w14:paraId="2B1261BB" w14:textId="77777777" w:rsidR="001C3146" w:rsidRPr="000706D1" w:rsidRDefault="001C3146" w:rsidP="001C3146">
      <w:pPr>
        <w:pStyle w:val="Heading3"/>
        <w:jc w:val="both"/>
        <w:rPr>
          <w:rFonts w:cs="Arial"/>
          <w:sz w:val="24"/>
          <w:szCs w:val="24"/>
        </w:rPr>
      </w:pPr>
      <w:bookmarkStart w:id="127" w:name="_Toc212473184"/>
      <w:r w:rsidRPr="000706D1">
        <w:rPr>
          <w:rFonts w:cs="Arial"/>
          <w:sz w:val="24"/>
          <w:szCs w:val="24"/>
        </w:rPr>
        <w:t>OMB Compliance Requirements</w:t>
      </w:r>
      <w:bookmarkEnd w:id="127"/>
    </w:p>
    <w:p w14:paraId="7B3C034B" w14:textId="77777777" w:rsidR="001C3146" w:rsidRPr="005C1EBC" w:rsidRDefault="001C3146" w:rsidP="001C3146">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48575592" w14:textId="77777777" w:rsidR="001C3146" w:rsidRPr="00F00D94" w:rsidRDefault="001C3146" w:rsidP="001C3146">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597AAFA8" w14:textId="77777777" w:rsidR="001C3146" w:rsidRPr="00F00D94" w:rsidRDefault="001C3146" w:rsidP="001C3146">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52B1B644" w14:textId="77777777" w:rsidR="001C3146" w:rsidRPr="000706D1" w:rsidRDefault="001C3146" w:rsidP="001C3146">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72EE816" w14:textId="2235A511" w:rsidR="00786806" w:rsidRPr="00786806" w:rsidRDefault="00786806" w:rsidP="00786806">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786806">
        <w:rPr>
          <w:rFonts w:ascii="Arial" w:hAnsi="Arial" w:cs="Arial"/>
          <w:bCs/>
        </w:rPr>
        <w:t>The Capital Fund was established for the purpose of making assistance available to PHAs to carry out capital and management activities</w:t>
      </w:r>
      <w:r>
        <w:rPr>
          <w:rFonts w:ascii="Arial" w:hAnsi="Arial" w:cs="Arial"/>
          <w:bCs/>
        </w:rPr>
        <w:t xml:space="preserve"> </w:t>
      </w:r>
      <w:r w:rsidRPr="00786806">
        <w:rPr>
          <w:rFonts w:ascii="Arial" w:hAnsi="Arial" w:cs="Arial"/>
          <w:bCs/>
        </w:rPr>
        <w:t>(42 USC 1437g(d)). Project-based budgeting and accounting will be applied to all programs and revenue sources that support projects under an ACC (e.g., the Operating Fund, the Capital Fund) (24 CFR section 990.280(a)).</w:t>
      </w:r>
    </w:p>
    <w:p w14:paraId="7253D9AB" w14:textId="7E682DC5" w:rsidR="00786806" w:rsidRPr="00786806" w:rsidRDefault="00786806" w:rsidP="00786806">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786806">
        <w:rPr>
          <w:rFonts w:ascii="Arial" w:hAnsi="Arial" w:cs="Arial"/>
          <w:bCs/>
        </w:rPr>
        <w:t>In addition to project-specific records, PHAs may establish COCCs to account for non- project-specific costs (e.g., human resources, executive director’s office). These costs shall be funded from the management fees received from each property and asset management fees to the extent these are available (24 CFR section 990.280(c)).</w:t>
      </w:r>
    </w:p>
    <w:p w14:paraId="45EBC2E6" w14:textId="5B31A3C6" w:rsidR="00786806" w:rsidRPr="00786806" w:rsidRDefault="00786806" w:rsidP="00786806">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786806">
        <w:rPr>
          <w:rFonts w:ascii="Arial" w:hAnsi="Arial" w:cs="Arial"/>
          <w:bCs/>
        </w:rPr>
        <w:t>If a PHA uses CFP funds to directly support its central office other than through management fees, the PHA may not record fee revenue, such as management fees, asset management fees, bookkeeping fees, and front-line service fees, under its COCC. The PHA should report indirect costs as Allocated Overhead (FDS line 91810) under its projects and programs.</w:t>
      </w:r>
    </w:p>
    <w:p w14:paraId="2EF26C72" w14:textId="58A5F3BB" w:rsidR="00786806" w:rsidRPr="00786806" w:rsidRDefault="00786806" w:rsidP="00786806">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786806">
        <w:rPr>
          <w:rFonts w:ascii="Arial" w:hAnsi="Arial" w:cs="Arial"/>
          <w:bCs/>
        </w:rPr>
        <w:t>However, a PHA could report fee revenue under its COCC under the following</w:t>
      </w:r>
      <w:r>
        <w:rPr>
          <w:rFonts w:ascii="Arial" w:hAnsi="Arial" w:cs="Arial"/>
          <w:bCs/>
        </w:rPr>
        <w:t xml:space="preserve"> </w:t>
      </w:r>
      <w:r w:rsidRPr="00786806">
        <w:rPr>
          <w:rFonts w:ascii="Arial" w:hAnsi="Arial" w:cs="Arial"/>
          <w:bCs/>
        </w:rPr>
        <w:t>circumstances. (HUD considers these activities as management or capital activities and, therefore, can be directly supported by the use of the Capital Fund in accordance with (42 USC 1437g (d)).)</w:t>
      </w:r>
    </w:p>
    <w:p w14:paraId="4DBA4E5C" w14:textId="796C6704" w:rsidR="00786806" w:rsidRPr="00786806" w:rsidRDefault="00786806" w:rsidP="00786806">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Cs/>
        </w:rPr>
      </w:pPr>
      <w:r w:rsidRPr="00786806">
        <w:rPr>
          <w:rFonts w:ascii="Arial" w:hAnsi="Arial" w:cs="Arial"/>
          <w:bCs/>
        </w:rPr>
        <w:t>a.</w:t>
      </w:r>
      <w:r w:rsidRPr="00786806">
        <w:rPr>
          <w:rFonts w:ascii="Arial" w:hAnsi="Arial" w:cs="Arial"/>
          <w:bCs/>
        </w:rPr>
        <w:tab/>
        <w:t>PHAs with assets financed under the Capital Fund Finance Program (CFFP) and allocated to the COCC will record the associated debt at the COCC. (Unlike the CFP, the CFFP is not a federal financial assistance program. The CFFP was created to leverage external financing of capital investments using CFP money for debt service. For instance, a PHA must repair its building at an estimated cost of</w:t>
      </w:r>
      <w:r>
        <w:rPr>
          <w:rFonts w:ascii="Arial" w:hAnsi="Arial" w:cs="Arial"/>
          <w:bCs/>
        </w:rPr>
        <w:t xml:space="preserve"> </w:t>
      </w:r>
      <w:r w:rsidRPr="00786806">
        <w:rPr>
          <w:rFonts w:ascii="Arial" w:hAnsi="Arial" w:cs="Arial"/>
          <w:bCs/>
        </w:rPr>
        <w:t>$500,000. CFP can provide annual funding of $100,000 to the PHA. Without outside financing, the PHA would not have enough cash to do the work until five years later. The PHA can borrow money from a local bank to make the investment now and promise to repay the bank with future CFP funds. By doing so, the PHA is taking part in the CFFP.) CFP grants are allowed to service the debt service payments for this COCC debt based on a percentage of the annual CFP appropriation.</w:t>
      </w:r>
    </w:p>
    <w:p w14:paraId="694FDA04" w14:textId="2AB12996" w:rsidR="00786806" w:rsidRDefault="00786806" w:rsidP="00786806">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Cs/>
        </w:rPr>
      </w:pPr>
      <w:r w:rsidRPr="00786806">
        <w:rPr>
          <w:rFonts w:ascii="Arial" w:hAnsi="Arial" w:cs="Arial"/>
          <w:bCs/>
        </w:rPr>
        <w:t>b.</w:t>
      </w:r>
      <w:r w:rsidRPr="00786806">
        <w:rPr>
          <w:rFonts w:ascii="Arial" w:hAnsi="Arial" w:cs="Arial"/>
          <w:bCs/>
        </w:rPr>
        <w:tab/>
        <w:t>The costs of developing or modernizing an existing ACC non-dwelling structure under a Capital Fund Declaration of Trust (DOT) (both COCC and Project Structure) are an eligible Capital Fund expenditure (guidance on this is provided in Section 5.7 in the Supplement to HUD Handbook 7475.1). If development of a structure, then a 40-year DOT applies; if modernization of a structure, then a 20- year DOT applies. DOT may vary based on the nature of the work; consult HUD Handbook 7475.1.</w:t>
      </w:r>
    </w:p>
    <w:p w14:paraId="68A86D79" w14:textId="1DCEB3B6" w:rsidR="00786806" w:rsidRPr="00786806" w:rsidRDefault="00786806" w:rsidP="00786806">
      <w:pPr>
        <w:spacing w:after="240"/>
        <w:jc w:val="both"/>
        <w:rPr>
          <w:rFonts w:ascii="Arial" w:hAnsi="Arial" w:cs="Arial"/>
          <w:bCs/>
          <w:i/>
          <w:iCs/>
        </w:rPr>
      </w:pPr>
      <w:r w:rsidRPr="004A14BF">
        <w:rPr>
          <w:rFonts w:ascii="Arial" w:hAnsi="Arial" w:cs="Arial"/>
          <w:bCs/>
          <w:i/>
          <w:iCs/>
        </w:rPr>
        <w:t>(Source: 202</w:t>
      </w:r>
      <w:r>
        <w:rPr>
          <w:rFonts w:ascii="Arial" w:hAnsi="Arial" w:cs="Arial"/>
          <w:bCs/>
          <w:i/>
          <w:iCs/>
        </w:rPr>
        <w:t>5</w:t>
      </w:r>
      <w:r w:rsidRPr="004A14BF">
        <w:rPr>
          <w:rFonts w:ascii="Arial" w:hAnsi="Arial" w:cs="Arial"/>
          <w:bCs/>
          <w:i/>
          <w:iCs/>
        </w:rPr>
        <w:t xml:space="preserve"> OMB Compliance Supplement, Part 4, HUD, #14.850 </w:t>
      </w:r>
      <w:r>
        <w:rPr>
          <w:rFonts w:ascii="Arial" w:hAnsi="Arial" w:cs="Arial"/>
          <w:bCs/>
          <w:i/>
          <w:iCs/>
        </w:rPr>
        <w:t>Public Housing Operating Fund</w:t>
      </w:r>
      <w:r w:rsidRPr="004A14BF">
        <w:rPr>
          <w:rFonts w:ascii="Arial" w:hAnsi="Arial" w:cs="Arial"/>
          <w:bCs/>
          <w:i/>
          <w:iCs/>
        </w:rPr>
        <w:t>)</w:t>
      </w:r>
    </w:p>
    <w:p w14:paraId="5CA331CD" w14:textId="77777777" w:rsidR="001C3146" w:rsidRPr="000706D1" w:rsidRDefault="001C3146" w:rsidP="001C3146">
      <w:pPr>
        <w:pStyle w:val="Heading3"/>
        <w:jc w:val="both"/>
        <w:rPr>
          <w:rFonts w:cs="Arial"/>
          <w:sz w:val="24"/>
          <w:szCs w:val="24"/>
        </w:rPr>
      </w:pPr>
      <w:bookmarkStart w:id="128" w:name="_Toc212473185"/>
      <w:r w:rsidRPr="000706D1">
        <w:rPr>
          <w:rFonts w:cs="Arial"/>
          <w:sz w:val="24"/>
          <w:szCs w:val="24"/>
        </w:rPr>
        <w:t>Additional Program Specific Information</w:t>
      </w:r>
      <w:bookmarkEnd w:id="128"/>
    </w:p>
    <w:p w14:paraId="7BBA7F9A" w14:textId="77777777" w:rsidR="001C3146" w:rsidRPr="00AA5B05" w:rsidRDefault="001C3146" w:rsidP="001C3146">
      <w:pPr>
        <w:spacing w:after="240"/>
        <w:jc w:val="both"/>
        <w:rPr>
          <w:rFonts w:ascii="Arial" w:hAnsi="Arial" w:cs="Arial"/>
          <w:b/>
          <w:highlight w:val="yellow"/>
        </w:rPr>
      </w:pPr>
      <w:r w:rsidRPr="00AA5B05">
        <w:rPr>
          <w:rFonts w:ascii="Arial" w:hAnsi="Arial" w:cs="Arial"/>
          <w:b/>
          <w:highlight w:val="yellow"/>
        </w:rPr>
        <w:t>Add program specific requirements from:</w:t>
      </w:r>
    </w:p>
    <w:p w14:paraId="3CBE39FF" w14:textId="77777777" w:rsidR="001C3146" w:rsidRPr="00AA5B05" w:rsidRDefault="001C3146" w:rsidP="001C3146">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8C3B9A3" w14:textId="77777777" w:rsidR="001C3146" w:rsidRPr="00AA5B05" w:rsidRDefault="001C3146" w:rsidP="001C3146">
      <w:pPr>
        <w:pStyle w:val="ListParagraph"/>
        <w:numPr>
          <w:ilvl w:val="0"/>
          <w:numId w:val="3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37B57F6D" w14:textId="77777777" w:rsidR="001C3146" w:rsidRPr="00AA5B05" w:rsidRDefault="001C3146" w:rsidP="001C3146">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48E650F0" w14:textId="77777777" w:rsidR="001C3146" w:rsidRPr="00AA5B05" w:rsidRDefault="001C3146" w:rsidP="001C3146">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6BBE6F2" w14:textId="77777777" w:rsidR="001C3146" w:rsidRPr="000706D1" w:rsidRDefault="001C3146" w:rsidP="001C3146">
      <w:pPr>
        <w:pStyle w:val="Heading3"/>
        <w:jc w:val="both"/>
        <w:rPr>
          <w:rFonts w:cs="Arial"/>
          <w:sz w:val="24"/>
          <w:szCs w:val="24"/>
        </w:rPr>
      </w:pPr>
      <w:bookmarkStart w:id="129" w:name="_Toc212473186"/>
      <w:r w:rsidRPr="000706D1">
        <w:rPr>
          <w:rFonts w:cs="Arial"/>
          <w:sz w:val="24"/>
          <w:szCs w:val="24"/>
        </w:rPr>
        <w:t>Audit Objectives and Control Testing</w:t>
      </w:r>
      <w:bookmarkEnd w:id="129"/>
    </w:p>
    <w:p w14:paraId="3197B100" w14:textId="77777777" w:rsidR="001C3146" w:rsidRPr="00F00D94" w:rsidRDefault="001C3146" w:rsidP="001C314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36E13BC" w14:textId="77777777" w:rsidR="001C3146" w:rsidRPr="00F00D94" w:rsidRDefault="001C3146" w:rsidP="001C3146">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50F7D8C1" w14:textId="77777777" w:rsidR="001C3146" w:rsidRDefault="001C3146" w:rsidP="001C3146">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4F434C90" w14:textId="6746F61C" w:rsidR="001C3146" w:rsidRPr="00786806" w:rsidRDefault="00786806" w:rsidP="00786806">
      <w:pPr>
        <w:pStyle w:val="ListParagraph"/>
        <w:numPr>
          <w:ilvl w:val="0"/>
          <w:numId w:val="65"/>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786806">
        <w:rPr>
          <w:rFonts w:ascii="Arial" w:hAnsi="Arial" w:cs="Arial"/>
        </w:rPr>
        <w:t>When a PHA uses the Capital Fund to directly support its central office other than through management fees, determine whether the PHA (a) uses the Capital Fund to pay back CFFP debt or to develop or modernize an existing ACC structure or (b) reports its indirect cost as Allocated Overhead (FDS line 91810).</w:t>
      </w:r>
    </w:p>
    <w:p w14:paraId="26324CA3" w14:textId="0F01451E" w:rsidR="00786806" w:rsidRPr="00786806" w:rsidRDefault="00786806" w:rsidP="00786806">
      <w:p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4A14BF">
        <w:rPr>
          <w:rFonts w:ascii="Arial" w:hAnsi="Arial" w:cs="Arial"/>
          <w:bCs/>
          <w:i/>
          <w:iCs/>
        </w:rPr>
        <w:t>(Source: 202</w:t>
      </w:r>
      <w:r>
        <w:rPr>
          <w:rFonts w:ascii="Arial" w:hAnsi="Arial" w:cs="Arial"/>
          <w:bCs/>
          <w:i/>
          <w:iCs/>
        </w:rPr>
        <w:t>5</w:t>
      </w:r>
      <w:r w:rsidRPr="004A14BF">
        <w:rPr>
          <w:rFonts w:ascii="Arial" w:hAnsi="Arial" w:cs="Arial"/>
          <w:bCs/>
          <w:i/>
          <w:iCs/>
        </w:rPr>
        <w:t xml:space="preserve"> OMB Compliance Supplement, Part 4, HUD, #14.850 </w:t>
      </w:r>
      <w:r>
        <w:rPr>
          <w:rFonts w:ascii="Arial" w:hAnsi="Arial" w:cs="Arial"/>
          <w:bCs/>
          <w:i/>
          <w:iCs/>
        </w:rPr>
        <w:t>Public Housing Operating Fund</w:t>
      </w:r>
      <w:r w:rsidRPr="004A14BF">
        <w:rPr>
          <w:rFonts w:ascii="Arial" w:hAnsi="Arial" w:cs="Arial"/>
          <w:bCs/>
          <w:i/>
          <w:iCs/>
        </w:rPr>
        <w:t>)</w:t>
      </w:r>
    </w:p>
    <w:p w14:paraId="63DD1218" w14:textId="77777777" w:rsidR="001C3146" w:rsidRPr="00634FA3" w:rsidRDefault="001C3146" w:rsidP="001C3146">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1C3146" w:rsidRPr="00F00D94" w14:paraId="3FD024FF" w14:textId="77777777" w:rsidTr="009F1483">
        <w:tc>
          <w:tcPr>
            <w:tcW w:w="5000" w:type="pct"/>
          </w:tcPr>
          <w:p w14:paraId="330BFE22" w14:textId="77777777" w:rsidR="001C3146" w:rsidRPr="006F5FFA" w:rsidRDefault="001C3146" w:rsidP="009F148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6E2128E7" w14:textId="77777777" w:rsidR="001C3146" w:rsidRPr="00F00D94" w:rsidRDefault="001C3146" w:rsidP="009F148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92B1BDC" w14:textId="77777777" w:rsidR="001C3146" w:rsidRPr="00F00D94" w:rsidRDefault="001C3146" w:rsidP="009F1483">
            <w:pPr>
              <w:pStyle w:val="AuditProcedureHeading"/>
              <w:spacing w:after="240"/>
              <w:jc w:val="both"/>
              <w:rPr>
                <w:rFonts w:cs="Arial"/>
                <w:b/>
                <w:bCs/>
                <w:szCs w:val="20"/>
                <w:u w:val="single"/>
              </w:rPr>
            </w:pPr>
          </w:p>
          <w:p w14:paraId="55D876CD" w14:textId="77777777" w:rsidR="001C3146" w:rsidRPr="00F00D94" w:rsidRDefault="001C3146" w:rsidP="009F148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C5272EF" w14:textId="77777777" w:rsidR="001C3146" w:rsidRPr="00F00D94" w:rsidRDefault="001C3146" w:rsidP="009F1483">
            <w:pPr>
              <w:pStyle w:val="AuditProcedureHeading"/>
              <w:spacing w:after="240"/>
              <w:jc w:val="both"/>
              <w:rPr>
                <w:rFonts w:cs="Arial"/>
                <w:b/>
                <w:bCs/>
                <w:szCs w:val="20"/>
                <w:u w:val="single"/>
              </w:rPr>
            </w:pPr>
          </w:p>
          <w:p w14:paraId="32101A36" w14:textId="77777777" w:rsidR="001C3146" w:rsidRPr="00F00D94" w:rsidRDefault="001C3146" w:rsidP="009F148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ECA45F0" w14:textId="77777777" w:rsidR="001C3146" w:rsidRPr="00F00D94" w:rsidRDefault="001C3146" w:rsidP="009F1483">
            <w:pPr>
              <w:spacing w:after="240"/>
              <w:jc w:val="both"/>
              <w:rPr>
                <w:rFonts w:ascii="Arial" w:hAnsi="Arial" w:cs="Arial"/>
                <w:b/>
                <w:sz w:val="20"/>
                <w:u w:val="single"/>
              </w:rPr>
            </w:pPr>
          </w:p>
          <w:p w14:paraId="20E9C422" w14:textId="77777777" w:rsidR="001C3146" w:rsidRPr="00F00D94" w:rsidRDefault="001C3146" w:rsidP="009F148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60BD1" w14:textId="77777777" w:rsidR="001C3146" w:rsidRPr="00C35E5F" w:rsidRDefault="001C3146" w:rsidP="009F1483">
            <w:pPr>
              <w:spacing w:after="240"/>
              <w:jc w:val="both"/>
              <w:rPr>
                <w:rFonts w:ascii="Arial" w:eastAsiaTheme="minorHAnsi" w:hAnsi="Arial" w:cs="Arial"/>
                <w:sz w:val="20"/>
                <w:szCs w:val="20"/>
              </w:rPr>
            </w:pPr>
          </w:p>
        </w:tc>
      </w:tr>
    </w:tbl>
    <w:p w14:paraId="2F281CD6" w14:textId="77777777" w:rsidR="001C3146" w:rsidRPr="00F00D94" w:rsidRDefault="001C3146" w:rsidP="001C3146">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0E6FB2F" w14:textId="77777777" w:rsidR="001C3146" w:rsidRPr="000706D1" w:rsidRDefault="001C3146" w:rsidP="001C3146">
      <w:pPr>
        <w:pStyle w:val="Heading3"/>
        <w:jc w:val="both"/>
        <w:rPr>
          <w:rFonts w:cs="Arial"/>
          <w:sz w:val="24"/>
          <w:szCs w:val="24"/>
        </w:rPr>
      </w:pPr>
      <w:bookmarkStart w:id="130" w:name="_Toc212473187"/>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30"/>
    </w:p>
    <w:tbl>
      <w:tblPr>
        <w:tblStyle w:val="TableGrid"/>
        <w:tblW w:w="9558" w:type="dxa"/>
        <w:tblLayout w:type="fixed"/>
        <w:tblLook w:val="04A0" w:firstRow="1" w:lastRow="0" w:firstColumn="1" w:lastColumn="0" w:noHBand="0" w:noVBand="1"/>
      </w:tblPr>
      <w:tblGrid>
        <w:gridCol w:w="9558"/>
      </w:tblGrid>
      <w:tr w:rsidR="001C3146" w:rsidRPr="00F00D94" w14:paraId="6C7CA97E" w14:textId="77777777" w:rsidTr="009F1483">
        <w:tc>
          <w:tcPr>
            <w:tcW w:w="9558" w:type="dxa"/>
          </w:tcPr>
          <w:p w14:paraId="283F11D1" w14:textId="77777777" w:rsidR="001C3146" w:rsidRDefault="001C3146" w:rsidP="009F1483">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69B4D4E" w14:textId="77777777" w:rsidR="001C3146" w:rsidRPr="00AC7B25" w:rsidRDefault="001C3146" w:rsidP="009F1483">
            <w:pPr>
              <w:spacing w:after="240"/>
              <w:jc w:val="both"/>
              <w:rPr>
                <w:rFonts w:ascii="Arial" w:hAnsi="Arial" w:cs="Arial"/>
                <w:i/>
                <w:sz w:val="20"/>
                <w:szCs w:val="20"/>
              </w:rPr>
            </w:pPr>
            <w:r>
              <w:rPr>
                <w:rFonts w:ascii="Arial" w:hAnsi="Arial" w:cs="Arial"/>
                <w:i/>
                <w:sz w:val="20"/>
                <w:szCs w:val="20"/>
              </w:rPr>
              <w:t>(Source: 2025 OMB Compliance Supplement Part 3.2)</w:t>
            </w:r>
          </w:p>
          <w:p w14:paraId="4F97A7BC" w14:textId="77777777" w:rsidR="00786806" w:rsidRPr="00786806" w:rsidRDefault="00786806" w:rsidP="00786806">
            <w:pPr>
              <w:spacing w:after="240"/>
              <w:ind w:left="703" w:hanging="720"/>
              <w:jc w:val="both"/>
              <w:rPr>
                <w:rFonts w:ascii="Arial" w:hAnsi="Arial" w:cs="Arial"/>
                <w:sz w:val="20"/>
              </w:rPr>
            </w:pPr>
            <w:r w:rsidRPr="00786806">
              <w:rPr>
                <w:rFonts w:ascii="Arial" w:hAnsi="Arial" w:cs="Arial"/>
                <w:sz w:val="20"/>
              </w:rPr>
              <w:t>a.</w:t>
            </w:r>
            <w:r w:rsidRPr="00786806">
              <w:rPr>
                <w:rFonts w:ascii="Arial" w:hAnsi="Arial" w:cs="Arial"/>
                <w:sz w:val="20"/>
              </w:rPr>
              <w:tab/>
              <w:t>Ascertain if the Capital Fund is used to directly fund the central office other than through management fees. If not, no further action is needed.</w:t>
            </w:r>
          </w:p>
          <w:p w14:paraId="080AB603" w14:textId="77777777" w:rsidR="00786806" w:rsidRPr="00786806" w:rsidRDefault="00786806" w:rsidP="00786806">
            <w:pPr>
              <w:spacing w:after="240"/>
              <w:ind w:left="703" w:hanging="720"/>
              <w:jc w:val="both"/>
              <w:rPr>
                <w:rFonts w:ascii="Arial" w:hAnsi="Arial" w:cs="Arial"/>
                <w:sz w:val="20"/>
              </w:rPr>
            </w:pPr>
          </w:p>
          <w:p w14:paraId="1DF534FC" w14:textId="77777777" w:rsidR="00786806" w:rsidRPr="00786806" w:rsidRDefault="00786806" w:rsidP="00786806">
            <w:pPr>
              <w:spacing w:after="240"/>
              <w:ind w:left="703" w:hanging="720"/>
              <w:jc w:val="both"/>
              <w:rPr>
                <w:rFonts w:ascii="Arial" w:hAnsi="Arial" w:cs="Arial"/>
                <w:sz w:val="20"/>
              </w:rPr>
            </w:pPr>
            <w:r w:rsidRPr="00786806">
              <w:rPr>
                <w:rFonts w:ascii="Arial" w:hAnsi="Arial" w:cs="Arial"/>
                <w:sz w:val="20"/>
              </w:rPr>
              <w:t>b.</w:t>
            </w:r>
            <w:r w:rsidRPr="00786806">
              <w:rPr>
                <w:rFonts w:ascii="Arial" w:hAnsi="Arial" w:cs="Arial"/>
                <w:sz w:val="20"/>
              </w:rPr>
              <w:tab/>
              <w:t>If so, and if all the funds were used to pay CFFP debt or to develop or modernize an existing ACC structure, no further action is needed.</w:t>
            </w:r>
          </w:p>
          <w:p w14:paraId="62FE5B3F" w14:textId="77777777" w:rsidR="00786806" w:rsidRPr="00786806" w:rsidRDefault="00786806" w:rsidP="00786806">
            <w:pPr>
              <w:spacing w:after="240"/>
              <w:ind w:left="703" w:hanging="720"/>
              <w:jc w:val="both"/>
              <w:rPr>
                <w:rFonts w:ascii="Arial" w:hAnsi="Arial" w:cs="Arial"/>
                <w:sz w:val="20"/>
              </w:rPr>
            </w:pPr>
          </w:p>
          <w:p w14:paraId="5EF15CA9" w14:textId="52FF6676" w:rsidR="00786806" w:rsidRPr="00786806" w:rsidRDefault="00786806" w:rsidP="00786806">
            <w:pPr>
              <w:spacing w:after="240"/>
              <w:ind w:left="703" w:hanging="720"/>
              <w:jc w:val="both"/>
              <w:rPr>
                <w:rFonts w:ascii="Arial" w:hAnsi="Arial" w:cs="Arial"/>
                <w:sz w:val="20"/>
              </w:rPr>
            </w:pPr>
            <w:r w:rsidRPr="00786806">
              <w:rPr>
                <w:rFonts w:ascii="Arial" w:hAnsi="Arial" w:cs="Arial"/>
                <w:sz w:val="20"/>
              </w:rPr>
              <w:t>c.</w:t>
            </w:r>
            <w:r w:rsidRPr="00786806">
              <w:rPr>
                <w:rFonts w:ascii="Arial" w:hAnsi="Arial" w:cs="Arial"/>
                <w:sz w:val="20"/>
              </w:rPr>
              <w:tab/>
              <w:t>If so, and the money is not used to pay back CFFP debt or develop or modernize an existing ACC structure, verify that no fee revenue was reported under the COCC, and all indirect costs were reported as Allocated Overhead in FDS line 91810.</w:t>
            </w:r>
          </w:p>
        </w:tc>
      </w:tr>
    </w:tbl>
    <w:p w14:paraId="057F2869" w14:textId="77777777" w:rsidR="001C3146" w:rsidRPr="00F00D94" w:rsidRDefault="001C3146" w:rsidP="001C3146">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7A3DEB54" w14:textId="77777777" w:rsidR="001C3146" w:rsidRPr="000706D1" w:rsidRDefault="001C3146" w:rsidP="001C3146">
      <w:pPr>
        <w:pStyle w:val="Heading3"/>
        <w:jc w:val="both"/>
        <w:rPr>
          <w:rFonts w:cs="Arial"/>
          <w:b w:val="0"/>
          <w:sz w:val="24"/>
          <w:szCs w:val="24"/>
        </w:rPr>
      </w:pPr>
      <w:bookmarkStart w:id="131" w:name="_Toc212473188"/>
      <w:r w:rsidRPr="000706D1">
        <w:rPr>
          <w:rFonts w:cs="Arial"/>
          <w:sz w:val="24"/>
          <w:szCs w:val="24"/>
        </w:rPr>
        <w:t>Audit Implications Summary</w:t>
      </w:r>
      <w:bookmarkEnd w:id="131"/>
    </w:p>
    <w:tbl>
      <w:tblPr>
        <w:tblStyle w:val="TableGrid"/>
        <w:tblW w:w="5000" w:type="pct"/>
        <w:tblLook w:val="04A0" w:firstRow="1" w:lastRow="0" w:firstColumn="1" w:lastColumn="0" w:noHBand="0" w:noVBand="1"/>
      </w:tblPr>
      <w:tblGrid>
        <w:gridCol w:w="9350"/>
      </w:tblGrid>
      <w:tr w:rsidR="001C3146" w:rsidRPr="00F00D94" w14:paraId="145C6B17" w14:textId="77777777" w:rsidTr="009F1483">
        <w:tc>
          <w:tcPr>
            <w:tcW w:w="5000" w:type="pct"/>
          </w:tcPr>
          <w:p w14:paraId="3479F5A5" w14:textId="77777777" w:rsidR="001C3146" w:rsidRDefault="001C3146" w:rsidP="009F148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D185CB" w14:textId="77777777" w:rsidR="001C3146" w:rsidRPr="006E46AD" w:rsidRDefault="001C3146" w:rsidP="009F1483">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206A832" w14:textId="77777777" w:rsidR="001C3146" w:rsidRPr="006E46AD" w:rsidRDefault="001C3146" w:rsidP="00786806">
            <w:pPr>
              <w:pStyle w:val="ListParagraph"/>
              <w:widowControl w:val="0"/>
              <w:numPr>
                <w:ilvl w:val="0"/>
                <w:numId w:val="66"/>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246F4BC6" w14:textId="77777777" w:rsidR="001C3146" w:rsidRPr="006E46AD" w:rsidRDefault="001C3146" w:rsidP="009F1483">
            <w:pPr>
              <w:widowControl w:val="0"/>
              <w:spacing w:after="240"/>
              <w:ind w:left="720"/>
              <w:jc w:val="both"/>
              <w:rPr>
                <w:rFonts w:ascii="Arial" w:hAnsi="Arial" w:cs="Arial"/>
                <w:b/>
                <w:sz w:val="20"/>
                <w:szCs w:val="20"/>
              </w:rPr>
            </w:pPr>
          </w:p>
          <w:p w14:paraId="5CBABAF4" w14:textId="77777777" w:rsidR="001C3146" w:rsidRPr="006E46AD" w:rsidRDefault="001C3146" w:rsidP="00786806">
            <w:pPr>
              <w:widowControl w:val="0"/>
              <w:numPr>
                <w:ilvl w:val="0"/>
                <w:numId w:val="66"/>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02A2FC2F" w14:textId="77777777" w:rsidR="001C3146" w:rsidRPr="00F00D94" w:rsidRDefault="001C3146" w:rsidP="009F1483">
            <w:pPr>
              <w:pStyle w:val="ListParagraph"/>
              <w:spacing w:after="240"/>
              <w:jc w:val="both"/>
              <w:rPr>
                <w:rFonts w:ascii="Arial" w:hAnsi="Arial" w:cs="Arial"/>
                <w:b/>
              </w:rPr>
            </w:pPr>
          </w:p>
          <w:p w14:paraId="41B14CDF" w14:textId="77777777" w:rsidR="001C3146" w:rsidRPr="00F00D94" w:rsidRDefault="001C3146" w:rsidP="00786806">
            <w:pPr>
              <w:widowControl w:val="0"/>
              <w:numPr>
                <w:ilvl w:val="0"/>
                <w:numId w:val="66"/>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49DEF0E3" w14:textId="77777777" w:rsidR="001C3146" w:rsidRPr="00F00D94" w:rsidRDefault="001C3146" w:rsidP="009F1483">
            <w:pPr>
              <w:pStyle w:val="ListParagraph"/>
              <w:spacing w:after="240"/>
              <w:jc w:val="both"/>
              <w:rPr>
                <w:rFonts w:ascii="Arial" w:hAnsi="Arial" w:cs="Arial"/>
                <w:b/>
              </w:rPr>
            </w:pPr>
          </w:p>
          <w:p w14:paraId="08CC1833" w14:textId="77777777" w:rsidR="001C3146" w:rsidRPr="00F00D94" w:rsidRDefault="001C3146" w:rsidP="00786806">
            <w:pPr>
              <w:widowControl w:val="0"/>
              <w:numPr>
                <w:ilvl w:val="0"/>
                <w:numId w:val="6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18C906F1" w14:textId="77777777" w:rsidR="001C3146" w:rsidRPr="00F00D94" w:rsidRDefault="001C3146" w:rsidP="009F1483">
            <w:pPr>
              <w:pStyle w:val="ListParagraph"/>
              <w:spacing w:after="240"/>
              <w:jc w:val="both"/>
              <w:rPr>
                <w:rFonts w:ascii="Arial" w:hAnsi="Arial" w:cs="Arial"/>
                <w:b/>
              </w:rPr>
            </w:pPr>
          </w:p>
          <w:p w14:paraId="731BF7AE" w14:textId="77777777" w:rsidR="001C3146" w:rsidRPr="00F00D94" w:rsidRDefault="001C3146" w:rsidP="00786806">
            <w:pPr>
              <w:widowControl w:val="0"/>
              <w:numPr>
                <w:ilvl w:val="0"/>
                <w:numId w:val="6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2F9CDE4" w14:textId="77777777" w:rsidR="001C3146" w:rsidRPr="00F00D94" w:rsidRDefault="001C3146" w:rsidP="009F1483">
            <w:pPr>
              <w:pStyle w:val="APStepItem"/>
              <w:numPr>
                <w:ilvl w:val="0"/>
                <w:numId w:val="0"/>
              </w:numPr>
              <w:spacing w:after="240"/>
              <w:rPr>
                <w:rFonts w:cs="Arial"/>
                <w:b/>
              </w:rPr>
            </w:pPr>
          </w:p>
        </w:tc>
      </w:tr>
    </w:tbl>
    <w:p w14:paraId="440A1864" w14:textId="77777777" w:rsidR="00C04E8C" w:rsidRDefault="00C04E8C" w:rsidP="00C04E8C">
      <w:pPr>
        <w:pStyle w:val="Heading2"/>
        <w:jc w:val="both"/>
        <w:rPr>
          <w:rFonts w:cs="Arial"/>
          <w:sz w:val="24"/>
        </w:rPr>
        <w:sectPr w:rsidR="00C04E8C" w:rsidSect="00C04E8C">
          <w:headerReference w:type="default" r:id="rId107"/>
          <w:pgSz w:w="12240" w:h="15840" w:code="1"/>
          <w:pgMar w:top="1440" w:right="1440" w:bottom="1440" w:left="1440" w:header="720" w:footer="720" w:gutter="0"/>
          <w:cols w:space="720"/>
          <w:docGrid w:linePitch="360"/>
        </w:sectPr>
      </w:pPr>
    </w:p>
    <w:p w14:paraId="479BACC2" w14:textId="631417E3" w:rsidR="00C04E8C" w:rsidRPr="000706D1" w:rsidRDefault="00C04E8C" w:rsidP="00C04E8C">
      <w:pPr>
        <w:pStyle w:val="Heading2"/>
        <w:jc w:val="both"/>
        <w:rPr>
          <w:rFonts w:cs="Arial"/>
          <w:sz w:val="24"/>
        </w:rPr>
      </w:pPr>
      <w:bookmarkStart w:id="132" w:name="_Toc212473189"/>
      <w:r w:rsidRPr="000706D1">
        <w:rPr>
          <w:rFonts w:cs="Arial"/>
          <w:sz w:val="24"/>
        </w:rPr>
        <w:t>N</w:t>
      </w:r>
      <w:r w:rsidR="001F1600">
        <w:rPr>
          <w:rFonts w:cs="Arial"/>
          <w:sz w:val="24"/>
        </w:rPr>
        <w:t>12</w:t>
      </w:r>
      <w:r w:rsidRPr="000706D1">
        <w:rPr>
          <w:rFonts w:cs="Arial"/>
          <w:sz w:val="24"/>
        </w:rPr>
        <w:t>.  SPECIAL TESTS AND PROVISIONS</w:t>
      </w:r>
      <w:r w:rsidR="001F1600">
        <w:rPr>
          <w:rFonts w:cs="Arial"/>
          <w:sz w:val="24"/>
        </w:rPr>
        <w:t xml:space="preserve"> – PHA UTILITIES OPERATING FUNDING REQUESTS</w:t>
      </w:r>
      <w:bookmarkEnd w:id="132"/>
    </w:p>
    <w:p w14:paraId="3A3F7AD3" w14:textId="77777777" w:rsidR="00C04E8C" w:rsidRPr="000706D1" w:rsidRDefault="00C04E8C" w:rsidP="00C04E8C">
      <w:pPr>
        <w:pStyle w:val="Heading3"/>
        <w:jc w:val="both"/>
        <w:rPr>
          <w:rFonts w:cs="Arial"/>
          <w:sz w:val="24"/>
          <w:szCs w:val="24"/>
        </w:rPr>
      </w:pPr>
      <w:bookmarkStart w:id="133" w:name="_Toc212473190"/>
      <w:r w:rsidRPr="000706D1">
        <w:rPr>
          <w:rFonts w:cs="Arial"/>
          <w:sz w:val="24"/>
          <w:szCs w:val="24"/>
        </w:rPr>
        <w:t>OMB Compliance Requirements</w:t>
      </w:r>
      <w:bookmarkEnd w:id="133"/>
    </w:p>
    <w:p w14:paraId="3057BD28" w14:textId="77777777" w:rsidR="00C04E8C" w:rsidRPr="005C1EBC" w:rsidRDefault="00C04E8C" w:rsidP="00C04E8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31006C77" w14:textId="77777777" w:rsidR="00C04E8C" w:rsidRPr="00F00D94" w:rsidRDefault="00C04E8C" w:rsidP="00C04E8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784DEF43" w14:textId="77777777" w:rsidR="00C04E8C" w:rsidRPr="00F00D94" w:rsidRDefault="00C04E8C" w:rsidP="00C04E8C">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60E0DBF8" w14:textId="77777777" w:rsidR="00C04E8C" w:rsidRPr="000706D1" w:rsidRDefault="00C04E8C" w:rsidP="00C04E8C">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7AE8BA87" w14:textId="5BED6FCA" w:rsidR="001F1600" w:rsidRPr="001F1600" w:rsidRDefault="001F1600" w:rsidP="001F1600">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1F1600">
        <w:rPr>
          <w:rFonts w:ascii="Arial" w:hAnsi="Arial" w:cs="Arial"/>
          <w:bCs/>
          <w:i/>
          <w:iCs/>
        </w:rPr>
        <w:t>Special Utilities Incentives.</w:t>
      </w:r>
      <w:r w:rsidRPr="001F1600">
        <w:rPr>
          <w:rFonts w:ascii="Arial" w:hAnsi="Arial" w:cs="Arial"/>
          <w:bCs/>
        </w:rPr>
        <w:t xml:space="preserve"> If a PHA undertakes energy conservation measures financed</w:t>
      </w:r>
      <w:r>
        <w:rPr>
          <w:rFonts w:ascii="Arial" w:hAnsi="Arial" w:cs="Arial"/>
          <w:bCs/>
        </w:rPr>
        <w:t xml:space="preserve"> </w:t>
      </w:r>
      <w:r w:rsidRPr="001F1600">
        <w:rPr>
          <w:rFonts w:ascii="Arial" w:hAnsi="Arial" w:cs="Arial"/>
          <w:bCs/>
        </w:rPr>
        <w:t xml:space="preserve">by an entity other than HUD, the PHA may qualify for the incentives available under 24 CFR sections 990.185(a) and 990.190(b). In some cases, the rolling base consumption level (HUD Form </w:t>
      </w:r>
      <w:hyperlink r:id="rId108" w:history="1">
        <w:r w:rsidRPr="00011C0F">
          <w:rPr>
            <w:rStyle w:val="Hyperlink"/>
            <w:rFonts w:cs="Arial"/>
            <w:bCs/>
          </w:rPr>
          <w:t>52722</w:t>
        </w:r>
      </w:hyperlink>
      <w:r w:rsidRPr="001F1600">
        <w:rPr>
          <w:rFonts w:ascii="Arial" w:hAnsi="Arial" w:cs="Arial"/>
          <w:bCs/>
        </w:rPr>
        <w:t xml:space="preserve"> Section 3, Line 8) for the utilities involved may be frozen during the contract period. For a PHA to qualify for these incentives, the PHA must obtain HUD approval. Approval is based on a determination that payments under the contract can be funded from the reasonably anticipated energy cost savings. The contract period may not exceed 20 years (24 CFR section 990.185(a)) and is specified in the HUD approval letter.</w:t>
      </w:r>
    </w:p>
    <w:p w14:paraId="7A72D899" w14:textId="23964BBB" w:rsidR="001F1600" w:rsidRPr="001F1600" w:rsidRDefault="001F1600" w:rsidP="001F1600">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1F1600">
        <w:rPr>
          <w:rFonts w:ascii="Arial" w:hAnsi="Arial" w:cs="Arial"/>
          <w:bCs/>
          <w:i/>
          <w:iCs/>
        </w:rPr>
        <w:t>Rate Reduction.</w:t>
      </w:r>
      <w:r w:rsidRPr="001F1600">
        <w:rPr>
          <w:rFonts w:ascii="Arial" w:hAnsi="Arial" w:cs="Arial"/>
          <w:bCs/>
        </w:rPr>
        <w:t xml:space="preserve"> If a PHA takes action beyond normal public participation in rate-making proceedings, such as well-head purchase of natural gas, administrative appeals, or legal action to reduce the rate it pays for utilities, then the PHA will be permitted to retain one- half the annual savings realized from these actions (24 CFR section 990.185(b)).</w:t>
      </w:r>
    </w:p>
    <w:p w14:paraId="639C49FC" w14:textId="22EC6EB4" w:rsidR="001F1600" w:rsidRPr="008F458B" w:rsidRDefault="001F1600" w:rsidP="001F1600">
      <w:p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8F458B">
        <w:rPr>
          <w:rFonts w:ascii="Arial" w:hAnsi="Arial" w:cs="Arial"/>
          <w:bCs/>
          <w:i/>
          <w:iCs/>
        </w:rPr>
        <w:t>(Source: 2025 OMB Compliance Supplement, Part 4, HUD, #14.850 Public Housing Operating Fund)</w:t>
      </w:r>
    </w:p>
    <w:p w14:paraId="1C8166D7" w14:textId="77777777" w:rsidR="00C04E8C" w:rsidRPr="000706D1" w:rsidRDefault="00C04E8C" w:rsidP="00C04E8C">
      <w:pPr>
        <w:pStyle w:val="Heading3"/>
        <w:jc w:val="both"/>
        <w:rPr>
          <w:rFonts w:cs="Arial"/>
          <w:sz w:val="24"/>
          <w:szCs w:val="24"/>
        </w:rPr>
      </w:pPr>
      <w:bookmarkStart w:id="134" w:name="_Toc212473191"/>
      <w:r w:rsidRPr="000706D1">
        <w:rPr>
          <w:rFonts w:cs="Arial"/>
          <w:sz w:val="24"/>
          <w:szCs w:val="24"/>
        </w:rPr>
        <w:t>Additional Program Specific Information</w:t>
      </w:r>
      <w:bookmarkEnd w:id="134"/>
    </w:p>
    <w:p w14:paraId="2B530FD6" w14:textId="77777777" w:rsidR="00C04E8C" w:rsidRPr="00AA5B05" w:rsidRDefault="00C04E8C" w:rsidP="00C04E8C">
      <w:pPr>
        <w:spacing w:after="240"/>
        <w:jc w:val="both"/>
        <w:rPr>
          <w:rFonts w:ascii="Arial" w:hAnsi="Arial" w:cs="Arial"/>
          <w:b/>
          <w:highlight w:val="yellow"/>
        </w:rPr>
      </w:pPr>
      <w:r w:rsidRPr="00AA5B05">
        <w:rPr>
          <w:rFonts w:ascii="Arial" w:hAnsi="Arial" w:cs="Arial"/>
          <w:b/>
          <w:highlight w:val="yellow"/>
        </w:rPr>
        <w:t>Add program specific requirements from:</w:t>
      </w:r>
    </w:p>
    <w:p w14:paraId="2C935464" w14:textId="77777777" w:rsidR="00C04E8C" w:rsidRPr="00AA5B05" w:rsidRDefault="00C04E8C" w:rsidP="00C04E8C">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2B195D64" w14:textId="77777777" w:rsidR="00C04E8C" w:rsidRPr="00AA5B05" w:rsidRDefault="00C04E8C" w:rsidP="00C04E8C">
      <w:pPr>
        <w:pStyle w:val="ListParagraph"/>
        <w:numPr>
          <w:ilvl w:val="0"/>
          <w:numId w:val="3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07208FBC" w14:textId="77777777" w:rsidR="00C04E8C" w:rsidRPr="00AA5B05" w:rsidRDefault="00C04E8C" w:rsidP="00C04E8C">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0736E0F0" w14:textId="77777777" w:rsidR="00C04E8C" w:rsidRPr="00AA5B05" w:rsidRDefault="00C04E8C" w:rsidP="00C04E8C">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F600F28" w14:textId="77777777" w:rsidR="00C04E8C" w:rsidRPr="000706D1" w:rsidRDefault="00C04E8C" w:rsidP="00C04E8C">
      <w:pPr>
        <w:pStyle w:val="Heading3"/>
        <w:jc w:val="both"/>
        <w:rPr>
          <w:rFonts w:cs="Arial"/>
          <w:sz w:val="24"/>
          <w:szCs w:val="24"/>
        </w:rPr>
      </w:pPr>
      <w:bookmarkStart w:id="135" w:name="_Toc212473192"/>
      <w:r w:rsidRPr="000706D1">
        <w:rPr>
          <w:rFonts w:cs="Arial"/>
          <w:sz w:val="24"/>
          <w:szCs w:val="24"/>
        </w:rPr>
        <w:t>Audit Objectives and Control Testing</w:t>
      </w:r>
      <w:bookmarkEnd w:id="135"/>
    </w:p>
    <w:p w14:paraId="033265AD" w14:textId="77777777" w:rsidR="00C04E8C" w:rsidRPr="00F00D94" w:rsidRDefault="00C04E8C" w:rsidP="00C04E8C">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3F733FCA" w14:textId="77777777" w:rsidR="00C04E8C" w:rsidRPr="00F00D94" w:rsidRDefault="00C04E8C" w:rsidP="00C04E8C">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3630D17" w14:textId="77777777" w:rsidR="00C04E8C" w:rsidRDefault="00C04E8C" w:rsidP="00C04E8C">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49F9FAA1" w14:textId="4E6108DD" w:rsidR="00C04E8C" w:rsidRDefault="001F1600" w:rsidP="001F1600">
      <w:pPr>
        <w:pStyle w:val="ListParagraph"/>
        <w:numPr>
          <w:ilvl w:val="0"/>
          <w:numId w:val="67"/>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1F1600">
        <w:rPr>
          <w:rFonts w:ascii="Arial" w:hAnsi="Arial" w:cs="Arial"/>
          <w:iCs/>
        </w:rPr>
        <w:t>Determine whether the cost saving from energy conservation incentives contracts generally comply with the terms of the energy contract and have been approved by HUD, if required.</w:t>
      </w:r>
    </w:p>
    <w:p w14:paraId="541A3B81" w14:textId="138125AF" w:rsidR="001F1600" w:rsidRPr="001F1600" w:rsidRDefault="001F1600" w:rsidP="001F1600">
      <w:pPr>
        <w:spacing w:after="240"/>
        <w:jc w:val="both"/>
        <w:rPr>
          <w:rFonts w:ascii="Arial" w:hAnsi="Arial" w:cs="Arial"/>
          <w:bCs/>
          <w:i/>
          <w:iCs/>
        </w:rPr>
      </w:pPr>
      <w:r w:rsidRPr="001F1600">
        <w:rPr>
          <w:rFonts w:ascii="Arial" w:hAnsi="Arial" w:cs="Arial"/>
          <w:bCs/>
          <w:i/>
          <w:iCs/>
        </w:rPr>
        <w:t>(Source: 202</w:t>
      </w:r>
      <w:r>
        <w:rPr>
          <w:rFonts w:ascii="Arial" w:hAnsi="Arial" w:cs="Arial"/>
          <w:bCs/>
          <w:i/>
          <w:iCs/>
        </w:rPr>
        <w:t>5</w:t>
      </w:r>
      <w:r w:rsidRPr="001F1600">
        <w:rPr>
          <w:rFonts w:ascii="Arial" w:hAnsi="Arial" w:cs="Arial"/>
          <w:bCs/>
          <w:i/>
          <w:iCs/>
        </w:rPr>
        <w:t xml:space="preserve"> OMB Compliance Supplement, Part 4, HUD, #14.850 Public Housing Operating Fund)</w:t>
      </w:r>
    </w:p>
    <w:p w14:paraId="1610D313" w14:textId="77777777" w:rsidR="00C04E8C" w:rsidRPr="00634FA3" w:rsidRDefault="00C04E8C" w:rsidP="00C04E8C">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04E8C" w:rsidRPr="00F00D94" w14:paraId="7791A026" w14:textId="77777777" w:rsidTr="009F1483">
        <w:tc>
          <w:tcPr>
            <w:tcW w:w="5000" w:type="pct"/>
          </w:tcPr>
          <w:p w14:paraId="1E7E388D" w14:textId="77777777" w:rsidR="00C04E8C" w:rsidRPr="006F5FFA" w:rsidRDefault="00C04E8C" w:rsidP="009F148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6B4C38FC" w14:textId="77777777" w:rsidR="00C04E8C" w:rsidRPr="00F00D94" w:rsidRDefault="00C04E8C" w:rsidP="009F148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66330B7D" w14:textId="77777777" w:rsidR="00C04E8C" w:rsidRPr="00F00D94" w:rsidRDefault="00C04E8C" w:rsidP="009F1483">
            <w:pPr>
              <w:pStyle w:val="AuditProcedureHeading"/>
              <w:spacing w:after="240"/>
              <w:jc w:val="both"/>
              <w:rPr>
                <w:rFonts w:cs="Arial"/>
                <w:b/>
                <w:bCs/>
                <w:szCs w:val="20"/>
                <w:u w:val="single"/>
              </w:rPr>
            </w:pPr>
          </w:p>
          <w:p w14:paraId="4F4CA2A3" w14:textId="77777777" w:rsidR="00C04E8C" w:rsidRPr="00F00D94" w:rsidRDefault="00C04E8C" w:rsidP="009F148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4A081417" w14:textId="77777777" w:rsidR="00C04E8C" w:rsidRPr="00F00D94" w:rsidRDefault="00C04E8C" w:rsidP="009F1483">
            <w:pPr>
              <w:pStyle w:val="AuditProcedureHeading"/>
              <w:spacing w:after="240"/>
              <w:jc w:val="both"/>
              <w:rPr>
                <w:rFonts w:cs="Arial"/>
                <w:b/>
                <w:bCs/>
                <w:szCs w:val="20"/>
                <w:u w:val="single"/>
              </w:rPr>
            </w:pPr>
          </w:p>
          <w:p w14:paraId="32F79E22" w14:textId="77777777" w:rsidR="00C04E8C" w:rsidRPr="00F00D94" w:rsidRDefault="00C04E8C" w:rsidP="009F148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07A47C8" w14:textId="77777777" w:rsidR="00C04E8C" w:rsidRPr="00F00D94" w:rsidRDefault="00C04E8C" w:rsidP="009F1483">
            <w:pPr>
              <w:spacing w:after="240"/>
              <w:jc w:val="both"/>
              <w:rPr>
                <w:rFonts w:ascii="Arial" w:hAnsi="Arial" w:cs="Arial"/>
                <w:b/>
                <w:sz w:val="20"/>
                <w:u w:val="single"/>
              </w:rPr>
            </w:pPr>
          </w:p>
          <w:p w14:paraId="4E209DCB" w14:textId="77777777" w:rsidR="00C04E8C" w:rsidRPr="00F00D94" w:rsidRDefault="00C04E8C" w:rsidP="009F148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5452624A" w14:textId="77777777" w:rsidR="00C04E8C" w:rsidRPr="00C35E5F" w:rsidRDefault="00C04E8C" w:rsidP="009F1483">
            <w:pPr>
              <w:spacing w:after="240"/>
              <w:jc w:val="both"/>
              <w:rPr>
                <w:rFonts w:ascii="Arial" w:eastAsiaTheme="minorHAnsi" w:hAnsi="Arial" w:cs="Arial"/>
                <w:sz w:val="20"/>
                <w:szCs w:val="20"/>
              </w:rPr>
            </w:pPr>
          </w:p>
        </w:tc>
      </w:tr>
    </w:tbl>
    <w:p w14:paraId="28B9C7E5" w14:textId="77777777" w:rsidR="00C04E8C" w:rsidRPr="00F00D94" w:rsidRDefault="00C04E8C" w:rsidP="00C04E8C">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7A3659DB" w14:textId="77777777" w:rsidR="00C04E8C" w:rsidRPr="000706D1" w:rsidRDefault="00C04E8C" w:rsidP="00C04E8C">
      <w:pPr>
        <w:pStyle w:val="Heading3"/>
        <w:jc w:val="both"/>
        <w:rPr>
          <w:rFonts w:cs="Arial"/>
          <w:sz w:val="24"/>
          <w:szCs w:val="24"/>
        </w:rPr>
      </w:pPr>
      <w:bookmarkStart w:id="136" w:name="_Toc212473193"/>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36"/>
    </w:p>
    <w:tbl>
      <w:tblPr>
        <w:tblStyle w:val="TableGrid"/>
        <w:tblW w:w="9558" w:type="dxa"/>
        <w:tblLayout w:type="fixed"/>
        <w:tblLook w:val="04A0" w:firstRow="1" w:lastRow="0" w:firstColumn="1" w:lastColumn="0" w:noHBand="0" w:noVBand="1"/>
      </w:tblPr>
      <w:tblGrid>
        <w:gridCol w:w="9558"/>
      </w:tblGrid>
      <w:tr w:rsidR="00C04E8C" w:rsidRPr="00F00D94" w14:paraId="75986444" w14:textId="77777777" w:rsidTr="009F1483">
        <w:tc>
          <w:tcPr>
            <w:tcW w:w="9558" w:type="dxa"/>
          </w:tcPr>
          <w:p w14:paraId="12221335" w14:textId="77777777" w:rsidR="00C04E8C" w:rsidRDefault="00C04E8C" w:rsidP="009F1483">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0479A6A" w14:textId="77777777" w:rsidR="00C04E8C" w:rsidRPr="00AC7B25" w:rsidRDefault="00C04E8C" w:rsidP="009F1483">
            <w:pPr>
              <w:spacing w:after="240"/>
              <w:jc w:val="both"/>
              <w:rPr>
                <w:rFonts w:ascii="Arial" w:hAnsi="Arial" w:cs="Arial"/>
                <w:i/>
                <w:sz w:val="20"/>
                <w:szCs w:val="20"/>
              </w:rPr>
            </w:pPr>
            <w:r>
              <w:rPr>
                <w:rFonts w:ascii="Arial" w:hAnsi="Arial" w:cs="Arial"/>
                <w:i/>
                <w:sz w:val="20"/>
                <w:szCs w:val="20"/>
              </w:rPr>
              <w:t>(Source: 2025 OMB Compliance Supplement Part 3.2)</w:t>
            </w:r>
          </w:p>
          <w:p w14:paraId="4703E098" w14:textId="68DEC08A" w:rsidR="001F1600" w:rsidRPr="001F1600" w:rsidRDefault="001F1600" w:rsidP="001F1600">
            <w:pPr>
              <w:spacing w:after="240"/>
              <w:ind w:left="703" w:hanging="720"/>
              <w:jc w:val="both"/>
              <w:rPr>
                <w:rFonts w:ascii="Arial" w:hAnsi="Arial" w:cs="Arial"/>
                <w:sz w:val="20"/>
              </w:rPr>
            </w:pPr>
            <w:r w:rsidRPr="001F1600">
              <w:rPr>
                <w:rFonts w:ascii="Arial" w:hAnsi="Arial" w:cs="Arial"/>
                <w:sz w:val="20"/>
              </w:rPr>
              <w:t>a.</w:t>
            </w:r>
            <w:r w:rsidRPr="001F1600">
              <w:rPr>
                <w:rFonts w:ascii="Arial" w:hAnsi="Arial" w:cs="Arial"/>
                <w:sz w:val="20"/>
              </w:rPr>
              <w:tab/>
              <w:t>When entries are in HUD-</w:t>
            </w:r>
            <w:hyperlink r:id="rId109" w:history="1">
              <w:r w:rsidRPr="00011C0F">
                <w:rPr>
                  <w:rStyle w:val="Hyperlink"/>
                  <w:rFonts w:cs="Arial"/>
                  <w:sz w:val="20"/>
                </w:rPr>
                <w:t>52723</w:t>
              </w:r>
            </w:hyperlink>
            <w:r w:rsidRPr="001F1600">
              <w:rPr>
                <w:rFonts w:ascii="Arial" w:hAnsi="Arial" w:cs="Arial"/>
                <w:sz w:val="20"/>
              </w:rPr>
              <w:t xml:space="preserve"> Section 3, Part A, Add-Ons, Line 8, Add-On- Subsidy (AOS) incentive Energy Performance Contract (EPC), verify that the project has a HUD approved energy loan amortization add-on pursuant to CFR sections 990.185(a)(3) and 990.190(b). The contract and add-on must be approved by the HUD field office. Verify that the requested amount and term agree with the energy loan amortization schedule in the approved contract.</w:t>
            </w:r>
          </w:p>
          <w:p w14:paraId="7CB0CC61" w14:textId="70709EB8" w:rsidR="001F1600" w:rsidRPr="001F1600" w:rsidRDefault="001F1600" w:rsidP="001F1600">
            <w:pPr>
              <w:spacing w:after="240"/>
              <w:ind w:left="703" w:hanging="720"/>
              <w:jc w:val="both"/>
              <w:rPr>
                <w:rFonts w:ascii="Arial" w:hAnsi="Arial" w:cs="Arial"/>
                <w:sz w:val="20"/>
              </w:rPr>
            </w:pPr>
            <w:r w:rsidRPr="001F1600">
              <w:rPr>
                <w:rFonts w:ascii="Arial" w:hAnsi="Arial" w:cs="Arial"/>
                <w:sz w:val="20"/>
              </w:rPr>
              <w:t>b.</w:t>
            </w:r>
            <w:r w:rsidRPr="001F1600">
              <w:rPr>
                <w:rFonts w:ascii="Arial" w:hAnsi="Arial" w:cs="Arial"/>
                <w:sz w:val="20"/>
              </w:rPr>
              <w:tab/>
              <w:t xml:space="preserve">For projects with “frozen rolling base” checked in the form header box of HUD- </w:t>
            </w:r>
            <w:hyperlink r:id="rId110" w:history="1">
              <w:r w:rsidRPr="00011C0F">
                <w:rPr>
                  <w:rStyle w:val="Hyperlink"/>
                  <w:rFonts w:cs="Arial"/>
                  <w:sz w:val="20"/>
                </w:rPr>
                <w:t>52722</w:t>
              </w:r>
            </w:hyperlink>
            <w:r w:rsidRPr="001F1600">
              <w:rPr>
                <w:rFonts w:ascii="Arial" w:hAnsi="Arial" w:cs="Arial"/>
                <w:sz w:val="20"/>
              </w:rPr>
              <w:t>, verify that the project has the HUD field office approval that applies to the period in question.</w:t>
            </w:r>
          </w:p>
          <w:p w14:paraId="15FBBD43" w14:textId="259DAA3D" w:rsidR="001F1600" w:rsidRPr="001F1600" w:rsidRDefault="001F1600" w:rsidP="001F1600">
            <w:pPr>
              <w:spacing w:after="240"/>
              <w:ind w:left="703" w:hanging="720"/>
              <w:jc w:val="both"/>
              <w:rPr>
                <w:rFonts w:ascii="Arial" w:hAnsi="Arial" w:cs="Arial"/>
                <w:sz w:val="20"/>
              </w:rPr>
            </w:pPr>
            <w:r w:rsidRPr="001F1600">
              <w:rPr>
                <w:rFonts w:ascii="Arial" w:hAnsi="Arial" w:cs="Arial"/>
                <w:sz w:val="20"/>
              </w:rPr>
              <w:t>c.</w:t>
            </w:r>
            <w:r w:rsidRPr="001F1600">
              <w:rPr>
                <w:rFonts w:ascii="Arial" w:hAnsi="Arial" w:cs="Arial"/>
                <w:sz w:val="20"/>
              </w:rPr>
              <w:tab/>
              <w:t>For projects with a “rate reduction incentive” checked in the form header box of HUD-52722, verify that the project meets the criteria in 24 CFR section 990.185(b).</w:t>
            </w:r>
          </w:p>
        </w:tc>
      </w:tr>
    </w:tbl>
    <w:p w14:paraId="724B75FE" w14:textId="77777777" w:rsidR="00C04E8C" w:rsidRPr="00F00D94" w:rsidRDefault="00C04E8C" w:rsidP="00C04E8C">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3FA83B0" w14:textId="77777777" w:rsidR="00C04E8C" w:rsidRPr="000706D1" w:rsidRDefault="00C04E8C" w:rsidP="00C04E8C">
      <w:pPr>
        <w:pStyle w:val="Heading3"/>
        <w:jc w:val="both"/>
        <w:rPr>
          <w:rFonts w:cs="Arial"/>
          <w:b w:val="0"/>
          <w:sz w:val="24"/>
          <w:szCs w:val="24"/>
        </w:rPr>
      </w:pPr>
      <w:bookmarkStart w:id="137" w:name="_Toc212473194"/>
      <w:r w:rsidRPr="000706D1">
        <w:rPr>
          <w:rFonts w:cs="Arial"/>
          <w:sz w:val="24"/>
          <w:szCs w:val="24"/>
        </w:rPr>
        <w:t>Audit Implications Summary</w:t>
      </w:r>
      <w:bookmarkEnd w:id="137"/>
    </w:p>
    <w:tbl>
      <w:tblPr>
        <w:tblStyle w:val="TableGrid"/>
        <w:tblW w:w="5000" w:type="pct"/>
        <w:tblLook w:val="04A0" w:firstRow="1" w:lastRow="0" w:firstColumn="1" w:lastColumn="0" w:noHBand="0" w:noVBand="1"/>
      </w:tblPr>
      <w:tblGrid>
        <w:gridCol w:w="9350"/>
      </w:tblGrid>
      <w:tr w:rsidR="00C04E8C" w:rsidRPr="00F00D94" w14:paraId="26A196AB" w14:textId="77777777" w:rsidTr="009F1483">
        <w:tc>
          <w:tcPr>
            <w:tcW w:w="5000" w:type="pct"/>
          </w:tcPr>
          <w:p w14:paraId="4C9ADEDD" w14:textId="77777777" w:rsidR="00C04E8C" w:rsidRDefault="00C04E8C" w:rsidP="009F148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6C649BA6" w14:textId="77777777" w:rsidR="00C04E8C" w:rsidRPr="006E46AD" w:rsidRDefault="00C04E8C" w:rsidP="009F1483">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6AB42790" w14:textId="77777777" w:rsidR="00C04E8C" w:rsidRPr="006E46AD" w:rsidRDefault="00C04E8C" w:rsidP="001F1600">
            <w:pPr>
              <w:pStyle w:val="ListParagraph"/>
              <w:widowControl w:val="0"/>
              <w:numPr>
                <w:ilvl w:val="0"/>
                <w:numId w:val="68"/>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1C5EADAF" w14:textId="77777777" w:rsidR="00C04E8C" w:rsidRPr="006E46AD" w:rsidRDefault="00C04E8C" w:rsidP="009F1483">
            <w:pPr>
              <w:widowControl w:val="0"/>
              <w:spacing w:after="240"/>
              <w:ind w:left="720"/>
              <w:jc w:val="both"/>
              <w:rPr>
                <w:rFonts w:ascii="Arial" w:hAnsi="Arial" w:cs="Arial"/>
                <w:b/>
                <w:sz w:val="20"/>
                <w:szCs w:val="20"/>
              </w:rPr>
            </w:pPr>
          </w:p>
          <w:p w14:paraId="7739DB67" w14:textId="77777777" w:rsidR="00C04E8C" w:rsidRPr="006E46AD" w:rsidRDefault="00C04E8C" w:rsidP="001F1600">
            <w:pPr>
              <w:widowControl w:val="0"/>
              <w:numPr>
                <w:ilvl w:val="0"/>
                <w:numId w:val="6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01A2ED8A" w14:textId="77777777" w:rsidR="00C04E8C" w:rsidRPr="00F00D94" w:rsidRDefault="00C04E8C" w:rsidP="009F1483">
            <w:pPr>
              <w:pStyle w:val="ListParagraph"/>
              <w:spacing w:after="240"/>
              <w:jc w:val="both"/>
              <w:rPr>
                <w:rFonts w:ascii="Arial" w:hAnsi="Arial" w:cs="Arial"/>
                <w:b/>
              </w:rPr>
            </w:pPr>
          </w:p>
          <w:p w14:paraId="627F88FE" w14:textId="77777777" w:rsidR="00C04E8C" w:rsidRPr="00F00D94" w:rsidRDefault="00C04E8C" w:rsidP="001F1600">
            <w:pPr>
              <w:widowControl w:val="0"/>
              <w:numPr>
                <w:ilvl w:val="0"/>
                <w:numId w:val="68"/>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51B76B83" w14:textId="77777777" w:rsidR="00C04E8C" w:rsidRPr="00F00D94" w:rsidRDefault="00C04E8C" w:rsidP="009F1483">
            <w:pPr>
              <w:pStyle w:val="ListParagraph"/>
              <w:spacing w:after="240"/>
              <w:jc w:val="both"/>
              <w:rPr>
                <w:rFonts w:ascii="Arial" w:hAnsi="Arial" w:cs="Arial"/>
                <w:b/>
              </w:rPr>
            </w:pPr>
          </w:p>
          <w:p w14:paraId="04A473D5" w14:textId="77777777" w:rsidR="00C04E8C" w:rsidRPr="00F00D94" w:rsidRDefault="00C04E8C" w:rsidP="001F1600">
            <w:pPr>
              <w:widowControl w:val="0"/>
              <w:numPr>
                <w:ilvl w:val="0"/>
                <w:numId w:val="6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33FC73CB" w14:textId="77777777" w:rsidR="00C04E8C" w:rsidRPr="00F00D94" w:rsidRDefault="00C04E8C" w:rsidP="009F1483">
            <w:pPr>
              <w:pStyle w:val="ListParagraph"/>
              <w:spacing w:after="240"/>
              <w:jc w:val="both"/>
              <w:rPr>
                <w:rFonts w:ascii="Arial" w:hAnsi="Arial" w:cs="Arial"/>
                <w:b/>
              </w:rPr>
            </w:pPr>
          </w:p>
          <w:p w14:paraId="76F2FC2C" w14:textId="77777777" w:rsidR="00C04E8C" w:rsidRPr="00F00D94" w:rsidRDefault="00C04E8C" w:rsidP="001F1600">
            <w:pPr>
              <w:widowControl w:val="0"/>
              <w:numPr>
                <w:ilvl w:val="0"/>
                <w:numId w:val="6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2C1247C" w14:textId="77777777" w:rsidR="00C04E8C" w:rsidRPr="00F00D94" w:rsidRDefault="00C04E8C" w:rsidP="009F1483">
            <w:pPr>
              <w:pStyle w:val="APStepItem"/>
              <w:numPr>
                <w:ilvl w:val="0"/>
                <w:numId w:val="0"/>
              </w:numPr>
              <w:spacing w:after="240"/>
              <w:rPr>
                <w:rFonts w:cs="Arial"/>
                <w:b/>
              </w:rPr>
            </w:pPr>
          </w:p>
        </w:tc>
      </w:tr>
    </w:tbl>
    <w:p w14:paraId="4E4CDC16" w14:textId="77777777" w:rsidR="003A6024" w:rsidRDefault="003A6024" w:rsidP="003A6024">
      <w:pPr>
        <w:pStyle w:val="Heading2"/>
        <w:jc w:val="both"/>
        <w:rPr>
          <w:rFonts w:cs="Arial"/>
          <w:sz w:val="24"/>
        </w:rPr>
        <w:sectPr w:rsidR="003A6024" w:rsidSect="003A6024">
          <w:headerReference w:type="default" r:id="rId112"/>
          <w:pgSz w:w="12240" w:h="15840" w:code="1"/>
          <w:pgMar w:top="1440" w:right="1440" w:bottom="1440" w:left="1440" w:header="720" w:footer="720" w:gutter="0"/>
          <w:cols w:space="720"/>
          <w:docGrid w:linePitch="360"/>
        </w:sectPr>
      </w:pPr>
    </w:p>
    <w:p w14:paraId="2591A747" w14:textId="14289B22" w:rsidR="003A6024" w:rsidRPr="000706D1" w:rsidRDefault="003A6024" w:rsidP="003A6024">
      <w:pPr>
        <w:pStyle w:val="Heading2"/>
        <w:jc w:val="both"/>
        <w:rPr>
          <w:rFonts w:cs="Arial"/>
          <w:sz w:val="24"/>
        </w:rPr>
      </w:pPr>
      <w:bookmarkStart w:id="138" w:name="_Toc212473195"/>
      <w:r w:rsidRPr="000706D1">
        <w:rPr>
          <w:rFonts w:cs="Arial"/>
          <w:sz w:val="24"/>
        </w:rPr>
        <w:t>N</w:t>
      </w:r>
      <w:r w:rsidR="002156C2">
        <w:rPr>
          <w:rFonts w:cs="Arial"/>
          <w:sz w:val="24"/>
        </w:rPr>
        <w:t>13</w:t>
      </w:r>
      <w:r w:rsidRPr="000706D1">
        <w:rPr>
          <w:rFonts w:cs="Arial"/>
          <w:sz w:val="24"/>
        </w:rPr>
        <w:t>.  SPECIAL TESTS AND PROVISIONS</w:t>
      </w:r>
      <w:r w:rsidR="00F973D0">
        <w:rPr>
          <w:rFonts w:cs="Arial"/>
          <w:sz w:val="24"/>
        </w:rPr>
        <w:t xml:space="preserve"> – RECORDING OF DECLARATIONS OF TRUST/DECLARATION OF RESTRICTIVE COVENANTS AGAINST PUBLIC HOUSING PROPERTY</w:t>
      </w:r>
      <w:bookmarkEnd w:id="138"/>
    </w:p>
    <w:p w14:paraId="5FCB129A" w14:textId="3A392F99" w:rsidR="003A6024" w:rsidRPr="000706D1" w:rsidRDefault="003A6024" w:rsidP="00F973D0">
      <w:pPr>
        <w:pStyle w:val="Heading3"/>
        <w:tabs>
          <w:tab w:val="left" w:pos="6080"/>
        </w:tabs>
        <w:jc w:val="both"/>
        <w:rPr>
          <w:rFonts w:cs="Arial"/>
          <w:sz w:val="24"/>
          <w:szCs w:val="24"/>
        </w:rPr>
      </w:pPr>
      <w:bookmarkStart w:id="139" w:name="_Toc212473196"/>
      <w:r w:rsidRPr="000706D1">
        <w:rPr>
          <w:rFonts w:cs="Arial"/>
          <w:sz w:val="24"/>
          <w:szCs w:val="24"/>
        </w:rPr>
        <w:t>OMB Compliance Requirements</w:t>
      </w:r>
      <w:bookmarkEnd w:id="139"/>
      <w:r w:rsidR="00F973D0">
        <w:rPr>
          <w:rFonts w:cs="Arial"/>
          <w:sz w:val="24"/>
          <w:szCs w:val="24"/>
        </w:rPr>
        <w:tab/>
      </w:r>
    </w:p>
    <w:p w14:paraId="0C95868C" w14:textId="77777777" w:rsidR="003A6024" w:rsidRPr="005C1EBC" w:rsidRDefault="003A6024" w:rsidP="003A6024">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5F577236" w14:textId="77777777" w:rsidR="003A6024" w:rsidRPr="00F00D94" w:rsidRDefault="003A6024" w:rsidP="003A6024">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38C57B27" w14:textId="77777777" w:rsidR="003A6024" w:rsidRPr="00F00D94" w:rsidRDefault="003A6024" w:rsidP="003A6024">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0B125279" w14:textId="77777777" w:rsidR="003A6024" w:rsidRPr="000706D1" w:rsidRDefault="003A6024" w:rsidP="003A6024">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512ADD57" w14:textId="7DA6AB01" w:rsidR="00F973D0" w:rsidRPr="00F973D0" w:rsidRDefault="00F973D0" w:rsidP="00F973D0">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F973D0">
        <w:rPr>
          <w:rFonts w:ascii="Arial" w:hAnsi="Arial" w:cs="Arial"/>
          <w:bCs/>
        </w:rPr>
        <w:t>A current DOT/Declaration of Restrictive Covenants (DORC), in a form acceptable to HUD, must be recorded against all public housing property owned by PHAs (or private entities for public housing developed under 24 CFR Part 905, Subpart F) that has been acquired, developed, maintained, or assisted with funds from the US Housing Act of 1937. A DOT/DORC is a legal instrument that grants HUD an interest in public housing property. It provides public notice that the property must be operated in accordance with all federal public housing requirements, including the requirement not to convey or otherwise encumber the property unless expressly</w:t>
      </w:r>
      <w:r>
        <w:rPr>
          <w:rFonts w:ascii="Arial" w:hAnsi="Arial" w:cs="Arial"/>
          <w:bCs/>
        </w:rPr>
        <w:t xml:space="preserve"> </w:t>
      </w:r>
      <w:r w:rsidRPr="00F973D0">
        <w:rPr>
          <w:rFonts w:ascii="Arial" w:hAnsi="Arial" w:cs="Arial"/>
          <w:bCs/>
        </w:rPr>
        <w:t>authorized by federal law and/or HUD. In PIH Notice 2019-14 (HA), PHAs were asked to ensure that current (unexpired) DOT/DORCs are recorded against all their public housing property.</w:t>
      </w:r>
    </w:p>
    <w:p w14:paraId="747A35E2" w14:textId="77777777" w:rsidR="00F973D0" w:rsidRPr="00F973D0" w:rsidRDefault="00F973D0" w:rsidP="00F973D0">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F973D0">
        <w:rPr>
          <w:rFonts w:ascii="Arial" w:hAnsi="Arial" w:cs="Arial"/>
          <w:bCs/>
        </w:rPr>
        <w:t>Every property must have a DOT/DORC in place. Up to 2018, the form of DOT/DORC that a PHA recorded depended on the funding from HUD. In most instances, the PHA recorded the HUD-52190-A for Development Grant Projects or the HUD-52190-B for Public Housing Modernization Grant Projects (OMB No. 2577-0075). For mixed-finance development pursuant to 24 CFR Part 905, Subpart F, the form of DOT, known as the Declaration of Restrictive Covenants, was in the form of a model document drafted for this purpose. In 2018, HUD published a new DOT/DORC form, HUD-52190 (4/2018), which applies to public housing, including both conventional and mixed-finance public housing. A PHA does not need to record a new DOT/DORC unless no validly recorded DOT/DORC encumbers the project. See PIH Notice 2019-14 (HA).</w:t>
      </w:r>
    </w:p>
    <w:p w14:paraId="1A5E7644" w14:textId="7658AC4B" w:rsidR="00F973D0" w:rsidRPr="00F973D0" w:rsidRDefault="00F973D0" w:rsidP="00F973D0">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F973D0">
        <w:rPr>
          <w:rFonts w:ascii="Arial" w:hAnsi="Arial" w:cs="Arial"/>
          <w:bCs/>
        </w:rPr>
        <w:t>A current DOT/DORC would include all improvement and modernization efforts on the project. A DOT/DORC naming HUD as an interested party must remain in place for (1) 40 years for acquired and developed property, beginning on the date on which the project becomes available for occupancy as determined by HUD; (2) 20 years for property modernized or receiving assistance of capital funds beginning on the latest date on which modernization is complete or assistance is provided with capital funds; and (3) 10 years for property receiving Operating Funds, beginning upon the conclusion of the fiscal year of the PHA for which such amounts were provided. After the expiration of the original DOT/DORC for a public housing development, if subsequent assistance was received under the US Housing Act of 1937, PHAs are required to record another current DOT for the duration of the applicable period (24 CFR sections 905.100, 905.304, 905.318,</w:t>
      </w:r>
      <w:r>
        <w:rPr>
          <w:rFonts w:ascii="Arial" w:hAnsi="Arial" w:cs="Arial"/>
          <w:bCs/>
        </w:rPr>
        <w:t xml:space="preserve"> </w:t>
      </w:r>
      <w:r w:rsidRPr="00F973D0">
        <w:rPr>
          <w:rFonts w:ascii="Arial" w:hAnsi="Arial" w:cs="Arial"/>
          <w:bCs/>
        </w:rPr>
        <w:t>905.505, 905.600, and 905.604).</w:t>
      </w:r>
    </w:p>
    <w:p w14:paraId="356988FA" w14:textId="34EBC0C2" w:rsidR="00F973D0" w:rsidRDefault="00F973D0" w:rsidP="00F973D0">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F973D0">
        <w:rPr>
          <w:rFonts w:ascii="Arial" w:hAnsi="Arial" w:cs="Arial"/>
          <w:bCs/>
        </w:rPr>
        <w:t>PHAs should have a list of all property (including land and nonresidential inventory, dwelling units, and modernization efforts) that a PHA owns and insures that is maintained or operated from the public housing Operating Fund or other US Housing Act of 1937 funds. Public housing project development numbers were reorganized in 2008, and new numbers were introduced; however, the current DOT/DORCs may continue to reference development numbers in existence prior to 2008, some of which have been put into “terminated” status. Selecting a sample of properties by development number will enable subsequent audits to cover samples of other projects so that over time all property that should be under ACC contracts is covered. (No development needs to be sampled more frequently than every five years.) It is not necessary that all development numbers be referenced in DOT/DORCs. Rather, the audit should determine whether all property that should have been placed under a DOT/DORC has been treated correctly.</w:t>
      </w:r>
    </w:p>
    <w:p w14:paraId="56554F0D" w14:textId="48F21B3F" w:rsidR="00F973D0" w:rsidRPr="00F973D0" w:rsidRDefault="00F973D0" w:rsidP="00F973D0">
      <w:pPr>
        <w:spacing w:after="240"/>
        <w:jc w:val="both"/>
        <w:rPr>
          <w:rFonts w:ascii="Arial" w:hAnsi="Arial" w:cs="Arial"/>
          <w:bCs/>
          <w:i/>
          <w:iCs/>
        </w:rPr>
      </w:pPr>
      <w:r w:rsidRPr="004A14BF">
        <w:rPr>
          <w:rFonts w:ascii="Arial" w:hAnsi="Arial" w:cs="Arial"/>
          <w:bCs/>
          <w:i/>
          <w:iCs/>
        </w:rPr>
        <w:t>(Source: 202</w:t>
      </w:r>
      <w:r>
        <w:rPr>
          <w:rFonts w:ascii="Arial" w:hAnsi="Arial" w:cs="Arial"/>
          <w:bCs/>
          <w:i/>
          <w:iCs/>
        </w:rPr>
        <w:t>5</w:t>
      </w:r>
      <w:r w:rsidRPr="004A14BF">
        <w:rPr>
          <w:rFonts w:ascii="Arial" w:hAnsi="Arial" w:cs="Arial"/>
          <w:bCs/>
          <w:i/>
          <w:iCs/>
        </w:rPr>
        <w:t xml:space="preserve"> OMB Compliance Supplement, Part 4, HUD, #14.850 </w:t>
      </w:r>
      <w:r>
        <w:rPr>
          <w:rFonts w:ascii="Arial" w:hAnsi="Arial" w:cs="Arial"/>
          <w:bCs/>
          <w:i/>
          <w:iCs/>
        </w:rPr>
        <w:t>Public Housing Operating Fund</w:t>
      </w:r>
      <w:r w:rsidRPr="004A14BF">
        <w:rPr>
          <w:rFonts w:ascii="Arial" w:hAnsi="Arial" w:cs="Arial"/>
          <w:bCs/>
          <w:i/>
          <w:iCs/>
        </w:rPr>
        <w:t>)</w:t>
      </w:r>
    </w:p>
    <w:p w14:paraId="7623E94D" w14:textId="77777777" w:rsidR="003A6024" w:rsidRPr="000706D1" w:rsidRDefault="003A6024" w:rsidP="003A6024">
      <w:pPr>
        <w:pStyle w:val="Heading3"/>
        <w:jc w:val="both"/>
        <w:rPr>
          <w:rFonts w:cs="Arial"/>
          <w:sz w:val="24"/>
          <w:szCs w:val="24"/>
        </w:rPr>
      </w:pPr>
      <w:bookmarkStart w:id="140" w:name="_Toc212473197"/>
      <w:r w:rsidRPr="000706D1">
        <w:rPr>
          <w:rFonts w:cs="Arial"/>
          <w:sz w:val="24"/>
          <w:szCs w:val="24"/>
        </w:rPr>
        <w:t>Additional Program Specific Information</w:t>
      </w:r>
      <w:bookmarkEnd w:id="140"/>
    </w:p>
    <w:p w14:paraId="5ABA19E5" w14:textId="77777777" w:rsidR="003A6024" w:rsidRPr="00AA5B05" w:rsidRDefault="003A6024" w:rsidP="003A6024">
      <w:pPr>
        <w:spacing w:after="240"/>
        <w:jc w:val="both"/>
        <w:rPr>
          <w:rFonts w:ascii="Arial" w:hAnsi="Arial" w:cs="Arial"/>
          <w:b/>
          <w:highlight w:val="yellow"/>
        </w:rPr>
      </w:pPr>
      <w:r w:rsidRPr="00AA5B05">
        <w:rPr>
          <w:rFonts w:ascii="Arial" w:hAnsi="Arial" w:cs="Arial"/>
          <w:b/>
          <w:highlight w:val="yellow"/>
        </w:rPr>
        <w:t>Add program specific requirements from:</w:t>
      </w:r>
    </w:p>
    <w:p w14:paraId="308047D3" w14:textId="77777777" w:rsidR="003A6024" w:rsidRPr="00AA5B05" w:rsidRDefault="003A6024" w:rsidP="003A6024">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44503721" w14:textId="77777777" w:rsidR="003A6024" w:rsidRPr="00AA5B05" w:rsidRDefault="003A6024" w:rsidP="003A6024">
      <w:pPr>
        <w:pStyle w:val="ListParagraph"/>
        <w:numPr>
          <w:ilvl w:val="0"/>
          <w:numId w:val="3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545FBFC8" w14:textId="77777777" w:rsidR="003A6024" w:rsidRPr="00AA5B05" w:rsidRDefault="003A6024" w:rsidP="003A6024">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784D50D7" w14:textId="77777777" w:rsidR="003A6024" w:rsidRPr="00AA5B05" w:rsidRDefault="003A6024" w:rsidP="003A6024">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9234B9B" w14:textId="77777777" w:rsidR="003A6024" w:rsidRPr="000706D1" w:rsidRDefault="003A6024" w:rsidP="003A6024">
      <w:pPr>
        <w:pStyle w:val="Heading3"/>
        <w:jc w:val="both"/>
        <w:rPr>
          <w:rFonts w:cs="Arial"/>
          <w:sz w:val="24"/>
          <w:szCs w:val="24"/>
        </w:rPr>
      </w:pPr>
      <w:bookmarkStart w:id="141" w:name="_Toc212473198"/>
      <w:r w:rsidRPr="000706D1">
        <w:rPr>
          <w:rFonts w:cs="Arial"/>
          <w:sz w:val="24"/>
          <w:szCs w:val="24"/>
        </w:rPr>
        <w:t>Audit Objectives and Control Testing</w:t>
      </w:r>
      <w:bookmarkEnd w:id="141"/>
    </w:p>
    <w:p w14:paraId="6A184AC1" w14:textId="77777777" w:rsidR="003A6024" w:rsidRPr="00F00D94" w:rsidRDefault="003A6024" w:rsidP="003A602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0F8B8F6" w14:textId="77777777" w:rsidR="003A6024" w:rsidRPr="00F00D94" w:rsidRDefault="003A6024" w:rsidP="003A602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20DC8FF5" w14:textId="77777777" w:rsidR="003A6024" w:rsidRPr="00F973D0" w:rsidRDefault="003A6024" w:rsidP="003A6024">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973D0">
        <w:rPr>
          <w:rFonts w:ascii="Arial" w:hAnsi="Arial" w:cs="Arial"/>
          <w:i/>
        </w:rPr>
        <w:t>(Source: 2025 OMB Compliance Supplement Part 3.2)</w:t>
      </w:r>
    </w:p>
    <w:p w14:paraId="488B74A2" w14:textId="792EAC44" w:rsidR="003A6024" w:rsidRPr="00F973D0" w:rsidRDefault="00F973D0" w:rsidP="00F973D0">
      <w:pPr>
        <w:pStyle w:val="ListParagraph"/>
        <w:numPr>
          <w:ilvl w:val="0"/>
          <w:numId w:val="69"/>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F973D0">
        <w:rPr>
          <w:rFonts w:ascii="Arial" w:hAnsi="Arial" w:cs="Arial"/>
        </w:rPr>
        <w:t>Determine whether DOT/DORCs are being recorded properly for public housing.</w:t>
      </w:r>
    </w:p>
    <w:p w14:paraId="4C9D8020" w14:textId="5DE8A05E" w:rsidR="00F973D0" w:rsidRPr="00F973D0" w:rsidRDefault="00F973D0" w:rsidP="00F973D0">
      <w:pPr>
        <w:spacing w:after="240"/>
        <w:jc w:val="both"/>
        <w:rPr>
          <w:rFonts w:ascii="Arial" w:hAnsi="Arial" w:cs="Arial"/>
          <w:bCs/>
          <w:i/>
          <w:iCs/>
        </w:rPr>
      </w:pPr>
      <w:r w:rsidRPr="00F973D0">
        <w:rPr>
          <w:rFonts w:ascii="Arial" w:hAnsi="Arial" w:cs="Arial"/>
          <w:bCs/>
          <w:i/>
          <w:iCs/>
        </w:rPr>
        <w:t>(Source: 202</w:t>
      </w:r>
      <w:r>
        <w:rPr>
          <w:rFonts w:ascii="Arial" w:hAnsi="Arial" w:cs="Arial"/>
          <w:bCs/>
          <w:i/>
          <w:iCs/>
        </w:rPr>
        <w:t>5</w:t>
      </w:r>
      <w:r w:rsidRPr="00F973D0">
        <w:rPr>
          <w:rFonts w:ascii="Arial" w:hAnsi="Arial" w:cs="Arial"/>
          <w:bCs/>
          <w:i/>
          <w:iCs/>
        </w:rPr>
        <w:t xml:space="preserve"> OMB Compliance Supplement, Part 4, HUD, #14.850 Public Housing Operating Fund)</w:t>
      </w:r>
    </w:p>
    <w:p w14:paraId="29064165" w14:textId="77777777" w:rsidR="003A6024" w:rsidRPr="00634FA3" w:rsidRDefault="003A6024" w:rsidP="003A6024">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3A6024" w:rsidRPr="00F00D94" w14:paraId="7CD57B2F" w14:textId="77777777" w:rsidTr="009F1483">
        <w:tc>
          <w:tcPr>
            <w:tcW w:w="5000" w:type="pct"/>
          </w:tcPr>
          <w:p w14:paraId="700791A9" w14:textId="77777777" w:rsidR="003A6024" w:rsidRPr="006F5FFA" w:rsidRDefault="003A6024" w:rsidP="009F148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6D6BF5A8" w14:textId="77777777" w:rsidR="003A6024" w:rsidRPr="00F00D94" w:rsidRDefault="003A6024" w:rsidP="009F148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61BC1235" w14:textId="77777777" w:rsidR="003A6024" w:rsidRPr="00F00D94" w:rsidRDefault="003A6024" w:rsidP="009F1483">
            <w:pPr>
              <w:pStyle w:val="AuditProcedureHeading"/>
              <w:spacing w:after="240"/>
              <w:jc w:val="both"/>
              <w:rPr>
                <w:rFonts w:cs="Arial"/>
                <w:b/>
                <w:bCs/>
                <w:szCs w:val="20"/>
                <w:u w:val="single"/>
              </w:rPr>
            </w:pPr>
          </w:p>
          <w:p w14:paraId="071375EA" w14:textId="77777777" w:rsidR="003A6024" w:rsidRPr="00F00D94" w:rsidRDefault="003A6024" w:rsidP="009F148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09F52C0" w14:textId="77777777" w:rsidR="003A6024" w:rsidRPr="00F00D94" w:rsidRDefault="003A6024" w:rsidP="009F1483">
            <w:pPr>
              <w:pStyle w:val="AuditProcedureHeading"/>
              <w:spacing w:after="240"/>
              <w:jc w:val="both"/>
              <w:rPr>
                <w:rFonts w:cs="Arial"/>
                <w:b/>
                <w:bCs/>
                <w:szCs w:val="20"/>
                <w:u w:val="single"/>
              </w:rPr>
            </w:pPr>
          </w:p>
          <w:p w14:paraId="4B3640D4" w14:textId="77777777" w:rsidR="003A6024" w:rsidRPr="00F00D94" w:rsidRDefault="003A6024" w:rsidP="009F148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B61DDE1" w14:textId="77777777" w:rsidR="003A6024" w:rsidRPr="00F00D94" w:rsidRDefault="003A6024" w:rsidP="009F1483">
            <w:pPr>
              <w:spacing w:after="240"/>
              <w:jc w:val="both"/>
              <w:rPr>
                <w:rFonts w:ascii="Arial" w:hAnsi="Arial" w:cs="Arial"/>
                <w:b/>
                <w:sz w:val="20"/>
                <w:u w:val="single"/>
              </w:rPr>
            </w:pPr>
          </w:p>
          <w:p w14:paraId="7489EAE9" w14:textId="77777777" w:rsidR="003A6024" w:rsidRPr="00F00D94" w:rsidRDefault="003A6024" w:rsidP="009F148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A05D551" w14:textId="77777777" w:rsidR="003A6024" w:rsidRPr="00C35E5F" w:rsidRDefault="003A6024" w:rsidP="009F1483">
            <w:pPr>
              <w:spacing w:after="240"/>
              <w:jc w:val="both"/>
              <w:rPr>
                <w:rFonts w:ascii="Arial" w:eastAsiaTheme="minorHAnsi" w:hAnsi="Arial" w:cs="Arial"/>
                <w:sz w:val="20"/>
                <w:szCs w:val="20"/>
              </w:rPr>
            </w:pPr>
          </w:p>
        </w:tc>
      </w:tr>
    </w:tbl>
    <w:p w14:paraId="24E3B675" w14:textId="77777777" w:rsidR="003A6024" w:rsidRPr="00F00D94" w:rsidRDefault="003A6024" w:rsidP="003A602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EDB6E0F" w14:textId="77777777" w:rsidR="003A6024" w:rsidRPr="000706D1" w:rsidRDefault="003A6024" w:rsidP="003A6024">
      <w:pPr>
        <w:pStyle w:val="Heading3"/>
        <w:jc w:val="both"/>
        <w:rPr>
          <w:rFonts w:cs="Arial"/>
          <w:sz w:val="24"/>
          <w:szCs w:val="24"/>
        </w:rPr>
      </w:pPr>
      <w:bookmarkStart w:id="142" w:name="_Toc212473199"/>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42"/>
    </w:p>
    <w:tbl>
      <w:tblPr>
        <w:tblStyle w:val="TableGrid"/>
        <w:tblW w:w="9558" w:type="dxa"/>
        <w:tblLayout w:type="fixed"/>
        <w:tblLook w:val="04A0" w:firstRow="1" w:lastRow="0" w:firstColumn="1" w:lastColumn="0" w:noHBand="0" w:noVBand="1"/>
      </w:tblPr>
      <w:tblGrid>
        <w:gridCol w:w="9558"/>
      </w:tblGrid>
      <w:tr w:rsidR="003A6024" w:rsidRPr="00F00D94" w14:paraId="77DE3881" w14:textId="77777777" w:rsidTr="009F1483">
        <w:tc>
          <w:tcPr>
            <w:tcW w:w="9558" w:type="dxa"/>
          </w:tcPr>
          <w:p w14:paraId="531A2132" w14:textId="77777777" w:rsidR="003A6024" w:rsidRDefault="003A6024" w:rsidP="009F1483">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4875BB" w14:textId="0DC3ACBB" w:rsidR="003A6024" w:rsidRPr="005541E9" w:rsidRDefault="003A6024" w:rsidP="009F1483">
            <w:pPr>
              <w:spacing w:after="240"/>
              <w:jc w:val="both"/>
              <w:rPr>
                <w:rFonts w:ascii="Arial" w:hAnsi="Arial" w:cs="Arial"/>
                <w:i/>
                <w:sz w:val="20"/>
                <w:szCs w:val="20"/>
              </w:rPr>
            </w:pPr>
            <w:r>
              <w:rPr>
                <w:rFonts w:ascii="Arial" w:hAnsi="Arial" w:cs="Arial"/>
                <w:i/>
                <w:sz w:val="20"/>
                <w:szCs w:val="20"/>
              </w:rPr>
              <w:t>(Source: 2025 OMB Compliance Supplement Part 3.2)</w:t>
            </w:r>
          </w:p>
          <w:p w14:paraId="031A87F5" w14:textId="3C2EEFC7" w:rsidR="005541E9" w:rsidRPr="005541E9" w:rsidRDefault="005541E9" w:rsidP="005541E9">
            <w:pPr>
              <w:spacing w:after="240"/>
              <w:jc w:val="both"/>
              <w:rPr>
                <w:rFonts w:ascii="Arial" w:hAnsi="Arial" w:cs="Arial"/>
                <w:sz w:val="20"/>
              </w:rPr>
            </w:pPr>
            <w:r w:rsidRPr="005541E9">
              <w:rPr>
                <w:rFonts w:ascii="Arial" w:hAnsi="Arial" w:cs="Arial"/>
                <w:sz w:val="20"/>
              </w:rPr>
              <w:t>From a list of all property (including land and nonresidential inventory, dwelling units, and modernization efforts) that a PHA owns and insures, select a sample of public housing projects. Selecting a sample of properties by development number will ensure that subsequent audits can select samples of other projects. (No development needs to be sampled more frequently than every five years.)</w:t>
            </w:r>
          </w:p>
          <w:p w14:paraId="20870BD9" w14:textId="2BDE6273" w:rsidR="005541E9" w:rsidRPr="005541E9" w:rsidRDefault="005541E9" w:rsidP="005541E9">
            <w:pPr>
              <w:spacing w:after="240"/>
              <w:jc w:val="both"/>
              <w:rPr>
                <w:rFonts w:ascii="Arial" w:hAnsi="Arial" w:cs="Arial"/>
                <w:sz w:val="20"/>
              </w:rPr>
            </w:pPr>
            <w:r w:rsidRPr="005541E9">
              <w:rPr>
                <w:rFonts w:ascii="Arial" w:hAnsi="Arial" w:cs="Arial"/>
                <w:sz w:val="20"/>
              </w:rPr>
              <w:t>a.</w:t>
            </w:r>
            <w:r w:rsidRPr="005541E9">
              <w:rPr>
                <w:rFonts w:ascii="Arial" w:hAnsi="Arial" w:cs="Arial"/>
                <w:sz w:val="20"/>
              </w:rPr>
              <w:tab/>
              <w:t>Verify that current DOT/DORCs have been recorded for the public housing property in the projects.</w:t>
            </w:r>
          </w:p>
        </w:tc>
      </w:tr>
    </w:tbl>
    <w:p w14:paraId="232AA14E" w14:textId="77777777" w:rsidR="003A6024" w:rsidRPr="00F00D94" w:rsidRDefault="003A6024" w:rsidP="003A6024">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357AEB4D" w14:textId="77777777" w:rsidR="003A6024" w:rsidRPr="000706D1" w:rsidRDefault="003A6024" w:rsidP="003A6024">
      <w:pPr>
        <w:pStyle w:val="Heading3"/>
        <w:jc w:val="both"/>
        <w:rPr>
          <w:rFonts w:cs="Arial"/>
          <w:b w:val="0"/>
          <w:sz w:val="24"/>
          <w:szCs w:val="24"/>
        </w:rPr>
      </w:pPr>
      <w:bookmarkStart w:id="143" w:name="_Toc212473200"/>
      <w:r w:rsidRPr="000706D1">
        <w:rPr>
          <w:rFonts w:cs="Arial"/>
          <w:sz w:val="24"/>
          <w:szCs w:val="24"/>
        </w:rPr>
        <w:t>Audit Implications Summary</w:t>
      </w:r>
      <w:bookmarkEnd w:id="143"/>
    </w:p>
    <w:tbl>
      <w:tblPr>
        <w:tblStyle w:val="TableGrid"/>
        <w:tblW w:w="5000" w:type="pct"/>
        <w:tblLook w:val="04A0" w:firstRow="1" w:lastRow="0" w:firstColumn="1" w:lastColumn="0" w:noHBand="0" w:noVBand="1"/>
      </w:tblPr>
      <w:tblGrid>
        <w:gridCol w:w="9350"/>
      </w:tblGrid>
      <w:tr w:rsidR="003A6024" w:rsidRPr="00F00D94" w14:paraId="3B6648E5" w14:textId="77777777" w:rsidTr="009F1483">
        <w:tc>
          <w:tcPr>
            <w:tcW w:w="5000" w:type="pct"/>
          </w:tcPr>
          <w:p w14:paraId="47A1CB21" w14:textId="77777777" w:rsidR="003A6024" w:rsidRDefault="003A6024" w:rsidP="009F148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4FA88E2" w14:textId="77777777" w:rsidR="003A6024" w:rsidRPr="006E46AD" w:rsidRDefault="003A6024" w:rsidP="009F1483">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3A61FC0D" w14:textId="77777777" w:rsidR="003A6024" w:rsidRPr="006E46AD" w:rsidRDefault="003A6024" w:rsidP="005541E9">
            <w:pPr>
              <w:pStyle w:val="ListParagraph"/>
              <w:widowControl w:val="0"/>
              <w:numPr>
                <w:ilvl w:val="0"/>
                <w:numId w:val="7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5C0F502B" w14:textId="77777777" w:rsidR="003A6024" w:rsidRPr="006E46AD" w:rsidRDefault="003A6024" w:rsidP="009F1483">
            <w:pPr>
              <w:widowControl w:val="0"/>
              <w:spacing w:after="240"/>
              <w:ind w:left="720"/>
              <w:jc w:val="both"/>
              <w:rPr>
                <w:rFonts w:ascii="Arial" w:hAnsi="Arial" w:cs="Arial"/>
                <w:b/>
                <w:sz w:val="20"/>
                <w:szCs w:val="20"/>
              </w:rPr>
            </w:pPr>
          </w:p>
          <w:p w14:paraId="52836C78" w14:textId="77777777" w:rsidR="003A6024" w:rsidRPr="006E46AD" w:rsidRDefault="003A6024" w:rsidP="005541E9">
            <w:pPr>
              <w:widowControl w:val="0"/>
              <w:numPr>
                <w:ilvl w:val="0"/>
                <w:numId w:val="7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6E5122F" w14:textId="77777777" w:rsidR="003A6024" w:rsidRPr="00F00D94" w:rsidRDefault="003A6024" w:rsidP="009F1483">
            <w:pPr>
              <w:pStyle w:val="ListParagraph"/>
              <w:spacing w:after="240"/>
              <w:jc w:val="both"/>
              <w:rPr>
                <w:rFonts w:ascii="Arial" w:hAnsi="Arial" w:cs="Arial"/>
                <w:b/>
              </w:rPr>
            </w:pPr>
          </w:p>
          <w:p w14:paraId="6CF75FB3" w14:textId="77777777" w:rsidR="003A6024" w:rsidRPr="00F00D94" w:rsidRDefault="003A6024" w:rsidP="005541E9">
            <w:pPr>
              <w:widowControl w:val="0"/>
              <w:numPr>
                <w:ilvl w:val="0"/>
                <w:numId w:val="70"/>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691F52EE" w14:textId="77777777" w:rsidR="003A6024" w:rsidRPr="00F00D94" w:rsidRDefault="003A6024" w:rsidP="009F1483">
            <w:pPr>
              <w:pStyle w:val="ListParagraph"/>
              <w:spacing w:after="240"/>
              <w:jc w:val="both"/>
              <w:rPr>
                <w:rFonts w:ascii="Arial" w:hAnsi="Arial" w:cs="Arial"/>
                <w:b/>
              </w:rPr>
            </w:pPr>
          </w:p>
          <w:p w14:paraId="71BD6CDE" w14:textId="77777777" w:rsidR="003A6024" w:rsidRPr="00F00D94" w:rsidRDefault="003A6024" w:rsidP="005541E9">
            <w:pPr>
              <w:widowControl w:val="0"/>
              <w:numPr>
                <w:ilvl w:val="0"/>
                <w:numId w:val="7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067CE2" w14:textId="77777777" w:rsidR="003A6024" w:rsidRPr="00F00D94" w:rsidRDefault="003A6024" w:rsidP="009F1483">
            <w:pPr>
              <w:pStyle w:val="ListParagraph"/>
              <w:spacing w:after="240"/>
              <w:jc w:val="both"/>
              <w:rPr>
                <w:rFonts w:ascii="Arial" w:hAnsi="Arial" w:cs="Arial"/>
                <w:b/>
              </w:rPr>
            </w:pPr>
          </w:p>
          <w:p w14:paraId="12F1A3E0" w14:textId="77777777" w:rsidR="003A6024" w:rsidRPr="00F00D94" w:rsidRDefault="003A6024" w:rsidP="005541E9">
            <w:pPr>
              <w:widowControl w:val="0"/>
              <w:numPr>
                <w:ilvl w:val="0"/>
                <w:numId w:val="7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5B287D93" w14:textId="77777777" w:rsidR="003A6024" w:rsidRPr="00F00D94" w:rsidRDefault="003A6024" w:rsidP="009F1483">
            <w:pPr>
              <w:pStyle w:val="APStepItem"/>
              <w:numPr>
                <w:ilvl w:val="0"/>
                <w:numId w:val="0"/>
              </w:numPr>
              <w:spacing w:after="240"/>
              <w:rPr>
                <w:rFonts w:cs="Arial"/>
                <w:b/>
              </w:rPr>
            </w:pPr>
          </w:p>
        </w:tc>
      </w:tr>
    </w:tbl>
    <w:p w14:paraId="77725741" w14:textId="77777777" w:rsidR="003A6024" w:rsidRDefault="003A6024" w:rsidP="003A6024">
      <w:pPr>
        <w:pStyle w:val="Heading2"/>
        <w:jc w:val="both"/>
        <w:rPr>
          <w:rFonts w:cs="Arial"/>
          <w:sz w:val="24"/>
        </w:rPr>
        <w:sectPr w:rsidR="003A6024" w:rsidSect="003A6024">
          <w:headerReference w:type="default" r:id="rId114"/>
          <w:pgSz w:w="12240" w:h="15840" w:code="1"/>
          <w:pgMar w:top="1440" w:right="1440" w:bottom="1440" w:left="1440" w:header="720" w:footer="720" w:gutter="0"/>
          <w:cols w:space="720"/>
          <w:docGrid w:linePitch="360"/>
        </w:sectPr>
      </w:pPr>
    </w:p>
    <w:p w14:paraId="1749A5FB" w14:textId="31C58D27" w:rsidR="003A6024" w:rsidRPr="000706D1" w:rsidRDefault="003A6024" w:rsidP="003A6024">
      <w:pPr>
        <w:pStyle w:val="Heading2"/>
        <w:jc w:val="both"/>
        <w:rPr>
          <w:rFonts w:cs="Arial"/>
          <w:sz w:val="24"/>
        </w:rPr>
      </w:pPr>
      <w:bookmarkStart w:id="144" w:name="_Toc212473201"/>
      <w:r w:rsidRPr="000706D1">
        <w:rPr>
          <w:rFonts w:cs="Arial"/>
          <w:sz w:val="24"/>
        </w:rPr>
        <w:t>N</w:t>
      </w:r>
      <w:r w:rsidR="005541E9">
        <w:rPr>
          <w:rFonts w:cs="Arial"/>
          <w:sz w:val="24"/>
        </w:rPr>
        <w:t>14</w:t>
      </w:r>
      <w:r w:rsidRPr="000706D1">
        <w:rPr>
          <w:rFonts w:cs="Arial"/>
          <w:sz w:val="24"/>
        </w:rPr>
        <w:t>.  SPECIAL TESTS AND PROVISIONS</w:t>
      </w:r>
      <w:r w:rsidR="005541E9">
        <w:rPr>
          <w:rFonts w:cs="Arial"/>
          <w:sz w:val="24"/>
        </w:rPr>
        <w:t xml:space="preserve"> – DEPOSITORY AGREEMENTS</w:t>
      </w:r>
      <w:bookmarkEnd w:id="144"/>
    </w:p>
    <w:p w14:paraId="7F7148C6" w14:textId="77777777" w:rsidR="003A6024" w:rsidRPr="000706D1" w:rsidRDefault="003A6024" w:rsidP="003A6024">
      <w:pPr>
        <w:pStyle w:val="Heading3"/>
        <w:jc w:val="both"/>
        <w:rPr>
          <w:rFonts w:cs="Arial"/>
          <w:sz w:val="24"/>
          <w:szCs w:val="24"/>
        </w:rPr>
      </w:pPr>
      <w:bookmarkStart w:id="145" w:name="_Toc212473202"/>
      <w:r w:rsidRPr="000706D1">
        <w:rPr>
          <w:rFonts w:cs="Arial"/>
          <w:sz w:val="24"/>
          <w:szCs w:val="24"/>
        </w:rPr>
        <w:t>OMB Compliance Requirements</w:t>
      </w:r>
      <w:bookmarkEnd w:id="145"/>
    </w:p>
    <w:p w14:paraId="3801D5C8" w14:textId="77777777" w:rsidR="003A6024" w:rsidRPr="005C1EBC" w:rsidRDefault="003A6024" w:rsidP="003A6024">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39732B41" w14:textId="77777777" w:rsidR="003A6024" w:rsidRPr="00F00D94" w:rsidRDefault="003A6024" w:rsidP="003A6024">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124F2F0A" w14:textId="77777777" w:rsidR="003A6024" w:rsidRPr="00F00D94" w:rsidRDefault="003A6024" w:rsidP="003A6024">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02CC3E9F" w14:textId="77777777" w:rsidR="003A6024" w:rsidRPr="000706D1" w:rsidRDefault="003A6024" w:rsidP="003A6024">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3C429BE1" w14:textId="3C7A1E22" w:rsidR="005541E9" w:rsidRPr="005541E9" w:rsidRDefault="005541E9" w:rsidP="005541E9">
      <w:pPr>
        <w:pStyle w:val="BodyText"/>
        <w:ind w:right="355"/>
        <w:rPr>
          <w:rFonts w:ascii="Arial" w:hAnsi="Arial" w:cs="Arial"/>
        </w:rPr>
      </w:pPr>
      <w:r w:rsidRPr="005541E9">
        <w:rPr>
          <w:rFonts w:ascii="Arial" w:hAnsi="Arial" w:cs="Arial"/>
        </w:rPr>
        <w:t>The ACC requires that PHAs deposit and invest all program funds received and investment securities received by or held for the account of the PHA in connection with the development, operation and improvement of the projects under an ACC with HUD in accordance with the terms of the General Depository Agreement (GDA) and all investment requirements provided in HUD and Treasury Notices and Regulations. PHAs are required to enter into GDAs with their financial institution(s) using the HUD-</w:t>
      </w:r>
      <w:hyperlink r:id="rId115">
        <w:r w:rsidRPr="005541E9">
          <w:rPr>
            <w:rFonts w:ascii="Arial" w:hAnsi="Arial" w:cs="Arial"/>
            <w:color w:val="0000FF"/>
            <w:u w:val="single" w:color="0000FF"/>
          </w:rPr>
          <w:t>51999</w:t>
        </w:r>
        <w:r w:rsidRPr="005541E9">
          <w:rPr>
            <w:rFonts w:ascii="Arial" w:hAnsi="Arial" w:cs="Arial"/>
            <w:color w:val="0000FF"/>
          </w:rPr>
          <w:t xml:space="preserve"> </w:t>
        </w:r>
      </w:hyperlink>
      <w:r w:rsidRPr="005541E9">
        <w:rPr>
          <w:rFonts w:ascii="Arial" w:hAnsi="Arial" w:cs="Arial"/>
        </w:rPr>
        <w:t>(</w:t>
      </w:r>
      <w:r w:rsidRPr="005541E9">
        <w:rPr>
          <w:rFonts w:ascii="Arial" w:hAnsi="Arial" w:cs="Arial"/>
          <w:i/>
        </w:rPr>
        <w:t>OMB No. 2577-0075</w:t>
      </w:r>
      <w:r w:rsidRPr="005541E9">
        <w:rPr>
          <w:rFonts w:ascii="Arial" w:hAnsi="Arial" w:cs="Arial"/>
        </w:rPr>
        <w:t>) form or a form as required by HUD in the ACC. The agreements safeguard program funds and limit risk by providing third-party rights to HUD, by requiring PHAs to deposit and invest in HUD-approved interest bearing investment accounts, and by executing controls over program reserves requiring that any portion of PHA funds not insured by a Federal insurance organization be fully and continually collateralized.</w:t>
      </w:r>
    </w:p>
    <w:p w14:paraId="1F5CE7CC" w14:textId="6DC25E4A" w:rsidR="003A6024" w:rsidRPr="005541E9" w:rsidRDefault="005541E9" w:rsidP="005541E9">
      <w:pPr>
        <w:spacing w:after="240"/>
        <w:jc w:val="both"/>
        <w:rPr>
          <w:rFonts w:ascii="Arial" w:hAnsi="Arial" w:cs="Arial"/>
          <w:bCs/>
          <w:i/>
          <w:iCs/>
        </w:rPr>
      </w:pPr>
      <w:r w:rsidRPr="004A14BF">
        <w:rPr>
          <w:rFonts w:ascii="Arial" w:hAnsi="Arial" w:cs="Arial"/>
          <w:bCs/>
          <w:i/>
          <w:iCs/>
        </w:rPr>
        <w:t>(Source: 202</w:t>
      </w:r>
      <w:r>
        <w:rPr>
          <w:rFonts w:ascii="Arial" w:hAnsi="Arial" w:cs="Arial"/>
          <w:bCs/>
          <w:i/>
          <w:iCs/>
        </w:rPr>
        <w:t>5</w:t>
      </w:r>
      <w:r w:rsidRPr="004A14BF">
        <w:rPr>
          <w:rFonts w:ascii="Arial" w:hAnsi="Arial" w:cs="Arial"/>
          <w:bCs/>
          <w:i/>
          <w:iCs/>
        </w:rPr>
        <w:t xml:space="preserve"> OMB Compliance Supplement, Part 4, HUD, #14.850 </w:t>
      </w:r>
      <w:r>
        <w:rPr>
          <w:rFonts w:ascii="Arial" w:hAnsi="Arial" w:cs="Arial"/>
          <w:bCs/>
          <w:i/>
          <w:iCs/>
        </w:rPr>
        <w:t>Public Housing Operating Fund</w:t>
      </w:r>
      <w:r w:rsidRPr="004A14BF">
        <w:rPr>
          <w:rFonts w:ascii="Arial" w:hAnsi="Arial" w:cs="Arial"/>
          <w:bCs/>
          <w:i/>
          <w:iCs/>
        </w:rPr>
        <w:t>)</w:t>
      </w:r>
    </w:p>
    <w:p w14:paraId="4A353CE0" w14:textId="77777777" w:rsidR="003A6024" w:rsidRPr="000706D1" w:rsidRDefault="003A6024" w:rsidP="003A6024">
      <w:pPr>
        <w:pStyle w:val="Heading3"/>
        <w:jc w:val="both"/>
        <w:rPr>
          <w:rFonts w:cs="Arial"/>
          <w:sz w:val="24"/>
          <w:szCs w:val="24"/>
        </w:rPr>
      </w:pPr>
      <w:bookmarkStart w:id="146" w:name="_Toc212473203"/>
      <w:r w:rsidRPr="000706D1">
        <w:rPr>
          <w:rFonts w:cs="Arial"/>
          <w:sz w:val="24"/>
          <w:szCs w:val="24"/>
        </w:rPr>
        <w:t>Additional Program Specific Information</w:t>
      </w:r>
      <w:bookmarkEnd w:id="146"/>
    </w:p>
    <w:p w14:paraId="776D26F4" w14:textId="77777777" w:rsidR="003A6024" w:rsidRPr="00AA5B05" w:rsidRDefault="003A6024" w:rsidP="003A6024">
      <w:pPr>
        <w:spacing w:after="240"/>
        <w:jc w:val="both"/>
        <w:rPr>
          <w:rFonts w:ascii="Arial" w:hAnsi="Arial" w:cs="Arial"/>
          <w:b/>
          <w:highlight w:val="yellow"/>
        </w:rPr>
      </w:pPr>
      <w:r w:rsidRPr="00AA5B05">
        <w:rPr>
          <w:rFonts w:ascii="Arial" w:hAnsi="Arial" w:cs="Arial"/>
          <w:b/>
          <w:highlight w:val="yellow"/>
        </w:rPr>
        <w:t>Add program specific requirements from:</w:t>
      </w:r>
    </w:p>
    <w:p w14:paraId="317C46B8" w14:textId="77777777" w:rsidR="003A6024" w:rsidRPr="00AA5B05" w:rsidRDefault="003A6024" w:rsidP="003A6024">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07B1BFDD" w14:textId="77777777" w:rsidR="003A6024" w:rsidRPr="00AA5B05" w:rsidRDefault="003A6024" w:rsidP="003A6024">
      <w:pPr>
        <w:pStyle w:val="ListParagraph"/>
        <w:numPr>
          <w:ilvl w:val="0"/>
          <w:numId w:val="3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491A2B8B" w14:textId="77777777" w:rsidR="003A6024" w:rsidRPr="00AA5B05" w:rsidRDefault="003A6024" w:rsidP="003A6024">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0C055E6C" w14:textId="77777777" w:rsidR="003A6024" w:rsidRPr="00AA5B05" w:rsidRDefault="003A6024" w:rsidP="003A6024">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504106E" w14:textId="77777777" w:rsidR="003A6024" w:rsidRPr="000706D1" w:rsidRDefault="003A6024" w:rsidP="003A6024">
      <w:pPr>
        <w:pStyle w:val="Heading3"/>
        <w:jc w:val="both"/>
        <w:rPr>
          <w:rFonts w:cs="Arial"/>
          <w:sz w:val="24"/>
          <w:szCs w:val="24"/>
        </w:rPr>
      </w:pPr>
      <w:bookmarkStart w:id="147" w:name="_Toc212473204"/>
      <w:r w:rsidRPr="000706D1">
        <w:rPr>
          <w:rFonts w:cs="Arial"/>
          <w:sz w:val="24"/>
          <w:szCs w:val="24"/>
        </w:rPr>
        <w:t>Audit Objectives and Control Testing</w:t>
      </w:r>
      <w:bookmarkEnd w:id="147"/>
    </w:p>
    <w:p w14:paraId="47F71278" w14:textId="77777777" w:rsidR="003A6024" w:rsidRPr="00F00D94" w:rsidRDefault="003A6024" w:rsidP="003A602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C8C5C82" w14:textId="77777777" w:rsidR="003A6024" w:rsidRPr="00F00D94" w:rsidRDefault="003A6024" w:rsidP="003A602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5FC5DC0A" w14:textId="77777777" w:rsidR="003A6024" w:rsidRDefault="003A6024" w:rsidP="003A6024">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44974C5E" w14:textId="1B3A5DC2" w:rsidR="003A6024" w:rsidRDefault="005541E9" w:rsidP="005541E9">
      <w:pPr>
        <w:pStyle w:val="ListParagraph"/>
        <w:numPr>
          <w:ilvl w:val="0"/>
          <w:numId w:val="71"/>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5541E9">
        <w:rPr>
          <w:rFonts w:ascii="Arial" w:hAnsi="Arial" w:cs="Arial"/>
          <w:iCs/>
        </w:rPr>
        <w:t>Determine whether (1) the PHA has entered into the required depository agreements, (2) the agreements have been fully and properly executed over all bank accounts that include program funds under the ACC, and (3) the PHA is compliant with the terms of the ACC and that GDA requirements have been fully operationalized.</w:t>
      </w:r>
    </w:p>
    <w:p w14:paraId="1C837DB2" w14:textId="016F8412" w:rsidR="005541E9" w:rsidRPr="00706CA0" w:rsidRDefault="005541E9" w:rsidP="00706CA0">
      <w:pPr>
        <w:spacing w:after="240"/>
        <w:jc w:val="both"/>
        <w:rPr>
          <w:rFonts w:ascii="Arial" w:hAnsi="Arial" w:cs="Arial"/>
          <w:bCs/>
          <w:i/>
          <w:iCs/>
        </w:rPr>
      </w:pPr>
      <w:r w:rsidRPr="005541E9">
        <w:rPr>
          <w:rFonts w:ascii="Arial" w:hAnsi="Arial" w:cs="Arial"/>
          <w:bCs/>
          <w:i/>
          <w:iCs/>
        </w:rPr>
        <w:t>(Source: 202</w:t>
      </w:r>
      <w:r w:rsidR="00706CA0">
        <w:rPr>
          <w:rFonts w:ascii="Arial" w:hAnsi="Arial" w:cs="Arial"/>
          <w:bCs/>
          <w:i/>
          <w:iCs/>
        </w:rPr>
        <w:t>5</w:t>
      </w:r>
      <w:r w:rsidRPr="005541E9">
        <w:rPr>
          <w:rFonts w:ascii="Arial" w:hAnsi="Arial" w:cs="Arial"/>
          <w:bCs/>
          <w:i/>
          <w:iCs/>
        </w:rPr>
        <w:t xml:space="preserve"> OMB Compliance Supplement, Part 4, HUD, #14.850 Public Housing Operating Fund)</w:t>
      </w:r>
    </w:p>
    <w:p w14:paraId="7B5978BA" w14:textId="77777777" w:rsidR="003A6024" w:rsidRPr="00634FA3" w:rsidRDefault="003A6024" w:rsidP="003A6024">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3A6024" w:rsidRPr="00F00D94" w14:paraId="2B4767D4" w14:textId="77777777" w:rsidTr="009F1483">
        <w:tc>
          <w:tcPr>
            <w:tcW w:w="5000" w:type="pct"/>
          </w:tcPr>
          <w:p w14:paraId="32797BD2" w14:textId="77777777" w:rsidR="003A6024" w:rsidRPr="006F5FFA" w:rsidRDefault="003A6024" w:rsidP="009F148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98FF1B1" w14:textId="77777777" w:rsidR="003A6024" w:rsidRPr="00F00D94" w:rsidRDefault="003A6024" w:rsidP="009F148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2237FB4E" w14:textId="77777777" w:rsidR="003A6024" w:rsidRPr="00F00D94" w:rsidRDefault="003A6024" w:rsidP="009F1483">
            <w:pPr>
              <w:pStyle w:val="AuditProcedureHeading"/>
              <w:spacing w:after="240"/>
              <w:jc w:val="both"/>
              <w:rPr>
                <w:rFonts w:cs="Arial"/>
                <w:b/>
                <w:bCs/>
                <w:szCs w:val="20"/>
                <w:u w:val="single"/>
              </w:rPr>
            </w:pPr>
          </w:p>
          <w:p w14:paraId="58B0974E" w14:textId="77777777" w:rsidR="003A6024" w:rsidRPr="00F00D94" w:rsidRDefault="003A6024" w:rsidP="009F148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9A97F7A" w14:textId="77777777" w:rsidR="003A6024" w:rsidRPr="00F00D94" w:rsidRDefault="003A6024" w:rsidP="009F1483">
            <w:pPr>
              <w:pStyle w:val="AuditProcedureHeading"/>
              <w:spacing w:after="240"/>
              <w:jc w:val="both"/>
              <w:rPr>
                <w:rFonts w:cs="Arial"/>
                <w:b/>
                <w:bCs/>
                <w:szCs w:val="20"/>
                <w:u w:val="single"/>
              </w:rPr>
            </w:pPr>
          </w:p>
          <w:p w14:paraId="468C33A0" w14:textId="77777777" w:rsidR="003A6024" w:rsidRPr="00F00D94" w:rsidRDefault="003A6024" w:rsidP="009F148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BA565D5" w14:textId="77777777" w:rsidR="003A6024" w:rsidRPr="00F00D94" w:rsidRDefault="003A6024" w:rsidP="009F1483">
            <w:pPr>
              <w:spacing w:after="240"/>
              <w:jc w:val="both"/>
              <w:rPr>
                <w:rFonts w:ascii="Arial" w:hAnsi="Arial" w:cs="Arial"/>
                <w:b/>
                <w:sz w:val="20"/>
                <w:u w:val="single"/>
              </w:rPr>
            </w:pPr>
          </w:p>
          <w:p w14:paraId="634054A6" w14:textId="77777777" w:rsidR="003A6024" w:rsidRPr="00F00D94" w:rsidRDefault="003A6024" w:rsidP="009F148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5FC4DF4" w14:textId="77777777" w:rsidR="003A6024" w:rsidRPr="00C35E5F" w:rsidRDefault="003A6024" w:rsidP="009F1483">
            <w:pPr>
              <w:spacing w:after="240"/>
              <w:jc w:val="both"/>
              <w:rPr>
                <w:rFonts w:ascii="Arial" w:eastAsiaTheme="minorHAnsi" w:hAnsi="Arial" w:cs="Arial"/>
                <w:sz w:val="20"/>
                <w:szCs w:val="20"/>
              </w:rPr>
            </w:pPr>
          </w:p>
        </w:tc>
      </w:tr>
    </w:tbl>
    <w:p w14:paraId="6D66EFDA" w14:textId="77777777" w:rsidR="003A6024" w:rsidRPr="00F00D94" w:rsidRDefault="003A6024" w:rsidP="003A602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0C751C" w14:textId="77777777" w:rsidR="003A6024" w:rsidRPr="000706D1" w:rsidRDefault="003A6024" w:rsidP="003A6024">
      <w:pPr>
        <w:pStyle w:val="Heading3"/>
        <w:jc w:val="both"/>
        <w:rPr>
          <w:rFonts w:cs="Arial"/>
          <w:sz w:val="24"/>
          <w:szCs w:val="24"/>
        </w:rPr>
      </w:pPr>
      <w:bookmarkStart w:id="148" w:name="_Toc212473205"/>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48"/>
    </w:p>
    <w:tbl>
      <w:tblPr>
        <w:tblStyle w:val="TableGrid"/>
        <w:tblW w:w="9558" w:type="dxa"/>
        <w:tblLayout w:type="fixed"/>
        <w:tblLook w:val="04A0" w:firstRow="1" w:lastRow="0" w:firstColumn="1" w:lastColumn="0" w:noHBand="0" w:noVBand="1"/>
      </w:tblPr>
      <w:tblGrid>
        <w:gridCol w:w="9558"/>
      </w:tblGrid>
      <w:tr w:rsidR="003A6024" w:rsidRPr="00F00D94" w14:paraId="7F8C4828" w14:textId="77777777" w:rsidTr="009F1483">
        <w:tc>
          <w:tcPr>
            <w:tcW w:w="9558" w:type="dxa"/>
          </w:tcPr>
          <w:p w14:paraId="75F570D6" w14:textId="77777777" w:rsidR="003A6024" w:rsidRDefault="003A6024" w:rsidP="009F1483">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3F6AE63" w14:textId="77777777" w:rsidR="003A6024" w:rsidRPr="00AC7B25" w:rsidRDefault="003A6024" w:rsidP="009F1483">
            <w:pPr>
              <w:spacing w:after="240"/>
              <w:jc w:val="both"/>
              <w:rPr>
                <w:rFonts w:ascii="Arial" w:hAnsi="Arial" w:cs="Arial"/>
                <w:i/>
                <w:sz w:val="20"/>
                <w:szCs w:val="20"/>
              </w:rPr>
            </w:pPr>
            <w:r>
              <w:rPr>
                <w:rFonts w:ascii="Arial" w:hAnsi="Arial" w:cs="Arial"/>
                <w:i/>
                <w:sz w:val="20"/>
                <w:szCs w:val="20"/>
              </w:rPr>
              <w:t>(Source: 2025 OMB Compliance Supplement Part 3.2)</w:t>
            </w:r>
          </w:p>
          <w:p w14:paraId="401AC94E" w14:textId="2E5E2604" w:rsidR="00706CA0" w:rsidRPr="00706CA0" w:rsidRDefault="00706CA0" w:rsidP="00706CA0">
            <w:pPr>
              <w:spacing w:after="240"/>
              <w:ind w:left="703" w:hanging="720"/>
              <w:jc w:val="both"/>
              <w:rPr>
                <w:rFonts w:ascii="Arial" w:hAnsi="Arial" w:cs="Arial"/>
                <w:sz w:val="20"/>
              </w:rPr>
            </w:pPr>
            <w:r w:rsidRPr="00706CA0">
              <w:rPr>
                <w:rFonts w:ascii="Arial" w:hAnsi="Arial" w:cs="Arial"/>
                <w:sz w:val="20"/>
              </w:rPr>
              <w:t>a.</w:t>
            </w:r>
            <w:r w:rsidRPr="00706CA0">
              <w:rPr>
                <w:rFonts w:ascii="Arial" w:hAnsi="Arial" w:cs="Arial"/>
                <w:sz w:val="20"/>
              </w:rPr>
              <w:tab/>
              <w:t xml:space="preserve">Verify the existence of depository agreements. </w:t>
            </w:r>
            <w:r w:rsidR="0023503F" w:rsidRPr="00706CA0">
              <w:rPr>
                <w:rFonts w:ascii="Arial" w:hAnsi="Arial" w:cs="Arial"/>
                <w:sz w:val="20"/>
              </w:rPr>
              <w:t>Verify</w:t>
            </w:r>
            <w:r w:rsidRPr="00706CA0">
              <w:rPr>
                <w:rFonts w:ascii="Arial" w:hAnsi="Arial" w:cs="Arial"/>
                <w:sz w:val="20"/>
              </w:rPr>
              <w:t xml:space="preserve"> the unaltered depository agreements (or HUD approved alternations) have been properly executed over all bank accounts that include program funds under the ACC. This includes for pooled accounts such as the General Fund and central payor and mixed finance accounts. Confirm the executed agreements are dated and signed by both the PHA and depository institutions and the agreements list all bank account numbers.</w:t>
            </w:r>
          </w:p>
          <w:p w14:paraId="098CF47E" w14:textId="5EA987FB" w:rsidR="00706CA0" w:rsidRPr="00706CA0" w:rsidRDefault="00706CA0" w:rsidP="00706CA0">
            <w:pPr>
              <w:spacing w:after="240"/>
              <w:ind w:left="703" w:hanging="720"/>
              <w:jc w:val="both"/>
              <w:rPr>
                <w:rFonts w:ascii="Arial" w:hAnsi="Arial" w:cs="Arial"/>
                <w:sz w:val="20"/>
              </w:rPr>
            </w:pPr>
            <w:r w:rsidRPr="00706CA0">
              <w:rPr>
                <w:rFonts w:ascii="Arial" w:hAnsi="Arial" w:cs="Arial"/>
                <w:sz w:val="20"/>
              </w:rPr>
              <w:t>b.</w:t>
            </w:r>
            <w:r w:rsidRPr="00706CA0">
              <w:rPr>
                <w:rFonts w:ascii="Arial" w:hAnsi="Arial" w:cs="Arial"/>
                <w:sz w:val="20"/>
              </w:rPr>
              <w:tab/>
              <w:t>Verify that the PHA has met the terms of the agreements including the PHA has deposited and invested in HUD-approved investment accounts and the GDA specified collateralization requirements have been met.</w:t>
            </w:r>
          </w:p>
        </w:tc>
      </w:tr>
    </w:tbl>
    <w:p w14:paraId="43B92430" w14:textId="77777777" w:rsidR="003A6024" w:rsidRPr="00F00D94" w:rsidRDefault="003A6024" w:rsidP="003A6024">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30AE1071" w14:textId="77777777" w:rsidR="003A6024" w:rsidRPr="000706D1" w:rsidRDefault="003A6024" w:rsidP="003A6024">
      <w:pPr>
        <w:pStyle w:val="Heading3"/>
        <w:jc w:val="both"/>
        <w:rPr>
          <w:rFonts w:cs="Arial"/>
          <w:b w:val="0"/>
          <w:sz w:val="24"/>
          <w:szCs w:val="24"/>
        </w:rPr>
      </w:pPr>
      <w:bookmarkStart w:id="149" w:name="_Toc212473206"/>
      <w:r w:rsidRPr="000706D1">
        <w:rPr>
          <w:rFonts w:cs="Arial"/>
          <w:sz w:val="24"/>
          <w:szCs w:val="24"/>
        </w:rPr>
        <w:t>Audit Implications Summary</w:t>
      </w:r>
      <w:bookmarkEnd w:id="149"/>
    </w:p>
    <w:tbl>
      <w:tblPr>
        <w:tblStyle w:val="TableGrid"/>
        <w:tblW w:w="5000" w:type="pct"/>
        <w:tblLook w:val="04A0" w:firstRow="1" w:lastRow="0" w:firstColumn="1" w:lastColumn="0" w:noHBand="0" w:noVBand="1"/>
      </w:tblPr>
      <w:tblGrid>
        <w:gridCol w:w="9350"/>
      </w:tblGrid>
      <w:tr w:rsidR="003A6024" w:rsidRPr="00F00D94" w14:paraId="03720CE8" w14:textId="77777777" w:rsidTr="009F1483">
        <w:tc>
          <w:tcPr>
            <w:tcW w:w="5000" w:type="pct"/>
          </w:tcPr>
          <w:p w14:paraId="20B99213" w14:textId="77777777" w:rsidR="003A6024" w:rsidRDefault="003A6024" w:rsidP="009F148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A25A046" w14:textId="77777777" w:rsidR="003A6024" w:rsidRPr="006E46AD" w:rsidRDefault="003A6024" w:rsidP="009F1483">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608247D6" w14:textId="77777777" w:rsidR="003A6024" w:rsidRPr="006E46AD" w:rsidRDefault="003A6024" w:rsidP="004D0D57">
            <w:pPr>
              <w:pStyle w:val="ListParagraph"/>
              <w:widowControl w:val="0"/>
              <w:numPr>
                <w:ilvl w:val="0"/>
                <w:numId w:val="72"/>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010AD59B" w14:textId="77777777" w:rsidR="003A6024" w:rsidRPr="006E46AD" w:rsidRDefault="003A6024" w:rsidP="009F1483">
            <w:pPr>
              <w:widowControl w:val="0"/>
              <w:spacing w:after="240"/>
              <w:ind w:left="720"/>
              <w:jc w:val="both"/>
              <w:rPr>
                <w:rFonts w:ascii="Arial" w:hAnsi="Arial" w:cs="Arial"/>
                <w:b/>
                <w:sz w:val="20"/>
                <w:szCs w:val="20"/>
              </w:rPr>
            </w:pPr>
          </w:p>
          <w:p w14:paraId="17B14E43" w14:textId="77777777" w:rsidR="003A6024" w:rsidRPr="006E46AD" w:rsidRDefault="003A6024" w:rsidP="004D0D57">
            <w:pPr>
              <w:widowControl w:val="0"/>
              <w:numPr>
                <w:ilvl w:val="0"/>
                <w:numId w:val="7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0814279A" w14:textId="77777777" w:rsidR="003A6024" w:rsidRPr="00F00D94" w:rsidRDefault="003A6024" w:rsidP="009F1483">
            <w:pPr>
              <w:pStyle w:val="ListParagraph"/>
              <w:spacing w:after="240"/>
              <w:jc w:val="both"/>
              <w:rPr>
                <w:rFonts w:ascii="Arial" w:hAnsi="Arial" w:cs="Arial"/>
                <w:b/>
              </w:rPr>
            </w:pPr>
          </w:p>
          <w:p w14:paraId="083FF3F6" w14:textId="77777777" w:rsidR="003A6024" w:rsidRPr="00F00D94" w:rsidRDefault="003A6024" w:rsidP="004D0D57">
            <w:pPr>
              <w:widowControl w:val="0"/>
              <w:numPr>
                <w:ilvl w:val="0"/>
                <w:numId w:val="72"/>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187ED842" w14:textId="77777777" w:rsidR="003A6024" w:rsidRPr="00F00D94" w:rsidRDefault="003A6024" w:rsidP="009F1483">
            <w:pPr>
              <w:pStyle w:val="ListParagraph"/>
              <w:spacing w:after="240"/>
              <w:jc w:val="both"/>
              <w:rPr>
                <w:rFonts w:ascii="Arial" w:hAnsi="Arial" w:cs="Arial"/>
                <w:b/>
              </w:rPr>
            </w:pPr>
          </w:p>
          <w:p w14:paraId="553B1A6E" w14:textId="77777777" w:rsidR="003A6024" w:rsidRPr="00F00D94" w:rsidRDefault="003A6024" w:rsidP="004D0D57">
            <w:pPr>
              <w:widowControl w:val="0"/>
              <w:numPr>
                <w:ilvl w:val="0"/>
                <w:numId w:val="7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771C3DD" w14:textId="77777777" w:rsidR="003A6024" w:rsidRPr="00F00D94" w:rsidRDefault="003A6024" w:rsidP="009F1483">
            <w:pPr>
              <w:pStyle w:val="ListParagraph"/>
              <w:spacing w:after="240"/>
              <w:jc w:val="both"/>
              <w:rPr>
                <w:rFonts w:ascii="Arial" w:hAnsi="Arial" w:cs="Arial"/>
                <w:b/>
              </w:rPr>
            </w:pPr>
          </w:p>
          <w:p w14:paraId="4273EBF9" w14:textId="77777777" w:rsidR="003A6024" w:rsidRPr="00F00D94" w:rsidRDefault="003A6024" w:rsidP="004D0D57">
            <w:pPr>
              <w:widowControl w:val="0"/>
              <w:numPr>
                <w:ilvl w:val="0"/>
                <w:numId w:val="7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4307E81" w14:textId="77777777" w:rsidR="003A6024" w:rsidRPr="00F00D94" w:rsidRDefault="003A6024" w:rsidP="009F1483">
            <w:pPr>
              <w:pStyle w:val="APStepItem"/>
              <w:numPr>
                <w:ilvl w:val="0"/>
                <w:numId w:val="0"/>
              </w:numPr>
              <w:spacing w:after="240"/>
              <w:rPr>
                <w:rFonts w:cs="Arial"/>
                <w:b/>
              </w:rPr>
            </w:pPr>
          </w:p>
        </w:tc>
      </w:tr>
    </w:tbl>
    <w:p w14:paraId="267C4D2B" w14:textId="77777777" w:rsidR="005541E9" w:rsidRDefault="005541E9" w:rsidP="005541E9">
      <w:pPr>
        <w:pStyle w:val="Heading2"/>
        <w:jc w:val="both"/>
        <w:rPr>
          <w:rFonts w:cs="Arial"/>
          <w:sz w:val="24"/>
        </w:rPr>
        <w:sectPr w:rsidR="005541E9" w:rsidSect="005541E9">
          <w:headerReference w:type="default" r:id="rId117"/>
          <w:pgSz w:w="12240" w:h="15840" w:code="1"/>
          <w:pgMar w:top="1440" w:right="1440" w:bottom="1440" w:left="1440" w:header="720" w:footer="720" w:gutter="0"/>
          <w:cols w:space="720"/>
          <w:docGrid w:linePitch="360"/>
        </w:sectPr>
      </w:pPr>
    </w:p>
    <w:p w14:paraId="2616942C" w14:textId="319AF091" w:rsidR="005541E9" w:rsidRPr="000706D1" w:rsidRDefault="005541E9" w:rsidP="005541E9">
      <w:pPr>
        <w:pStyle w:val="Heading2"/>
        <w:jc w:val="both"/>
        <w:rPr>
          <w:rFonts w:cs="Arial"/>
          <w:sz w:val="24"/>
        </w:rPr>
      </w:pPr>
      <w:bookmarkStart w:id="150" w:name="_Toc212473207"/>
      <w:r w:rsidRPr="000706D1">
        <w:rPr>
          <w:rFonts w:cs="Arial"/>
          <w:sz w:val="24"/>
        </w:rPr>
        <w:t>N</w:t>
      </w:r>
      <w:r w:rsidR="00DC4A66">
        <w:rPr>
          <w:rFonts w:cs="Arial"/>
          <w:sz w:val="24"/>
        </w:rPr>
        <w:t>15</w:t>
      </w:r>
      <w:r w:rsidRPr="000706D1">
        <w:rPr>
          <w:rFonts w:cs="Arial"/>
          <w:sz w:val="24"/>
        </w:rPr>
        <w:t>.  SPECIAL TESTS AND PROVISIONS</w:t>
      </w:r>
      <w:r w:rsidR="00DC4A66">
        <w:rPr>
          <w:rFonts w:cs="Arial"/>
          <w:sz w:val="24"/>
        </w:rPr>
        <w:t xml:space="preserve"> -  INSURANCE PROCEEDS</w:t>
      </w:r>
      <w:bookmarkEnd w:id="150"/>
    </w:p>
    <w:p w14:paraId="4B3F18CA" w14:textId="77777777" w:rsidR="005541E9" w:rsidRPr="000706D1" w:rsidRDefault="005541E9" w:rsidP="005541E9">
      <w:pPr>
        <w:pStyle w:val="Heading3"/>
        <w:jc w:val="both"/>
        <w:rPr>
          <w:rFonts w:cs="Arial"/>
          <w:sz w:val="24"/>
          <w:szCs w:val="24"/>
        </w:rPr>
      </w:pPr>
      <w:bookmarkStart w:id="151" w:name="_Toc212473208"/>
      <w:r w:rsidRPr="000706D1">
        <w:rPr>
          <w:rFonts w:cs="Arial"/>
          <w:sz w:val="24"/>
          <w:szCs w:val="24"/>
        </w:rPr>
        <w:t>OMB Compliance Requirements</w:t>
      </w:r>
      <w:bookmarkEnd w:id="151"/>
    </w:p>
    <w:p w14:paraId="4EA6D370" w14:textId="77777777" w:rsidR="005541E9" w:rsidRPr="005C1EBC" w:rsidRDefault="005541E9" w:rsidP="005541E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710A4DF2" w14:textId="77777777" w:rsidR="005541E9" w:rsidRPr="00F00D94" w:rsidRDefault="005541E9" w:rsidP="005541E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335D2A16" w14:textId="77777777" w:rsidR="005541E9" w:rsidRPr="00F00D94" w:rsidRDefault="005541E9" w:rsidP="005541E9">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18245A7F" w14:textId="77777777" w:rsidR="005541E9" w:rsidRPr="000706D1" w:rsidRDefault="005541E9" w:rsidP="005541E9">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3B89042D" w14:textId="4C642840" w:rsidR="00DC4A66" w:rsidRPr="00DC4A66" w:rsidRDefault="00DC4A66" w:rsidP="00DC4A66">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DC4A66">
        <w:rPr>
          <w:rFonts w:ascii="Arial" w:hAnsi="Arial" w:cs="Arial"/>
          <w:bCs/>
        </w:rPr>
        <w:t>PHAs are required to use insurance proceeds to promptly</w:t>
      </w:r>
      <w:r>
        <w:rPr>
          <w:rFonts w:ascii="Arial" w:hAnsi="Arial" w:cs="Arial"/>
          <w:bCs/>
        </w:rPr>
        <w:t xml:space="preserve"> </w:t>
      </w:r>
      <w:r w:rsidRPr="00DC4A66">
        <w:rPr>
          <w:rFonts w:ascii="Arial" w:hAnsi="Arial" w:cs="Arial"/>
          <w:bCs/>
        </w:rPr>
        <w:t>restore, reconstruct, and/or repair any damaged or destroyed property of a project, except when a PHA has written approval from HUD to do otherwise. Unspent insurance proceeds are normally recorded as restricted cash or restricted investments on the FDS up to the amount of the repair.</w:t>
      </w:r>
    </w:p>
    <w:p w14:paraId="3D5892F4" w14:textId="40CFFF0B" w:rsidR="00DC4A66" w:rsidRPr="00DC4A66" w:rsidRDefault="00DC4A66" w:rsidP="00DC4A66">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DC4A66">
        <w:rPr>
          <w:rFonts w:ascii="Arial" w:hAnsi="Arial" w:cs="Arial"/>
          <w:bCs/>
        </w:rPr>
        <w:t>In cases of unforeseeable and unpreventable emergencies that include damage to the physical structure of the housing stock, PHAs are allowed to use their Operating Funds to cover the expenses associated with the damages. A PHA’s insurance may cover the damages fully or partially. However, it usually takes time for the PHA to receive the insurance proceeds. Once received, the PHA must reimburse its operating account for any expenses initially covered with Operating Funds up to the amount received.</w:t>
      </w:r>
    </w:p>
    <w:p w14:paraId="1F07B394" w14:textId="7B2D0A45" w:rsidR="005541E9" w:rsidRDefault="00DC4A66" w:rsidP="00DC4A66">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DC4A66">
        <w:rPr>
          <w:rFonts w:ascii="Arial" w:hAnsi="Arial" w:cs="Arial"/>
          <w:bCs/>
        </w:rPr>
        <w:t xml:space="preserve">If the insurance proceeds are less than the cost to repair and the PHA elects to use Operating Funds to cover the difference, the PHA is not allowed to draw down capital funds to reimburse the Low Rent program (Section 13 of the ACC). The ACC is available at </w:t>
      </w:r>
      <w:hyperlink r:id="rId118" w:history="1">
        <w:r w:rsidRPr="00011C0F">
          <w:rPr>
            <w:rStyle w:val="Hyperlink"/>
            <w:rFonts w:cs="Arial"/>
            <w:bCs/>
          </w:rPr>
          <w:t>Annual Contributions Contract (ACC) | HUD.gov / U.S. Department of Housing and Urban Development (HUD)</w:t>
        </w:r>
      </w:hyperlink>
      <w:r w:rsidRPr="00DC4A66">
        <w:rPr>
          <w:rFonts w:ascii="Arial" w:hAnsi="Arial" w:cs="Arial"/>
          <w:bCs/>
        </w:rPr>
        <w:t>.</w:t>
      </w:r>
    </w:p>
    <w:p w14:paraId="1060F9CF" w14:textId="3A4F151D" w:rsidR="00DC4A66" w:rsidRPr="00DC4A66" w:rsidRDefault="00DC4A66" w:rsidP="00DC4A66">
      <w:pPr>
        <w:spacing w:after="240"/>
        <w:jc w:val="both"/>
        <w:rPr>
          <w:rFonts w:ascii="Arial" w:hAnsi="Arial" w:cs="Arial"/>
          <w:bCs/>
          <w:i/>
          <w:iCs/>
        </w:rPr>
      </w:pPr>
      <w:r w:rsidRPr="004A14BF">
        <w:rPr>
          <w:rFonts w:ascii="Arial" w:hAnsi="Arial" w:cs="Arial"/>
          <w:bCs/>
          <w:i/>
          <w:iCs/>
        </w:rPr>
        <w:t>(Source: 202</w:t>
      </w:r>
      <w:r>
        <w:rPr>
          <w:rFonts w:ascii="Arial" w:hAnsi="Arial" w:cs="Arial"/>
          <w:bCs/>
          <w:i/>
          <w:iCs/>
        </w:rPr>
        <w:t>5</w:t>
      </w:r>
      <w:r w:rsidRPr="004A14BF">
        <w:rPr>
          <w:rFonts w:ascii="Arial" w:hAnsi="Arial" w:cs="Arial"/>
          <w:bCs/>
          <w:i/>
          <w:iCs/>
        </w:rPr>
        <w:t xml:space="preserve"> OMB Compliance Supplement, Part 4, HUD, #14.850 </w:t>
      </w:r>
      <w:r>
        <w:rPr>
          <w:rFonts w:ascii="Arial" w:hAnsi="Arial" w:cs="Arial"/>
          <w:bCs/>
          <w:i/>
          <w:iCs/>
        </w:rPr>
        <w:t>Public Housing Operating Fund</w:t>
      </w:r>
      <w:r w:rsidRPr="004A14BF">
        <w:rPr>
          <w:rFonts w:ascii="Arial" w:hAnsi="Arial" w:cs="Arial"/>
          <w:bCs/>
          <w:i/>
          <w:iCs/>
        </w:rPr>
        <w:t>)</w:t>
      </w:r>
    </w:p>
    <w:p w14:paraId="0580E6AC" w14:textId="77777777" w:rsidR="005541E9" w:rsidRPr="000706D1" w:rsidRDefault="005541E9" w:rsidP="005541E9">
      <w:pPr>
        <w:pStyle w:val="Heading3"/>
        <w:jc w:val="both"/>
        <w:rPr>
          <w:rFonts w:cs="Arial"/>
          <w:sz w:val="24"/>
          <w:szCs w:val="24"/>
        </w:rPr>
      </w:pPr>
      <w:bookmarkStart w:id="152" w:name="_Toc212473209"/>
      <w:r w:rsidRPr="000706D1">
        <w:rPr>
          <w:rFonts w:cs="Arial"/>
          <w:sz w:val="24"/>
          <w:szCs w:val="24"/>
        </w:rPr>
        <w:t>Additional Program Specific Information</w:t>
      </w:r>
      <w:bookmarkEnd w:id="152"/>
    </w:p>
    <w:p w14:paraId="3D1E06E9" w14:textId="77777777" w:rsidR="005541E9" w:rsidRPr="00AA5B05" w:rsidRDefault="005541E9" w:rsidP="005541E9">
      <w:pPr>
        <w:spacing w:after="240"/>
        <w:jc w:val="both"/>
        <w:rPr>
          <w:rFonts w:ascii="Arial" w:hAnsi="Arial" w:cs="Arial"/>
          <w:b/>
          <w:highlight w:val="yellow"/>
        </w:rPr>
      </w:pPr>
      <w:r w:rsidRPr="00AA5B05">
        <w:rPr>
          <w:rFonts w:ascii="Arial" w:hAnsi="Arial" w:cs="Arial"/>
          <w:b/>
          <w:highlight w:val="yellow"/>
        </w:rPr>
        <w:t>Add program specific requirements from:</w:t>
      </w:r>
    </w:p>
    <w:p w14:paraId="43FBFBDA" w14:textId="77777777" w:rsidR="005541E9" w:rsidRPr="00AA5B05" w:rsidRDefault="005541E9" w:rsidP="005541E9">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34F9A08E" w14:textId="77777777" w:rsidR="005541E9" w:rsidRPr="00AA5B05" w:rsidRDefault="005541E9" w:rsidP="005541E9">
      <w:pPr>
        <w:pStyle w:val="ListParagraph"/>
        <w:numPr>
          <w:ilvl w:val="0"/>
          <w:numId w:val="3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7913090" w14:textId="77777777" w:rsidR="005541E9" w:rsidRPr="00AA5B05" w:rsidRDefault="005541E9" w:rsidP="005541E9">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4801015E" w14:textId="77777777" w:rsidR="005541E9" w:rsidRPr="00AA5B05" w:rsidRDefault="005541E9" w:rsidP="005541E9">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99E530E" w14:textId="77777777" w:rsidR="005541E9" w:rsidRPr="000706D1" w:rsidRDefault="005541E9" w:rsidP="005541E9">
      <w:pPr>
        <w:pStyle w:val="Heading3"/>
        <w:jc w:val="both"/>
        <w:rPr>
          <w:rFonts w:cs="Arial"/>
          <w:sz w:val="24"/>
          <w:szCs w:val="24"/>
        </w:rPr>
      </w:pPr>
      <w:bookmarkStart w:id="153" w:name="_Toc212473210"/>
      <w:r w:rsidRPr="000706D1">
        <w:rPr>
          <w:rFonts w:cs="Arial"/>
          <w:sz w:val="24"/>
          <w:szCs w:val="24"/>
        </w:rPr>
        <w:t>Audit Objectives and Control Testing</w:t>
      </w:r>
      <w:bookmarkEnd w:id="153"/>
    </w:p>
    <w:p w14:paraId="79E52D1A" w14:textId="77777777" w:rsidR="005541E9" w:rsidRPr="00F00D94" w:rsidRDefault="005541E9" w:rsidP="005541E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0049A9" w14:textId="77777777" w:rsidR="005541E9" w:rsidRPr="00F00D94" w:rsidRDefault="005541E9" w:rsidP="005541E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E16C51D" w14:textId="77777777" w:rsidR="005541E9" w:rsidRDefault="005541E9" w:rsidP="005541E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7A94D8E0" w14:textId="4BE25DC7" w:rsidR="005541E9" w:rsidRDefault="00DC4A66" w:rsidP="00DC4A66">
      <w:pPr>
        <w:pStyle w:val="ListParagraph"/>
        <w:numPr>
          <w:ilvl w:val="0"/>
          <w:numId w:val="73"/>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DC4A66">
        <w:rPr>
          <w:rFonts w:ascii="Arial" w:hAnsi="Arial" w:cs="Arial"/>
          <w:iCs/>
        </w:rPr>
        <w:t>Determine whether the PHA used insurance proceeds to promptly repair damaged or destroyed property, that unspent insurance proceeds are properly reported in the financial statements, and that Operating Funds were used to cover the allowable expenses.</w:t>
      </w:r>
    </w:p>
    <w:p w14:paraId="45020494" w14:textId="2B942049" w:rsidR="00DC4A66" w:rsidRPr="00DC4A66" w:rsidRDefault="00DC4A66" w:rsidP="00DC4A66">
      <w:pPr>
        <w:spacing w:after="240"/>
        <w:jc w:val="both"/>
        <w:rPr>
          <w:rFonts w:ascii="Arial" w:hAnsi="Arial" w:cs="Arial"/>
          <w:bCs/>
          <w:i/>
          <w:iCs/>
        </w:rPr>
      </w:pPr>
      <w:r w:rsidRPr="00DC4A66">
        <w:rPr>
          <w:rFonts w:ascii="Arial" w:hAnsi="Arial" w:cs="Arial"/>
          <w:bCs/>
          <w:i/>
          <w:iCs/>
        </w:rPr>
        <w:t>(Source: 202</w:t>
      </w:r>
      <w:r>
        <w:rPr>
          <w:rFonts w:ascii="Arial" w:hAnsi="Arial" w:cs="Arial"/>
          <w:bCs/>
          <w:i/>
          <w:iCs/>
        </w:rPr>
        <w:t>5</w:t>
      </w:r>
      <w:r w:rsidRPr="00DC4A66">
        <w:rPr>
          <w:rFonts w:ascii="Arial" w:hAnsi="Arial" w:cs="Arial"/>
          <w:bCs/>
          <w:i/>
          <w:iCs/>
        </w:rPr>
        <w:t xml:space="preserve"> OMB Compliance Supplement, Part 4, HUD, #14.850 Public Housing Operating Fund)</w:t>
      </w:r>
    </w:p>
    <w:p w14:paraId="3B510695" w14:textId="77777777" w:rsidR="005541E9" w:rsidRPr="00634FA3" w:rsidRDefault="005541E9" w:rsidP="005541E9">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5541E9" w:rsidRPr="00F00D94" w14:paraId="23515003" w14:textId="77777777" w:rsidTr="009F1483">
        <w:tc>
          <w:tcPr>
            <w:tcW w:w="5000" w:type="pct"/>
          </w:tcPr>
          <w:p w14:paraId="2E7649B0" w14:textId="77777777" w:rsidR="005541E9" w:rsidRPr="006F5FFA" w:rsidRDefault="005541E9" w:rsidP="009F148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AF5AA53" w14:textId="77777777" w:rsidR="005541E9" w:rsidRPr="00F00D94" w:rsidRDefault="005541E9" w:rsidP="009F148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93ED46" w14:textId="77777777" w:rsidR="005541E9" w:rsidRPr="00F00D94" w:rsidRDefault="005541E9" w:rsidP="009F1483">
            <w:pPr>
              <w:pStyle w:val="AuditProcedureHeading"/>
              <w:spacing w:after="240"/>
              <w:jc w:val="both"/>
              <w:rPr>
                <w:rFonts w:cs="Arial"/>
                <w:b/>
                <w:bCs/>
                <w:szCs w:val="20"/>
                <w:u w:val="single"/>
              </w:rPr>
            </w:pPr>
          </w:p>
          <w:p w14:paraId="7F0255F7" w14:textId="77777777" w:rsidR="005541E9" w:rsidRPr="00F00D94" w:rsidRDefault="005541E9" w:rsidP="009F148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7A8E622" w14:textId="77777777" w:rsidR="005541E9" w:rsidRPr="00F00D94" w:rsidRDefault="005541E9" w:rsidP="009F1483">
            <w:pPr>
              <w:pStyle w:val="AuditProcedureHeading"/>
              <w:spacing w:after="240"/>
              <w:jc w:val="both"/>
              <w:rPr>
                <w:rFonts w:cs="Arial"/>
                <w:b/>
                <w:bCs/>
                <w:szCs w:val="20"/>
                <w:u w:val="single"/>
              </w:rPr>
            </w:pPr>
          </w:p>
          <w:p w14:paraId="45917480" w14:textId="77777777" w:rsidR="005541E9" w:rsidRPr="00F00D94" w:rsidRDefault="005541E9" w:rsidP="009F148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82F3DA5" w14:textId="77777777" w:rsidR="005541E9" w:rsidRPr="00F00D94" w:rsidRDefault="005541E9" w:rsidP="009F1483">
            <w:pPr>
              <w:spacing w:after="240"/>
              <w:jc w:val="both"/>
              <w:rPr>
                <w:rFonts w:ascii="Arial" w:hAnsi="Arial" w:cs="Arial"/>
                <w:b/>
                <w:sz w:val="20"/>
                <w:u w:val="single"/>
              </w:rPr>
            </w:pPr>
          </w:p>
          <w:p w14:paraId="475CD967" w14:textId="77777777" w:rsidR="005541E9" w:rsidRPr="00F00D94" w:rsidRDefault="005541E9" w:rsidP="009F148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500D2500" w14:textId="77777777" w:rsidR="005541E9" w:rsidRPr="00C35E5F" w:rsidRDefault="005541E9" w:rsidP="009F1483">
            <w:pPr>
              <w:spacing w:after="240"/>
              <w:jc w:val="both"/>
              <w:rPr>
                <w:rFonts w:ascii="Arial" w:eastAsiaTheme="minorHAnsi" w:hAnsi="Arial" w:cs="Arial"/>
                <w:sz w:val="20"/>
                <w:szCs w:val="20"/>
              </w:rPr>
            </w:pPr>
          </w:p>
        </w:tc>
      </w:tr>
    </w:tbl>
    <w:p w14:paraId="017742DC" w14:textId="77777777" w:rsidR="005541E9" w:rsidRPr="00F00D94" w:rsidRDefault="005541E9" w:rsidP="005541E9">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574C9523" w14:textId="77777777" w:rsidR="005541E9" w:rsidRPr="000706D1" w:rsidRDefault="005541E9" w:rsidP="005541E9">
      <w:pPr>
        <w:pStyle w:val="Heading3"/>
        <w:jc w:val="both"/>
        <w:rPr>
          <w:rFonts w:cs="Arial"/>
          <w:sz w:val="24"/>
          <w:szCs w:val="24"/>
        </w:rPr>
      </w:pPr>
      <w:bookmarkStart w:id="154" w:name="_Toc212473211"/>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54"/>
    </w:p>
    <w:tbl>
      <w:tblPr>
        <w:tblStyle w:val="TableGrid"/>
        <w:tblW w:w="9558" w:type="dxa"/>
        <w:tblLayout w:type="fixed"/>
        <w:tblLook w:val="04A0" w:firstRow="1" w:lastRow="0" w:firstColumn="1" w:lastColumn="0" w:noHBand="0" w:noVBand="1"/>
      </w:tblPr>
      <w:tblGrid>
        <w:gridCol w:w="9558"/>
      </w:tblGrid>
      <w:tr w:rsidR="005541E9" w:rsidRPr="00F00D94" w14:paraId="75F21B2B" w14:textId="77777777" w:rsidTr="009F1483">
        <w:tc>
          <w:tcPr>
            <w:tcW w:w="9558" w:type="dxa"/>
          </w:tcPr>
          <w:p w14:paraId="300247CB" w14:textId="77777777" w:rsidR="005541E9" w:rsidRDefault="005541E9" w:rsidP="009F1483">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58B9C58" w14:textId="43066207" w:rsidR="005541E9" w:rsidRPr="00DC4A66" w:rsidRDefault="005541E9" w:rsidP="009F1483">
            <w:pPr>
              <w:spacing w:after="240"/>
              <w:jc w:val="both"/>
              <w:rPr>
                <w:rFonts w:ascii="Arial" w:hAnsi="Arial" w:cs="Arial"/>
                <w:i/>
                <w:sz w:val="20"/>
                <w:szCs w:val="20"/>
              </w:rPr>
            </w:pPr>
            <w:r>
              <w:rPr>
                <w:rFonts w:ascii="Arial" w:hAnsi="Arial" w:cs="Arial"/>
                <w:i/>
                <w:sz w:val="20"/>
                <w:szCs w:val="20"/>
              </w:rPr>
              <w:t>(Source: 2025 OMB Compliance Supplement Part 3.2)</w:t>
            </w:r>
          </w:p>
          <w:p w14:paraId="190DF681" w14:textId="73345288" w:rsidR="00DC4A66" w:rsidRPr="00DC4A66" w:rsidRDefault="00DC4A66" w:rsidP="00DC4A66">
            <w:pPr>
              <w:spacing w:after="240"/>
              <w:ind w:left="703" w:hanging="720"/>
              <w:jc w:val="both"/>
              <w:rPr>
                <w:rFonts w:ascii="Arial" w:hAnsi="Arial" w:cs="Arial"/>
                <w:sz w:val="20"/>
              </w:rPr>
            </w:pPr>
            <w:r w:rsidRPr="00DC4A66">
              <w:rPr>
                <w:rFonts w:ascii="Arial" w:hAnsi="Arial" w:cs="Arial"/>
                <w:sz w:val="20"/>
              </w:rPr>
              <w:t>a.</w:t>
            </w:r>
            <w:r w:rsidRPr="00DC4A66">
              <w:rPr>
                <w:rFonts w:ascii="Arial" w:hAnsi="Arial" w:cs="Arial"/>
                <w:sz w:val="20"/>
              </w:rPr>
              <w:tab/>
              <w:t>Ascertain if the PHA received any insurance proceeds for damaged or destroyed property.</w:t>
            </w:r>
          </w:p>
          <w:p w14:paraId="3FAE392B" w14:textId="1E36ECCC" w:rsidR="00DC4A66" w:rsidRPr="00DC4A66" w:rsidRDefault="00DC4A66" w:rsidP="00DC4A66">
            <w:pPr>
              <w:spacing w:after="240"/>
              <w:ind w:left="703" w:hanging="720"/>
              <w:jc w:val="both"/>
              <w:rPr>
                <w:rFonts w:ascii="Arial" w:hAnsi="Arial" w:cs="Arial"/>
                <w:sz w:val="20"/>
              </w:rPr>
            </w:pPr>
            <w:r w:rsidRPr="00DC4A66">
              <w:rPr>
                <w:rFonts w:ascii="Arial" w:hAnsi="Arial" w:cs="Arial"/>
                <w:sz w:val="20"/>
              </w:rPr>
              <w:t>b.</w:t>
            </w:r>
            <w:r w:rsidRPr="00DC4A66">
              <w:rPr>
                <w:rFonts w:ascii="Arial" w:hAnsi="Arial" w:cs="Arial"/>
                <w:sz w:val="20"/>
              </w:rPr>
              <w:tab/>
              <w:t>Verify that insurance proceeds received in advance of contractor or repair bills are placed in a restricted cash account of the operating fund.</w:t>
            </w:r>
          </w:p>
          <w:p w14:paraId="754ABEBA" w14:textId="307BB3BC" w:rsidR="00DC4A66" w:rsidRPr="00DC4A66" w:rsidRDefault="00DC4A66" w:rsidP="00DC4A66">
            <w:pPr>
              <w:spacing w:after="240"/>
              <w:ind w:left="703" w:hanging="720"/>
              <w:jc w:val="both"/>
              <w:rPr>
                <w:rFonts w:ascii="Arial" w:hAnsi="Arial" w:cs="Arial"/>
                <w:sz w:val="20"/>
              </w:rPr>
            </w:pPr>
            <w:r w:rsidRPr="00DC4A66">
              <w:rPr>
                <w:rFonts w:ascii="Arial" w:hAnsi="Arial" w:cs="Arial"/>
                <w:sz w:val="20"/>
              </w:rPr>
              <w:t>c.</w:t>
            </w:r>
            <w:r w:rsidRPr="00DC4A66">
              <w:rPr>
                <w:rFonts w:ascii="Arial" w:hAnsi="Arial" w:cs="Arial"/>
                <w:sz w:val="20"/>
              </w:rPr>
              <w:tab/>
              <w:t>Review contractor invoices and repair expenses to verify insurance proceeds were used to cover allowable expenses.</w:t>
            </w:r>
          </w:p>
          <w:p w14:paraId="3CFDF6CE" w14:textId="4F83D1FE" w:rsidR="00DC4A66" w:rsidRPr="00DC4A66" w:rsidRDefault="00DC4A66" w:rsidP="00DC4A66">
            <w:pPr>
              <w:spacing w:after="240"/>
              <w:ind w:left="703" w:hanging="720"/>
              <w:jc w:val="both"/>
              <w:rPr>
                <w:rFonts w:ascii="Arial" w:hAnsi="Arial" w:cs="Arial"/>
                <w:sz w:val="20"/>
              </w:rPr>
            </w:pPr>
            <w:r w:rsidRPr="00DC4A66">
              <w:rPr>
                <w:rFonts w:ascii="Arial" w:hAnsi="Arial" w:cs="Arial"/>
                <w:sz w:val="20"/>
              </w:rPr>
              <w:t>d.</w:t>
            </w:r>
            <w:r w:rsidRPr="00DC4A66">
              <w:rPr>
                <w:rFonts w:ascii="Arial" w:hAnsi="Arial" w:cs="Arial"/>
                <w:sz w:val="20"/>
              </w:rPr>
              <w:tab/>
              <w:t>Verify that the Operating Fund was reimbursed by any insurance proceeds received for repairs funded by the Operating Fund.</w:t>
            </w:r>
          </w:p>
        </w:tc>
      </w:tr>
    </w:tbl>
    <w:p w14:paraId="640934C2" w14:textId="77777777" w:rsidR="005541E9" w:rsidRPr="00F00D94" w:rsidRDefault="005541E9" w:rsidP="005541E9">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039E54B" w14:textId="77777777" w:rsidR="005541E9" w:rsidRPr="000706D1" w:rsidRDefault="005541E9" w:rsidP="005541E9">
      <w:pPr>
        <w:pStyle w:val="Heading3"/>
        <w:jc w:val="both"/>
        <w:rPr>
          <w:rFonts w:cs="Arial"/>
          <w:b w:val="0"/>
          <w:sz w:val="24"/>
          <w:szCs w:val="24"/>
        </w:rPr>
      </w:pPr>
      <w:bookmarkStart w:id="155" w:name="_Toc212473212"/>
      <w:r w:rsidRPr="000706D1">
        <w:rPr>
          <w:rFonts w:cs="Arial"/>
          <w:sz w:val="24"/>
          <w:szCs w:val="24"/>
        </w:rPr>
        <w:t>Audit Implications Summary</w:t>
      </w:r>
      <w:bookmarkEnd w:id="155"/>
    </w:p>
    <w:tbl>
      <w:tblPr>
        <w:tblStyle w:val="TableGrid"/>
        <w:tblW w:w="5000" w:type="pct"/>
        <w:tblLook w:val="04A0" w:firstRow="1" w:lastRow="0" w:firstColumn="1" w:lastColumn="0" w:noHBand="0" w:noVBand="1"/>
      </w:tblPr>
      <w:tblGrid>
        <w:gridCol w:w="9350"/>
      </w:tblGrid>
      <w:tr w:rsidR="005541E9" w:rsidRPr="00F00D94" w14:paraId="58402B0D" w14:textId="77777777" w:rsidTr="009F1483">
        <w:tc>
          <w:tcPr>
            <w:tcW w:w="5000" w:type="pct"/>
          </w:tcPr>
          <w:p w14:paraId="581E60E3" w14:textId="77777777" w:rsidR="005541E9" w:rsidRDefault="005541E9" w:rsidP="009F148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077BADC" w14:textId="77777777" w:rsidR="005541E9" w:rsidRPr="006E46AD" w:rsidRDefault="005541E9" w:rsidP="009F1483">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C484DF5" w14:textId="77777777" w:rsidR="005541E9" w:rsidRPr="006E46AD" w:rsidRDefault="005541E9" w:rsidP="00DC4A66">
            <w:pPr>
              <w:pStyle w:val="ListParagraph"/>
              <w:widowControl w:val="0"/>
              <w:numPr>
                <w:ilvl w:val="0"/>
                <w:numId w:val="7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6CE38725" w14:textId="77777777" w:rsidR="005541E9" w:rsidRPr="006E46AD" w:rsidRDefault="005541E9" w:rsidP="009F1483">
            <w:pPr>
              <w:widowControl w:val="0"/>
              <w:spacing w:after="240"/>
              <w:ind w:left="720"/>
              <w:jc w:val="both"/>
              <w:rPr>
                <w:rFonts w:ascii="Arial" w:hAnsi="Arial" w:cs="Arial"/>
                <w:b/>
                <w:sz w:val="20"/>
                <w:szCs w:val="20"/>
              </w:rPr>
            </w:pPr>
          </w:p>
          <w:p w14:paraId="6FC479CB" w14:textId="77777777" w:rsidR="005541E9" w:rsidRPr="006E46AD" w:rsidRDefault="005541E9" w:rsidP="00DC4A66">
            <w:pPr>
              <w:widowControl w:val="0"/>
              <w:numPr>
                <w:ilvl w:val="0"/>
                <w:numId w:val="7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5F815B8D" w14:textId="77777777" w:rsidR="005541E9" w:rsidRPr="00F00D94" w:rsidRDefault="005541E9" w:rsidP="009F1483">
            <w:pPr>
              <w:pStyle w:val="ListParagraph"/>
              <w:spacing w:after="240"/>
              <w:jc w:val="both"/>
              <w:rPr>
                <w:rFonts w:ascii="Arial" w:hAnsi="Arial" w:cs="Arial"/>
                <w:b/>
              </w:rPr>
            </w:pPr>
          </w:p>
          <w:p w14:paraId="00A22557" w14:textId="77777777" w:rsidR="005541E9" w:rsidRPr="00F00D94" w:rsidRDefault="005541E9" w:rsidP="00DC4A66">
            <w:pPr>
              <w:widowControl w:val="0"/>
              <w:numPr>
                <w:ilvl w:val="0"/>
                <w:numId w:val="7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677F2A68" w14:textId="77777777" w:rsidR="005541E9" w:rsidRPr="00F00D94" w:rsidRDefault="005541E9" w:rsidP="009F1483">
            <w:pPr>
              <w:pStyle w:val="ListParagraph"/>
              <w:spacing w:after="240"/>
              <w:jc w:val="both"/>
              <w:rPr>
                <w:rFonts w:ascii="Arial" w:hAnsi="Arial" w:cs="Arial"/>
                <w:b/>
              </w:rPr>
            </w:pPr>
          </w:p>
          <w:p w14:paraId="148AD3A4" w14:textId="77777777" w:rsidR="005541E9" w:rsidRPr="00F00D94" w:rsidRDefault="005541E9" w:rsidP="00DC4A66">
            <w:pPr>
              <w:widowControl w:val="0"/>
              <w:numPr>
                <w:ilvl w:val="0"/>
                <w:numId w:val="7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CE6032F" w14:textId="77777777" w:rsidR="005541E9" w:rsidRPr="00F00D94" w:rsidRDefault="005541E9" w:rsidP="009F1483">
            <w:pPr>
              <w:pStyle w:val="ListParagraph"/>
              <w:spacing w:after="240"/>
              <w:jc w:val="both"/>
              <w:rPr>
                <w:rFonts w:ascii="Arial" w:hAnsi="Arial" w:cs="Arial"/>
                <w:b/>
              </w:rPr>
            </w:pPr>
          </w:p>
          <w:p w14:paraId="0F14FC4B" w14:textId="77777777" w:rsidR="005541E9" w:rsidRPr="00F00D94" w:rsidRDefault="005541E9" w:rsidP="00DC4A66">
            <w:pPr>
              <w:widowControl w:val="0"/>
              <w:numPr>
                <w:ilvl w:val="0"/>
                <w:numId w:val="7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31F7109" w14:textId="77777777" w:rsidR="005541E9" w:rsidRPr="00F00D94" w:rsidRDefault="005541E9" w:rsidP="009F1483">
            <w:pPr>
              <w:pStyle w:val="APStepItem"/>
              <w:numPr>
                <w:ilvl w:val="0"/>
                <w:numId w:val="0"/>
              </w:numPr>
              <w:spacing w:after="240"/>
              <w:rPr>
                <w:rFonts w:cs="Arial"/>
                <w:b/>
              </w:rPr>
            </w:pPr>
          </w:p>
        </w:tc>
      </w:tr>
    </w:tbl>
    <w:p w14:paraId="46D650B9" w14:textId="77777777" w:rsidR="005541E9" w:rsidRDefault="005541E9" w:rsidP="005541E9">
      <w:pPr>
        <w:pStyle w:val="Heading2"/>
        <w:jc w:val="both"/>
        <w:rPr>
          <w:rFonts w:cs="Arial"/>
          <w:sz w:val="24"/>
        </w:rPr>
        <w:sectPr w:rsidR="005541E9" w:rsidSect="005541E9">
          <w:headerReference w:type="default" r:id="rId120"/>
          <w:pgSz w:w="12240" w:h="15840" w:code="1"/>
          <w:pgMar w:top="1440" w:right="1440" w:bottom="1440" w:left="1440" w:header="720" w:footer="720" w:gutter="0"/>
          <w:cols w:space="720"/>
          <w:docGrid w:linePitch="360"/>
        </w:sectPr>
      </w:pPr>
    </w:p>
    <w:p w14:paraId="11EAB443" w14:textId="1318D1C4" w:rsidR="005541E9" w:rsidRPr="000706D1" w:rsidRDefault="005541E9" w:rsidP="005541E9">
      <w:pPr>
        <w:pStyle w:val="Heading2"/>
        <w:jc w:val="both"/>
        <w:rPr>
          <w:rFonts w:cs="Arial"/>
          <w:sz w:val="24"/>
        </w:rPr>
      </w:pPr>
      <w:bookmarkStart w:id="156" w:name="_Toc212473213"/>
      <w:r w:rsidRPr="000706D1">
        <w:rPr>
          <w:rFonts w:cs="Arial"/>
          <w:sz w:val="24"/>
        </w:rPr>
        <w:t>N</w:t>
      </w:r>
      <w:r w:rsidR="00DC4A66">
        <w:rPr>
          <w:rFonts w:cs="Arial"/>
          <w:sz w:val="24"/>
        </w:rPr>
        <w:t>16</w:t>
      </w:r>
      <w:r w:rsidRPr="000706D1">
        <w:rPr>
          <w:rFonts w:cs="Arial"/>
          <w:sz w:val="24"/>
        </w:rPr>
        <w:t>.  SPECIAL TESTS AND PROVISIONS</w:t>
      </w:r>
      <w:r w:rsidR="00DC4A66">
        <w:rPr>
          <w:rFonts w:cs="Arial"/>
          <w:sz w:val="24"/>
        </w:rPr>
        <w:t xml:space="preserve"> – ENVIRONMENTAL CONTAMINANTS TESTING AND REMEDIATION</w:t>
      </w:r>
      <w:bookmarkEnd w:id="156"/>
    </w:p>
    <w:p w14:paraId="741224E3" w14:textId="77777777" w:rsidR="005541E9" w:rsidRPr="000706D1" w:rsidRDefault="005541E9" w:rsidP="005541E9">
      <w:pPr>
        <w:pStyle w:val="Heading3"/>
        <w:jc w:val="both"/>
        <w:rPr>
          <w:rFonts w:cs="Arial"/>
          <w:sz w:val="24"/>
          <w:szCs w:val="24"/>
        </w:rPr>
      </w:pPr>
      <w:bookmarkStart w:id="157" w:name="_Toc212473214"/>
      <w:r w:rsidRPr="000706D1">
        <w:rPr>
          <w:rFonts w:cs="Arial"/>
          <w:sz w:val="24"/>
          <w:szCs w:val="24"/>
        </w:rPr>
        <w:t>OMB Compliance Requirements</w:t>
      </w:r>
      <w:bookmarkEnd w:id="157"/>
    </w:p>
    <w:p w14:paraId="771DFB4B" w14:textId="77777777" w:rsidR="005541E9" w:rsidRPr="005C1EBC" w:rsidRDefault="005541E9" w:rsidP="005541E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543E5C90" w14:textId="77777777" w:rsidR="005541E9" w:rsidRPr="00F00D94" w:rsidRDefault="005541E9" w:rsidP="005541E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7771E4F0" w14:textId="77777777" w:rsidR="005541E9" w:rsidRPr="00F00D94" w:rsidRDefault="005541E9" w:rsidP="005541E9">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6768C937" w14:textId="77777777" w:rsidR="005541E9" w:rsidRPr="000706D1" w:rsidRDefault="005541E9" w:rsidP="005541E9">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0FB4B313" w14:textId="62E82239" w:rsidR="00B82863" w:rsidRPr="00B82863" w:rsidRDefault="00B82863" w:rsidP="00B82863">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B82863">
        <w:rPr>
          <w:rFonts w:ascii="Arial" w:hAnsi="Arial" w:cs="Arial"/>
          <w:bCs/>
        </w:rPr>
        <w:t>Public Housing must be decent, safe, sanitary, and in good repair. To be considered decent, safe, sanitary, and in good repair, PHAs must maintain housing following the physical condition standards set forth in 24 CFR section 5.703. Those standards address the major areas of public housing: the site, the building exterior, the building systems, the dwelling units, the common areas, and health and safety considerations.</w:t>
      </w:r>
    </w:p>
    <w:p w14:paraId="085D043E" w14:textId="3892A43F" w:rsidR="00B82863" w:rsidRPr="00B82863" w:rsidRDefault="00B82863" w:rsidP="00B82863">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B82863">
        <w:rPr>
          <w:rFonts w:ascii="Arial" w:hAnsi="Arial" w:cs="Arial"/>
          <w:bCs/>
        </w:rPr>
        <w:t>Health and safety considerations require that all areas and components of housing be free of health and safety hazards. These areas include, but are not limited to, air quality, electrical hazards, elevators, emergency/fire exits, flammable materials, garbage and debris, handrail hazards, infestation, and lead-based paint. The housing must have no evidence of infestation by rats, mice, or other vermin, garbage, and debris. The housing must have no evidence of electrical, natural, or fire hazards. The dwelling units and common areas must have proper ventilation and be free of mold, odor (e.g., propane, natural gas, methane gas), or other indoor air hazards such as radon testing. The housing must comply with all requirements related to the evaluation and reduction of lead-based paint hazards and have available proper certifications (see 24 CFR Part 35).</w:t>
      </w:r>
    </w:p>
    <w:p w14:paraId="1AECD34E" w14:textId="73786F00" w:rsidR="005541E9" w:rsidRDefault="00B82863" w:rsidP="00B82863">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B82863">
        <w:rPr>
          <w:rFonts w:ascii="Arial" w:hAnsi="Arial" w:cs="Arial"/>
          <w:bCs/>
        </w:rPr>
        <w:t>The physical condition standards in 24 CFR section 5.703 do not supersede or preempt state and local building and maintenance codes, which Public Housing must comply with and continue to adhere to.</w:t>
      </w:r>
    </w:p>
    <w:p w14:paraId="025DD3CD" w14:textId="3FFB990E" w:rsidR="00B82863" w:rsidRPr="00B82863" w:rsidRDefault="00B82863" w:rsidP="00B82863">
      <w:pPr>
        <w:spacing w:after="240"/>
        <w:jc w:val="both"/>
        <w:rPr>
          <w:rFonts w:ascii="Arial" w:hAnsi="Arial" w:cs="Arial"/>
          <w:bCs/>
          <w:i/>
          <w:iCs/>
        </w:rPr>
      </w:pPr>
      <w:r w:rsidRPr="004A14BF">
        <w:rPr>
          <w:rFonts w:ascii="Arial" w:hAnsi="Arial" w:cs="Arial"/>
          <w:bCs/>
          <w:i/>
          <w:iCs/>
        </w:rPr>
        <w:t>(Source: 202</w:t>
      </w:r>
      <w:r>
        <w:rPr>
          <w:rFonts w:ascii="Arial" w:hAnsi="Arial" w:cs="Arial"/>
          <w:bCs/>
          <w:i/>
          <w:iCs/>
        </w:rPr>
        <w:t>5</w:t>
      </w:r>
      <w:r w:rsidRPr="004A14BF">
        <w:rPr>
          <w:rFonts w:ascii="Arial" w:hAnsi="Arial" w:cs="Arial"/>
          <w:bCs/>
          <w:i/>
          <w:iCs/>
        </w:rPr>
        <w:t xml:space="preserve"> OMB Compliance Supplement, Part 4, HUD, #14.850 </w:t>
      </w:r>
      <w:r>
        <w:rPr>
          <w:rFonts w:ascii="Arial" w:hAnsi="Arial" w:cs="Arial"/>
          <w:bCs/>
          <w:i/>
          <w:iCs/>
        </w:rPr>
        <w:t>Public Housing Operating Fund</w:t>
      </w:r>
      <w:r w:rsidRPr="004A14BF">
        <w:rPr>
          <w:rFonts w:ascii="Arial" w:hAnsi="Arial" w:cs="Arial"/>
          <w:bCs/>
          <w:i/>
          <w:iCs/>
        </w:rPr>
        <w:t>)</w:t>
      </w:r>
    </w:p>
    <w:p w14:paraId="0A731275" w14:textId="77777777" w:rsidR="005541E9" w:rsidRPr="000706D1" w:rsidRDefault="005541E9" w:rsidP="005541E9">
      <w:pPr>
        <w:pStyle w:val="Heading3"/>
        <w:jc w:val="both"/>
        <w:rPr>
          <w:rFonts w:cs="Arial"/>
          <w:sz w:val="24"/>
          <w:szCs w:val="24"/>
        </w:rPr>
      </w:pPr>
      <w:bookmarkStart w:id="158" w:name="_Toc212473215"/>
      <w:r w:rsidRPr="000706D1">
        <w:rPr>
          <w:rFonts w:cs="Arial"/>
          <w:sz w:val="24"/>
          <w:szCs w:val="24"/>
        </w:rPr>
        <w:t>Additional Program Specific Information</w:t>
      </w:r>
      <w:bookmarkEnd w:id="158"/>
    </w:p>
    <w:p w14:paraId="7B97D20A" w14:textId="77777777" w:rsidR="005541E9" w:rsidRPr="00AA5B05" w:rsidRDefault="005541E9" w:rsidP="005541E9">
      <w:pPr>
        <w:spacing w:after="240"/>
        <w:jc w:val="both"/>
        <w:rPr>
          <w:rFonts w:ascii="Arial" w:hAnsi="Arial" w:cs="Arial"/>
          <w:b/>
          <w:highlight w:val="yellow"/>
        </w:rPr>
      </w:pPr>
      <w:r w:rsidRPr="00AA5B05">
        <w:rPr>
          <w:rFonts w:ascii="Arial" w:hAnsi="Arial" w:cs="Arial"/>
          <w:b/>
          <w:highlight w:val="yellow"/>
        </w:rPr>
        <w:t>Add program specific requirements from:</w:t>
      </w:r>
    </w:p>
    <w:p w14:paraId="0A61CB0A" w14:textId="77777777" w:rsidR="005541E9" w:rsidRPr="00AA5B05" w:rsidRDefault="005541E9" w:rsidP="005541E9">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4B6E66B" w14:textId="77777777" w:rsidR="005541E9" w:rsidRPr="00AA5B05" w:rsidRDefault="005541E9" w:rsidP="005541E9">
      <w:pPr>
        <w:pStyle w:val="ListParagraph"/>
        <w:numPr>
          <w:ilvl w:val="0"/>
          <w:numId w:val="3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57B28204" w14:textId="77777777" w:rsidR="005541E9" w:rsidRPr="00AA5B05" w:rsidRDefault="005541E9" w:rsidP="005541E9">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7632C9E9" w14:textId="77777777" w:rsidR="005541E9" w:rsidRPr="00AA5B05" w:rsidRDefault="005541E9" w:rsidP="005541E9">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578F685" w14:textId="77777777" w:rsidR="005541E9" w:rsidRPr="000706D1" w:rsidRDefault="005541E9" w:rsidP="005541E9">
      <w:pPr>
        <w:pStyle w:val="Heading3"/>
        <w:jc w:val="both"/>
        <w:rPr>
          <w:rFonts w:cs="Arial"/>
          <w:sz w:val="24"/>
          <w:szCs w:val="24"/>
        </w:rPr>
      </w:pPr>
      <w:bookmarkStart w:id="159" w:name="_Toc212473216"/>
      <w:r w:rsidRPr="000706D1">
        <w:rPr>
          <w:rFonts w:cs="Arial"/>
          <w:sz w:val="24"/>
          <w:szCs w:val="24"/>
        </w:rPr>
        <w:t>Audit Objectives and Control Testing</w:t>
      </w:r>
      <w:bookmarkEnd w:id="159"/>
    </w:p>
    <w:p w14:paraId="5C95FDFE" w14:textId="77777777" w:rsidR="005541E9" w:rsidRPr="00F00D94" w:rsidRDefault="005541E9" w:rsidP="005541E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013DE387" w14:textId="77777777" w:rsidR="005541E9" w:rsidRPr="00F00D94" w:rsidRDefault="005541E9" w:rsidP="005541E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E4E54E3" w14:textId="77777777" w:rsidR="005541E9" w:rsidRDefault="005541E9" w:rsidP="005541E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5E1B4DB3" w14:textId="674492FF" w:rsidR="005541E9" w:rsidRDefault="00B82863" w:rsidP="00B82863">
      <w:pPr>
        <w:pStyle w:val="ListParagraph"/>
        <w:numPr>
          <w:ilvl w:val="0"/>
          <w:numId w:val="75"/>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B82863">
        <w:rPr>
          <w:rFonts w:ascii="Arial" w:hAnsi="Arial" w:cs="Arial"/>
          <w:iCs/>
        </w:rPr>
        <w:t>For the period under audit, determine whether the PHA tested for and remediated environmental contaminates, including but not limited to lead-based paint, radon gas, and mold to ensure that Public Housing met the physical condition standards for health and safety considerations set forth in 24 CFR section 5.703.</w:t>
      </w:r>
    </w:p>
    <w:p w14:paraId="1C37C530" w14:textId="3D7BFEF7" w:rsidR="00B82863" w:rsidRPr="00B82863" w:rsidRDefault="00B82863" w:rsidP="00B82863">
      <w:p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4A14BF">
        <w:rPr>
          <w:rFonts w:ascii="Arial" w:hAnsi="Arial" w:cs="Arial"/>
          <w:bCs/>
          <w:i/>
          <w:iCs/>
        </w:rPr>
        <w:t>(Source: 202</w:t>
      </w:r>
      <w:r>
        <w:rPr>
          <w:rFonts w:ascii="Arial" w:hAnsi="Arial" w:cs="Arial"/>
          <w:bCs/>
          <w:i/>
          <w:iCs/>
        </w:rPr>
        <w:t xml:space="preserve">5 </w:t>
      </w:r>
      <w:r w:rsidRPr="004A14BF">
        <w:rPr>
          <w:rFonts w:ascii="Arial" w:hAnsi="Arial" w:cs="Arial"/>
          <w:bCs/>
          <w:i/>
          <w:iCs/>
        </w:rPr>
        <w:t xml:space="preserve">OMB Compliance Supplement, Part 4, HUD, #14.850 </w:t>
      </w:r>
      <w:r>
        <w:rPr>
          <w:rFonts w:ascii="Arial" w:hAnsi="Arial" w:cs="Arial"/>
          <w:bCs/>
          <w:i/>
          <w:iCs/>
        </w:rPr>
        <w:t>Public Housing Operating Fund</w:t>
      </w:r>
      <w:r w:rsidRPr="004A14BF">
        <w:rPr>
          <w:rFonts w:ascii="Arial" w:hAnsi="Arial" w:cs="Arial"/>
          <w:bCs/>
          <w:i/>
          <w:iCs/>
        </w:rPr>
        <w:t>)</w:t>
      </w:r>
    </w:p>
    <w:p w14:paraId="5880AB09" w14:textId="77777777" w:rsidR="005541E9" w:rsidRPr="00634FA3" w:rsidRDefault="005541E9" w:rsidP="005541E9">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5541E9" w:rsidRPr="00F00D94" w14:paraId="05800A52" w14:textId="77777777" w:rsidTr="009F1483">
        <w:tc>
          <w:tcPr>
            <w:tcW w:w="5000" w:type="pct"/>
          </w:tcPr>
          <w:p w14:paraId="5B2E5E65" w14:textId="77777777" w:rsidR="005541E9" w:rsidRPr="006F5FFA" w:rsidRDefault="005541E9" w:rsidP="009F148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CE838A3" w14:textId="77777777" w:rsidR="005541E9" w:rsidRPr="00F00D94" w:rsidRDefault="005541E9" w:rsidP="009F148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3D186EE" w14:textId="77777777" w:rsidR="005541E9" w:rsidRPr="00F00D94" w:rsidRDefault="005541E9" w:rsidP="009F1483">
            <w:pPr>
              <w:pStyle w:val="AuditProcedureHeading"/>
              <w:spacing w:after="240"/>
              <w:jc w:val="both"/>
              <w:rPr>
                <w:rFonts w:cs="Arial"/>
                <w:b/>
                <w:bCs/>
                <w:szCs w:val="20"/>
                <w:u w:val="single"/>
              </w:rPr>
            </w:pPr>
          </w:p>
          <w:p w14:paraId="68321766" w14:textId="77777777" w:rsidR="005541E9" w:rsidRPr="00F00D94" w:rsidRDefault="005541E9" w:rsidP="009F148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4B89412" w14:textId="77777777" w:rsidR="005541E9" w:rsidRPr="00F00D94" w:rsidRDefault="005541E9" w:rsidP="009F1483">
            <w:pPr>
              <w:pStyle w:val="AuditProcedureHeading"/>
              <w:spacing w:after="240"/>
              <w:jc w:val="both"/>
              <w:rPr>
                <w:rFonts w:cs="Arial"/>
                <w:b/>
                <w:bCs/>
                <w:szCs w:val="20"/>
                <w:u w:val="single"/>
              </w:rPr>
            </w:pPr>
          </w:p>
          <w:p w14:paraId="18156596" w14:textId="77777777" w:rsidR="005541E9" w:rsidRPr="00F00D94" w:rsidRDefault="005541E9" w:rsidP="009F148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7E6E651" w14:textId="77777777" w:rsidR="005541E9" w:rsidRPr="00F00D94" w:rsidRDefault="005541E9" w:rsidP="009F1483">
            <w:pPr>
              <w:spacing w:after="240"/>
              <w:jc w:val="both"/>
              <w:rPr>
                <w:rFonts w:ascii="Arial" w:hAnsi="Arial" w:cs="Arial"/>
                <w:b/>
                <w:sz w:val="20"/>
                <w:u w:val="single"/>
              </w:rPr>
            </w:pPr>
          </w:p>
          <w:p w14:paraId="401E5518" w14:textId="77777777" w:rsidR="005541E9" w:rsidRPr="00F00D94" w:rsidRDefault="005541E9" w:rsidP="009F148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33EE0" w14:textId="77777777" w:rsidR="005541E9" w:rsidRPr="00C35E5F" w:rsidRDefault="005541E9" w:rsidP="009F1483">
            <w:pPr>
              <w:spacing w:after="240"/>
              <w:jc w:val="both"/>
              <w:rPr>
                <w:rFonts w:ascii="Arial" w:eastAsiaTheme="minorHAnsi" w:hAnsi="Arial" w:cs="Arial"/>
                <w:sz w:val="20"/>
                <w:szCs w:val="20"/>
              </w:rPr>
            </w:pPr>
          </w:p>
        </w:tc>
      </w:tr>
    </w:tbl>
    <w:p w14:paraId="1C189155" w14:textId="77777777" w:rsidR="005541E9" w:rsidRPr="00F00D94" w:rsidRDefault="005541E9" w:rsidP="005541E9">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758C1D6D" w14:textId="77777777" w:rsidR="005541E9" w:rsidRPr="000706D1" w:rsidRDefault="005541E9" w:rsidP="005541E9">
      <w:pPr>
        <w:pStyle w:val="Heading3"/>
        <w:jc w:val="both"/>
        <w:rPr>
          <w:rFonts w:cs="Arial"/>
          <w:sz w:val="24"/>
          <w:szCs w:val="24"/>
        </w:rPr>
      </w:pPr>
      <w:bookmarkStart w:id="160" w:name="_Toc212473217"/>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60"/>
    </w:p>
    <w:tbl>
      <w:tblPr>
        <w:tblStyle w:val="TableGrid"/>
        <w:tblW w:w="9558" w:type="dxa"/>
        <w:tblLayout w:type="fixed"/>
        <w:tblLook w:val="04A0" w:firstRow="1" w:lastRow="0" w:firstColumn="1" w:lastColumn="0" w:noHBand="0" w:noVBand="1"/>
      </w:tblPr>
      <w:tblGrid>
        <w:gridCol w:w="9558"/>
      </w:tblGrid>
      <w:tr w:rsidR="005541E9" w:rsidRPr="00F00D94" w14:paraId="4D4F2440" w14:textId="77777777" w:rsidTr="009F1483">
        <w:tc>
          <w:tcPr>
            <w:tcW w:w="9558" w:type="dxa"/>
          </w:tcPr>
          <w:p w14:paraId="1B51DD9B" w14:textId="77777777" w:rsidR="005541E9" w:rsidRDefault="005541E9" w:rsidP="009F1483">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EAF324A" w14:textId="77777777" w:rsidR="005541E9" w:rsidRPr="00AC7B25" w:rsidRDefault="005541E9" w:rsidP="009F1483">
            <w:pPr>
              <w:spacing w:after="240"/>
              <w:jc w:val="both"/>
              <w:rPr>
                <w:rFonts w:ascii="Arial" w:hAnsi="Arial" w:cs="Arial"/>
                <w:i/>
                <w:sz w:val="20"/>
                <w:szCs w:val="20"/>
              </w:rPr>
            </w:pPr>
            <w:r>
              <w:rPr>
                <w:rFonts w:ascii="Arial" w:hAnsi="Arial" w:cs="Arial"/>
                <w:i/>
                <w:sz w:val="20"/>
                <w:szCs w:val="20"/>
              </w:rPr>
              <w:t>(Source: 2025 OMB Compliance Supplement Part 3.2)</w:t>
            </w:r>
          </w:p>
          <w:p w14:paraId="1DACE507" w14:textId="285A6C87" w:rsidR="00B82863" w:rsidRPr="00B82863" w:rsidRDefault="00B82863" w:rsidP="00B82863">
            <w:pPr>
              <w:spacing w:after="240"/>
              <w:ind w:left="703" w:hanging="630"/>
              <w:jc w:val="both"/>
              <w:rPr>
                <w:rFonts w:ascii="Arial" w:hAnsi="Arial" w:cs="Arial"/>
                <w:sz w:val="20"/>
              </w:rPr>
            </w:pPr>
            <w:r w:rsidRPr="00B82863">
              <w:rPr>
                <w:rFonts w:ascii="Arial" w:hAnsi="Arial" w:cs="Arial"/>
                <w:sz w:val="20"/>
              </w:rPr>
              <w:t>a.</w:t>
            </w:r>
            <w:r w:rsidRPr="00B82863">
              <w:rPr>
                <w:rFonts w:ascii="Arial" w:hAnsi="Arial" w:cs="Arial"/>
                <w:sz w:val="20"/>
              </w:rPr>
              <w:tab/>
              <w:t>Determine if any physical inspections, required environmental tests, and/or environmental remediation activities were performed for the period under audit.</w:t>
            </w:r>
          </w:p>
          <w:p w14:paraId="4751737F" w14:textId="5B2EA99D" w:rsidR="00B82863" w:rsidRPr="00B82863" w:rsidRDefault="00B82863" w:rsidP="00B82863">
            <w:pPr>
              <w:spacing w:after="240"/>
              <w:ind w:left="703" w:hanging="630"/>
              <w:jc w:val="both"/>
              <w:rPr>
                <w:rFonts w:ascii="Arial" w:hAnsi="Arial" w:cs="Arial"/>
                <w:sz w:val="20"/>
              </w:rPr>
            </w:pPr>
            <w:r w:rsidRPr="00B82863">
              <w:rPr>
                <w:rFonts w:ascii="Arial" w:hAnsi="Arial" w:cs="Arial"/>
                <w:sz w:val="20"/>
              </w:rPr>
              <w:t>b.</w:t>
            </w:r>
            <w:r w:rsidRPr="00B82863">
              <w:rPr>
                <w:rFonts w:ascii="Arial" w:hAnsi="Arial" w:cs="Arial"/>
                <w:sz w:val="20"/>
              </w:rPr>
              <w:tab/>
              <w:t>Obtain and read all reports identified from procedure a. and determine if any health and safety considerations were observed.</w:t>
            </w:r>
          </w:p>
          <w:p w14:paraId="1E3579EF" w14:textId="44B54601" w:rsidR="00B82863" w:rsidRPr="00B82863" w:rsidRDefault="00B82863" w:rsidP="00B82863">
            <w:pPr>
              <w:spacing w:after="240"/>
              <w:ind w:left="703" w:hanging="630"/>
              <w:jc w:val="both"/>
              <w:rPr>
                <w:rFonts w:ascii="Arial" w:hAnsi="Arial" w:cs="Arial"/>
                <w:sz w:val="20"/>
              </w:rPr>
            </w:pPr>
            <w:r w:rsidRPr="00B82863">
              <w:rPr>
                <w:rFonts w:ascii="Arial" w:hAnsi="Arial" w:cs="Arial"/>
                <w:sz w:val="20"/>
              </w:rPr>
              <w:t>c.</w:t>
            </w:r>
            <w:r w:rsidRPr="00B82863">
              <w:rPr>
                <w:rFonts w:ascii="Arial" w:hAnsi="Arial" w:cs="Arial"/>
                <w:sz w:val="20"/>
              </w:rPr>
              <w:tab/>
              <w:t>If so, determine if the PHA documented that they remediated the safety concern(s).</w:t>
            </w:r>
          </w:p>
          <w:p w14:paraId="12291674" w14:textId="04939926" w:rsidR="00B82863" w:rsidRPr="00B82863" w:rsidRDefault="00B82863" w:rsidP="00B82863">
            <w:pPr>
              <w:spacing w:after="240"/>
              <w:ind w:left="703" w:hanging="630"/>
              <w:jc w:val="both"/>
              <w:rPr>
                <w:rFonts w:ascii="Arial" w:hAnsi="Arial" w:cs="Arial"/>
                <w:sz w:val="20"/>
              </w:rPr>
            </w:pPr>
            <w:r w:rsidRPr="00B82863">
              <w:rPr>
                <w:rFonts w:ascii="Arial" w:hAnsi="Arial" w:cs="Arial"/>
                <w:sz w:val="20"/>
              </w:rPr>
              <w:t>d.</w:t>
            </w:r>
            <w:r w:rsidRPr="00B82863">
              <w:rPr>
                <w:rFonts w:ascii="Arial" w:hAnsi="Arial" w:cs="Arial"/>
                <w:sz w:val="20"/>
              </w:rPr>
              <w:tab/>
              <w:t>If no physical inspection or environmental testing was performed, record the status for each and determine whether the PHA identified in some other manner that a violation of the physical condition standards for health and safety considerations, set forth in 24 CFR section 5.703, occurred. And, if so, that the PHA documented that they remediated the safety concern.</w:t>
            </w:r>
          </w:p>
        </w:tc>
      </w:tr>
    </w:tbl>
    <w:p w14:paraId="702E895B" w14:textId="77777777" w:rsidR="005541E9" w:rsidRPr="00F00D94" w:rsidRDefault="005541E9" w:rsidP="005541E9">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44586DA8" w14:textId="77777777" w:rsidR="005541E9" w:rsidRPr="000706D1" w:rsidRDefault="005541E9" w:rsidP="005541E9">
      <w:pPr>
        <w:pStyle w:val="Heading3"/>
        <w:jc w:val="both"/>
        <w:rPr>
          <w:rFonts w:cs="Arial"/>
          <w:b w:val="0"/>
          <w:sz w:val="24"/>
          <w:szCs w:val="24"/>
        </w:rPr>
      </w:pPr>
      <w:bookmarkStart w:id="161" w:name="_Toc212473218"/>
      <w:r w:rsidRPr="000706D1">
        <w:rPr>
          <w:rFonts w:cs="Arial"/>
          <w:sz w:val="24"/>
          <w:szCs w:val="24"/>
        </w:rPr>
        <w:t>Audit Implications Summary</w:t>
      </w:r>
      <w:bookmarkEnd w:id="161"/>
    </w:p>
    <w:tbl>
      <w:tblPr>
        <w:tblStyle w:val="TableGrid"/>
        <w:tblW w:w="5000" w:type="pct"/>
        <w:tblLook w:val="04A0" w:firstRow="1" w:lastRow="0" w:firstColumn="1" w:lastColumn="0" w:noHBand="0" w:noVBand="1"/>
      </w:tblPr>
      <w:tblGrid>
        <w:gridCol w:w="9350"/>
      </w:tblGrid>
      <w:tr w:rsidR="005541E9" w:rsidRPr="00F00D94" w14:paraId="7E190401" w14:textId="77777777" w:rsidTr="009F1483">
        <w:tc>
          <w:tcPr>
            <w:tcW w:w="5000" w:type="pct"/>
          </w:tcPr>
          <w:p w14:paraId="0F739AC7" w14:textId="77777777" w:rsidR="005541E9" w:rsidRDefault="005541E9" w:rsidP="009F148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6105887A" w14:textId="77777777" w:rsidR="005541E9" w:rsidRPr="006E46AD" w:rsidRDefault="005541E9" w:rsidP="009F1483">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2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C519566" w14:textId="77777777" w:rsidR="005541E9" w:rsidRPr="006E46AD" w:rsidRDefault="005541E9" w:rsidP="00B82863">
            <w:pPr>
              <w:pStyle w:val="ListParagraph"/>
              <w:widowControl w:val="0"/>
              <w:numPr>
                <w:ilvl w:val="0"/>
                <w:numId w:val="76"/>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50DD452B" w14:textId="77777777" w:rsidR="005541E9" w:rsidRPr="006E46AD" w:rsidRDefault="005541E9" w:rsidP="009F1483">
            <w:pPr>
              <w:widowControl w:val="0"/>
              <w:spacing w:after="240"/>
              <w:ind w:left="720"/>
              <w:jc w:val="both"/>
              <w:rPr>
                <w:rFonts w:ascii="Arial" w:hAnsi="Arial" w:cs="Arial"/>
                <w:b/>
                <w:sz w:val="20"/>
                <w:szCs w:val="20"/>
              </w:rPr>
            </w:pPr>
          </w:p>
          <w:p w14:paraId="53B357AA" w14:textId="77777777" w:rsidR="005541E9" w:rsidRPr="006E46AD" w:rsidRDefault="005541E9" w:rsidP="00B82863">
            <w:pPr>
              <w:widowControl w:val="0"/>
              <w:numPr>
                <w:ilvl w:val="0"/>
                <w:numId w:val="76"/>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236F4D1" w14:textId="77777777" w:rsidR="005541E9" w:rsidRPr="00F00D94" w:rsidRDefault="005541E9" w:rsidP="009F1483">
            <w:pPr>
              <w:pStyle w:val="ListParagraph"/>
              <w:spacing w:after="240"/>
              <w:jc w:val="both"/>
              <w:rPr>
                <w:rFonts w:ascii="Arial" w:hAnsi="Arial" w:cs="Arial"/>
                <w:b/>
              </w:rPr>
            </w:pPr>
          </w:p>
          <w:p w14:paraId="315ACA85" w14:textId="77777777" w:rsidR="005541E9" w:rsidRPr="00F00D94" w:rsidRDefault="005541E9" w:rsidP="00B82863">
            <w:pPr>
              <w:widowControl w:val="0"/>
              <w:numPr>
                <w:ilvl w:val="0"/>
                <w:numId w:val="76"/>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03182CEF" w14:textId="77777777" w:rsidR="005541E9" w:rsidRPr="00F00D94" w:rsidRDefault="005541E9" w:rsidP="009F1483">
            <w:pPr>
              <w:pStyle w:val="ListParagraph"/>
              <w:spacing w:after="240"/>
              <w:jc w:val="both"/>
              <w:rPr>
                <w:rFonts w:ascii="Arial" w:hAnsi="Arial" w:cs="Arial"/>
                <w:b/>
              </w:rPr>
            </w:pPr>
          </w:p>
          <w:p w14:paraId="51806D6B" w14:textId="77777777" w:rsidR="005541E9" w:rsidRPr="00F00D94" w:rsidRDefault="005541E9" w:rsidP="00B82863">
            <w:pPr>
              <w:widowControl w:val="0"/>
              <w:numPr>
                <w:ilvl w:val="0"/>
                <w:numId w:val="7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6F27C3D" w14:textId="77777777" w:rsidR="005541E9" w:rsidRPr="00F00D94" w:rsidRDefault="005541E9" w:rsidP="009F1483">
            <w:pPr>
              <w:pStyle w:val="ListParagraph"/>
              <w:spacing w:after="240"/>
              <w:jc w:val="both"/>
              <w:rPr>
                <w:rFonts w:ascii="Arial" w:hAnsi="Arial" w:cs="Arial"/>
                <w:b/>
              </w:rPr>
            </w:pPr>
          </w:p>
          <w:p w14:paraId="5F94FCE3" w14:textId="77777777" w:rsidR="005541E9" w:rsidRPr="00F00D94" w:rsidRDefault="005541E9" w:rsidP="00B82863">
            <w:pPr>
              <w:widowControl w:val="0"/>
              <w:numPr>
                <w:ilvl w:val="0"/>
                <w:numId w:val="7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1B66A4D" w14:textId="77777777" w:rsidR="005541E9" w:rsidRPr="00F00D94" w:rsidRDefault="005541E9" w:rsidP="009F1483">
            <w:pPr>
              <w:pStyle w:val="APStepItem"/>
              <w:numPr>
                <w:ilvl w:val="0"/>
                <w:numId w:val="0"/>
              </w:numPr>
              <w:spacing w:after="240"/>
              <w:rPr>
                <w:rFonts w:cs="Arial"/>
                <w:b/>
              </w:rPr>
            </w:pPr>
          </w:p>
        </w:tc>
      </w:tr>
    </w:tbl>
    <w:p w14:paraId="44840514" w14:textId="77777777" w:rsidR="003A6024" w:rsidRDefault="003A6024" w:rsidP="003A6024">
      <w:pPr>
        <w:pStyle w:val="Heading2"/>
        <w:jc w:val="both"/>
        <w:rPr>
          <w:rFonts w:cs="Arial"/>
          <w:sz w:val="24"/>
        </w:rPr>
        <w:sectPr w:rsidR="003A6024" w:rsidSect="003A6024">
          <w:headerReference w:type="default" r:id="rId122"/>
          <w:pgSz w:w="12240" w:h="15840" w:code="1"/>
          <w:pgMar w:top="1440" w:right="1440" w:bottom="1440" w:left="1440" w:header="720" w:footer="720" w:gutter="0"/>
          <w:cols w:space="720"/>
          <w:docGrid w:linePitch="360"/>
        </w:sectPr>
      </w:pPr>
    </w:p>
    <w:p w14:paraId="315E9CE2" w14:textId="4F9C8420" w:rsidR="003A6024" w:rsidRPr="000706D1" w:rsidRDefault="003A6024" w:rsidP="003A6024">
      <w:pPr>
        <w:pStyle w:val="Heading2"/>
        <w:jc w:val="both"/>
        <w:rPr>
          <w:rFonts w:cs="Arial"/>
          <w:sz w:val="24"/>
        </w:rPr>
      </w:pPr>
      <w:bookmarkStart w:id="162" w:name="_Toc212473219"/>
      <w:r w:rsidRPr="000706D1">
        <w:rPr>
          <w:rFonts w:cs="Arial"/>
          <w:sz w:val="24"/>
        </w:rPr>
        <w:t>N</w:t>
      </w:r>
      <w:r w:rsidR="00174E6A">
        <w:rPr>
          <w:rFonts w:cs="Arial"/>
          <w:sz w:val="24"/>
        </w:rPr>
        <w:t>17</w:t>
      </w:r>
      <w:r w:rsidRPr="000706D1">
        <w:rPr>
          <w:rFonts w:cs="Arial"/>
          <w:sz w:val="24"/>
        </w:rPr>
        <w:t>.  SPECIAL TESTS AND PROVISIONS</w:t>
      </w:r>
      <w:r w:rsidR="00174E6A">
        <w:rPr>
          <w:rFonts w:cs="Arial"/>
          <w:sz w:val="24"/>
        </w:rPr>
        <w:t xml:space="preserve"> – UEL FORMULA (FORM 52722 OMB APPROVAL NO. 2577-0029)</w:t>
      </w:r>
      <w:bookmarkEnd w:id="162"/>
    </w:p>
    <w:p w14:paraId="15B56092" w14:textId="77777777" w:rsidR="003A6024" w:rsidRPr="000706D1" w:rsidRDefault="003A6024" w:rsidP="003A6024">
      <w:pPr>
        <w:pStyle w:val="Heading3"/>
        <w:jc w:val="both"/>
        <w:rPr>
          <w:rFonts w:cs="Arial"/>
          <w:sz w:val="24"/>
          <w:szCs w:val="24"/>
        </w:rPr>
      </w:pPr>
      <w:bookmarkStart w:id="163" w:name="_Toc212473220"/>
      <w:r w:rsidRPr="000706D1">
        <w:rPr>
          <w:rFonts w:cs="Arial"/>
          <w:sz w:val="24"/>
          <w:szCs w:val="24"/>
        </w:rPr>
        <w:t>OMB Compliance Requirements</w:t>
      </w:r>
      <w:bookmarkEnd w:id="163"/>
    </w:p>
    <w:p w14:paraId="6A468C0A" w14:textId="77777777" w:rsidR="003A6024" w:rsidRPr="005C1EBC" w:rsidRDefault="003A6024" w:rsidP="003A6024">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2F775505" w14:textId="77777777" w:rsidR="003A6024" w:rsidRPr="00F00D94" w:rsidRDefault="003A6024" w:rsidP="003A6024">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10055E30" w14:textId="77777777" w:rsidR="003A6024" w:rsidRPr="00F00D94" w:rsidRDefault="003A6024" w:rsidP="003A6024">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38FB01D9" w14:textId="77777777" w:rsidR="003A6024" w:rsidRPr="000706D1" w:rsidRDefault="003A6024" w:rsidP="003A6024">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3BAC1331" w14:textId="3DA4D293" w:rsidR="00174E6A" w:rsidRPr="00174E6A" w:rsidRDefault="00174E6A" w:rsidP="00174E6A">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174E6A">
        <w:rPr>
          <w:rFonts w:ascii="Arial" w:hAnsi="Arial" w:cs="Arial"/>
          <w:bCs/>
        </w:rPr>
        <w:t>The Utility Expense Level (UEL) calculates the utility portion of the Operating Fund subsidy. The UEL is a primary component of the annual operating subsidy grant revenue provided to the PHAs. This compliance supplement requires testing of rolling base data. PHAs must retain such data pursuant to</w:t>
      </w:r>
      <w:r w:rsidR="00E6567C">
        <w:rPr>
          <w:rFonts w:ascii="Arial" w:hAnsi="Arial" w:cs="Arial"/>
          <w:bCs/>
        </w:rPr>
        <w:t xml:space="preserve"> </w:t>
      </w:r>
      <w:r w:rsidRPr="00174E6A">
        <w:rPr>
          <w:rFonts w:ascii="Arial" w:hAnsi="Arial" w:cs="Arial"/>
          <w:bCs/>
        </w:rPr>
        <w:t>990.325. PHAs receive invoices for utilities. The consumption and cost data from those invoices are aggregated in an Excel workbook or other platform, commonly referred to as a utility ledger. The aggregated data is transferred to Form 52722. The auditors should perform a random sample of each of the main utility types (gas, water/sewer, electric, etc.) to review the accuracy of the unit of measure, consumption, and cost data reported</w:t>
      </w:r>
      <w:r>
        <w:rPr>
          <w:rFonts w:ascii="Arial" w:hAnsi="Arial" w:cs="Arial"/>
          <w:bCs/>
        </w:rPr>
        <w:t xml:space="preserve"> </w:t>
      </w:r>
      <w:r w:rsidRPr="00174E6A">
        <w:rPr>
          <w:rFonts w:ascii="Arial" w:hAnsi="Arial" w:cs="Arial"/>
          <w:bCs/>
        </w:rPr>
        <w:t xml:space="preserve">on document Form </w:t>
      </w:r>
      <w:hyperlink r:id="rId123" w:history="1">
        <w:r w:rsidRPr="00174E6A">
          <w:rPr>
            <w:rStyle w:val="Hyperlink"/>
            <w:rFonts w:cs="Arial"/>
            <w:bCs/>
          </w:rPr>
          <w:t>52722</w:t>
        </w:r>
      </w:hyperlink>
      <w:r>
        <w:rPr>
          <w:rFonts w:ascii="Arial" w:hAnsi="Arial" w:cs="Arial"/>
          <w:bCs/>
        </w:rPr>
        <w:t>.</w:t>
      </w:r>
    </w:p>
    <w:p w14:paraId="014CD3D6" w14:textId="2AE7596D" w:rsidR="003A6024" w:rsidRPr="00174E6A" w:rsidRDefault="00174E6A" w:rsidP="00174E6A">
      <w:pPr>
        <w:spacing w:after="240"/>
        <w:jc w:val="both"/>
        <w:rPr>
          <w:rFonts w:ascii="Arial" w:hAnsi="Arial" w:cs="Arial"/>
          <w:bCs/>
          <w:i/>
          <w:iCs/>
        </w:rPr>
      </w:pPr>
      <w:r w:rsidRPr="004A14BF">
        <w:rPr>
          <w:rFonts w:ascii="Arial" w:hAnsi="Arial" w:cs="Arial"/>
          <w:bCs/>
          <w:i/>
          <w:iCs/>
        </w:rPr>
        <w:t>(Source: 202</w:t>
      </w:r>
      <w:r>
        <w:rPr>
          <w:rFonts w:ascii="Arial" w:hAnsi="Arial" w:cs="Arial"/>
          <w:bCs/>
          <w:i/>
          <w:iCs/>
        </w:rPr>
        <w:t>5</w:t>
      </w:r>
      <w:r w:rsidRPr="004A14BF">
        <w:rPr>
          <w:rFonts w:ascii="Arial" w:hAnsi="Arial" w:cs="Arial"/>
          <w:bCs/>
          <w:i/>
          <w:iCs/>
        </w:rPr>
        <w:t xml:space="preserve"> OMB Compliance Supplement, Part 4, HUD, #14.850 </w:t>
      </w:r>
      <w:r>
        <w:rPr>
          <w:rFonts w:ascii="Arial" w:hAnsi="Arial" w:cs="Arial"/>
          <w:bCs/>
          <w:i/>
          <w:iCs/>
        </w:rPr>
        <w:t>Public Housing Operating Fund</w:t>
      </w:r>
      <w:r w:rsidRPr="004A14BF">
        <w:rPr>
          <w:rFonts w:ascii="Arial" w:hAnsi="Arial" w:cs="Arial"/>
          <w:bCs/>
          <w:i/>
          <w:iCs/>
        </w:rPr>
        <w:t>)</w:t>
      </w:r>
    </w:p>
    <w:p w14:paraId="7B6759A2" w14:textId="77777777" w:rsidR="003A6024" w:rsidRPr="000706D1" w:rsidRDefault="003A6024" w:rsidP="003A6024">
      <w:pPr>
        <w:pStyle w:val="Heading3"/>
        <w:jc w:val="both"/>
        <w:rPr>
          <w:rFonts w:cs="Arial"/>
          <w:sz w:val="24"/>
          <w:szCs w:val="24"/>
        </w:rPr>
      </w:pPr>
      <w:bookmarkStart w:id="164" w:name="_Toc212473221"/>
      <w:r w:rsidRPr="000706D1">
        <w:rPr>
          <w:rFonts w:cs="Arial"/>
          <w:sz w:val="24"/>
          <w:szCs w:val="24"/>
        </w:rPr>
        <w:t>Additional Program Specific Information</w:t>
      </w:r>
      <w:bookmarkEnd w:id="164"/>
    </w:p>
    <w:p w14:paraId="46E69217" w14:textId="77777777" w:rsidR="003A6024" w:rsidRPr="00AA5B05" w:rsidRDefault="003A6024" w:rsidP="003A6024">
      <w:pPr>
        <w:spacing w:after="240"/>
        <w:jc w:val="both"/>
        <w:rPr>
          <w:rFonts w:ascii="Arial" w:hAnsi="Arial" w:cs="Arial"/>
          <w:b/>
          <w:highlight w:val="yellow"/>
        </w:rPr>
      </w:pPr>
      <w:r w:rsidRPr="00AA5B05">
        <w:rPr>
          <w:rFonts w:ascii="Arial" w:hAnsi="Arial" w:cs="Arial"/>
          <w:b/>
          <w:highlight w:val="yellow"/>
        </w:rPr>
        <w:t>Add program specific requirements from:</w:t>
      </w:r>
    </w:p>
    <w:p w14:paraId="167F5380" w14:textId="77777777" w:rsidR="003A6024" w:rsidRPr="00AA5B05" w:rsidRDefault="003A6024" w:rsidP="003A6024">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2DB3127E" w14:textId="77777777" w:rsidR="003A6024" w:rsidRPr="00AA5B05" w:rsidRDefault="003A6024" w:rsidP="003A6024">
      <w:pPr>
        <w:pStyle w:val="ListParagraph"/>
        <w:numPr>
          <w:ilvl w:val="0"/>
          <w:numId w:val="3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49D94011" w14:textId="77777777" w:rsidR="003A6024" w:rsidRPr="00AA5B05" w:rsidRDefault="003A6024" w:rsidP="003A6024">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2E7BB347" w14:textId="77777777" w:rsidR="003A6024" w:rsidRPr="00AA5B05" w:rsidRDefault="003A6024" w:rsidP="003A6024">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A99823C" w14:textId="77777777" w:rsidR="003A6024" w:rsidRPr="000706D1" w:rsidRDefault="003A6024" w:rsidP="003A6024">
      <w:pPr>
        <w:pStyle w:val="Heading3"/>
        <w:jc w:val="both"/>
        <w:rPr>
          <w:rFonts w:cs="Arial"/>
          <w:sz w:val="24"/>
          <w:szCs w:val="24"/>
        </w:rPr>
      </w:pPr>
      <w:bookmarkStart w:id="165" w:name="_Toc212473222"/>
      <w:r w:rsidRPr="000706D1">
        <w:rPr>
          <w:rFonts w:cs="Arial"/>
          <w:sz w:val="24"/>
          <w:szCs w:val="24"/>
        </w:rPr>
        <w:t>Audit Objectives and Control Testing</w:t>
      </w:r>
      <w:bookmarkEnd w:id="165"/>
    </w:p>
    <w:p w14:paraId="4E2610A9" w14:textId="77777777" w:rsidR="003A6024" w:rsidRPr="00F00D94" w:rsidRDefault="003A6024" w:rsidP="003A602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55A0D92" w14:textId="77777777" w:rsidR="003A6024" w:rsidRPr="00F00D94" w:rsidRDefault="003A6024" w:rsidP="003A602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AC75C47" w14:textId="77777777" w:rsidR="003A6024" w:rsidRDefault="003A6024" w:rsidP="003A6024">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1D2BD926" w14:textId="13776826" w:rsidR="003A6024" w:rsidRDefault="00174E6A" w:rsidP="00174E6A">
      <w:pPr>
        <w:pStyle w:val="ListParagraph"/>
        <w:numPr>
          <w:ilvl w:val="0"/>
          <w:numId w:val="77"/>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174E6A">
        <w:rPr>
          <w:rFonts w:ascii="Arial" w:hAnsi="Arial" w:cs="Arial"/>
          <w:iCs/>
        </w:rPr>
        <w:t>Determine if the HUD document Form 52722 accurately reflects all current and historic utility costs and consumption. Verify that all needed adjustments due to changing units of measurement and eligible unit months have been accurately completed. Complete a trend analysis that identifies any abnormal variances of the historic utility data, including the cost and consumption.</w:t>
      </w:r>
    </w:p>
    <w:p w14:paraId="6B58DB02" w14:textId="79F91C8C" w:rsidR="00174E6A" w:rsidRPr="00174E6A" w:rsidRDefault="00174E6A" w:rsidP="00174E6A">
      <w:pPr>
        <w:spacing w:after="240"/>
        <w:jc w:val="both"/>
        <w:rPr>
          <w:rFonts w:ascii="Arial" w:hAnsi="Arial" w:cs="Arial"/>
          <w:bCs/>
          <w:i/>
          <w:iCs/>
        </w:rPr>
      </w:pPr>
      <w:r w:rsidRPr="00174E6A">
        <w:rPr>
          <w:rFonts w:ascii="Arial" w:hAnsi="Arial" w:cs="Arial"/>
          <w:bCs/>
          <w:i/>
          <w:iCs/>
        </w:rPr>
        <w:t>(Source: 202</w:t>
      </w:r>
      <w:r>
        <w:rPr>
          <w:rFonts w:ascii="Arial" w:hAnsi="Arial" w:cs="Arial"/>
          <w:bCs/>
          <w:i/>
          <w:iCs/>
        </w:rPr>
        <w:t>5</w:t>
      </w:r>
      <w:r w:rsidRPr="00174E6A">
        <w:rPr>
          <w:rFonts w:ascii="Arial" w:hAnsi="Arial" w:cs="Arial"/>
          <w:bCs/>
          <w:i/>
          <w:iCs/>
        </w:rPr>
        <w:t xml:space="preserve"> OMB Compliance Supplement, Part 4, HUD, #14.850 Public Housing Operating Fund)</w:t>
      </w:r>
    </w:p>
    <w:p w14:paraId="363659FA" w14:textId="77777777" w:rsidR="003A6024" w:rsidRPr="00634FA3" w:rsidRDefault="003A6024" w:rsidP="003A6024">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3A6024" w:rsidRPr="00F00D94" w14:paraId="6ACB9BF7" w14:textId="77777777" w:rsidTr="009F1483">
        <w:tc>
          <w:tcPr>
            <w:tcW w:w="5000" w:type="pct"/>
          </w:tcPr>
          <w:p w14:paraId="5E26971F" w14:textId="77777777" w:rsidR="003A6024" w:rsidRPr="006F5FFA" w:rsidRDefault="003A6024" w:rsidP="009F148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9806F29" w14:textId="77777777" w:rsidR="003A6024" w:rsidRPr="00F00D94" w:rsidRDefault="003A6024" w:rsidP="009F148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F3524C7" w14:textId="77777777" w:rsidR="003A6024" w:rsidRPr="00F00D94" w:rsidRDefault="003A6024" w:rsidP="009F1483">
            <w:pPr>
              <w:pStyle w:val="AuditProcedureHeading"/>
              <w:spacing w:after="240"/>
              <w:jc w:val="both"/>
              <w:rPr>
                <w:rFonts w:cs="Arial"/>
                <w:b/>
                <w:bCs/>
                <w:szCs w:val="20"/>
                <w:u w:val="single"/>
              </w:rPr>
            </w:pPr>
          </w:p>
          <w:p w14:paraId="54D0B890" w14:textId="77777777" w:rsidR="003A6024" w:rsidRPr="00F00D94" w:rsidRDefault="003A6024" w:rsidP="009F148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6455715" w14:textId="77777777" w:rsidR="003A6024" w:rsidRPr="00F00D94" w:rsidRDefault="003A6024" w:rsidP="009F1483">
            <w:pPr>
              <w:pStyle w:val="AuditProcedureHeading"/>
              <w:spacing w:after="240"/>
              <w:jc w:val="both"/>
              <w:rPr>
                <w:rFonts w:cs="Arial"/>
                <w:b/>
                <w:bCs/>
                <w:szCs w:val="20"/>
                <w:u w:val="single"/>
              </w:rPr>
            </w:pPr>
          </w:p>
          <w:p w14:paraId="0D2ABA9E" w14:textId="77777777" w:rsidR="003A6024" w:rsidRPr="00F00D94" w:rsidRDefault="003A6024" w:rsidP="009F148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B45E7C9" w14:textId="77777777" w:rsidR="003A6024" w:rsidRPr="00F00D94" w:rsidRDefault="003A6024" w:rsidP="009F1483">
            <w:pPr>
              <w:spacing w:after="240"/>
              <w:jc w:val="both"/>
              <w:rPr>
                <w:rFonts w:ascii="Arial" w:hAnsi="Arial" w:cs="Arial"/>
                <w:b/>
                <w:sz w:val="20"/>
                <w:u w:val="single"/>
              </w:rPr>
            </w:pPr>
          </w:p>
          <w:p w14:paraId="03D9E031" w14:textId="77777777" w:rsidR="003A6024" w:rsidRPr="00F00D94" w:rsidRDefault="003A6024" w:rsidP="009F148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587A66EE" w14:textId="77777777" w:rsidR="003A6024" w:rsidRPr="00C35E5F" w:rsidRDefault="003A6024" w:rsidP="009F1483">
            <w:pPr>
              <w:spacing w:after="240"/>
              <w:jc w:val="both"/>
              <w:rPr>
                <w:rFonts w:ascii="Arial" w:eastAsiaTheme="minorHAnsi" w:hAnsi="Arial" w:cs="Arial"/>
                <w:sz w:val="20"/>
                <w:szCs w:val="20"/>
              </w:rPr>
            </w:pPr>
          </w:p>
        </w:tc>
      </w:tr>
    </w:tbl>
    <w:p w14:paraId="202B34F7" w14:textId="77777777" w:rsidR="003A6024" w:rsidRPr="00F00D94" w:rsidRDefault="003A6024" w:rsidP="003A602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49BA04D" w14:textId="77777777" w:rsidR="003A6024" w:rsidRPr="000706D1" w:rsidRDefault="003A6024" w:rsidP="003A6024">
      <w:pPr>
        <w:pStyle w:val="Heading3"/>
        <w:jc w:val="both"/>
        <w:rPr>
          <w:rFonts w:cs="Arial"/>
          <w:sz w:val="24"/>
          <w:szCs w:val="24"/>
        </w:rPr>
      </w:pPr>
      <w:bookmarkStart w:id="166" w:name="_Toc212473223"/>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66"/>
    </w:p>
    <w:tbl>
      <w:tblPr>
        <w:tblStyle w:val="TableGrid"/>
        <w:tblW w:w="9558" w:type="dxa"/>
        <w:tblLayout w:type="fixed"/>
        <w:tblLook w:val="04A0" w:firstRow="1" w:lastRow="0" w:firstColumn="1" w:lastColumn="0" w:noHBand="0" w:noVBand="1"/>
      </w:tblPr>
      <w:tblGrid>
        <w:gridCol w:w="9558"/>
      </w:tblGrid>
      <w:tr w:rsidR="003A6024" w:rsidRPr="00F00D94" w14:paraId="6AA98D0F" w14:textId="77777777" w:rsidTr="009F1483">
        <w:tc>
          <w:tcPr>
            <w:tcW w:w="9558" w:type="dxa"/>
          </w:tcPr>
          <w:p w14:paraId="51618921" w14:textId="77777777" w:rsidR="003A6024" w:rsidRDefault="003A6024" w:rsidP="009F1483">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5D6AB0E" w14:textId="77777777" w:rsidR="003A6024" w:rsidRPr="00AC7B25" w:rsidRDefault="003A6024" w:rsidP="009F1483">
            <w:pPr>
              <w:spacing w:after="240"/>
              <w:jc w:val="both"/>
              <w:rPr>
                <w:rFonts w:ascii="Arial" w:hAnsi="Arial" w:cs="Arial"/>
                <w:i/>
                <w:sz w:val="20"/>
                <w:szCs w:val="20"/>
              </w:rPr>
            </w:pPr>
            <w:r>
              <w:rPr>
                <w:rFonts w:ascii="Arial" w:hAnsi="Arial" w:cs="Arial"/>
                <w:i/>
                <w:sz w:val="20"/>
                <w:szCs w:val="20"/>
              </w:rPr>
              <w:t>(Source: 2025 OMB Compliance Supplement Part 3.2)</w:t>
            </w:r>
          </w:p>
          <w:p w14:paraId="1DD08972" w14:textId="03C5A08A" w:rsidR="00174E6A" w:rsidRDefault="00174E6A" w:rsidP="00174E6A">
            <w:pPr>
              <w:pStyle w:val="ListParagraph"/>
              <w:widowControl w:val="0"/>
              <w:numPr>
                <w:ilvl w:val="0"/>
                <w:numId w:val="78"/>
              </w:numPr>
              <w:tabs>
                <w:tab w:val="left" w:pos="720"/>
              </w:tabs>
              <w:suppressAutoHyphens w:val="0"/>
              <w:adjustRightInd/>
              <w:ind w:left="720"/>
              <w:jc w:val="both"/>
              <w:rPr>
                <w:rFonts w:ascii="Arial" w:hAnsi="Arial" w:cs="Arial"/>
                <w:sz w:val="20"/>
                <w:szCs w:val="20"/>
              </w:rPr>
            </w:pPr>
            <w:r w:rsidRPr="00A42A45">
              <w:rPr>
                <w:rFonts w:ascii="Arial" w:hAnsi="Arial" w:cs="Arial"/>
                <w:sz w:val="20"/>
                <w:szCs w:val="20"/>
              </w:rPr>
              <w:t>Verify the consumption unit of measure is consistent on Form 52722 (i.e., the utility ledger and the utility invoice (bill)) (Section 2-line 01a on Form</w:t>
            </w:r>
            <w:r w:rsidRPr="00A42A45">
              <w:rPr>
                <w:rFonts w:ascii="Arial" w:hAnsi="Arial" w:cs="Arial"/>
                <w:spacing w:val="-25"/>
                <w:sz w:val="20"/>
                <w:szCs w:val="20"/>
              </w:rPr>
              <w:t xml:space="preserve"> </w:t>
            </w:r>
            <w:r w:rsidRPr="00A42A45">
              <w:rPr>
                <w:rFonts w:ascii="Arial" w:hAnsi="Arial" w:cs="Arial"/>
                <w:sz w:val="20"/>
                <w:szCs w:val="20"/>
              </w:rPr>
              <w:t>52722).</w:t>
            </w:r>
          </w:p>
          <w:p w14:paraId="6F527CC7" w14:textId="77777777" w:rsidR="00174E6A" w:rsidRPr="00174E6A" w:rsidRDefault="00174E6A" w:rsidP="00174E6A">
            <w:pPr>
              <w:pStyle w:val="ListParagraph"/>
              <w:widowControl w:val="0"/>
              <w:tabs>
                <w:tab w:val="left" w:pos="720"/>
              </w:tabs>
              <w:suppressAutoHyphens w:val="0"/>
              <w:adjustRightInd/>
              <w:jc w:val="both"/>
              <w:rPr>
                <w:rFonts w:ascii="Arial" w:hAnsi="Arial" w:cs="Arial"/>
                <w:sz w:val="20"/>
                <w:szCs w:val="20"/>
              </w:rPr>
            </w:pPr>
          </w:p>
          <w:p w14:paraId="79F522EE" w14:textId="55209390" w:rsidR="00174E6A" w:rsidRDefault="00174E6A" w:rsidP="00174E6A">
            <w:pPr>
              <w:pStyle w:val="ListParagraph"/>
              <w:widowControl w:val="0"/>
              <w:numPr>
                <w:ilvl w:val="0"/>
                <w:numId w:val="78"/>
              </w:numPr>
              <w:tabs>
                <w:tab w:val="left" w:pos="720"/>
              </w:tabs>
              <w:suppressAutoHyphens w:val="0"/>
              <w:adjustRightInd/>
              <w:ind w:left="720"/>
              <w:jc w:val="both"/>
              <w:rPr>
                <w:rFonts w:ascii="Arial" w:hAnsi="Arial" w:cs="Arial"/>
                <w:sz w:val="20"/>
                <w:szCs w:val="20"/>
              </w:rPr>
            </w:pPr>
            <w:r w:rsidRPr="00A42A45">
              <w:rPr>
                <w:rFonts w:ascii="Arial" w:hAnsi="Arial" w:cs="Arial"/>
                <w:sz w:val="20"/>
                <w:szCs w:val="20"/>
              </w:rPr>
              <w:t>Test</w:t>
            </w:r>
            <w:r w:rsidRPr="00A42A45">
              <w:rPr>
                <w:rFonts w:ascii="Arial" w:hAnsi="Arial" w:cs="Arial"/>
                <w:spacing w:val="-6"/>
                <w:sz w:val="20"/>
                <w:szCs w:val="20"/>
              </w:rPr>
              <w:t xml:space="preserve"> </w:t>
            </w:r>
            <w:r w:rsidRPr="00A42A45">
              <w:rPr>
                <w:rFonts w:ascii="Arial" w:hAnsi="Arial" w:cs="Arial"/>
                <w:sz w:val="20"/>
                <w:szCs w:val="20"/>
              </w:rPr>
              <w:t>a</w:t>
            </w:r>
            <w:r w:rsidRPr="00A42A45">
              <w:rPr>
                <w:rFonts w:ascii="Arial" w:hAnsi="Arial" w:cs="Arial"/>
                <w:spacing w:val="-7"/>
                <w:sz w:val="20"/>
                <w:szCs w:val="20"/>
              </w:rPr>
              <w:t xml:space="preserve"> </w:t>
            </w:r>
            <w:r w:rsidRPr="00A42A45">
              <w:rPr>
                <w:rFonts w:ascii="Arial" w:hAnsi="Arial" w:cs="Arial"/>
                <w:sz w:val="20"/>
                <w:szCs w:val="20"/>
              </w:rPr>
              <w:t>sample</w:t>
            </w:r>
            <w:r w:rsidRPr="00A42A45">
              <w:rPr>
                <w:rFonts w:ascii="Arial" w:hAnsi="Arial" w:cs="Arial"/>
                <w:spacing w:val="-7"/>
                <w:sz w:val="20"/>
                <w:szCs w:val="20"/>
              </w:rPr>
              <w:t xml:space="preserve"> </w:t>
            </w:r>
            <w:r w:rsidRPr="00A42A45">
              <w:rPr>
                <w:rFonts w:ascii="Arial" w:hAnsi="Arial" w:cs="Arial"/>
                <w:sz w:val="20"/>
                <w:szCs w:val="20"/>
              </w:rPr>
              <w:t>of</w:t>
            </w:r>
            <w:r w:rsidRPr="00A42A45">
              <w:rPr>
                <w:rFonts w:ascii="Arial" w:hAnsi="Arial" w:cs="Arial"/>
                <w:spacing w:val="-6"/>
                <w:sz w:val="20"/>
                <w:szCs w:val="20"/>
              </w:rPr>
              <w:t xml:space="preserve"> </w:t>
            </w:r>
            <w:r w:rsidRPr="00A42A45">
              <w:rPr>
                <w:rFonts w:ascii="Arial" w:hAnsi="Arial" w:cs="Arial"/>
                <w:sz w:val="20"/>
                <w:szCs w:val="20"/>
              </w:rPr>
              <w:t>invoices</w:t>
            </w:r>
            <w:r w:rsidRPr="00A42A45">
              <w:rPr>
                <w:rFonts w:ascii="Arial" w:hAnsi="Arial" w:cs="Arial"/>
                <w:spacing w:val="-7"/>
                <w:sz w:val="20"/>
                <w:szCs w:val="20"/>
              </w:rPr>
              <w:t xml:space="preserve"> </w:t>
            </w:r>
            <w:r w:rsidRPr="00A42A45">
              <w:rPr>
                <w:rFonts w:ascii="Arial" w:hAnsi="Arial" w:cs="Arial"/>
                <w:sz w:val="20"/>
                <w:szCs w:val="20"/>
              </w:rPr>
              <w:t>to</w:t>
            </w:r>
            <w:r w:rsidRPr="00A42A45">
              <w:rPr>
                <w:rFonts w:ascii="Arial" w:hAnsi="Arial" w:cs="Arial"/>
                <w:spacing w:val="-6"/>
                <w:sz w:val="20"/>
                <w:szCs w:val="20"/>
              </w:rPr>
              <w:t xml:space="preserve"> </w:t>
            </w:r>
            <w:r w:rsidRPr="00A42A45">
              <w:rPr>
                <w:rFonts w:ascii="Arial" w:hAnsi="Arial" w:cs="Arial"/>
                <w:sz w:val="20"/>
                <w:szCs w:val="20"/>
              </w:rPr>
              <w:t>ensure</w:t>
            </w:r>
            <w:r w:rsidRPr="00A42A45">
              <w:rPr>
                <w:rFonts w:ascii="Arial" w:hAnsi="Arial" w:cs="Arial"/>
                <w:spacing w:val="-5"/>
                <w:sz w:val="20"/>
                <w:szCs w:val="20"/>
              </w:rPr>
              <w:t xml:space="preserve"> </w:t>
            </w:r>
            <w:r w:rsidRPr="00A42A45">
              <w:rPr>
                <w:rFonts w:ascii="Arial" w:hAnsi="Arial" w:cs="Arial"/>
                <w:sz w:val="20"/>
                <w:szCs w:val="20"/>
              </w:rPr>
              <w:t>the</w:t>
            </w:r>
            <w:r w:rsidRPr="00A42A45">
              <w:rPr>
                <w:rFonts w:ascii="Arial" w:hAnsi="Arial" w:cs="Arial"/>
                <w:spacing w:val="-5"/>
                <w:sz w:val="20"/>
                <w:szCs w:val="20"/>
              </w:rPr>
              <w:t xml:space="preserve"> </w:t>
            </w:r>
            <w:r w:rsidRPr="00A42A45">
              <w:rPr>
                <w:rFonts w:ascii="Arial" w:hAnsi="Arial" w:cs="Arial"/>
                <w:sz w:val="20"/>
                <w:szCs w:val="20"/>
              </w:rPr>
              <w:t>actual</w:t>
            </w:r>
            <w:r w:rsidRPr="00A42A45">
              <w:rPr>
                <w:rFonts w:ascii="Arial" w:hAnsi="Arial" w:cs="Arial"/>
                <w:spacing w:val="-2"/>
                <w:sz w:val="20"/>
                <w:szCs w:val="20"/>
              </w:rPr>
              <w:t xml:space="preserve"> </w:t>
            </w:r>
            <w:r w:rsidRPr="00A42A45">
              <w:rPr>
                <w:rFonts w:ascii="Arial" w:hAnsi="Arial" w:cs="Arial"/>
                <w:sz w:val="20"/>
                <w:szCs w:val="20"/>
              </w:rPr>
              <w:t>consumption</w:t>
            </w:r>
            <w:r w:rsidRPr="00A42A45">
              <w:rPr>
                <w:rFonts w:ascii="Arial" w:hAnsi="Arial" w:cs="Arial"/>
                <w:spacing w:val="-3"/>
                <w:sz w:val="20"/>
                <w:szCs w:val="20"/>
              </w:rPr>
              <w:t xml:space="preserve"> </w:t>
            </w:r>
            <w:r w:rsidRPr="00A42A45">
              <w:rPr>
                <w:rFonts w:ascii="Arial" w:hAnsi="Arial" w:cs="Arial"/>
                <w:sz w:val="20"/>
                <w:szCs w:val="20"/>
              </w:rPr>
              <w:t>ties</w:t>
            </w:r>
            <w:r w:rsidRPr="00A42A45">
              <w:rPr>
                <w:rFonts w:ascii="Arial" w:hAnsi="Arial" w:cs="Arial"/>
                <w:spacing w:val="-2"/>
                <w:sz w:val="20"/>
                <w:szCs w:val="20"/>
              </w:rPr>
              <w:t xml:space="preserve"> </w:t>
            </w:r>
            <w:r w:rsidRPr="00A42A45">
              <w:rPr>
                <w:rFonts w:ascii="Arial" w:hAnsi="Arial" w:cs="Arial"/>
                <w:sz w:val="20"/>
                <w:szCs w:val="20"/>
              </w:rPr>
              <w:t>to</w:t>
            </w:r>
            <w:r w:rsidRPr="00A42A45">
              <w:rPr>
                <w:rFonts w:ascii="Arial" w:hAnsi="Arial" w:cs="Arial"/>
                <w:spacing w:val="-1"/>
                <w:sz w:val="20"/>
                <w:szCs w:val="20"/>
              </w:rPr>
              <w:t xml:space="preserve"> </w:t>
            </w:r>
            <w:r w:rsidRPr="00A42A45">
              <w:rPr>
                <w:rFonts w:ascii="Arial" w:hAnsi="Arial" w:cs="Arial"/>
                <w:sz w:val="20"/>
                <w:szCs w:val="20"/>
              </w:rPr>
              <w:t>the</w:t>
            </w:r>
            <w:r w:rsidRPr="00A42A45">
              <w:rPr>
                <w:rFonts w:ascii="Arial" w:hAnsi="Arial" w:cs="Arial"/>
                <w:spacing w:val="-2"/>
                <w:sz w:val="20"/>
                <w:szCs w:val="20"/>
              </w:rPr>
              <w:t xml:space="preserve"> </w:t>
            </w:r>
            <w:r w:rsidRPr="00A42A45">
              <w:rPr>
                <w:rFonts w:ascii="Arial" w:hAnsi="Arial" w:cs="Arial"/>
                <w:sz w:val="20"/>
                <w:szCs w:val="20"/>
              </w:rPr>
              <w:t>utility ledger.</w:t>
            </w:r>
          </w:p>
          <w:p w14:paraId="09FC31C6" w14:textId="77777777" w:rsidR="00174E6A" w:rsidRPr="00174E6A" w:rsidRDefault="00174E6A" w:rsidP="00174E6A">
            <w:pPr>
              <w:widowControl w:val="0"/>
              <w:tabs>
                <w:tab w:val="left" w:pos="720"/>
              </w:tabs>
              <w:jc w:val="both"/>
              <w:rPr>
                <w:rFonts w:ascii="Arial" w:hAnsi="Arial" w:cs="Arial"/>
              </w:rPr>
            </w:pPr>
          </w:p>
          <w:p w14:paraId="4E8DA056" w14:textId="11C07507" w:rsidR="00174E6A" w:rsidRDefault="00174E6A" w:rsidP="00174E6A">
            <w:pPr>
              <w:pStyle w:val="ListParagraph"/>
              <w:widowControl w:val="0"/>
              <w:numPr>
                <w:ilvl w:val="0"/>
                <w:numId w:val="78"/>
              </w:numPr>
              <w:tabs>
                <w:tab w:val="left" w:pos="720"/>
              </w:tabs>
              <w:suppressAutoHyphens w:val="0"/>
              <w:adjustRightInd/>
              <w:ind w:left="720"/>
              <w:jc w:val="both"/>
              <w:rPr>
                <w:rFonts w:ascii="Arial" w:hAnsi="Arial" w:cs="Arial"/>
                <w:sz w:val="20"/>
                <w:szCs w:val="20"/>
              </w:rPr>
            </w:pPr>
            <w:r w:rsidRPr="00A42A45">
              <w:rPr>
                <w:rFonts w:ascii="Arial" w:hAnsi="Arial" w:cs="Arial"/>
                <w:sz w:val="20"/>
                <w:szCs w:val="20"/>
              </w:rPr>
              <w:t>Test</w:t>
            </w:r>
            <w:r w:rsidRPr="00A42A45">
              <w:rPr>
                <w:rFonts w:ascii="Arial" w:hAnsi="Arial" w:cs="Arial"/>
                <w:spacing w:val="-5"/>
                <w:sz w:val="20"/>
                <w:szCs w:val="20"/>
              </w:rPr>
              <w:t xml:space="preserve"> </w:t>
            </w:r>
            <w:r w:rsidRPr="00A42A45">
              <w:rPr>
                <w:rFonts w:ascii="Arial" w:hAnsi="Arial" w:cs="Arial"/>
                <w:sz w:val="20"/>
                <w:szCs w:val="20"/>
              </w:rPr>
              <w:t>the</w:t>
            </w:r>
            <w:r w:rsidRPr="00A42A45">
              <w:rPr>
                <w:rFonts w:ascii="Arial" w:hAnsi="Arial" w:cs="Arial"/>
                <w:spacing w:val="-4"/>
                <w:sz w:val="20"/>
                <w:szCs w:val="20"/>
              </w:rPr>
              <w:t xml:space="preserve"> </w:t>
            </w:r>
            <w:r w:rsidRPr="00A42A45">
              <w:rPr>
                <w:rFonts w:ascii="Arial" w:hAnsi="Arial" w:cs="Arial"/>
                <w:sz w:val="20"/>
                <w:szCs w:val="20"/>
              </w:rPr>
              <w:t>aggregated</w:t>
            </w:r>
            <w:r w:rsidRPr="00A42A45">
              <w:rPr>
                <w:rFonts w:ascii="Arial" w:hAnsi="Arial" w:cs="Arial"/>
                <w:spacing w:val="-5"/>
                <w:sz w:val="20"/>
                <w:szCs w:val="20"/>
              </w:rPr>
              <w:t xml:space="preserve"> consumption</w:t>
            </w:r>
            <w:r w:rsidRPr="00A42A45">
              <w:rPr>
                <w:rFonts w:ascii="Arial" w:hAnsi="Arial" w:cs="Arial"/>
                <w:spacing w:val="-8"/>
                <w:sz w:val="20"/>
                <w:szCs w:val="20"/>
              </w:rPr>
              <w:t xml:space="preserve"> </w:t>
            </w:r>
            <w:r w:rsidRPr="00A42A45">
              <w:rPr>
                <w:rFonts w:ascii="Arial" w:hAnsi="Arial" w:cs="Arial"/>
                <w:sz w:val="20"/>
                <w:szCs w:val="20"/>
              </w:rPr>
              <w:t>on</w:t>
            </w:r>
            <w:r w:rsidRPr="00A42A45">
              <w:rPr>
                <w:rFonts w:ascii="Arial" w:hAnsi="Arial" w:cs="Arial"/>
                <w:spacing w:val="-5"/>
                <w:sz w:val="20"/>
                <w:szCs w:val="20"/>
              </w:rPr>
              <w:t xml:space="preserve"> </w:t>
            </w:r>
            <w:r w:rsidRPr="00A42A45">
              <w:rPr>
                <w:rFonts w:ascii="Arial" w:hAnsi="Arial" w:cs="Arial"/>
                <w:sz w:val="20"/>
                <w:szCs w:val="20"/>
              </w:rPr>
              <w:t>the</w:t>
            </w:r>
            <w:r w:rsidRPr="00A42A45">
              <w:rPr>
                <w:rFonts w:ascii="Arial" w:hAnsi="Arial" w:cs="Arial"/>
                <w:spacing w:val="-5"/>
                <w:sz w:val="20"/>
                <w:szCs w:val="20"/>
              </w:rPr>
              <w:t xml:space="preserve"> </w:t>
            </w:r>
            <w:r w:rsidRPr="00A42A45">
              <w:rPr>
                <w:rFonts w:ascii="Arial" w:hAnsi="Arial" w:cs="Arial"/>
                <w:sz w:val="20"/>
                <w:szCs w:val="20"/>
              </w:rPr>
              <w:t>utility</w:t>
            </w:r>
            <w:r w:rsidRPr="00A42A45">
              <w:rPr>
                <w:rFonts w:ascii="Arial" w:hAnsi="Arial" w:cs="Arial"/>
                <w:spacing w:val="-5"/>
                <w:sz w:val="20"/>
                <w:szCs w:val="20"/>
              </w:rPr>
              <w:t xml:space="preserve"> </w:t>
            </w:r>
            <w:r w:rsidRPr="00A42A45">
              <w:rPr>
                <w:rFonts w:ascii="Arial" w:hAnsi="Arial" w:cs="Arial"/>
                <w:sz w:val="20"/>
                <w:szCs w:val="20"/>
              </w:rPr>
              <w:t>ledger</w:t>
            </w:r>
            <w:r w:rsidRPr="00A42A45">
              <w:rPr>
                <w:rFonts w:ascii="Arial" w:hAnsi="Arial" w:cs="Arial"/>
                <w:spacing w:val="-5"/>
                <w:sz w:val="20"/>
                <w:szCs w:val="20"/>
              </w:rPr>
              <w:t xml:space="preserve"> </w:t>
            </w:r>
            <w:r w:rsidRPr="00A42A45">
              <w:rPr>
                <w:rFonts w:ascii="Arial" w:hAnsi="Arial" w:cs="Arial"/>
                <w:sz w:val="20"/>
                <w:szCs w:val="20"/>
              </w:rPr>
              <w:t>to</w:t>
            </w:r>
            <w:r w:rsidRPr="00A42A45">
              <w:rPr>
                <w:rFonts w:ascii="Arial" w:hAnsi="Arial" w:cs="Arial"/>
                <w:spacing w:val="-2"/>
                <w:sz w:val="20"/>
                <w:szCs w:val="20"/>
              </w:rPr>
              <w:t xml:space="preserve"> </w:t>
            </w:r>
            <w:r w:rsidRPr="00A42A45">
              <w:rPr>
                <w:rFonts w:ascii="Arial" w:hAnsi="Arial" w:cs="Arial"/>
                <w:sz w:val="20"/>
                <w:szCs w:val="20"/>
              </w:rPr>
              <w:t>ensure</w:t>
            </w:r>
            <w:r w:rsidRPr="00A42A45">
              <w:rPr>
                <w:rFonts w:ascii="Arial" w:hAnsi="Arial" w:cs="Arial"/>
                <w:spacing w:val="-1"/>
                <w:sz w:val="20"/>
                <w:szCs w:val="20"/>
              </w:rPr>
              <w:t xml:space="preserve"> </w:t>
            </w:r>
            <w:r w:rsidRPr="00A42A45">
              <w:rPr>
                <w:rFonts w:ascii="Arial" w:hAnsi="Arial" w:cs="Arial"/>
                <w:sz w:val="20"/>
                <w:szCs w:val="20"/>
              </w:rPr>
              <w:t>it</w:t>
            </w:r>
            <w:r w:rsidRPr="00A42A45">
              <w:rPr>
                <w:rFonts w:ascii="Arial" w:hAnsi="Arial" w:cs="Arial"/>
                <w:spacing w:val="-1"/>
                <w:sz w:val="20"/>
                <w:szCs w:val="20"/>
              </w:rPr>
              <w:t xml:space="preserve"> </w:t>
            </w:r>
            <w:r w:rsidRPr="00A42A45">
              <w:rPr>
                <w:rFonts w:ascii="Arial" w:hAnsi="Arial" w:cs="Arial"/>
                <w:sz w:val="20"/>
                <w:szCs w:val="20"/>
              </w:rPr>
              <w:t>ties</w:t>
            </w:r>
            <w:r w:rsidRPr="00A42A45">
              <w:rPr>
                <w:rFonts w:ascii="Arial" w:hAnsi="Arial" w:cs="Arial"/>
                <w:spacing w:val="-1"/>
                <w:sz w:val="20"/>
                <w:szCs w:val="20"/>
              </w:rPr>
              <w:t xml:space="preserve"> </w:t>
            </w:r>
            <w:r w:rsidRPr="00A42A45">
              <w:rPr>
                <w:rFonts w:ascii="Arial" w:hAnsi="Arial" w:cs="Arial"/>
                <w:sz w:val="20"/>
                <w:szCs w:val="20"/>
              </w:rPr>
              <w:t>to</w:t>
            </w:r>
            <w:r w:rsidRPr="00A42A45">
              <w:rPr>
                <w:rFonts w:ascii="Arial" w:hAnsi="Arial" w:cs="Arial"/>
                <w:spacing w:val="-2"/>
                <w:sz w:val="20"/>
                <w:szCs w:val="20"/>
              </w:rPr>
              <w:t xml:space="preserve"> </w:t>
            </w:r>
            <w:r w:rsidRPr="00A42A45">
              <w:rPr>
                <w:rFonts w:ascii="Arial" w:hAnsi="Arial" w:cs="Arial"/>
                <w:sz w:val="20"/>
                <w:szCs w:val="20"/>
              </w:rPr>
              <w:t>Section 2- line 01 of Form</w:t>
            </w:r>
            <w:r w:rsidRPr="00A42A45">
              <w:rPr>
                <w:rFonts w:ascii="Arial" w:hAnsi="Arial" w:cs="Arial"/>
                <w:spacing w:val="-1"/>
                <w:sz w:val="20"/>
                <w:szCs w:val="20"/>
              </w:rPr>
              <w:t xml:space="preserve"> </w:t>
            </w:r>
            <w:r w:rsidRPr="00A42A45">
              <w:rPr>
                <w:rFonts w:ascii="Arial" w:hAnsi="Arial" w:cs="Arial"/>
                <w:sz w:val="20"/>
                <w:szCs w:val="20"/>
              </w:rPr>
              <w:t>52722.</w:t>
            </w:r>
          </w:p>
          <w:p w14:paraId="501F4F49" w14:textId="77777777" w:rsidR="00174E6A" w:rsidRPr="00174E6A" w:rsidRDefault="00174E6A" w:rsidP="00174E6A">
            <w:pPr>
              <w:widowControl w:val="0"/>
              <w:tabs>
                <w:tab w:val="left" w:pos="720"/>
              </w:tabs>
              <w:jc w:val="both"/>
              <w:rPr>
                <w:rFonts w:ascii="Arial" w:hAnsi="Arial" w:cs="Arial"/>
              </w:rPr>
            </w:pPr>
          </w:p>
          <w:p w14:paraId="604BF180" w14:textId="35F6A466" w:rsidR="00174E6A" w:rsidRDefault="00174E6A" w:rsidP="00174E6A">
            <w:pPr>
              <w:pStyle w:val="ListParagraph"/>
              <w:widowControl w:val="0"/>
              <w:numPr>
                <w:ilvl w:val="0"/>
                <w:numId w:val="78"/>
              </w:numPr>
              <w:tabs>
                <w:tab w:val="left" w:pos="720"/>
              </w:tabs>
              <w:suppressAutoHyphens w:val="0"/>
              <w:adjustRightInd/>
              <w:ind w:left="720"/>
              <w:jc w:val="both"/>
              <w:rPr>
                <w:rFonts w:ascii="Arial" w:hAnsi="Arial" w:cs="Arial"/>
                <w:sz w:val="20"/>
                <w:szCs w:val="20"/>
              </w:rPr>
            </w:pPr>
            <w:r w:rsidRPr="00A42A45">
              <w:rPr>
                <w:rFonts w:ascii="Arial" w:hAnsi="Arial" w:cs="Arial"/>
                <w:sz w:val="20"/>
                <w:szCs w:val="20"/>
              </w:rPr>
              <w:t>Verify that each rolling base consumption amount and units of measure tie to the prior year Form 52722. The auditor must test rolling base invoices and utility ledgers to determine if the unit of consumption</w:t>
            </w:r>
            <w:r w:rsidRPr="00A42A45">
              <w:rPr>
                <w:rFonts w:ascii="Arial" w:hAnsi="Arial" w:cs="Arial"/>
                <w:spacing w:val="-43"/>
                <w:sz w:val="20"/>
                <w:szCs w:val="20"/>
              </w:rPr>
              <w:t xml:space="preserve"> </w:t>
            </w:r>
            <w:r w:rsidRPr="00A42A45">
              <w:rPr>
                <w:rFonts w:ascii="Arial" w:hAnsi="Arial" w:cs="Arial"/>
                <w:sz w:val="20"/>
                <w:szCs w:val="20"/>
              </w:rPr>
              <w:t xml:space="preserve">has changed. To the extent the unit of measure in the </w:t>
            </w:r>
            <w:r w:rsidRPr="00A42A45">
              <w:rPr>
                <w:rFonts w:ascii="Arial" w:hAnsi="Arial" w:cs="Arial"/>
                <w:spacing w:val="-4"/>
                <w:sz w:val="20"/>
                <w:szCs w:val="20"/>
              </w:rPr>
              <w:t xml:space="preserve">current </w:t>
            </w:r>
            <w:r w:rsidRPr="00A42A45">
              <w:rPr>
                <w:rFonts w:ascii="Arial" w:hAnsi="Arial" w:cs="Arial"/>
                <w:sz w:val="20"/>
                <w:szCs w:val="20"/>
              </w:rPr>
              <w:t>year has changed, test to ensure that the rolling base was appropriately</w:t>
            </w:r>
            <w:r w:rsidRPr="00A42A45">
              <w:rPr>
                <w:rFonts w:ascii="Arial" w:hAnsi="Arial" w:cs="Arial"/>
                <w:spacing w:val="-1"/>
                <w:sz w:val="20"/>
                <w:szCs w:val="20"/>
              </w:rPr>
              <w:t xml:space="preserve"> </w:t>
            </w:r>
            <w:r w:rsidRPr="00A42A45">
              <w:rPr>
                <w:rFonts w:ascii="Arial" w:hAnsi="Arial" w:cs="Arial"/>
                <w:sz w:val="20"/>
                <w:szCs w:val="20"/>
              </w:rPr>
              <w:t>adjusted.</w:t>
            </w:r>
          </w:p>
          <w:p w14:paraId="306EB45D" w14:textId="77777777" w:rsidR="00174E6A" w:rsidRPr="00174E6A" w:rsidRDefault="00174E6A" w:rsidP="00174E6A">
            <w:pPr>
              <w:widowControl w:val="0"/>
              <w:tabs>
                <w:tab w:val="left" w:pos="720"/>
              </w:tabs>
              <w:jc w:val="both"/>
              <w:rPr>
                <w:rFonts w:ascii="Arial" w:hAnsi="Arial" w:cs="Arial"/>
              </w:rPr>
            </w:pPr>
          </w:p>
          <w:p w14:paraId="7C512657" w14:textId="38C40D33" w:rsidR="00174E6A" w:rsidRDefault="00174E6A" w:rsidP="00174E6A">
            <w:pPr>
              <w:pStyle w:val="ListParagraph"/>
              <w:widowControl w:val="0"/>
              <w:numPr>
                <w:ilvl w:val="0"/>
                <w:numId w:val="78"/>
              </w:numPr>
              <w:tabs>
                <w:tab w:val="left" w:pos="720"/>
              </w:tabs>
              <w:suppressAutoHyphens w:val="0"/>
              <w:adjustRightInd/>
              <w:ind w:left="720"/>
              <w:jc w:val="both"/>
              <w:rPr>
                <w:rFonts w:ascii="Arial" w:hAnsi="Arial" w:cs="Arial"/>
                <w:sz w:val="20"/>
                <w:szCs w:val="20"/>
              </w:rPr>
            </w:pPr>
            <w:r w:rsidRPr="00A42A45">
              <w:rPr>
                <w:rFonts w:ascii="Arial" w:hAnsi="Arial" w:cs="Arial"/>
                <w:sz w:val="20"/>
                <w:szCs w:val="20"/>
              </w:rPr>
              <w:t>To the extent that any units have been removed from inventory for a project (Form 52723 Section 2, line A15 Total Unit Months has decreased) during the reporting period or rolling base, the auditor shall test to ensure that the adjustment was done consistently with the instruction found on the word version of the HUD Form 52722, which can be found on</w:t>
            </w:r>
            <w:r w:rsidRPr="00A42A45">
              <w:rPr>
                <w:rFonts w:ascii="Arial" w:hAnsi="Arial" w:cs="Arial"/>
                <w:color w:val="0000FF"/>
                <w:spacing w:val="54"/>
                <w:sz w:val="20"/>
                <w:szCs w:val="20"/>
              </w:rPr>
              <w:t xml:space="preserve"> </w:t>
            </w:r>
            <w:hyperlink r:id="rId124">
              <w:r w:rsidRPr="00A42A45">
                <w:rPr>
                  <w:rFonts w:ascii="Arial" w:hAnsi="Arial" w:cs="Arial"/>
                  <w:color w:val="0000FF"/>
                  <w:sz w:val="20"/>
                  <w:szCs w:val="20"/>
                  <w:u w:val="single" w:color="0000FF"/>
                </w:rPr>
                <w:t>HUDCLIPS</w:t>
              </w:r>
              <w:r w:rsidRPr="00A42A45">
                <w:rPr>
                  <w:rFonts w:ascii="Arial" w:hAnsi="Arial" w:cs="Arial"/>
                  <w:sz w:val="20"/>
                  <w:szCs w:val="20"/>
                </w:rPr>
                <w:t>.</w:t>
              </w:r>
            </w:hyperlink>
          </w:p>
          <w:p w14:paraId="589EE091" w14:textId="77777777" w:rsidR="00174E6A" w:rsidRPr="00174E6A" w:rsidRDefault="00174E6A" w:rsidP="00174E6A">
            <w:pPr>
              <w:widowControl w:val="0"/>
              <w:tabs>
                <w:tab w:val="left" w:pos="720"/>
              </w:tabs>
              <w:jc w:val="both"/>
              <w:rPr>
                <w:rFonts w:ascii="Arial" w:hAnsi="Arial" w:cs="Arial"/>
              </w:rPr>
            </w:pPr>
          </w:p>
          <w:p w14:paraId="75054AE3" w14:textId="204B6BAE" w:rsidR="00174E6A" w:rsidRDefault="00174E6A" w:rsidP="00174E6A">
            <w:pPr>
              <w:pStyle w:val="ListParagraph"/>
              <w:widowControl w:val="0"/>
              <w:numPr>
                <w:ilvl w:val="0"/>
                <w:numId w:val="78"/>
              </w:numPr>
              <w:tabs>
                <w:tab w:val="left" w:pos="720"/>
              </w:tabs>
              <w:suppressAutoHyphens w:val="0"/>
              <w:adjustRightInd/>
              <w:spacing w:before="90"/>
              <w:ind w:left="720"/>
              <w:jc w:val="both"/>
              <w:rPr>
                <w:rFonts w:ascii="Arial" w:hAnsi="Arial" w:cs="Arial"/>
                <w:sz w:val="20"/>
                <w:szCs w:val="20"/>
              </w:rPr>
            </w:pPr>
            <w:r w:rsidRPr="00A42A45">
              <w:rPr>
                <w:rFonts w:ascii="Arial" w:hAnsi="Arial" w:cs="Arial"/>
                <w:sz w:val="20"/>
                <w:szCs w:val="20"/>
              </w:rPr>
              <w:t>Test</w:t>
            </w:r>
            <w:r w:rsidRPr="00A42A45">
              <w:rPr>
                <w:rFonts w:ascii="Arial" w:hAnsi="Arial" w:cs="Arial"/>
                <w:spacing w:val="-5"/>
                <w:sz w:val="20"/>
                <w:szCs w:val="20"/>
              </w:rPr>
              <w:t xml:space="preserve"> </w:t>
            </w:r>
            <w:r w:rsidRPr="00A42A45">
              <w:rPr>
                <w:rFonts w:ascii="Arial" w:hAnsi="Arial" w:cs="Arial"/>
                <w:sz w:val="20"/>
                <w:szCs w:val="20"/>
              </w:rPr>
              <w:t>a</w:t>
            </w:r>
            <w:r w:rsidRPr="00A42A45">
              <w:rPr>
                <w:rFonts w:ascii="Arial" w:hAnsi="Arial" w:cs="Arial"/>
                <w:spacing w:val="-4"/>
                <w:sz w:val="20"/>
                <w:szCs w:val="20"/>
              </w:rPr>
              <w:t xml:space="preserve"> </w:t>
            </w:r>
            <w:r w:rsidRPr="00A42A45">
              <w:rPr>
                <w:rFonts w:ascii="Arial" w:hAnsi="Arial" w:cs="Arial"/>
                <w:sz w:val="20"/>
                <w:szCs w:val="20"/>
              </w:rPr>
              <w:t>sample</w:t>
            </w:r>
            <w:r w:rsidRPr="00A42A45">
              <w:rPr>
                <w:rFonts w:ascii="Arial" w:hAnsi="Arial" w:cs="Arial"/>
                <w:spacing w:val="-4"/>
                <w:sz w:val="20"/>
                <w:szCs w:val="20"/>
              </w:rPr>
              <w:t xml:space="preserve"> </w:t>
            </w:r>
            <w:r w:rsidRPr="00A42A45">
              <w:rPr>
                <w:rFonts w:ascii="Arial" w:hAnsi="Arial" w:cs="Arial"/>
                <w:sz w:val="20"/>
                <w:szCs w:val="20"/>
              </w:rPr>
              <w:t>of</w:t>
            </w:r>
            <w:r w:rsidRPr="00A42A45">
              <w:rPr>
                <w:rFonts w:ascii="Arial" w:hAnsi="Arial" w:cs="Arial"/>
                <w:spacing w:val="-5"/>
                <w:sz w:val="20"/>
                <w:szCs w:val="20"/>
              </w:rPr>
              <w:t xml:space="preserve"> </w:t>
            </w:r>
            <w:r w:rsidRPr="00A42A45">
              <w:rPr>
                <w:rFonts w:ascii="Arial" w:hAnsi="Arial" w:cs="Arial"/>
                <w:sz w:val="20"/>
                <w:szCs w:val="20"/>
              </w:rPr>
              <w:t>invoices</w:t>
            </w:r>
            <w:r w:rsidRPr="00A42A45">
              <w:rPr>
                <w:rFonts w:ascii="Arial" w:hAnsi="Arial" w:cs="Arial"/>
                <w:spacing w:val="-5"/>
                <w:sz w:val="20"/>
                <w:szCs w:val="20"/>
              </w:rPr>
              <w:t xml:space="preserve"> </w:t>
            </w:r>
            <w:r w:rsidRPr="00A42A45">
              <w:rPr>
                <w:rFonts w:ascii="Arial" w:hAnsi="Arial" w:cs="Arial"/>
                <w:sz w:val="20"/>
                <w:szCs w:val="20"/>
              </w:rPr>
              <w:t>to</w:t>
            </w:r>
            <w:r w:rsidRPr="00A42A45">
              <w:rPr>
                <w:rFonts w:ascii="Arial" w:hAnsi="Arial" w:cs="Arial"/>
                <w:spacing w:val="-4"/>
                <w:sz w:val="20"/>
                <w:szCs w:val="20"/>
              </w:rPr>
              <w:t xml:space="preserve"> </w:t>
            </w:r>
            <w:r w:rsidRPr="00A42A45">
              <w:rPr>
                <w:rFonts w:ascii="Arial" w:hAnsi="Arial" w:cs="Arial"/>
                <w:sz w:val="20"/>
                <w:szCs w:val="20"/>
              </w:rPr>
              <w:t>ensure</w:t>
            </w:r>
            <w:r w:rsidRPr="00A42A45">
              <w:rPr>
                <w:rFonts w:ascii="Arial" w:hAnsi="Arial" w:cs="Arial"/>
                <w:spacing w:val="-3"/>
                <w:sz w:val="20"/>
                <w:szCs w:val="20"/>
              </w:rPr>
              <w:t xml:space="preserve"> </w:t>
            </w:r>
            <w:r w:rsidRPr="00A42A45">
              <w:rPr>
                <w:rFonts w:ascii="Arial" w:hAnsi="Arial" w:cs="Arial"/>
                <w:sz w:val="20"/>
                <w:szCs w:val="20"/>
              </w:rPr>
              <w:t>the</w:t>
            </w:r>
            <w:r w:rsidRPr="00A42A45">
              <w:rPr>
                <w:rFonts w:ascii="Arial" w:hAnsi="Arial" w:cs="Arial"/>
                <w:spacing w:val="-5"/>
                <w:sz w:val="20"/>
                <w:szCs w:val="20"/>
              </w:rPr>
              <w:t xml:space="preserve"> </w:t>
            </w:r>
            <w:r w:rsidRPr="00A42A45">
              <w:rPr>
                <w:rFonts w:ascii="Arial" w:hAnsi="Arial" w:cs="Arial"/>
                <w:sz w:val="20"/>
                <w:szCs w:val="20"/>
              </w:rPr>
              <w:t>actual</w:t>
            </w:r>
            <w:r w:rsidRPr="00A42A45">
              <w:rPr>
                <w:rFonts w:ascii="Arial" w:hAnsi="Arial" w:cs="Arial"/>
                <w:spacing w:val="-4"/>
                <w:sz w:val="20"/>
                <w:szCs w:val="20"/>
              </w:rPr>
              <w:t xml:space="preserve"> </w:t>
            </w:r>
            <w:r w:rsidRPr="00A42A45">
              <w:rPr>
                <w:rFonts w:ascii="Arial" w:hAnsi="Arial" w:cs="Arial"/>
                <w:sz w:val="20"/>
                <w:szCs w:val="20"/>
              </w:rPr>
              <w:t>cost</w:t>
            </w:r>
            <w:r w:rsidRPr="00A42A45">
              <w:rPr>
                <w:rFonts w:ascii="Arial" w:hAnsi="Arial" w:cs="Arial"/>
                <w:spacing w:val="-5"/>
                <w:sz w:val="20"/>
                <w:szCs w:val="20"/>
              </w:rPr>
              <w:t xml:space="preserve"> </w:t>
            </w:r>
            <w:r w:rsidRPr="00A42A45">
              <w:rPr>
                <w:rFonts w:ascii="Arial" w:hAnsi="Arial" w:cs="Arial"/>
                <w:sz w:val="20"/>
                <w:szCs w:val="20"/>
              </w:rPr>
              <w:t>ties to</w:t>
            </w:r>
            <w:r w:rsidRPr="00A42A45">
              <w:rPr>
                <w:rFonts w:ascii="Arial" w:hAnsi="Arial" w:cs="Arial"/>
                <w:spacing w:val="-3"/>
                <w:sz w:val="20"/>
                <w:szCs w:val="20"/>
              </w:rPr>
              <w:t xml:space="preserve"> </w:t>
            </w:r>
            <w:r w:rsidRPr="00A42A45">
              <w:rPr>
                <w:rFonts w:ascii="Arial" w:hAnsi="Arial" w:cs="Arial"/>
                <w:sz w:val="20"/>
                <w:szCs w:val="20"/>
              </w:rPr>
              <w:t>the utility</w:t>
            </w:r>
            <w:r w:rsidRPr="00A42A45">
              <w:rPr>
                <w:rFonts w:ascii="Arial" w:hAnsi="Arial" w:cs="Arial"/>
                <w:spacing w:val="-2"/>
                <w:sz w:val="20"/>
                <w:szCs w:val="20"/>
              </w:rPr>
              <w:t xml:space="preserve"> </w:t>
            </w:r>
            <w:r w:rsidRPr="00A42A45">
              <w:rPr>
                <w:rFonts w:ascii="Arial" w:hAnsi="Arial" w:cs="Arial"/>
                <w:sz w:val="20"/>
                <w:szCs w:val="20"/>
              </w:rPr>
              <w:t>ledger.</w:t>
            </w:r>
          </w:p>
          <w:p w14:paraId="6B3C21B4" w14:textId="77777777" w:rsidR="00174E6A" w:rsidRPr="00174E6A" w:rsidRDefault="00174E6A" w:rsidP="00174E6A">
            <w:pPr>
              <w:widowControl w:val="0"/>
              <w:tabs>
                <w:tab w:val="left" w:pos="720"/>
              </w:tabs>
              <w:spacing w:before="90"/>
              <w:jc w:val="both"/>
              <w:rPr>
                <w:rFonts w:ascii="Arial" w:hAnsi="Arial" w:cs="Arial"/>
              </w:rPr>
            </w:pPr>
          </w:p>
          <w:p w14:paraId="72D2F45A" w14:textId="2E2B70F7" w:rsidR="00174E6A" w:rsidRDefault="00174E6A" w:rsidP="00174E6A">
            <w:pPr>
              <w:pStyle w:val="ListParagraph"/>
              <w:widowControl w:val="0"/>
              <w:numPr>
                <w:ilvl w:val="0"/>
                <w:numId w:val="78"/>
              </w:numPr>
              <w:tabs>
                <w:tab w:val="left" w:pos="720"/>
              </w:tabs>
              <w:suppressAutoHyphens w:val="0"/>
              <w:adjustRightInd/>
              <w:ind w:left="720"/>
              <w:jc w:val="both"/>
              <w:rPr>
                <w:rFonts w:ascii="Arial" w:hAnsi="Arial" w:cs="Arial"/>
                <w:sz w:val="20"/>
                <w:szCs w:val="20"/>
              </w:rPr>
            </w:pPr>
            <w:r w:rsidRPr="00A42A45">
              <w:rPr>
                <w:rFonts w:ascii="Arial" w:hAnsi="Arial" w:cs="Arial"/>
                <w:sz w:val="20"/>
                <w:szCs w:val="20"/>
              </w:rPr>
              <w:t>Test</w:t>
            </w:r>
            <w:r w:rsidRPr="00A42A45">
              <w:rPr>
                <w:rFonts w:ascii="Arial" w:hAnsi="Arial" w:cs="Arial"/>
                <w:spacing w:val="-5"/>
                <w:sz w:val="20"/>
                <w:szCs w:val="20"/>
              </w:rPr>
              <w:t xml:space="preserve"> </w:t>
            </w:r>
            <w:r w:rsidRPr="00A42A45">
              <w:rPr>
                <w:rFonts w:ascii="Arial" w:hAnsi="Arial" w:cs="Arial"/>
                <w:sz w:val="20"/>
                <w:szCs w:val="20"/>
              </w:rPr>
              <w:t>the</w:t>
            </w:r>
            <w:r w:rsidRPr="00A42A45">
              <w:rPr>
                <w:rFonts w:ascii="Arial" w:hAnsi="Arial" w:cs="Arial"/>
                <w:spacing w:val="-5"/>
                <w:sz w:val="20"/>
                <w:szCs w:val="20"/>
              </w:rPr>
              <w:t xml:space="preserve"> </w:t>
            </w:r>
            <w:r w:rsidRPr="00A42A45">
              <w:rPr>
                <w:rFonts w:ascii="Arial" w:hAnsi="Arial" w:cs="Arial"/>
                <w:sz w:val="20"/>
                <w:szCs w:val="20"/>
              </w:rPr>
              <w:t>aggregated</w:t>
            </w:r>
            <w:r w:rsidRPr="00A42A45">
              <w:rPr>
                <w:rFonts w:ascii="Arial" w:hAnsi="Arial" w:cs="Arial"/>
                <w:spacing w:val="-4"/>
                <w:sz w:val="20"/>
                <w:szCs w:val="20"/>
              </w:rPr>
              <w:t xml:space="preserve"> </w:t>
            </w:r>
            <w:r w:rsidRPr="00A42A45">
              <w:rPr>
                <w:rFonts w:ascii="Arial" w:hAnsi="Arial" w:cs="Arial"/>
                <w:sz w:val="20"/>
                <w:szCs w:val="20"/>
              </w:rPr>
              <w:t>cost</w:t>
            </w:r>
            <w:r w:rsidRPr="00A42A45">
              <w:rPr>
                <w:rFonts w:ascii="Arial" w:hAnsi="Arial" w:cs="Arial"/>
                <w:spacing w:val="-6"/>
                <w:sz w:val="20"/>
                <w:szCs w:val="20"/>
              </w:rPr>
              <w:t xml:space="preserve"> </w:t>
            </w:r>
            <w:r w:rsidRPr="00A42A45">
              <w:rPr>
                <w:rFonts w:ascii="Arial" w:hAnsi="Arial" w:cs="Arial"/>
                <w:sz w:val="20"/>
                <w:szCs w:val="20"/>
              </w:rPr>
              <w:t>on</w:t>
            </w:r>
            <w:r w:rsidRPr="00A42A45">
              <w:rPr>
                <w:rFonts w:ascii="Arial" w:hAnsi="Arial" w:cs="Arial"/>
                <w:spacing w:val="-9"/>
                <w:sz w:val="20"/>
                <w:szCs w:val="20"/>
              </w:rPr>
              <w:t xml:space="preserve"> </w:t>
            </w:r>
            <w:r w:rsidRPr="00A42A45">
              <w:rPr>
                <w:rFonts w:ascii="Arial" w:hAnsi="Arial" w:cs="Arial"/>
                <w:sz w:val="20"/>
                <w:szCs w:val="20"/>
              </w:rPr>
              <w:t>the</w:t>
            </w:r>
            <w:r w:rsidRPr="00A42A45">
              <w:rPr>
                <w:rFonts w:ascii="Arial" w:hAnsi="Arial" w:cs="Arial"/>
                <w:spacing w:val="-4"/>
                <w:sz w:val="20"/>
                <w:szCs w:val="20"/>
              </w:rPr>
              <w:t xml:space="preserve"> </w:t>
            </w:r>
            <w:r w:rsidRPr="00A42A45">
              <w:rPr>
                <w:rFonts w:ascii="Arial" w:hAnsi="Arial" w:cs="Arial"/>
                <w:sz w:val="20"/>
                <w:szCs w:val="20"/>
              </w:rPr>
              <w:t>utility</w:t>
            </w:r>
            <w:r w:rsidRPr="00A42A45">
              <w:rPr>
                <w:rFonts w:ascii="Arial" w:hAnsi="Arial" w:cs="Arial"/>
                <w:spacing w:val="-9"/>
                <w:sz w:val="20"/>
                <w:szCs w:val="20"/>
              </w:rPr>
              <w:t xml:space="preserve"> </w:t>
            </w:r>
            <w:r w:rsidRPr="00A42A45">
              <w:rPr>
                <w:rFonts w:ascii="Arial" w:hAnsi="Arial" w:cs="Arial"/>
                <w:sz w:val="20"/>
                <w:szCs w:val="20"/>
              </w:rPr>
              <w:t>ledger</w:t>
            </w:r>
            <w:r w:rsidRPr="00A42A45">
              <w:rPr>
                <w:rFonts w:ascii="Arial" w:hAnsi="Arial" w:cs="Arial"/>
                <w:spacing w:val="-5"/>
                <w:sz w:val="20"/>
                <w:szCs w:val="20"/>
              </w:rPr>
              <w:t xml:space="preserve"> </w:t>
            </w:r>
            <w:r w:rsidRPr="00A42A45">
              <w:rPr>
                <w:rFonts w:ascii="Arial" w:hAnsi="Arial" w:cs="Arial"/>
                <w:sz w:val="20"/>
                <w:szCs w:val="20"/>
              </w:rPr>
              <w:t>to</w:t>
            </w:r>
            <w:r w:rsidRPr="00A42A45">
              <w:rPr>
                <w:rFonts w:ascii="Arial" w:hAnsi="Arial" w:cs="Arial"/>
                <w:spacing w:val="-5"/>
                <w:sz w:val="20"/>
                <w:szCs w:val="20"/>
              </w:rPr>
              <w:t xml:space="preserve"> </w:t>
            </w:r>
            <w:r w:rsidRPr="00A42A45">
              <w:rPr>
                <w:rFonts w:ascii="Arial" w:hAnsi="Arial" w:cs="Arial"/>
                <w:sz w:val="20"/>
                <w:szCs w:val="20"/>
              </w:rPr>
              <w:t>ensure</w:t>
            </w:r>
            <w:r w:rsidRPr="00A42A45">
              <w:rPr>
                <w:rFonts w:ascii="Arial" w:hAnsi="Arial" w:cs="Arial"/>
                <w:spacing w:val="-6"/>
                <w:sz w:val="20"/>
                <w:szCs w:val="20"/>
              </w:rPr>
              <w:t xml:space="preserve"> </w:t>
            </w:r>
            <w:r w:rsidRPr="00A42A45">
              <w:rPr>
                <w:rFonts w:ascii="Arial" w:hAnsi="Arial" w:cs="Arial"/>
                <w:sz w:val="20"/>
                <w:szCs w:val="20"/>
              </w:rPr>
              <w:t>it</w:t>
            </w:r>
            <w:r w:rsidRPr="00A42A45">
              <w:rPr>
                <w:rFonts w:ascii="Arial" w:hAnsi="Arial" w:cs="Arial"/>
                <w:spacing w:val="-5"/>
                <w:sz w:val="20"/>
                <w:szCs w:val="20"/>
              </w:rPr>
              <w:t xml:space="preserve"> </w:t>
            </w:r>
            <w:r w:rsidRPr="00A42A45">
              <w:rPr>
                <w:rFonts w:ascii="Arial" w:hAnsi="Arial" w:cs="Arial"/>
                <w:sz w:val="20"/>
                <w:szCs w:val="20"/>
              </w:rPr>
              <w:t>ties to</w:t>
            </w:r>
            <w:r w:rsidRPr="00A42A45">
              <w:rPr>
                <w:rFonts w:ascii="Arial" w:hAnsi="Arial" w:cs="Arial"/>
                <w:spacing w:val="-3"/>
                <w:sz w:val="20"/>
                <w:szCs w:val="20"/>
              </w:rPr>
              <w:t xml:space="preserve"> </w:t>
            </w:r>
            <w:r w:rsidRPr="00A42A45">
              <w:rPr>
                <w:rFonts w:ascii="Arial" w:hAnsi="Arial" w:cs="Arial"/>
                <w:sz w:val="20"/>
                <w:szCs w:val="20"/>
              </w:rPr>
              <w:t>line</w:t>
            </w:r>
            <w:r w:rsidRPr="00A42A45">
              <w:rPr>
                <w:rFonts w:ascii="Arial" w:hAnsi="Arial" w:cs="Arial"/>
                <w:spacing w:val="-1"/>
                <w:sz w:val="20"/>
                <w:szCs w:val="20"/>
              </w:rPr>
              <w:t xml:space="preserve"> </w:t>
            </w:r>
            <w:r w:rsidRPr="00A42A45">
              <w:rPr>
                <w:rFonts w:ascii="Arial" w:hAnsi="Arial" w:cs="Arial"/>
                <w:sz w:val="20"/>
                <w:szCs w:val="20"/>
              </w:rPr>
              <w:t>16</w:t>
            </w:r>
            <w:r w:rsidRPr="00A42A45">
              <w:rPr>
                <w:rFonts w:ascii="Arial" w:hAnsi="Arial" w:cs="Arial"/>
                <w:spacing w:val="-2"/>
                <w:sz w:val="20"/>
                <w:szCs w:val="20"/>
              </w:rPr>
              <w:t xml:space="preserve"> </w:t>
            </w:r>
            <w:r w:rsidRPr="00A42A45">
              <w:rPr>
                <w:rFonts w:ascii="Arial" w:hAnsi="Arial" w:cs="Arial"/>
                <w:sz w:val="20"/>
                <w:szCs w:val="20"/>
              </w:rPr>
              <w:t>–</w:t>
            </w:r>
            <w:r w:rsidRPr="00A42A45">
              <w:rPr>
                <w:rFonts w:ascii="Arial" w:hAnsi="Arial" w:cs="Arial"/>
                <w:spacing w:val="-1"/>
                <w:sz w:val="20"/>
                <w:szCs w:val="20"/>
              </w:rPr>
              <w:t xml:space="preserve"> </w:t>
            </w:r>
            <w:r w:rsidRPr="00A42A45">
              <w:rPr>
                <w:rFonts w:ascii="Arial" w:hAnsi="Arial" w:cs="Arial"/>
                <w:sz w:val="20"/>
                <w:szCs w:val="20"/>
              </w:rPr>
              <w:t>Actual Utility Costs – Whole Dollars of Form</w:t>
            </w:r>
            <w:r w:rsidRPr="00A42A45">
              <w:rPr>
                <w:rFonts w:ascii="Arial" w:hAnsi="Arial" w:cs="Arial"/>
                <w:spacing w:val="-2"/>
                <w:sz w:val="20"/>
                <w:szCs w:val="20"/>
              </w:rPr>
              <w:t xml:space="preserve"> </w:t>
            </w:r>
            <w:r w:rsidRPr="00A42A45">
              <w:rPr>
                <w:rFonts w:ascii="Arial" w:hAnsi="Arial" w:cs="Arial"/>
                <w:sz w:val="20"/>
                <w:szCs w:val="20"/>
              </w:rPr>
              <w:t>52722.</w:t>
            </w:r>
          </w:p>
          <w:p w14:paraId="2F2D96D3" w14:textId="77777777" w:rsidR="00174E6A" w:rsidRPr="00174E6A" w:rsidRDefault="00174E6A" w:rsidP="00174E6A">
            <w:pPr>
              <w:widowControl w:val="0"/>
              <w:tabs>
                <w:tab w:val="left" w:pos="720"/>
              </w:tabs>
              <w:jc w:val="both"/>
              <w:rPr>
                <w:rFonts w:ascii="Arial" w:hAnsi="Arial" w:cs="Arial"/>
              </w:rPr>
            </w:pPr>
          </w:p>
          <w:p w14:paraId="21F52386" w14:textId="77777777" w:rsidR="00174E6A" w:rsidRPr="00A42A45" w:rsidRDefault="00174E6A" w:rsidP="00174E6A">
            <w:pPr>
              <w:pStyle w:val="ListParagraph"/>
              <w:widowControl w:val="0"/>
              <w:numPr>
                <w:ilvl w:val="0"/>
                <w:numId w:val="78"/>
              </w:numPr>
              <w:tabs>
                <w:tab w:val="left" w:pos="720"/>
              </w:tabs>
              <w:suppressAutoHyphens w:val="0"/>
              <w:adjustRightInd/>
              <w:ind w:left="720"/>
              <w:jc w:val="both"/>
              <w:rPr>
                <w:rFonts w:ascii="Arial" w:hAnsi="Arial" w:cs="Arial"/>
                <w:sz w:val="20"/>
                <w:szCs w:val="20"/>
              </w:rPr>
            </w:pPr>
            <w:r w:rsidRPr="00A42A45">
              <w:rPr>
                <w:rFonts w:ascii="Arial" w:hAnsi="Arial" w:cs="Arial"/>
                <w:sz w:val="20"/>
                <w:szCs w:val="20"/>
              </w:rPr>
              <w:t xml:space="preserve">Complete a trend analysis of the reporting year and the last three years of each major utility to </w:t>
            </w:r>
            <w:r w:rsidRPr="00A42A45">
              <w:rPr>
                <w:rFonts w:ascii="Arial" w:hAnsi="Arial" w:cs="Arial"/>
                <w:spacing w:val="-4"/>
                <w:sz w:val="20"/>
                <w:szCs w:val="20"/>
              </w:rPr>
              <w:t xml:space="preserve">identify </w:t>
            </w:r>
            <w:r w:rsidRPr="00A42A45">
              <w:rPr>
                <w:rFonts w:ascii="Arial" w:hAnsi="Arial" w:cs="Arial"/>
                <w:sz w:val="20"/>
                <w:szCs w:val="20"/>
              </w:rPr>
              <w:t>any abnormal variances. Auditors should increase their sample size when there are abnormal</w:t>
            </w:r>
            <w:r w:rsidRPr="00A42A45">
              <w:rPr>
                <w:rFonts w:ascii="Arial" w:hAnsi="Arial" w:cs="Arial"/>
                <w:spacing w:val="-3"/>
                <w:sz w:val="20"/>
                <w:szCs w:val="20"/>
              </w:rPr>
              <w:t xml:space="preserve"> variances.</w:t>
            </w:r>
          </w:p>
          <w:p w14:paraId="376CF96D" w14:textId="77777777" w:rsidR="00174E6A" w:rsidRPr="00174E6A" w:rsidRDefault="00174E6A" w:rsidP="009F1483">
            <w:pPr>
              <w:spacing w:after="240"/>
              <w:jc w:val="both"/>
              <w:rPr>
                <w:rFonts w:ascii="Arial" w:hAnsi="Arial" w:cs="Arial"/>
                <w:sz w:val="20"/>
              </w:rPr>
            </w:pPr>
          </w:p>
        </w:tc>
      </w:tr>
    </w:tbl>
    <w:p w14:paraId="059556B7" w14:textId="77777777" w:rsidR="003A6024" w:rsidRPr="00F00D94" w:rsidRDefault="003A6024" w:rsidP="003A6024">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4D2C4AED" w14:textId="77777777" w:rsidR="003A6024" w:rsidRPr="000706D1" w:rsidRDefault="003A6024" w:rsidP="003A6024">
      <w:pPr>
        <w:pStyle w:val="Heading3"/>
        <w:jc w:val="both"/>
        <w:rPr>
          <w:rFonts w:cs="Arial"/>
          <w:b w:val="0"/>
          <w:sz w:val="24"/>
          <w:szCs w:val="24"/>
        </w:rPr>
      </w:pPr>
      <w:bookmarkStart w:id="167" w:name="_Toc212473224"/>
      <w:r w:rsidRPr="000706D1">
        <w:rPr>
          <w:rFonts w:cs="Arial"/>
          <w:sz w:val="24"/>
          <w:szCs w:val="24"/>
        </w:rPr>
        <w:t>Audit Implications Summary</w:t>
      </w:r>
      <w:bookmarkEnd w:id="167"/>
    </w:p>
    <w:tbl>
      <w:tblPr>
        <w:tblStyle w:val="TableGrid"/>
        <w:tblW w:w="5000" w:type="pct"/>
        <w:tblLook w:val="04A0" w:firstRow="1" w:lastRow="0" w:firstColumn="1" w:lastColumn="0" w:noHBand="0" w:noVBand="1"/>
      </w:tblPr>
      <w:tblGrid>
        <w:gridCol w:w="9350"/>
      </w:tblGrid>
      <w:tr w:rsidR="003A6024" w:rsidRPr="00F00D94" w14:paraId="7BFB6610" w14:textId="77777777" w:rsidTr="009F1483">
        <w:tc>
          <w:tcPr>
            <w:tcW w:w="5000" w:type="pct"/>
          </w:tcPr>
          <w:p w14:paraId="37433286" w14:textId="77777777" w:rsidR="003A6024" w:rsidRDefault="003A6024" w:rsidP="009F148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7F62303" w14:textId="77777777" w:rsidR="003A6024" w:rsidRPr="006E46AD" w:rsidRDefault="003A6024" w:rsidP="009F1483">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2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8A9E5E2" w14:textId="77777777" w:rsidR="003A6024" w:rsidRPr="006E46AD" w:rsidRDefault="003A6024" w:rsidP="00174E6A">
            <w:pPr>
              <w:pStyle w:val="ListParagraph"/>
              <w:widowControl w:val="0"/>
              <w:numPr>
                <w:ilvl w:val="0"/>
                <w:numId w:val="7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18E4E6FF" w14:textId="77777777" w:rsidR="003A6024" w:rsidRPr="006E46AD" w:rsidRDefault="003A6024" w:rsidP="009F1483">
            <w:pPr>
              <w:widowControl w:val="0"/>
              <w:spacing w:after="240"/>
              <w:ind w:left="720"/>
              <w:jc w:val="both"/>
              <w:rPr>
                <w:rFonts w:ascii="Arial" w:hAnsi="Arial" w:cs="Arial"/>
                <w:b/>
                <w:sz w:val="20"/>
                <w:szCs w:val="20"/>
              </w:rPr>
            </w:pPr>
          </w:p>
          <w:p w14:paraId="207E7A96" w14:textId="77777777" w:rsidR="003A6024" w:rsidRPr="006E46AD" w:rsidRDefault="003A6024" w:rsidP="00174E6A">
            <w:pPr>
              <w:widowControl w:val="0"/>
              <w:numPr>
                <w:ilvl w:val="0"/>
                <w:numId w:val="7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F319DF1" w14:textId="77777777" w:rsidR="003A6024" w:rsidRPr="00F00D94" w:rsidRDefault="003A6024" w:rsidP="009F1483">
            <w:pPr>
              <w:pStyle w:val="ListParagraph"/>
              <w:spacing w:after="240"/>
              <w:jc w:val="both"/>
              <w:rPr>
                <w:rFonts w:ascii="Arial" w:hAnsi="Arial" w:cs="Arial"/>
                <w:b/>
              </w:rPr>
            </w:pPr>
          </w:p>
          <w:p w14:paraId="1D84EB0A" w14:textId="77777777" w:rsidR="003A6024" w:rsidRPr="00F00D94" w:rsidRDefault="003A6024" w:rsidP="00174E6A">
            <w:pPr>
              <w:widowControl w:val="0"/>
              <w:numPr>
                <w:ilvl w:val="0"/>
                <w:numId w:val="79"/>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0F3992DC" w14:textId="77777777" w:rsidR="003A6024" w:rsidRPr="00F00D94" w:rsidRDefault="003A6024" w:rsidP="009F1483">
            <w:pPr>
              <w:pStyle w:val="ListParagraph"/>
              <w:spacing w:after="240"/>
              <w:jc w:val="both"/>
              <w:rPr>
                <w:rFonts w:ascii="Arial" w:hAnsi="Arial" w:cs="Arial"/>
                <w:b/>
              </w:rPr>
            </w:pPr>
          </w:p>
          <w:p w14:paraId="2EC3CC8D" w14:textId="77777777" w:rsidR="003A6024" w:rsidRPr="00F00D94" w:rsidRDefault="003A6024" w:rsidP="00174E6A">
            <w:pPr>
              <w:widowControl w:val="0"/>
              <w:numPr>
                <w:ilvl w:val="0"/>
                <w:numId w:val="7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88B13C4" w14:textId="77777777" w:rsidR="003A6024" w:rsidRPr="00F00D94" w:rsidRDefault="003A6024" w:rsidP="009F1483">
            <w:pPr>
              <w:pStyle w:val="ListParagraph"/>
              <w:spacing w:after="240"/>
              <w:jc w:val="both"/>
              <w:rPr>
                <w:rFonts w:ascii="Arial" w:hAnsi="Arial" w:cs="Arial"/>
                <w:b/>
              </w:rPr>
            </w:pPr>
          </w:p>
          <w:p w14:paraId="7A82182C" w14:textId="77777777" w:rsidR="003A6024" w:rsidRPr="00F00D94" w:rsidRDefault="003A6024" w:rsidP="00174E6A">
            <w:pPr>
              <w:widowControl w:val="0"/>
              <w:numPr>
                <w:ilvl w:val="0"/>
                <w:numId w:val="7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BE6453F" w14:textId="77777777" w:rsidR="003A6024" w:rsidRPr="00F00D94" w:rsidRDefault="003A6024" w:rsidP="009F1483">
            <w:pPr>
              <w:pStyle w:val="APStepItem"/>
              <w:numPr>
                <w:ilvl w:val="0"/>
                <w:numId w:val="0"/>
              </w:numPr>
              <w:spacing w:after="240"/>
              <w:rPr>
                <w:rFonts w:cs="Arial"/>
                <w:b/>
              </w:rPr>
            </w:pPr>
          </w:p>
        </w:tc>
      </w:tr>
    </w:tbl>
    <w:p w14:paraId="38D98BED" w14:textId="77777777" w:rsidR="003A6024" w:rsidRDefault="003A6024" w:rsidP="003A6024">
      <w:pPr>
        <w:pStyle w:val="Heading2"/>
        <w:jc w:val="both"/>
        <w:rPr>
          <w:rFonts w:cs="Arial"/>
          <w:sz w:val="24"/>
        </w:rPr>
        <w:sectPr w:rsidR="003A6024" w:rsidSect="003A6024">
          <w:headerReference w:type="default" r:id="rId126"/>
          <w:pgSz w:w="12240" w:h="15840" w:code="1"/>
          <w:pgMar w:top="1440" w:right="1440" w:bottom="1440" w:left="1440" w:header="720" w:footer="720" w:gutter="0"/>
          <w:cols w:space="720"/>
          <w:docGrid w:linePitch="360"/>
        </w:sectPr>
      </w:pPr>
    </w:p>
    <w:p w14:paraId="45E93713" w14:textId="07E7B4EB" w:rsidR="003A6024" w:rsidRPr="000706D1" w:rsidRDefault="003A6024" w:rsidP="003A6024">
      <w:pPr>
        <w:pStyle w:val="Heading2"/>
        <w:jc w:val="both"/>
        <w:rPr>
          <w:rFonts w:cs="Arial"/>
          <w:sz w:val="24"/>
        </w:rPr>
      </w:pPr>
      <w:bookmarkStart w:id="168" w:name="_Toc212473225"/>
      <w:r w:rsidRPr="000706D1">
        <w:rPr>
          <w:rFonts w:cs="Arial"/>
          <w:sz w:val="24"/>
        </w:rPr>
        <w:t>N</w:t>
      </w:r>
      <w:r w:rsidR="00174E6A">
        <w:rPr>
          <w:rFonts w:cs="Arial"/>
          <w:sz w:val="24"/>
        </w:rPr>
        <w:t>18</w:t>
      </w:r>
      <w:r w:rsidRPr="000706D1">
        <w:rPr>
          <w:rFonts w:cs="Arial"/>
          <w:sz w:val="24"/>
        </w:rPr>
        <w:t>.  SPECIAL TESTS AND PROVISIONS</w:t>
      </w:r>
      <w:r w:rsidR="00174E6A">
        <w:rPr>
          <w:rFonts w:cs="Arial"/>
          <w:sz w:val="24"/>
        </w:rPr>
        <w:t xml:space="preserve"> – FORMULA INCOME</w:t>
      </w:r>
      <w:bookmarkEnd w:id="168"/>
    </w:p>
    <w:p w14:paraId="1EF29C5C" w14:textId="77777777" w:rsidR="003A6024" w:rsidRPr="000706D1" w:rsidRDefault="003A6024" w:rsidP="003A6024">
      <w:pPr>
        <w:pStyle w:val="Heading3"/>
        <w:jc w:val="both"/>
        <w:rPr>
          <w:rFonts w:cs="Arial"/>
          <w:sz w:val="24"/>
          <w:szCs w:val="24"/>
        </w:rPr>
      </w:pPr>
      <w:bookmarkStart w:id="169" w:name="_Toc212473226"/>
      <w:r w:rsidRPr="000706D1">
        <w:rPr>
          <w:rFonts w:cs="Arial"/>
          <w:sz w:val="24"/>
          <w:szCs w:val="24"/>
        </w:rPr>
        <w:t>OMB Compliance Requirements</w:t>
      </w:r>
      <w:bookmarkEnd w:id="169"/>
    </w:p>
    <w:p w14:paraId="5C6541B3" w14:textId="77777777" w:rsidR="003A6024" w:rsidRPr="005C1EBC" w:rsidRDefault="003A6024" w:rsidP="003A6024">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3396466C" w14:textId="77777777" w:rsidR="003A6024" w:rsidRPr="00F00D94" w:rsidRDefault="003A6024" w:rsidP="003A6024">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27186145" w14:textId="77777777" w:rsidR="003A6024" w:rsidRPr="00F00D94" w:rsidRDefault="003A6024" w:rsidP="003A6024">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6D586B35" w14:textId="77777777" w:rsidR="003A6024" w:rsidRPr="000706D1" w:rsidRDefault="003A6024" w:rsidP="003A6024">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1B7DFBB" w14:textId="75A23184" w:rsidR="00174E6A" w:rsidRPr="00174E6A" w:rsidRDefault="00174E6A" w:rsidP="00174E6A">
      <w:pPr>
        <w:pStyle w:val="BodyText"/>
        <w:ind w:right="242"/>
        <w:jc w:val="both"/>
        <w:rPr>
          <w:rFonts w:ascii="Arial" w:hAnsi="Arial" w:cs="Arial"/>
        </w:rPr>
      </w:pPr>
      <w:r w:rsidRPr="00174E6A">
        <w:rPr>
          <w:rFonts w:ascii="Arial" w:hAnsi="Arial" w:cs="Arial"/>
        </w:rPr>
        <w:t xml:space="preserve">The Formula Income calculates the Operating Fund Revenue for each PHA. This calculation is generally based on prepopulated data calculated by HUD. However, in some cases, the Formula Income is not prepopulated. For further guidance, review the </w:t>
      </w:r>
      <w:hyperlink r:id="rId127">
        <w:r w:rsidRPr="00174E6A">
          <w:rPr>
            <w:rFonts w:ascii="Arial" w:hAnsi="Arial" w:cs="Arial"/>
            <w:color w:val="0000FF"/>
            <w:u w:val="single" w:color="0000FF"/>
          </w:rPr>
          <w:t>Formula Income Guidance</w:t>
        </w:r>
      </w:hyperlink>
      <w:r w:rsidRPr="00174E6A">
        <w:rPr>
          <w:rFonts w:ascii="Arial" w:hAnsi="Arial" w:cs="Arial"/>
          <w:color w:val="2C74B5"/>
        </w:rPr>
        <w:t xml:space="preserve">, </w:t>
      </w:r>
      <w:r w:rsidRPr="00174E6A">
        <w:rPr>
          <w:rFonts w:ascii="Arial" w:hAnsi="Arial" w:cs="Arial"/>
        </w:rPr>
        <w:t xml:space="preserve">the Operating Fund Web Page, the </w:t>
      </w:r>
      <w:hyperlink r:id="rId128">
        <w:r w:rsidRPr="00174E6A">
          <w:rPr>
            <w:rFonts w:ascii="Arial" w:hAnsi="Arial" w:cs="Arial"/>
            <w:color w:val="0000FF"/>
            <w:u w:val="single" w:color="0000FF"/>
          </w:rPr>
          <w:t>2025</w:t>
        </w:r>
      </w:hyperlink>
      <w:r w:rsidRPr="00174E6A">
        <w:rPr>
          <w:rFonts w:ascii="Arial" w:hAnsi="Arial" w:cs="Arial"/>
        </w:rPr>
        <w:t xml:space="preserve"> </w:t>
      </w:r>
      <w:hyperlink r:id="rId129">
        <w:r w:rsidRPr="00174E6A">
          <w:rPr>
            <w:rFonts w:ascii="Arial" w:hAnsi="Arial" w:cs="Arial"/>
            <w:color w:val="0000FF"/>
            <w:u w:val="single" w:color="0000FF"/>
          </w:rPr>
          <w:t>Operating Subsidy Grant Processing Notice</w:t>
        </w:r>
      </w:hyperlink>
      <w:r w:rsidRPr="00174E6A">
        <w:rPr>
          <w:rFonts w:ascii="Arial" w:hAnsi="Arial" w:cs="Arial"/>
        </w:rPr>
        <w:t xml:space="preserve">, the </w:t>
      </w:r>
      <w:hyperlink r:id="rId130">
        <w:r w:rsidRPr="00174E6A">
          <w:rPr>
            <w:rFonts w:ascii="Arial" w:hAnsi="Arial" w:cs="Arial"/>
            <w:color w:val="2C74B5"/>
            <w:u w:val="single" w:color="2C74B5"/>
          </w:rPr>
          <w:t>Annual Operating Subsidy Processing</w:t>
        </w:r>
      </w:hyperlink>
      <w:r w:rsidRPr="00174E6A">
        <w:rPr>
          <w:rFonts w:ascii="Arial" w:hAnsi="Arial" w:cs="Arial"/>
          <w:color w:val="2C74B5"/>
        </w:rPr>
        <w:t xml:space="preserve"> </w:t>
      </w:r>
      <w:hyperlink r:id="rId131">
        <w:r w:rsidRPr="00174E6A">
          <w:rPr>
            <w:rFonts w:ascii="Arial" w:hAnsi="Arial" w:cs="Arial"/>
            <w:color w:val="2C74B5"/>
            <w:u w:val="single" w:color="2C74B5"/>
          </w:rPr>
          <w:t>Notice</w:t>
        </w:r>
      </w:hyperlink>
      <w:r w:rsidRPr="00174E6A">
        <w:rPr>
          <w:rFonts w:ascii="Arial" w:hAnsi="Arial" w:cs="Arial"/>
          <w:color w:val="2C74B5"/>
          <w:u w:val="single" w:color="2C74B5"/>
        </w:rPr>
        <w:t>,</w:t>
      </w:r>
      <w:r w:rsidRPr="00174E6A">
        <w:rPr>
          <w:rFonts w:ascii="Arial" w:hAnsi="Arial" w:cs="Arial"/>
          <w:color w:val="2C74B5"/>
        </w:rPr>
        <w:t xml:space="preserve"> </w:t>
      </w:r>
      <w:r w:rsidRPr="00174E6A">
        <w:rPr>
          <w:rFonts w:ascii="Arial" w:hAnsi="Arial" w:cs="Arial"/>
        </w:rPr>
        <w:t>and 24 CFR 990.195(d).</w:t>
      </w:r>
    </w:p>
    <w:p w14:paraId="7F983C1D" w14:textId="4EA30D35" w:rsidR="003A6024" w:rsidRPr="00174E6A" w:rsidRDefault="00174E6A" w:rsidP="00174E6A">
      <w:pPr>
        <w:spacing w:after="240"/>
        <w:jc w:val="both"/>
        <w:rPr>
          <w:rFonts w:ascii="Arial" w:hAnsi="Arial" w:cs="Arial"/>
          <w:bCs/>
          <w:i/>
          <w:iCs/>
        </w:rPr>
      </w:pPr>
      <w:r w:rsidRPr="004A14BF">
        <w:rPr>
          <w:rFonts w:ascii="Arial" w:hAnsi="Arial" w:cs="Arial"/>
          <w:bCs/>
          <w:i/>
          <w:iCs/>
        </w:rPr>
        <w:t>(Source: 202</w:t>
      </w:r>
      <w:r>
        <w:rPr>
          <w:rFonts w:ascii="Arial" w:hAnsi="Arial" w:cs="Arial"/>
          <w:bCs/>
          <w:i/>
          <w:iCs/>
        </w:rPr>
        <w:t>5</w:t>
      </w:r>
      <w:r w:rsidRPr="004A14BF">
        <w:rPr>
          <w:rFonts w:ascii="Arial" w:hAnsi="Arial" w:cs="Arial"/>
          <w:bCs/>
          <w:i/>
          <w:iCs/>
        </w:rPr>
        <w:t xml:space="preserve"> OMB Compliance Supplement, Part 4, HUD, #14.850 </w:t>
      </w:r>
      <w:r>
        <w:rPr>
          <w:rFonts w:ascii="Arial" w:hAnsi="Arial" w:cs="Arial"/>
          <w:bCs/>
          <w:i/>
          <w:iCs/>
        </w:rPr>
        <w:t>Public Housing Operating Fund</w:t>
      </w:r>
      <w:r w:rsidRPr="004A14BF">
        <w:rPr>
          <w:rFonts w:ascii="Arial" w:hAnsi="Arial" w:cs="Arial"/>
          <w:bCs/>
          <w:i/>
          <w:iCs/>
        </w:rPr>
        <w:t>)</w:t>
      </w:r>
    </w:p>
    <w:p w14:paraId="0E4719A7" w14:textId="77777777" w:rsidR="003A6024" w:rsidRPr="000706D1" w:rsidRDefault="003A6024" w:rsidP="003A6024">
      <w:pPr>
        <w:pStyle w:val="Heading3"/>
        <w:jc w:val="both"/>
        <w:rPr>
          <w:rFonts w:cs="Arial"/>
          <w:sz w:val="24"/>
          <w:szCs w:val="24"/>
        </w:rPr>
      </w:pPr>
      <w:bookmarkStart w:id="170" w:name="_Toc212473227"/>
      <w:r w:rsidRPr="000706D1">
        <w:rPr>
          <w:rFonts w:cs="Arial"/>
          <w:sz w:val="24"/>
          <w:szCs w:val="24"/>
        </w:rPr>
        <w:t>Additional Program Specific Information</w:t>
      </w:r>
      <w:bookmarkEnd w:id="170"/>
    </w:p>
    <w:p w14:paraId="58AFCB8C" w14:textId="77777777" w:rsidR="003A6024" w:rsidRPr="00AA5B05" w:rsidRDefault="003A6024" w:rsidP="003A6024">
      <w:pPr>
        <w:spacing w:after="240"/>
        <w:jc w:val="both"/>
        <w:rPr>
          <w:rFonts w:ascii="Arial" w:hAnsi="Arial" w:cs="Arial"/>
          <w:b/>
          <w:highlight w:val="yellow"/>
        </w:rPr>
      </w:pPr>
      <w:r w:rsidRPr="00AA5B05">
        <w:rPr>
          <w:rFonts w:ascii="Arial" w:hAnsi="Arial" w:cs="Arial"/>
          <w:b/>
          <w:highlight w:val="yellow"/>
        </w:rPr>
        <w:t>Add program specific requirements from:</w:t>
      </w:r>
    </w:p>
    <w:p w14:paraId="6B209652" w14:textId="77777777" w:rsidR="003A6024" w:rsidRPr="00AA5B05" w:rsidRDefault="003A6024" w:rsidP="003A6024">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5C33A72C" w14:textId="77777777" w:rsidR="003A6024" w:rsidRPr="00AA5B05" w:rsidRDefault="003A6024" w:rsidP="003A6024">
      <w:pPr>
        <w:pStyle w:val="ListParagraph"/>
        <w:numPr>
          <w:ilvl w:val="0"/>
          <w:numId w:val="3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44A125AA" w14:textId="77777777" w:rsidR="003A6024" w:rsidRPr="00AA5B05" w:rsidRDefault="003A6024" w:rsidP="003A6024">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752ECD10" w14:textId="77777777" w:rsidR="003A6024" w:rsidRPr="00AA5B05" w:rsidRDefault="003A6024" w:rsidP="003A6024">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F7DC4A4" w14:textId="77777777" w:rsidR="003A6024" w:rsidRPr="000706D1" w:rsidRDefault="003A6024" w:rsidP="003A6024">
      <w:pPr>
        <w:pStyle w:val="Heading3"/>
        <w:jc w:val="both"/>
        <w:rPr>
          <w:rFonts w:cs="Arial"/>
          <w:sz w:val="24"/>
          <w:szCs w:val="24"/>
        </w:rPr>
      </w:pPr>
      <w:bookmarkStart w:id="171" w:name="_Toc212473228"/>
      <w:r w:rsidRPr="000706D1">
        <w:rPr>
          <w:rFonts w:cs="Arial"/>
          <w:sz w:val="24"/>
          <w:szCs w:val="24"/>
        </w:rPr>
        <w:t>Audit Objectives and Control Testing</w:t>
      </w:r>
      <w:bookmarkEnd w:id="171"/>
    </w:p>
    <w:p w14:paraId="36ED9BB9" w14:textId="77777777" w:rsidR="003A6024" w:rsidRPr="00F00D94" w:rsidRDefault="003A6024" w:rsidP="003A602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47BE15F" w14:textId="77777777" w:rsidR="003A6024" w:rsidRPr="00F00D94" w:rsidRDefault="003A6024" w:rsidP="003A602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2F81D932" w14:textId="77777777" w:rsidR="003A6024" w:rsidRDefault="003A6024" w:rsidP="003A6024">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415B34AF" w14:textId="77777777" w:rsidR="00174E6A" w:rsidRDefault="00174E6A" w:rsidP="00174E6A">
      <w:pPr>
        <w:pStyle w:val="BodyText"/>
        <w:numPr>
          <w:ilvl w:val="0"/>
          <w:numId w:val="81"/>
        </w:numPr>
        <w:spacing w:before="90"/>
        <w:ind w:left="360" w:right="296" w:hanging="360"/>
        <w:jc w:val="both"/>
        <w:rPr>
          <w:rFonts w:ascii="Arial" w:hAnsi="Arial" w:cs="Arial"/>
          <w:szCs w:val="20"/>
        </w:rPr>
      </w:pPr>
      <w:r w:rsidRPr="00174E6A">
        <w:rPr>
          <w:rFonts w:ascii="Arial" w:hAnsi="Arial" w:cs="Arial"/>
          <w:szCs w:val="20"/>
        </w:rPr>
        <w:t xml:space="preserve">For most projects, Formula Income is prepopulated. Prepopulated data is derived from the FDS. Where the Formula Income was prepopulated and not modified, testing is not required. Where prepopulated data was modified, or Formula Income was not prepopulated, testing should occur. Auditors should determine that Formula Income was not prepopulated by reviewing the prepopulated data available in the Public Housing Portal (formerly the </w:t>
      </w:r>
      <w:hyperlink r:id="rId132">
        <w:r w:rsidRPr="00174E6A">
          <w:rPr>
            <w:rFonts w:ascii="Arial" w:hAnsi="Arial" w:cs="Arial"/>
            <w:color w:val="0000FF"/>
            <w:szCs w:val="20"/>
            <w:u w:val="single" w:color="0000FF"/>
          </w:rPr>
          <w:t>Operating Fund Web Portal</w:t>
        </w:r>
      </w:hyperlink>
      <w:hyperlink r:id="rId133">
        <w:r w:rsidRPr="00174E6A">
          <w:rPr>
            <w:rFonts w:ascii="Arial" w:hAnsi="Arial" w:cs="Arial"/>
            <w:szCs w:val="20"/>
          </w:rPr>
          <w:t>)</w:t>
        </w:r>
      </w:hyperlink>
      <w:r w:rsidRPr="00174E6A">
        <w:rPr>
          <w:rFonts w:ascii="Arial" w:hAnsi="Arial" w:cs="Arial"/>
          <w:szCs w:val="20"/>
        </w:rPr>
        <w:t>. The PHA can provide the Auditor with this data if the Auditor does not have access to the Public Housing Portal.</w:t>
      </w:r>
    </w:p>
    <w:p w14:paraId="1D897129" w14:textId="63EB1FDE" w:rsidR="00174E6A" w:rsidRDefault="00174E6A" w:rsidP="00174E6A">
      <w:pPr>
        <w:pStyle w:val="BodyText"/>
        <w:spacing w:after="0"/>
        <w:ind w:left="360" w:right="296"/>
        <w:jc w:val="both"/>
        <w:rPr>
          <w:rFonts w:ascii="Arial" w:hAnsi="Arial" w:cs="Arial"/>
          <w:szCs w:val="20"/>
        </w:rPr>
      </w:pPr>
      <w:r w:rsidRPr="00174E6A">
        <w:rPr>
          <w:rFonts w:ascii="Arial" w:hAnsi="Arial" w:cs="Arial"/>
          <w:szCs w:val="20"/>
        </w:rPr>
        <w:t xml:space="preserve">The auditor should review the following documents to ensure Formula Income was calculated correctly. These documents are on the HUD Financial Management Division (FMD) annual </w:t>
      </w:r>
      <w:hyperlink r:id="rId134">
        <w:r w:rsidRPr="00174E6A">
          <w:rPr>
            <w:rFonts w:ascii="Arial" w:hAnsi="Arial" w:cs="Arial"/>
            <w:color w:val="0000FF"/>
            <w:szCs w:val="20"/>
            <w:u w:val="single" w:color="0000FF"/>
          </w:rPr>
          <w:t>Operating Subsidy Web Page</w:t>
        </w:r>
        <w:r w:rsidRPr="00174E6A">
          <w:rPr>
            <w:rFonts w:ascii="Arial" w:hAnsi="Arial" w:cs="Arial"/>
            <w:szCs w:val="20"/>
          </w:rPr>
          <w:t>.</w:t>
        </w:r>
      </w:hyperlink>
    </w:p>
    <w:p w14:paraId="44EE98AE" w14:textId="77777777" w:rsidR="00174E6A" w:rsidRPr="00174E6A" w:rsidRDefault="00174E6A" w:rsidP="00174E6A">
      <w:pPr>
        <w:pStyle w:val="BodyText"/>
        <w:spacing w:after="0"/>
        <w:ind w:right="296"/>
        <w:jc w:val="both"/>
        <w:rPr>
          <w:rFonts w:ascii="Arial" w:hAnsi="Arial" w:cs="Arial"/>
          <w:szCs w:val="20"/>
        </w:rPr>
      </w:pPr>
    </w:p>
    <w:p w14:paraId="21008F6F" w14:textId="744611D4" w:rsidR="00174E6A" w:rsidRDefault="00174E6A" w:rsidP="00174E6A">
      <w:pPr>
        <w:pStyle w:val="ListParagraph"/>
        <w:widowControl w:val="0"/>
        <w:numPr>
          <w:ilvl w:val="1"/>
          <w:numId w:val="34"/>
        </w:numPr>
        <w:tabs>
          <w:tab w:val="left" w:pos="2259"/>
          <w:tab w:val="left" w:pos="2260"/>
        </w:tabs>
        <w:jc w:val="both"/>
        <w:rPr>
          <w:rFonts w:ascii="Arial" w:hAnsi="Arial" w:cs="Arial"/>
        </w:rPr>
      </w:pPr>
      <w:hyperlink r:id="rId135">
        <w:r w:rsidRPr="00174E6A">
          <w:rPr>
            <w:rFonts w:ascii="Arial" w:hAnsi="Arial" w:cs="Arial"/>
            <w:color w:val="0000FF"/>
            <w:u w:val="single" w:color="0000FF"/>
          </w:rPr>
          <w:t>Formula Income</w:t>
        </w:r>
        <w:r w:rsidRPr="00174E6A">
          <w:rPr>
            <w:rFonts w:ascii="Arial" w:hAnsi="Arial" w:cs="Arial"/>
            <w:color w:val="0000FF"/>
            <w:spacing w:val="-2"/>
            <w:u w:val="single" w:color="0000FF"/>
          </w:rPr>
          <w:t xml:space="preserve"> </w:t>
        </w:r>
        <w:r w:rsidRPr="00174E6A">
          <w:rPr>
            <w:rFonts w:ascii="Arial" w:hAnsi="Arial" w:cs="Arial"/>
            <w:color w:val="0000FF"/>
            <w:u w:val="single" w:color="0000FF"/>
          </w:rPr>
          <w:t>Guidance</w:t>
        </w:r>
      </w:hyperlink>
    </w:p>
    <w:p w14:paraId="1728E94E" w14:textId="77777777" w:rsidR="00174E6A" w:rsidRPr="00174E6A" w:rsidRDefault="00174E6A" w:rsidP="00174E6A">
      <w:pPr>
        <w:widowControl w:val="0"/>
        <w:tabs>
          <w:tab w:val="left" w:pos="2259"/>
          <w:tab w:val="left" w:pos="2260"/>
        </w:tabs>
        <w:jc w:val="both"/>
        <w:rPr>
          <w:rFonts w:ascii="Arial" w:hAnsi="Arial" w:cs="Arial"/>
        </w:rPr>
      </w:pPr>
    </w:p>
    <w:p w14:paraId="3280771D" w14:textId="6B54D8D2" w:rsidR="00174E6A" w:rsidRDefault="00174E6A" w:rsidP="00174E6A">
      <w:pPr>
        <w:pStyle w:val="ListParagraph"/>
        <w:widowControl w:val="0"/>
        <w:numPr>
          <w:ilvl w:val="1"/>
          <w:numId w:val="34"/>
        </w:numPr>
        <w:tabs>
          <w:tab w:val="left" w:pos="2259"/>
          <w:tab w:val="left" w:pos="2260"/>
        </w:tabs>
        <w:jc w:val="both"/>
        <w:rPr>
          <w:rFonts w:ascii="Arial" w:hAnsi="Arial" w:cs="Arial"/>
        </w:rPr>
      </w:pPr>
      <w:r w:rsidRPr="00174E6A">
        <w:rPr>
          <w:rFonts w:ascii="Arial" w:hAnsi="Arial" w:cs="Arial"/>
        </w:rPr>
        <w:t>Guidance on Non-Asset Management PHAs Reporting a Single FDS with Multiple PIC Projects and HUD-</w:t>
      </w:r>
      <w:hyperlink r:id="rId136">
        <w:r w:rsidRPr="00174E6A">
          <w:rPr>
            <w:rFonts w:ascii="Arial" w:hAnsi="Arial" w:cs="Arial"/>
            <w:color w:val="0000FF"/>
            <w:u w:val="single" w:color="0000FF"/>
          </w:rPr>
          <w:t>52723</w:t>
        </w:r>
      </w:hyperlink>
      <w:r w:rsidRPr="00174E6A">
        <w:rPr>
          <w:rFonts w:ascii="Arial" w:hAnsi="Arial" w:cs="Arial"/>
        </w:rPr>
        <w:t>s: Calculation of Formula Income and other Miscellaneous Add-ons including Audit and PILOT</w:t>
      </w:r>
      <w:r w:rsidRPr="00174E6A">
        <w:rPr>
          <w:rFonts w:ascii="Arial" w:hAnsi="Arial" w:cs="Arial"/>
          <w:spacing w:val="-6"/>
        </w:rPr>
        <w:t xml:space="preserve"> </w:t>
      </w:r>
      <w:r w:rsidRPr="00174E6A">
        <w:rPr>
          <w:rFonts w:ascii="Arial" w:hAnsi="Arial" w:cs="Arial"/>
        </w:rPr>
        <w:t>Funding.</w:t>
      </w:r>
    </w:p>
    <w:p w14:paraId="78938DCC" w14:textId="77777777" w:rsidR="00174E6A" w:rsidRPr="00174E6A" w:rsidRDefault="00174E6A" w:rsidP="00174E6A">
      <w:pPr>
        <w:widowControl w:val="0"/>
        <w:tabs>
          <w:tab w:val="left" w:pos="2259"/>
          <w:tab w:val="left" w:pos="2260"/>
        </w:tabs>
        <w:jc w:val="both"/>
        <w:rPr>
          <w:rFonts w:ascii="Arial" w:hAnsi="Arial" w:cs="Arial"/>
        </w:rPr>
      </w:pPr>
    </w:p>
    <w:p w14:paraId="0DAE60D8" w14:textId="77777777" w:rsidR="00174E6A" w:rsidRDefault="00174E6A" w:rsidP="00174E6A">
      <w:pPr>
        <w:pStyle w:val="ListParagraph"/>
        <w:widowControl w:val="0"/>
        <w:numPr>
          <w:ilvl w:val="1"/>
          <w:numId w:val="34"/>
        </w:numPr>
        <w:tabs>
          <w:tab w:val="left" w:pos="2259"/>
          <w:tab w:val="left" w:pos="2260"/>
        </w:tabs>
        <w:ind w:right="620"/>
        <w:jc w:val="both"/>
        <w:rPr>
          <w:rFonts w:ascii="Arial" w:hAnsi="Arial" w:cs="Arial"/>
        </w:rPr>
      </w:pPr>
      <w:hyperlink r:id="rId137">
        <w:r w:rsidRPr="00174E6A">
          <w:rPr>
            <w:rFonts w:ascii="Arial" w:hAnsi="Arial" w:cs="Arial"/>
            <w:color w:val="0000FF"/>
            <w:u w:val="single" w:color="0000FF"/>
          </w:rPr>
          <w:t>Guidance on the How to Reverse the Impact of Rent Reductions from the Jobs</w:t>
        </w:r>
      </w:hyperlink>
      <w:hyperlink r:id="rId138">
        <w:r w:rsidRPr="00174E6A">
          <w:rPr>
            <w:rFonts w:ascii="Arial" w:hAnsi="Arial" w:cs="Arial"/>
            <w:color w:val="0000FF"/>
            <w:u w:val="single" w:color="0000FF"/>
          </w:rPr>
          <w:t xml:space="preserve"> Plus Earned Income Disregard (JPEID) on Formula</w:t>
        </w:r>
        <w:r w:rsidRPr="00174E6A">
          <w:rPr>
            <w:rFonts w:ascii="Arial" w:hAnsi="Arial" w:cs="Arial"/>
            <w:color w:val="0000FF"/>
            <w:spacing w:val="-5"/>
            <w:u w:val="single" w:color="0000FF"/>
          </w:rPr>
          <w:t xml:space="preserve"> </w:t>
        </w:r>
        <w:r w:rsidRPr="00174E6A">
          <w:rPr>
            <w:rFonts w:ascii="Arial" w:hAnsi="Arial" w:cs="Arial"/>
            <w:color w:val="0000FF"/>
            <w:u w:val="single" w:color="0000FF"/>
          </w:rPr>
          <w:t>Income</w:t>
        </w:r>
      </w:hyperlink>
    </w:p>
    <w:p w14:paraId="0A6E70CE" w14:textId="77777777" w:rsidR="00174E6A" w:rsidRPr="00174E6A" w:rsidRDefault="00174E6A" w:rsidP="00174E6A">
      <w:pPr>
        <w:widowControl w:val="0"/>
        <w:tabs>
          <w:tab w:val="left" w:pos="2259"/>
          <w:tab w:val="left" w:pos="2260"/>
        </w:tabs>
        <w:ind w:right="620"/>
        <w:jc w:val="both"/>
        <w:rPr>
          <w:rFonts w:ascii="Arial" w:hAnsi="Arial" w:cs="Arial"/>
        </w:rPr>
      </w:pPr>
    </w:p>
    <w:p w14:paraId="474B19AB" w14:textId="091A4C09" w:rsidR="00174E6A" w:rsidRDefault="00174E6A" w:rsidP="00174E6A">
      <w:pPr>
        <w:pStyle w:val="ListParagraph"/>
        <w:widowControl w:val="0"/>
        <w:numPr>
          <w:ilvl w:val="1"/>
          <w:numId w:val="34"/>
        </w:numPr>
        <w:tabs>
          <w:tab w:val="left" w:pos="2259"/>
          <w:tab w:val="left" w:pos="2260"/>
        </w:tabs>
        <w:ind w:right="620"/>
        <w:jc w:val="both"/>
        <w:rPr>
          <w:rFonts w:ascii="Arial" w:hAnsi="Arial" w:cs="Arial"/>
        </w:rPr>
      </w:pPr>
      <w:r w:rsidRPr="00174E6A">
        <w:rPr>
          <w:rFonts w:ascii="Arial" w:hAnsi="Arial" w:cs="Arial"/>
        </w:rPr>
        <w:t>Financial Reporting for the Family Self-Sufficiency (FSS) Program</w:t>
      </w:r>
      <w:r w:rsidRPr="00174E6A">
        <w:rPr>
          <w:rFonts w:ascii="Arial" w:hAnsi="Arial" w:cs="Arial"/>
          <w:color w:val="0000FF"/>
        </w:rPr>
        <w:t xml:space="preserve"> </w:t>
      </w:r>
      <w:hyperlink r:id="rId139">
        <w:r w:rsidRPr="00174E6A">
          <w:rPr>
            <w:rFonts w:ascii="Arial" w:hAnsi="Arial" w:cs="Arial"/>
            <w:color w:val="0000FF"/>
            <w:u w:val="single" w:color="0000FF"/>
          </w:rPr>
          <w:t>Accounting</w:t>
        </w:r>
      </w:hyperlink>
      <w:hyperlink r:id="rId140">
        <w:r w:rsidRPr="00174E6A">
          <w:rPr>
            <w:rFonts w:ascii="Arial" w:hAnsi="Arial" w:cs="Arial"/>
            <w:color w:val="0000FF"/>
            <w:u w:val="single" w:color="0000FF"/>
          </w:rPr>
          <w:t xml:space="preserve"> Brief #23</w:t>
        </w:r>
      </w:hyperlink>
    </w:p>
    <w:p w14:paraId="123840AB" w14:textId="77777777" w:rsidR="00174E6A" w:rsidRPr="00174E6A" w:rsidRDefault="00174E6A" w:rsidP="00174E6A">
      <w:pPr>
        <w:widowControl w:val="0"/>
        <w:tabs>
          <w:tab w:val="left" w:pos="2259"/>
          <w:tab w:val="left" w:pos="2260"/>
        </w:tabs>
        <w:ind w:right="620"/>
        <w:jc w:val="both"/>
        <w:rPr>
          <w:rFonts w:ascii="Arial" w:hAnsi="Arial" w:cs="Arial"/>
        </w:rPr>
      </w:pPr>
    </w:p>
    <w:p w14:paraId="3EB01A82" w14:textId="46F1923A" w:rsidR="00174E6A" w:rsidRPr="00174E6A" w:rsidRDefault="00174E6A" w:rsidP="00174E6A">
      <w:pPr>
        <w:pStyle w:val="ListParagraph"/>
        <w:widowControl w:val="0"/>
        <w:numPr>
          <w:ilvl w:val="1"/>
          <w:numId w:val="34"/>
        </w:numPr>
        <w:tabs>
          <w:tab w:val="left" w:pos="2259"/>
          <w:tab w:val="left" w:pos="2260"/>
        </w:tabs>
        <w:spacing w:before="90"/>
        <w:jc w:val="both"/>
        <w:rPr>
          <w:rFonts w:ascii="Arial" w:hAnsi="Arial" w:cs="Arial"/>
        </w:rPr>
      </w:pPr>
      <w:r w:rsidRPr="00174E6A">
        <w:rPr>
          <w:rFonts w:ascii="Arial" w:hAnsi="Arial" w:cs="Arial"/>
        </w:rPr>
        <w:t>Annual Operating Subsidy Processing</w:t>
      </w:r>
      <w:r w:rsidRPr="00174E6A">
        <w:rPr>
          <w:rFonts w:ascii="Arial" w:hAnsi="Arial" w:cs="Arial"/>
          <w:spacing w:val="-10"/>
        </w:rPr>
        <w:t xml:space="preserve"> </w:t>
      </w:r>
      <w:r w:rsidRPr="00174E6A">
        <w:rPr>
          <w:rFonts w:ascii="Arial" w:hAnsi="Arial" w:cs="Arial"/>
          <w:spacing w:val="-3"/>
        </w:rPr>
        <w:t>Notice</w:t>
      </w:r>
    </w:p>
    <w:p w14:paraId="007BF252" w14:textId="77777777" w:rsidR="00174E6A" w:rsidRPr="00174E6A" w:rsidRDefault="00174E6A" w:rsidP="00174E6A">
      <w:pPr>
        <w:widowControl w:val="0"/>
        <w:tabs>
          <w:tab w:val="left" w:pos="2259"/>
          <w:tab w:val="left" w:pos="2260"/>
        </w:tabs>
        <w:spacing w:before="90"/>
        <w:jc w:val="both"/>
        <w:rPr>
          <w:rFonts w:ascii="Arial" w:hAnsi="Arial" w:cs="Arial"/>
        </w:rPr>
      </w:pPr>
    </w:p>
    <w:p w14:paraId="04F5C02D" w14:textId="77777777" w:rsidR="00174E6A" w:rsidRPr="00174E6A" w:rsidRDefault="00174E6A" w:rsidP="00174E6A">
      <w:pPr>
        <w:pStyle w:val="BodyText"/>
        <w:tabs>
          <w:tab w:val="left" w:pos="360"/>
        </w:tabs>
        <w:ind w:left="360" w:right="296"/>
        <w:jc w:val="both"/>
        <w:rPr>
          <w:rFonts w:ascii="Arial" w:hAnsi="Arial" w:cs="Arial"/>
          <w:szCs w:val="20"/>
        </w:rPr>
      </w:pPr>
      <w:r w:rsidRPr="00174E6A">
        <w:rPr>
          <w:rFonts w:ascii="Arial" w:hAnsi="Arial" w:cs="Arial"/>
          <w:szCs w:val="20"/>
        </w:rPr>
        <w:t>Where Formula Income was not prepopulated or the prepopulated amount was adjusted, ensure that the formula income input into Form 52723, or the adjustment to the prepopulated Formula Income, was done accurately.</w:t>
      </w:r>
    </w:p>
    <w:p w14:paraId="23762B48" w14:textId="062D0D25" w:rsidR="003A6024" w:rsidRPr="00174E6A" w:rsidRDefault="00174E6A" w:rsidP="00174E6A">
      <w:pPr>
        <w:spacing w:after="240"/>
        <w:jc w:val="both"/>
        <w:rPr>
          <w:rFonts w:ascii="Arial" w:hAnsi="Arial" w:cs="Arial"/>
          <w:bCs/>
          <w:i/>
          <w:iCs/>
        </w:rPr>
      </w:pPr>
      <w:r w:rsidRPr="004A14BF">
        <w:rPr>
          <w:rFonts w:ascii="Arial" w:hAnsi="Arial" w:cs="Arial"/>
          <w:bCs/>
          <w:i/>
          <w:iCs/>
        </w:rPr>
        <w:t>(Source: 202</w:t>
      </w:r>
      <w:r>
        <w:rPr>
          <w:rFonts w:ascii="Arial" w:hAnsi="Arial" w:cs="Arial"/>
          <w:bCs/>
          <w:i/>
          <w:iCs/>
        </w:rPr>
        <w:t>5</w:t>
      </w:r>
      <w:r w:rsidRPr="004A14BF">
        <w:rPr>
          <w:rFonts w:ascii="Arial" w:hAnsi="Arial" w:cs="Arial"/>
          <w:bCs/>
          <w:i/>
          <w:iCs/>
        </w:rPr>
        <w:t xml:space="preserve"> OMB Compliance Supplement, Part 4, HUD, #14.850 </w:t>
      </w:r>
      <w:r>
        <w:rPr>
          <w:rFonts w:ascii="Arial" w:hAnsi="Arial" w:cs="Arial"/>
          <w:bCs/>
          <w:i/>
          <w:iCs/>
        </w:rPr>
        <w:t>Public Housing Operating Fund</w:t>
      </w:r>
      <w:r w:rsidRPr="004A14BF">
        <w:rPr>
          <w:rFonts w:ascii="Arial" w:hAnsi="Arial" w:cs="Arial"/>
          <w:bCs/>
          <w:i/>
          <w:iCs/>
        </w:rPr>
        <w:t>)</w:t>
      </w:r>
    </w:p>
    <w:p w14:paraId="07673403" w14:textId="77777777" w:rsidR="003A6024" w:rsidRPr="00634FA3" w:rsidRDefault="003A6024" w:rsidP="003A6024">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3A6024" w:rsidRPr="00F00D94" w14:paraId="5AE04932" w14:textId="77777777" w:rsidTr="009F1483">
        <w:tc>
          <w:tcPr>
            <w:tcW w:w="5000" w:type="pct"/>
          </w:tcPr>
          <w:p w14:paraId="1D431C2D" w14:textId="77777777" w:rsidR="003A6024" w:rsidRPr="006F5FFA" w:rsidRDefault="003A6024" w:rsidP="009F148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29CAFF5" w14:textId="77777777" w:rsidR="003A6024" w:rsidRPr="00F00D94" w:rsidRDefault="003A6024" w:rsidP="009F148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40171A07" w14:textId="77777777" w:rsidR="003A6024" w:rsidRPr="00F00D94" w:rsidRDefault="003A6024" w:rsidP="009F1483">
            <w:pPr>
              <w:pStyle w:val="AuditProcedureHeading"/>
              <w:spacing w:after="240"/>
              <w:jc w:val="both"/>
              <w:rPr>
                <w:rFonts w:cs="Arial"/>
                <w:b/>
                <w:bCs/>
                <w:szCs w:val="20"/>
                <w:u w:val="single"/>
              </w:rPr>
            </w:pPr>
          </w:p>
          <w:p w14:paraId="514E5815" w14:textId="77777777" w:rsidR="003A6024" w:rsidRPr="00F00D94" w:rsidRDefault="003A6024" w:rsidP="009F148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4595F9CA" w14:textId="77777777" w:rsidR="003A6024" w:rsidRPr="00F00D94" w:rsidRDefault="003A6024" w:rsidP="009F1483">
            <w:pPr>
              <w:pStyle w:val="AuditProcedureHeading"/>
              <w:spacing w:after="240"/>
              <w:jc w:val="both"/>
              <w:rPr>
                <w:rFonts w:cs="Arial"/>
                <w:b/>
                <w:bCs/>
                <w:szCs w:val="20"/>
                <w:u w:val="single"/>
              </w:rPr>
            </w:pPr>
          </w:p>
          <w:p w14:paraId="259CA442" w14:textId="77777777" w:rsidR="003A6024" w:rsidRPr="00F00D94" w:rsidRDefault="003A6024" w:rsidP="009F148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55644B5" w14:textId="77777777" w:rsidR="003A6024" w:rsidRPr="00F00D94" w:rsidRDefault="003A6024" w:rsidP="009F1483">
            <w:pPr>
              <w:spacing w:after="240"/>
              <w:jc w:val="both"/>
              <w:rPr>
                <w:rFonts w:ascii="Arial" w:hAnsi="Arial" w:cs="Arial"/>
                <w:b/>
                <w:sz w:val="20"/>
                <w:u w:val="single"/>
              </w:rPr>
            </w:pPr>
          </w:p>
          <w:p w14:paraId="5996873A" w14:textId="77777777" w:rsidR="003A6024" w:rsidRPr="00F00D94" w:rsidRDefault="003A6024" w:rsidP="009F148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ECEB41A" w14:textId="77777777" w:rsidR="003A6024" w:rsidRPr="00C35E5F" w:rsidRDefault="003A6024" w:rsidP="009F1483">
            <w:pPr>
              <w:spacing w:after="240"/>
              <w:jc w:val="both"/>
              <w:rPr>
                <w:rFonts w:ascii="Arial" w:eastAsiaTheme="minorHAnsi" w:hAnsi="Arial" w:cs="Arial"/>
                <w:sz w:val="20"/>
                <w:szCs w:val="20"/>
              </w:rPr>
            </w:pPr>
          </w:p>
        </w:tc>
      </w:tr>
    </w:tbl>
    <w:p w14:paraId="6964F7D3" w14:textId="77777777" w:rsidR="003A6024" w:rsidRPr="00F00D94" w:rsidRDefault="003A6024" w:rsidP="003A602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618452BC" w14:textId="77777777" w:rsidR="003A6024" w:rsidRPr="000706D1" w:rsidRDefault="003A6024" w:rsidP="003A6024">
      <w:pPr>
        <w:pStyle w:val="Heading3"/>
        <w:jc w:val="both"/>
        <w:rPr>
          <w:rFonts w:cs="Arial"/>
          <w:sz w:val="24"/>
          <w:szCs w:val="24"/>
        </w:rPr>
      </w:pPr>
      <w:bookmarkStart w:id="172" w:name="_Toc212473229"/>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72"/>
    </w:p>
    <w:tbl>
      <w:tblPr>
        <w:tblStyle w:val="TableGrid"/>
        <w:tblW w:w="9558" w:type="dxa"/>
        <w:tblLayout w:type="fixed"/>
        <w:tblLook w:val="04A0" w:firstRow="1" w:lastRow="0" w:firstColumn="1" w:lastColumn="0" w:noHBand="0" w:noVBand="1"/>
      </w:tblPr>
      <w:tblGrid>
        <w:gridCol w:w="9558"/>
      </w:tblGrid>
      <w:tr w:rsidR="003A6024" w:rsidRPr="00F00D94" w14:paraId="38B8DB70" w14:textId="77777777" w:rsidTr="009F1483">
        <w:tc>
          <w:tcPr>
            <w:tcW w:w="9558" w:type="dxa"/>
          </w:tcPr>
          <w:p w14:paraId="2C66E485" w14:textId="77777777" w:rsidR="003A6024" w:rsidRDefault="003A6024" w:rsidP="009F1483">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02597D37" w14:textId="77777777" w:rsidR="003A6024" w:rsidRPr="00AC7B25" w:rsidRDefault="003A6024" w:rsidP="009F1483">
            <w:pPr>
              <w:spacing w:after="240"/>
              <w:jc w:val="both"/>
              <w:rPr>
                <w:rFonts w:ascii="Arial" w:hAnsi="Arial" w:cs="Arial"/>
                <w:i/>
                <w:sz w:val="20"/>
                <w:szCs w:val="20"/>
              </w:rPr>
            </w:pPr>
            <w:r>
              <w:rPr>
                <w:rFonts w:ascii="Arial" w:hAnsi="Arial" w:cs="Arial"/>
                <w:i/>
                <w:sz w:val="20"/>
                <w:szCs w:val="20"/>
              </w:rPr>
              <w:t>(Source: 2025 OMB Compliance Supplement Part 3.2)</w:t>
            </w:r>
          </w:p>
          <w:p w14:paraId="375D40C2" w14:textId="77777777" w:rsidR="00174E6A" w:rsidRPr="00174E6A" w:rsidRDefault="00174E6A" w:rsidP="00174E6A">
            <w:pPr>
              <w:spacing w:after="240"/>
              <w:ind w:left="703" w:hanging="703"/>
              <w:jc w:val="both"/>
              <w:rPr>
                <w:rFonts w:ascii="Arial" w:hAnsi="Arial" w:cs="Arial"/>
                <w:sz w:val="20"/>
              </w:rPr>
            </w:pPr>
            <w:r w:rsidRPr="00174E6A">
              <w:rPr>
                <w:rFonts w:ascii="Arial" w:hAnsi="Arial" w:cs="Arial"/>
                <w:sz w:val="20"/>
              </w:rPr>
              <w:t>a.</w:t>
            </w:r>
            <w:r w:rsidRPr="00174E6A">
              <w:rPr>
                <w:rFonts w:ascii="Arial" w:hAnsi="Arial" w:cs="Arial"/>
                <w:sz w:val="20"/>
              </w:rPr>
              <w:tab/>
              <w:t>Where prepopulated Formula Income was adjusted, test the supporting documentation to ensure that the adjustment was made for appropriate reasons. Test the supporting documentation and calculation to validate that Formula Income was correctly calculated. Adjustments should only be made due to JPEID, FSS, or Non-Asset Management with multiple projects that report only one project in FDS (see guidance provided on HUD FMD annual operating subsidy webpage).</w:t>
            </w:r>
          </w:p>
          <w:p w14:paraId="0F8A2666" w14:textId="77777777" w:rsidR="00174E6A" w:rsidRPr="00174E6A" w:rsidRDefault="00174E6A" w:rsidP="00174E6A">
            <w:pPr>
              <w:spacing w:after="240"/>
              <w:ind w:left="703" w:hanging="703"/>
              <w:jc w:val="both"/>
              <w:rPr>
                <w:rFonts w:ascii="Arial" w:hAnsi="Arial" w:cs="Arial"/>
                <w:sz w:val="20"/>
              </w:rPr>
            </w:pPr>
          </w:p>
          <w:p w14:paraId="3E25519D" w14:textId="46379162" w:rsidR="003A6024" w:rsidRPr="001B6A61" w:rsidRDefault="00174E6A" w:rsidP="00174E6A">
            <w:pPr>
              <w:spacing w:after="240"/>
              <w:ind w:left="703" w:hanging="703"/>
              <w:jc w:val="both"/>
              <w:rPr>
                <w:rFonts w:ascii="Arial" w:hAnsi="Arial" w:cs="Arial"/>
                <w:b/>
                <w:bCs/>
                <w:sz w:val="20"/>
              </w:rPr>
            </w:pPr>
            <w:r w:rsidRPr="00174E6A">
              <w:rPr>
                <w:rFonts w:ascii="Arial" w:hAnsi="Arial" w:cs="Arial"/>
                <w:sz w:val="20"/>
              </w:rPr>
              <w:t>b.</w:t>
            </w:r>
            <w:r w:rsidRPr="00174E6A">
              <w:rPr>
                <w:rFonts w:ascii="Arial" w:hAnsi="Arial" w:cs="Arial"/>
                <w:sz w:val="20"/>
              </w:rPr>
              <w:tab/>
              <w:t>Where Formula Income was not prepopulated, test the supporting documentation and calculation to validate that Formula Income was correctly calculated. Formula income may not have been prepopulated for the following reasons: Non-Asset Management with multiple projects that report only one project in FDS, mixed-finance projects, or approved FDS data not available at the time FMD pulled data used to prepopulate the 52723.</w:t>
            </w:r>
          </w:p>
        </w:tc>
      </w:tr>
    </w:tbl>
    <w:p w14:paraId="26C73BA5" w14:textId="77777777" w:rsidR="003A6024" w:rsidRPr="00F00D94" w:rsidRDefault="003A6024" w:rsidP="003A6024">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4447E842" w14:textId="77777777" w:rsidR="003A6024" w:rsidRPr="000706D1" w:rsidRDefault="003A6024" w:rsidP="003A6024">
      <w:pPr>
        <w:pStyle w:val="Heading3"/>
        <w:jc w:val="both"/>
        <w:rPr>
          <w:rFonts w:cs="Arial"/>
          <w:b w:val="0"/>
          <w:sz w:val="24"/>
          <w:szCs w:val="24"/>
        </w:rPr>
      </w:pPr>
      <w:bookmarkStart w:id="173" w:name="_Toc212473230"/>
      <w:r w:rsidRPr="000706D1">
        <w:rPr>
          <w:rFonts w:cs="Arial"/>
          <w:sz w:val="24"/>
          <w:szCs w:val="24"/>
        </w:rPr>
        <w:t>Audit Implications Summary</w:t>
      </w:r>
      <w:bookmarkEnd w:id="173"/>
    </w:p>
    <w:tbl>
      <w:tblPr>
        <w:tblStyle w:val="TableGrid"/>
        <w:tblW w:w="5000" w:type="pct"/>
        <w:tblLook w:val="04A0" w:firstRow="1" w:lastRow="0" w:firstColumn="1" w:lastColumn="0" w:noHBand="0" w:noVBand="1"/>
      </w:tblPr>
      <w:tblGrid>
        <w:gridCol w:w="9350"/>
      </w:tblGrid>
      <w:tr w:rsidR="003A6024" w:rsidRPr="00F00D94" w14:paraId="4391C4F9" w14:textId="77777777" w:rsidTr="009F1483">
        <w:tc>
          <w:tcPr>
            <w:tcW w:w="5000" w:type="pct"/>
          </w:tcPr>
          <w:p w14:paraId="15A5F21D" w14:textId="77777777" w:rsidR="003A6024" w:rsidRDefault="003A6024" w:rsidP="009F148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45F69D" w14:textId="77777777" w:rsidR="003A6024" w:rsidRPr="006E46AD" w:rsidRDefault="003A6024" w:rsidP="009F1483">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4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0912A1BB" w14:textId="77777777" w:rsidR="003A6024" w:rsidRPr="006E46AD" w:rsidRDefault="003A6024" w:rsidP="00174E6A">
            <w:pPr>
              <w:pStyle w:val="ListParagraph"/>
              <w:widowControl w:val="0"/>
              <w:numPr>
                <w:ilvl w:val="0"/>
                <w:numId w:val="82"/>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2AD33B5B" w14:textId="77777777" w:rsidR="003A6024" w:rsidRPr="006E46AD" w:rsidRDefault="003A6024" w:rsidP="009F1483">
            <w:pPr>
              <w:widowControl w:val="0"/>
              <w:spacing w:after="240"/>
              <w:ind w:left="720"/>
              <w:jc w:val="both"/>
              <w:rPr>
                <w:rFonts w:ascii="Arial" w:hAnsi="Arial" w:cs="Arial"/>
                <w:b/>
                <w:sz w:val="20"/>
                <w:szCs w:val="20"/>
              </w:rPr>
            </w:pPr>
          </w:p>
          <w:p w14:paraId="0498E349" w14:textId="77777777" w:rsidR="003A6024" w:rsidRPr="006E46AD" w:rsidRDefault="003A6024" w:rsidP="00174E6A">
            <w:pPr>
              <w:widowControl w:val="0"/>
              <w:numPr>
                <w:ilvl w:val="0"/>
                <w:numId w:val="8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8541719" w14:textId="77777777" w:rsidR="003A6024" w:rsidRPr="00F00D94" w:rsidRDefault="003A6024" w:rsidP="009F1483">
            <w:pPr>
              <w:pStyle w:val="ListParagraph"/>
              <w:spacing w:after="240"/>
              <w:jc w:val="both"/>
              <w:rPr>
                <w:rFonts w:ascii="Arial" w:hAnsi="Arial" w:cs="Arial"/>
                <w:b/>
              </w:rPr>
            </w:pPr>
          </w:p>
          <w:p w14:paraId="4D070108" w14:textId="77777777" w:rsidR="003A6024" w:rsidRPr="00F00D94" w:rsidRDefault="003A6024" w:rsidP="00174E6A">
            <w:pPr>
              <w:widowControl w:val="0"/>
              <w:numPr>
                <w:ilvl w:val="0"/>
                <w:numId w:val="82"/>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20BF7FED" w14:textId="77777777" w:rsidR="003A6024" w:rsidRPr="00F00D94" w:rsidRDefault="003A6024" w:rsidP="009F1483">
            <w:pPr>
              <w:pStyle w:val="ListParagraph"/>
              <w:spacing w:after="240"/>
              <w:jc w:val="both"/>
              <w:rPr>
                <w:rFonts w:ascii="Arial" w:hAnsi="Arial" w:cs="Arial"/>
                <w:b/>
              </w:rPr>
            </w:pPr>
          </w:p>
          <w:p w14:paraId="6D9B6FC7" w14:textId="77777777" w:rsidR="003A6024" w:rsidRPr="00F00D94" w:rsidRDefault="003A6024" w:rsidP="00174E6A">
            <w:pPr>
              <w:widowControl w:val="0"/>
              <w:numPr>
                <w:ilvl w:val="0"/>
                <w:numId w:val="8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F1C0679" w14:textId="77777777" w:rsidR="003A6024" w:rsidRPr="00F00D94" w:rsidRDefault="003A6024" w:rsidP="009F1483">
            <w:pPr>
              <w:pStyle w:val="ListParagraph"/>
              <w:spacing w:after="240"/>
              <w:jc w:val="both"/>
              <w:rPr>
                <w:rFonts w:ascii="Arial" w:hAnsi="Arial" w:cs="Arial"/>
                <w:b/>
              </w:rPr>
            </w:pPr>
          </w:p>
          <w:p w14:paraId="7131406C" w14:textId="77777777" w:rsidR="003A6024" w:rsidRPr="00F00D94" w:rsidRDefault="003A6024" w:rsidP="00174E6A">
            <w:pPr>
              <w:widowControl w:val="0"/>
              <w:numPr>
                <w:ilvl w:val="0"/>
                <w:numId w:val="8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98161CE" w14:textId="77777777" w:rsidR="003A6024" w:rsidRPr="00F00D94" w:rsidRDefault="003A6024" w:rsidP="009F1483">
            <w:pPr>
              <w:pStyle w:val="APStepItem"/>
              <w:numPr>
                <w:ilvl w:val="0"/>
                <w:numId w:val="0"/>
              </w:numPr>
              <w:spacing w:after="240"/>
              <w:rPr>
                <w:rFonts w:cs="Arial"/>
                <w:b/>
              </w:rPr>
            </w:pPr>
          </w:p>
        </w:tc>
      </w:tr>
    </w:tbl>
    <w:p w14:paraId="75A793F5" w14:textId="77777777" w:rsidR="00174E6A" w:rsidRDefault="00174E6A" w:rsidP="00C04E8C">
      <w:pPr>
        <w:pStyle w:val="Heading2"/>
        <w:jc w:val="both"/>
        <w:rPr>
          <w:rFonts w:cs="Arial"/>
          <w:sz w:val="24"/>
        </w:rPr>
        <w:sectPr w:rsidR="00174E6A" w:rsidSect="00C04E8C">
          <w:headerReference w:type="default" r:id="rId142"/>
          <w:pgSz w:w="12240" w:h="15840" w:code="1"/>
          <w:pgMar w:top="1440" w:right="1440" w:bottom="1440" w:left="1440" w:header="720" w:footer="720" w:gutter="0"/>
          <w:cols w:space="720"/>
          <w:docGrid w:linePitch="360"/>
        </w:sectPr>
      </w:pPr>
    </w:p>
    <w:p w14:paraId="735B25B8" w14:textId="6729096D" w:rsidR="00C04E8C" w:rsidRPr="000706D1" w:rsidRDefault="00C04E8C" w:rsidP="00C04E8C">
      <w:pPr>
        <w:pStyle w:val="Heading2"/>
        <w:jc w:val="both"/>
        <w:rPr>
          <w:rFonts w:cs="Arial"/>
          <w:sz w:val="24"/>
        </w:rPr>
      </w:pPr>
      <w:bookmarkStart w:id="174" w:name="_Toc212473231"/>
      <w:r w:rsidRPr="000706D1">
        <w:rPr>
          <w:rFonts w:cs="Arial"/>
          <w:sz w:val="24"/>
        </w:rPr>
        <w:t>N</w:t>
      </w:r>
      <w:r w:rsidR="00174E6A">
        <w:rPr>
          <w:rFonts w:cs="Arial"/>
          <w:sz w:val="24"/>
        </w:rPr>
        <w:t>19</w:t>
      </w:r>
      <w:r w:rsidRPr="000706D1">
        <w:rPr>
          <w:rFonts w:cs="Arial"/>
          <w:sz w:val="24"/>
        </w:rPr>
        <w:t xml:space="preserve">. </w:t>
      </w:r>
      <w:r w:rsidR="00E6567C" w:rsidRPr="000706D1">
        <w:rPr>
          <w:rFonts w:cs="Arial"/>
          <w:sz w:val="24"/>
        </w:rPr>
        <w:t>SPECIAL TESTS AND PROVISIONS</w:t>
      </w:r>
      <w:r w:rsidR="00E6567C">
        <w:rPr>
          <w:rFonts w:cs="Arial"/>
          <w:sz w:val="24"/>
        </w:rPr>
        <w:t xml:space="preserve"> – </w:t>
      </w:r>
      <w:r w:rsidR="00174E6A">
        <w:rPr>
          <w:rFonts w:cs="Arial"/>
          <w:sz w:val="24"/>
        </w:rPr>
        <w:t>SHORTFALL FUNDING</w:t>
      </w:r>
      <w:bookmarkEnd w:id="174"/>
    </w:p>
    <w:p w14:paraId="0AC2E76D" w14:textId="77777777" w:rsidR="00C04E8C" w:rsidRPr="000706D1" w:rsidRDefault="00C04E8C" w:rsidP="00C04E8C">
      <w:pPr>
        <w:pStyle w:val="Heading3"/>
        <w:jc w:val="both"/>
        <w:rPr>
          <w:rFonts w:cs="Arial"/>
          <w:sz w:val="24"/>
          <w:szCs w:val="24"/>
        </w:rPr>
      </w:pPr>
      <w:bookmarkStart w:id="175" w:name="_Toc212473232"/>
      <w:r w:rsidRPr="000706D1">
        <w:rPr>
          <w:rFonts w:cs="Arial"/>
          <w:sz w:val="24"/>
          <w:szCs w:val="24"/>
        </w:rPr>
        <w:t>OMB Compliance Requirements</w:t>
      </w:r>
      <w:bookmarkEnd w:id="175"/>
    </w:p>
    <w:p w14:paraId="72350382" w14:textId="77777777" w:rsidR="00C04E8C" w:rsidRPr="005C1EBC" w:rsidRDefault="00C04E8C" w:rsidP="00C04E8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76D473EE" w14:textId="77777777" w:rsidR="00C04E8C" w:rsidRPr="00F00D94" w:rsidRDefault="00C04E8C" w:rsidP="00C04E8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4F706C45" w14:textId="77777777" w:rsidR="00C04E8C" w:rsidRPr="00F00D94" w:rsidRDefault="00C04E8C" w:rsidP="00C04E8C">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26F661D1" w14:textId="77777777" w:rsidR="00C04E8C" w:rsidRPr="000706D1" w:rsidRDefault="00C04E8C" w:rsidP="00C04E8C">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79F160E" w14:textId="3D1E041B" w:rsidR="001B0E70" w:rsidRDefault="001B0E70" w:rsidP="00C04E8C">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1B0E70">
        <w:rPr>
          <w:rFonts w:ascii="Arial" w:hAnsi="Arial" w:cs="Arial"/>
          <w:bCs/>
        </w:rPr>
        <w:t>Beginning in 2020 HUD provided Shortfall funding to PHAs on a competitive basis. All Shortfall funds are required to be expended within three days of being drawn down from LOCCS on eligible Operating Fund expenses.</w:t>
      </w:r>
    </w:p>
    <w:p w14:paraId="245BC301" w14:textId="12B3C5A7" w:rsidR="001B0E70" w:rsidRPr="001B0E70" w:rsidRDefault="001B0E70" w:rsidP="001B0E70">
      <w:pPr>
        <w:spacing w:after="240"/>
        <w:jc w:val="both"/>
        <w:rPr>
          <w:rFonts w:ascii="Arial" w:hAnsi="Arial" w:cs="Arial"/>
          <w:bCs/>
          <w:i/>
          <w:iCs/>
        </w:rPr>
      </w:pPr>
      <w:r w:rsidRPr="004A14BF">
        <w:rPr>
          <w:rFonts w:ascii="Arial" w:hAnsi="Arial" w:cs="Arial"/>
          <w:bCs/>
          <w:i/>
          <w:iCs/>
        </w:rPr>
        <w:t>(Source: 202</w:t>
      </w:r>
      <w:r>
        <w:rPr>
          <w:rFonts w:ascii="Arial" w:hAnsi="Arial" w:cs="Arial"/>
          <w:bCs/>
          <w:i/>
          <w:iCs/>
        </w:rPr>
        <w:t>5</w:t>
      </w:r>
      <w:r w:rsidRPr="004A14BF">
        <w:rPr>
          <w:rFonts w:ascii="Arial" w:hAnsi="Arial" w:cs="Arial"/>
          <w:bCs/>
          <w:i/>
          <w:iCs/>
        </w:rPr>
        <w:t xml:space="preserve"> OMB Compliance Supplement, Part 4, HUD, #14.850 </w:t>
      </w:r>
      <w:r>
        <w:rPr>
          <w:rFonts w:ascii="Arial" w:hAnsi="Arial" w:cs="Arial"/>
          <w:bCs/>
          <w:i/>
          <w:iCs/>
        </w:rPr>
        <w:t>Public Housing Operating Fund</w:t>
      </w:r>
      <w:r w:rsidRPr="004A14BF">
        <w:rPr>
          <w:rFonts w:ascii="Arial" w:hAnsi="Arial" w:cs="Arial"/>
          <w:bCs/>
          <w:i/>
          <w:iCs/>
        </w:rPr>
        <w:t>)</w:t>
      </w:r>
    </w:p>
    <w:p w14:paraId="592C3E1F" w14:textId="77777777" w:rsidR="00C04E8C" w:rsidRPr="000706D1" w:rsidRDefault="00C04E8C" w:rsidP="00C04E8C">
      <w:pPr>
        <w:pStyle w:val="Heading3"/>
        <w:jc w:val="both"/>
        <w:rPr>
          <w:rFonts w:cs="Arial"/>
          <w:sz w:val="24"/>
          <w:szCs w:val="24"/>
        </w:rPr>
      </w:pPr>
      <w:bookmarkStart w:id="176" w:name="_Toc212473233"/>
      <w:r w:rsidRPr="000706D1">
        <w:rPr>
          <w:rFonts w:cs="Arial"/>
          <w:sz w:val="24"/>
          <w:szCs w:val="24"/>
        </w:rPr>
        <w:t>Additional Program Specific Information</w:t>
      </w:r>
      <w:bookmarkEnd w:id="176"/>
    </w:p>
    <w:p w14:paraId="11580D7F" w14:textId="77777777" w:rsidR="00C04E8C" w:rsidRPr="00AA5B05" w:rsidRDefault="00C04E8C" w:rsidP="00C04E8C">
      <w:pPr>
        <w:spacing w:after="240"/>
        <w:jc w:val="both"/>
        <w:rPr>
          <w:rFonts w:ascii="Arial" w:hAnsi="Arial" w:cs="Arial"/>
          <w:b/>
          <w:highlight w:val="yellow"/>
        </w:rPr>
      </w:pPr>
      <w:r w:rsidRPr="00AA5B05">
        <w:rPr>
          <w:rFonts w:ascii="Arial" w:hAnsi="Arial" w:cs="Arial"/>
          <w:b/>
          <w:highlight w:val="yellow"/>
        </w:rPr>
        <w:t>Add program specific requirements from:</w:t>
      </w:r>
    </w:p>
    <w:p w14:paraId="7A0A79A1" w14:textId="77777777" w:rsidR="00C04E8C" w:rsidRPr="00AA5B05" w:rsidRDefault="00C04E8C" w:rsidP="00C04E8C">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7EE9140A" w14:textId="77777777" w:rsidR="00C04E8C" w:rsidRPr="00AA5B05" w:rsidRDefault="00C04E8C" w:rsidP="00C04E8C">
      <w:pPr>
        <w:pStyle w:val="ListParagraph"/>
        <w:numPr>
          <w:ilvl w:val="0"/>
          <w:numId w:val="3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4EB2BBE4" w14:textId="77777777" w:rsidR="00C04E8C" w:rsidRPr="00AA5B05" w:rsidRDefault="00C04E8C" w:rsidP="00C04E8C">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39DF0833" w14:textId="77777777" w:rsidR="00C04E8C" w:rsidRPr="00AA5B05" w:rsidRDefault="00C04E8C" w:rsidP="00C04E8C">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C4A555C" w14:textId="77777777" w:rsidR="00C04E8C" w:rsidRPr="000706D1" w:rsidRDefault="00C04E8C" w:rsidP="00C04E8C">
      <w:pPr>
        <w:pStyle w:val="Heading3"/>
        <w:jc w:val="both"/>
        <w:rPr>
          <w:rFonts w:cs="Arial"/>
          <w:sz w:val="24"/>
          <w:szCs w:val="24"/>
        </w:rPr>
      </w:pPr>
      <w:bookmarkStart w:id="177" w:name="_Toc212473234"/>
      <w:r w:rsidRPr="000706D1">
        <w:rPr>
          <w:rFonts w:cs="Arial"/>
          <w:sz w:val="24"/>
          <w:szCs w:val="24"/>
        </w:rPr>
        <w:t>Audit Objectives and Control Testing</w:t>
      </w:r>
      <w:bookmarkEnd w:id="177"/>
    </w:p>
    <w:p w14:paraId="0AB9732E" w14:textId="77777777" w:rsidR="00C04E8C" w:rsidRPr="00F00D94" w:rsidRDefault="00C04E8C" w:rsidP="00C04E8C">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07846D80" w14:textId="77777777" w:rsidR="00C04E8C" w:rsidRPr="00F00D94" w:rsidRDefault="00C04E8C" w:rsidP="00C04E8C">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E698D68" w14:textId="77777777" w:rsidR="00C04E8C" w:rsidRDefault="00C04E8C" w:rsidP="00C04E8C">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3262BAAE" w14:textId="6E7E7402" w:rsidR="00C04E8C" w:rsidRDefault="001B0E70" w:rsidP="00174E6A">
      <w:pPr>
        <w:pStyle w:val="ListParagraph"/>
        <w:numPr>
          <w:ilvl w:val="0"/>
          <w:numId w:val="80"/>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1B0E70">
        <w:rPr>
          <w:rFonts w:ascii="Arial" w:hAnsi="Arial" w:cs="Arial"/>
          <w:iCs/>
        </w:rPr>
        <w:t>Determine whether the Shortfall funding was appropriately recorded and spent at projects in accordance with the award letter’s financial improvement objectives.</w:t>
      </w:r>
    </w:p>
    <w:p w14:paraId="05ACFEBE" w14:textId="52750742" w:rsidR="001B0E70" w:rsidRPr="001B0E70" w:rsidRDefault="001B0E70" w:rsidP="001B0E70">
      <w:p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bCs/>
          <w:i/>
          <w:iCs/>
        </w:rPr>
      </w:pPr>
      <w:r w:rsidRPr="001B0E70">
        <w:rPr>
          <w:rFonts w:ascii="Arial" w:hAnsi="Arial" w:cs="Arial"/>
          <w:bCs/>
          <w:i/>
          <w:iCs/>
        </w:rPr>
        <w:t>(Source: 202</w:t>
      </w:r>
      <w:r>
        <w:rPr>
          <w:rFonts w:ascii="Arial" w:hAnsi="Arial" w:cs="Arial"/>
          <w:bCs/>
          <w:i/>
          <w:iCs/>
        </w:rPr>
        <w:t>5</w:t>
      </w:r>
      <w:r w:rsidRPr="001B0E70">
        <w:rPr>
          <w:rFonts w:ascii="Arial" w:hAnsi="Arial" w:cs="Arial"/>
          <w:bCs/>
          <w:i/>
          <w:iCs/>
        </w:rPr>
        <w:t xml:space="preserve"> OMB Compliance Supplement, Part 4, HUD, #14.850 Public Housing Operating Fund)</w:t>
      </w:r>
    </w:p>
    <w:p w14:paraId="10A06E45" w14:textId="77777777" w:rsidR="00C04E8C" w:rsidRPr="00634FA3" w:rsidRDefault="00C04E8C" w:rsidP="00C04E8C">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04E8C" w:rsidRPr="00F00D94" w14:paraId="03658CC8" w14:textId="77777777" w:rsidTr="009F1483">
        <w:tc>
          <w:tcPr>
            <w:tcW w:w="5000" w:type="pct"/>
          </w:tcPr>
          <w:p w14:paraId="75B3045C" w14:textId="77777777" w:rsidR="00C04E8C" w:rsidRPr="006F5FFA" w:rsidRDefault="00C04E8C" w:rsidP="009F148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6FBB3F92" w14:textId="77777777" w:rsidR="00C04E8C" w:rsidRPr="00F00D94" w:rsidRDefault="00C04E8C" w:rsidP="009F148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7D82B182" w14:textId="77777777" w:rsidR="00C04E8C" w:rsidRPr="00F00D94" w:rsidRDefault="00C04E8C" w:rsidP="009F1483">
            <w:pPr>
              <w:pStyle w:val="AuditProcedureHeading"/>
              <w:spacing w:after="240"/>
              <w:jc w:val="both"/>
              <w:rPr>
                <w:rFonts w:cs="Arial"/>
                <w:b/>
                <w:bCs/>
                <w:szCs w:val="20"/>
                <w:u w:val="single"/>
              </w:rPr>
            </w:pPr>
          </w:p>
          <w:p w14:paraId="19E0B09B" w14:textId="77777777" w:rsidR="00C04E8C" w:rsidRPr="00F00D94" w:rsidRDefault="00C04E8C" w:rsidP="009F148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BE3DED5" w14:textId="77777777" w:rsidR="00C04E8C" w:rsidRPr="00F00D94" w:rsidRDefault="00C04E8C" w:rsidP="009F1483">
            <w:pPr>
              <w:pStyle w:val="AuditProcedureHeading"/>
              <w:spacing w:after="240"/>
              <w:jc w:val="both"/>
              <w:rPr>
                <w:rFonts w:cs="Arial"/>
                <w:b/>
                <w:bCs/>
                <w:szCs w:val="20"/>
                <w:u w:val="single"/>
              </w:rPr>
            </w:pPr>
          </w:p>
          <w:p w14:paraId="4FE877E1" w14:textId="77777777" w:rsidR="00C04E8C" w:rsidRPr="00F00D94" w:rsidRDefault="00C04E8C" w:rsidP="009F148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44BDF29" w14:textId="77777777" w:rsidR="00C04E8C" w:rsidRPr="00F00D94" w:rsidRDefault="00C04E8C" w:rsidP="009F1483">
            <w:pPr>
              <w:spacing w:after="240"/>
              <w:jc w:val="both"/>
              <w:rPr>
                <w:rFonts w:ascii="Arial" w:hAnsi="Arial" w:cs="Arial"/>
                <w:b/>
                <w:sz w:val="20"/>
                <w:u w:val="single"/>
              </w:rPr>
            </w:pPr>
          </w:p>
          <w:p w14:paraId="0DBCFB5E" w14:textId="77777777" w:rsidR="00C04E8C" w:rsidRPr="00F00D94" w:rsidRDefault="00C04E8C" w:rsidP="009F148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60405F7" w14:textId="77777777" w:rsidR="00C04E8C" w:rsidRPr="00C35E5F" w:rsidRDefault="00C04E8C" w:rsidP="009F1483">
            <w:pPr>
              <w:spacing w:after="240"/>
              <w:jc w:val="both"/>
              <w:rPr>
                <w:rFonts w:ascii="Arial" w:eastAsiaTheme="minorHAnsi" w:hAnsi="Arial" w:cs="Arial"/>
                <w:sz w:val="20"/>
                <w:szCs w:val="20"/>
              </w:rPr>
            </w:pPr>
          </w:p>
        </w:tc>
      </w:tr>
    </w:tbl>
    <w:p w14:paraId="69D68309" w14:textId="77777777" w:rsidR="00C04E8C" w:rsidRPr="00F00D94" w:rsidRDefault="00C04E8C" w:rsidP="00C04E8C">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656DDAD1" w14:textId="77777777" w:rsidR="00C04E8C" w:rsidRPr="000706D1" w:rsidRDefault="00C04E8C" w:rsidP="00C04E8C">
      <w:pPr>
        <w:pStyle w:val="Heading3"/>
        <w:jc w:val="both"/>
        <w:rPr>
          <w:rFonts w:cs="Arial"/>
          <w:sz w:val="24"/>
          <w:szCs w:val="24"/>
        </w:rPr>
      </w:pPr>
      <w:bookmarkStart w:id="178" w:name="_Toc212473235"/>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78"/>
    </w:p>
    <w:tbl>
      <w:tblPr>
        <w:tblStyle w:val="TableGrid"/>
        <w:tblW w:w="9558" w:type="dxa"/>
        <w:tblLayout w:type="fixed"/>
        <w:tblLook w:val="04A0" w:firstRow="1" w:lastRow="0" w:firstColumn="1" w:lastColumn="0" w:noHBand="0" w:noVBand="1"/>
      </w:tblPr>
      <w:tblGrid>
        <w:gridCol w:w="9558"/>
      </w:tblGrid>
      <w:tr w:rsidR="00C04E8C" w:rsidRPr="00F00D94" w14:paraId="52E32EEB" w14:textId="77777777" w:rsidTr="009F1483">
        <w:tc>
          <w:tcPr>
            <w:tcW w:w="9558" w:type="dxa"/>
          </w:tcPr>
          <w:p w14:paraId="42706901" w14:textId="77777777" w:rsidR="00C04E8C" w:rsidRDefault="00C04E8C" w:rsidP="006D34C5">
            <w:pPr>
              <w:spacing w:after="240"/>
              <w:ind w:left="703" w:hanging="72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D792679" w14:textId="77777777" w:rsidR="00C04E8C" w:rsidRPr="00AC7B25" w:rsidRDefault="00C04E8C" w:rsidP="006D34C5">
            <w:pPr>
              <w:spacing w:after="240"/>
              <w:ind w:left="703" w:hanging="720"/>
              <w:jc w:val="both"/>
              <w:rPr>
                <w:rFonts w:ascii="Arial" w:hAnsi="Arial" w:cs="Arial"/>
                <w:i/>
                <w:sz w:val="20"/>
                <w:szCs w:val="20"/>
              </w:rPr>
            </w:pPr>
            <w:r>
              <w:rPr>
                <w:rFonts w:ascii="Arial" w:hAnsi="Arial" w:cs="Arial"/>
                <w:i/>
                <w:sz w:val="20"/>
                <w:szCs w:val="20"/>
              </w:rPr>
              <w:t>(Source: 2025 OMB Compliance Supplement Part 3.2)</w:t>
            </w:r>
          </w:p>
          <w:p w14:paraId="5BC5EB5D" w14:textId="1FF751E7" w:rsidR="00C04E8C" w:rsidRPr="006D34C5" w:rsidRDefault="006D34C5" w:rsidP="006D34C5">
            <w:pPr>
              <w:spacing w:after="240"/>
              <w:ind w:left="703" w:hanging="720"/>
              <w:jc w:val="both"/>
              <w:rPr>
                <w:rFonts w:ascii="Arial" w:hAnsi="Arial" w:cs="Arial"/>
                <w:sz w:val="20"/>
              </w:rPr>
            </w:pPr>
            <w:r w:rsidRPr="006D34C5">
              <w:rPr>
                <w:rFonts w:ascii="Arial" w:hAnsi="Arial" w:cs="Arial"/>
                <w:sz w:val="20"/>
              </w:rPr>
              <w:t>a.</w:t>
            </w:r>
            <w:r w:rsidRPr="006D34C5">
              <w:rPr>
                <w:rFonts w:ascii="Arial" w:hAnsi="Arial" w:cs="Arial"/>
                <w:sz w:val="20"/>
              </w:rPr>
              <w:tab/>
              <w:t>Select a sample of projects that receive Shortfall funding and assess whether sampled expenditures were consistent with Operating Fund/Shortfall requirements.</w:t>
            </w:r>
          </w:p>
        </w:tc>
      </w:tr>
    </w:tbl>
    <w:p w14:paraId="708BC8EE" w14:textId="77777777" w:rsidR="00C04E8C" w:rsidRPr="00F00D94" w:rsidRDefault="00C04E8C" w:rsidP="00C04E8C">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3DA85151" w14:textId="77777777" w:rsidR="00C04E8C" w:rsidRPr="000706D1" w:rsidRDefault="00C04E8C" w:rsidP="00C04E8C">
      <w:pPr>
        <w:pStyle w:val="Heading3"/>
        <w:jc w:val="both"/>
        <w:rPr>
          <w:rFonts w:cs="Arial"/>
          <w:b w:val="0"/>
          <w:sz w:val="24"/>
          <w:szCs w:val="24"/>
        </w:rPr>
      </w:pPr>
      <w:bookmarkStart w:id="179" w:name="_Toc212473236"/>
      <w:r w:rsidRPr="000706D1">
        <w:rPr>
          <w:rFonts w:cs="Arial"/>
          <w:sz w:val="24"/>
          <w:szCs w:val="24"/>
        </w:rPr>
        <w:t>Audit Implications Summary</w:t>
      </w:r>
      <w:bookmarkEnd w:id="179"/>
    </w:p>
    <w:tbl>
      <w:tblPr>
        <w:tblStyle w:val="TableGrid"/>
        <w:tblW w:w="5000" w:type="pct"/>
        <w:tblLook w:val="04A0" w:firstRow="1" w:lastRow="0" w:firstColumn="1" w:lastColumn="0" w:noHBand="0" w:noVBand="1"/>
      </w:tblPr>
      <w:tblGrid>
        <w:gridCol w:w="9350"/>
      </w:tblGrid>
      <w:tr w:rsidR="00C04E8C" w:rsidRPr="00F00D94" w14:paraId="7EB0BC2A" w14:textId="77777777" w:rsidTr="009F1483">
        <w:tc>
          <w:tcPr>
            <w:tcW w:w="5000" w:type="pct"/>
          </w:tcPr>
          <w:p w14:paraId="7D4457D4" w14:textId="77777777" w:rsidR="00C04E8C" w:rsidRDefault="00C04E8C" w:rsidP="009F148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1EA6430" w14:textId="77777777" w:rsidR="00C04E8C" w:rsidRPr="006E46AD" w:rsidRDefault="00C04E8C" w:rsidP="009F1483">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4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8126F29" w14:textId="77777777" w:rsidR="00C04E8C" w:rsidRPr="006E46AD" w:rsidRDefault="00C04E8C" w:rsidP="006D34C5">
            <w:pPr>
              <w:pStyle w:val="ListParagraph"/>
              <w:widowControl w:val="0"/>
              <w:numPr>
                <w:ilvl w:val="0"/>
                <w:numId w:val="83"/>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563F5D0C" w14:textId="77777777" w:rsidR="00C04E8C" w:rsidRPr="006E46AD" w:rsidRDefault="00C04E8C" w:rsidP="009F1483">
            <w:pPr>
              <w:widowControl w:val="0"/>
              <w:spacing w:after="240"/>
              <w:ind w:left="720"/>
              <w:jc w:val="both"/>
              <w:rPr>
                <w:rFonts w:ascii="Arial" w:hAnsi="Arial" w:cs="Arial"/>
                <w:b/>
                <w:sz w:val="20"/>
                <w:szCs w:val="20"/>
              </w:rPr>
            </w:pPr>
          </w:p>
          <w:p w14:paraId="57E17770" w14:textId="77777777" w:rsidR="00C04E8C" w:rsidRPr="006E46AD" w:rsidRDefault="00C04E8C" w:rsidP="006D34C5">
            <w:pPr>
              <w:widowControl w:val="0"/>
              <w:numPr>
                <w:ilvl w:val="0"/>
                <w:numId w:val="8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FAFFAF8" w14:textId="77777777" w:rsidR="00C04E8C" w:rsidRPr="00F00D94" w:rsidRDefault="00C04E8C" w:rsidP="009F1483">
            <w:pPr>
              <w:pStyle w:val="ListParagraph"/>
              <w:spacing w:after="240"/>
              <w:jc w:val="both"/>
              <w:rPr>
                <w:rFonts w:ascii="Arial" w:hAnsi="Arial" w:cs="Arial"/>
                <w:b/>
              </w:rPr>
            </w:pPr>
          </w:p>
          <w:p w14:paraId="1D3C02E4" w14:textId="77777777" w:rsidR="00C04E8C" w:rsidRPr="00F00D94" w:rsidRDefault="00C04E8C" w:rsidP="006D34C5">
            <w:pPr>
              <w:widowControl w:val="0"/>
              <w:numPr>
                <w:ilvl w:val="0"/>
                <w:numId w:val="83"/>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2247B5FA" w14:textId="77777777" w:rsidR="00C04E8C" w:rsidRPr="00F00D94" w:rsidRDefault="00C04E8C" w:rsidP="009F1483">
            <w:pPr>
              <w:pStyle w:val="ListParagraph"/>
              <w:spacing w:after="240"/>
              <w:jc w:val="both"/>
              <w:rPr>
                <w:rFonts w:ascii="Arial" w:hAnsi="Arial" w:cs="Arial"/>
                <w:b/>
              </w:rPr>
            </w:pPr>
          </w:p>
          <w:p w14:paraId="341D06CC" w14:textId="77777777" w:rsidR="00C04E8C" w:rsidRPr="00F00D94" w:rsidRDefault="00C04E8C" w:rsidP="006D34C5">
            <w:pPr>
              <w:widowControl w:val="0"/>
              <w:numPr>
                <w:ilvl w:val="0"/>
                <w:numId w:val="8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89A84D1" w14:textId="77777777" w:rsidR="00C04E8C" w:rsidRPr="00F00D94" w:rsidRDefault="00C04E8C" w:rsidP="009F1483">
            <w:pPr>
              <w:pStyle w:val="ListParagraph"/>
              <w:spacing w:after="240"/>
              <w:jc w:val="both"/>
              <w:rPr>
                <w:rFonts w:ascii="Arial" w:hAnsi="Arial" w:cs="Arial"/>
                <w:b/>
              </w:rPr>
            </w:pPr>
          </w:p>
          <w:p w14:paraId="3AE6356B" w14:textId="77777777" w:rsidR="00C04E8C" w:rsidRPr="00F00D94" w:rsidRDefault="00C04E8C" w:rsidP="006D34C5">
            <w:pPr>
              <w:widowControl w:val="0"/>
              <w:numPr>
                <w:ilvl w:val="0"/>
                <w:numId w:val="8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C9C2E80" w14:textId="77777777" w:rsidR="00C04E8C" w:rsidRPr="00F00D94" w:rsidRDefault="00C04E8C" w:rsidP="009F1483">
            <w:pPr>
              <w:pStyle w:val="APStepItem"/>
              <w:numPr>
                <w:ilvl w:val="0"/>
                <w:numId w:val="0"/>
              </w:numPr>
              <w:spacing w:after="240"/>
              <w:rPr>
                <w:rFonts w:cs="Arial"/>
                <w:b/>
              </w:rPr>
            </w:pPr>
          </w:p>
        </w:tc>
      </w:tr>
    </w:tbl>
    <w:p w14:paraId="4960A20B" w14:textId="77777777" w:rsidR="00885BA6" w:rsidRPr="00F00D94" w:rsidRDefault="00885BA6" w:rsidP="001C3146">
      <w:pPr>
        <w:pBdr>
          <w:top w:val="single" w:sz="6" w:space="0" w:color="FFFFFF"/>
          <w:left w:val="single" w:sz="6" w:space="0" w:color="FFFFFF"/>
          <w:bottom w:val="single" w:sz="6" w:space="0" w:color="FFFFFF"/>
          <w:right w:val="single" w:sz="6" w:space="0" w:color="FFFFFF"/>
        </w:pBdr>
        <w:tabs>
          <w:tab w:val="left" w:pos="-1440"/>
          <w:tab w:val="left" w:pos="720"/>
        </w:tabs>
        <w:spacing w:after="240"/>
        <w:jc w:val="both"/>
        <w:rPr>
          <w:rFonts w:ascii="Arial" w:hAnsi="Arial" w:cs="Arial"/>
        </w:rPr>
        <w:sectPr w:rsidR="00885BA6" w:rsidRPr="00F00D94" w:rsidSect="00885BA6">
          <w:headerReference w:type="default" r:id="rId144"/>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180" w:name="_Toc442267704"/>
      <w:bookmarkStart w:id="181" w:name="_Toc212473237"/>
      <w:r w:rsidRPr="000706D1">
        <w:rPr>
          <w:rStyle w:val="PageNumber"/>
          <w:rFonts w:cs="Arial"/>
          <w:sz w:val="24"/>
        </w:rPr>
        <w:t>Program Testing Conclusion</w:t>
      </w:r>
      <w:bookmarkEnd w:id="180"/>
      <w:bookmarkEnd w:id="181"/>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616A1F61" w:rsidR="00784098" w:rsidRPr="00F00D94" w:rsidRDefault="00650482" w:rsidP="006672EA">
      <w:pPr>
        <w:spacing w:after="240"/>
        <w:jc w:val="both"/>
        <w:rPr>
          <w:rFonts w:ascii="Arial" w:hAnsi="Arial" w:cs="Arial"/>
          <w:b/>
        </w:rPr>
      </w:pPr>
      <w:r>
        <w:rPr>
          <w:rFonts w:ascii="Arial" w:hAnsi="Arial" w:cs="Arial"/>
          <w:color w:val="252525"/>
        </w:rPr>
        <w:t xml:space="preserve">2 CFR 200.516(a) requires the auditor to </w:t>
      </w:r>
      <w:r w:rsidRPr="00650482">
        <w:rPr>
          <w:rFonts w:ascii="Arial" w:hAnsi="Arial" w:cs="Arial"/>
          <w:bCs/>
        </w:rPr>
        <w:t>report the following</w:t>
      </w:r>
      <w:r>
        <w:rPr>
          <w:rFonts w:ascii="Arial" w:hAnsi="Arial" w:cs="Arial"/>
          <w:b/>
        </w:rPr>
        <w:t xml:space="preserve"> </w:t>
      </w:r>
      <w:r w:rsidR="00294688" w:rsidRPr="00F00D94">
        <w:rPr>
          <w:rFonts w:ascii="Arial" w:hAnsi="Arial" w:cs="Arial"/>
          <w:color w:val="252525"/>
        </w:rPr>
        <w:t>as audit findings in the federal awards section of the schedule of findings and questioned costs</w:t>
      </w:r>
      <w:r w:rsidR="00784098" w:rsidRPr="00F00D94">
        <w:rPr>
          <w:rFonts w:ascii="Arial" w:hAnsi="Arial" w:cs="Arial"/>
          <w:b/>
        </w:rPr>
        <w:t>:</w:t>
      </w:r>
    </w:p>
    <w:p w14:paraId="78860D68" w14:textId="32094B75" w:rsidR="00784098" w:rsidRPr="00F00D94" w:rsidRDefault="00784098" w:rsidP="008B4BCE">
      <w:pPr>
        <w:numPr>
          <w:ilvl w:val="0"/>
          <w:numId w:val="27"/>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90B4D04" w:rsidR="00784098" w:rsidRPr="00F00D94" w:rsidRDefault="00784098" w:rsidP="008B4BCE">
      <w:pPr>
        <w:numPr>
          <w:ilvl w:val="0"/>
          <w:numId w:val="27"/>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650482">
        <w:rPr>
          <w:rFonts w:ascii="Arial" w:hAnsi="Arial" w:cs="Arial"/>
        </w:rPr>
        <w:t xml:space="preserve">provisions of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3CF241FF" w:rsidR="00784098" w:rsidRPr="00F00D94" w:rsidRDefault="00784098" w:rsidP="008B4BCE">
      <w:pPr>
        <w:numPr>
          <w:ilvl w:val="0"/>
          <w:numId w:val="27"/>
        </w:numPr>
        <w:tabs>
          <w:tab w:val="clear" w:pos="360"/>
          <w:tab w:val="num" w:pos="720"/>
        </w:tabs>
        <w:ind w:left="720"/>
        <w:jc w:val="both"/>
        <w:rPr>
          <w:rFonts w:ascii="Arial" w:hAnsi="Arial" w:cs="Arial"/>
        </w:rPr>
      </w:pPr>
      <w:r w:rsidRPr="00F00D94">
        <w:rPr>
          <w:rFonts w:ascii="Arial" w:hAnsi="Arial" w:cs="Arial"/>
        </w:rPr>
        <w:t xml:space="preserve">Known questioned costs </w:t>
      </w:r>
      <w:r w:rsidR="00650482">
        <w:rPr>
          <w:rFonts w:ascii="Arial" w:hAnsi="Arial" w:cs="Arial"/>
        </w:rPr>
        <w:t>when either known or likely questioned costs</w:t>
      </w:r>
      <w:r w:rsidR="00650482" w:rsidRPr="00F00D94">
        <w:rPr>
          <w:rFonts w:ascii="Arial" w:hAnsi="Arial" w:cs="Arial"/>
        </w:rPr>
        <w:t xml:space="preserve"> </w:t>
      </w:r>
      <w:r w:rsidRPr="00F00D94">
        <w:rPr>
          <w:rFonts w:ascii="Arial" w:hAnsi="Arial" w:cs="Arial"/>
        </w:rPr>
        <w:t>are greater than $</w:t>
      </w:r>
      <w:r w:rsidR="00D0244B" w:rsidRPr="00F00D94">
        <w:rPr>
          <w:rFonts w:ascii="Arial" w:hAnsi="Arial" w:cs="Arial"/>
        </w:rPr>
        <w:t>25</w:t>
      </w:r>
      <w:r w:rsidRPr="00F00D94">
        <w:rPr>
          <w:rFonts w:ascii="Arial" w:hAnsi="Arial" w:cs="Arial"/>
        </w:rPr>
        <w:t xml:space="preserve">,000 for a type of compliance requirement for a major program.   </w:t>
      </w:r>
    </w:p>
    <w:p w14:paraId="10233D15" w14:textId="51341061" w:rsidR="00784098" w:rsidRPr="00F00D94" w:rsidRDefault="00784098" w:rsidP="008B4BCE">
      <w:pPr>
        <w:numPr>
          <w:ilvl w:val="0"/>
          <w:numId w:val="27"/>
        </w:numPr>
        <w:tabs>
          <w:tab w:val="clear" w:pos="360"/>
          <w:tab w:val="num" w:pos="720"/>
        </w:tabs>
        <w:ind w:left="720"/>
        <w:jc w:val="both"/>
        <w:rPr>
          <w:rFonts w:ascii="Arial" w:hAnsi="Arial" w:cs="Arial"/>
        </w:rPr>
      </w:pPr>
      <w:r w:rsidRPr="00F00D94">
        <w:rPr>
          <w:rFonts w:ascii="Arial" w:hAnsi="Arial" w:cs="Arial"/>
          <w:color w:val="252525"/>
        </w:rPr>
        <w:t>Known questioned costs greater than $</w:t>
      </w:r>
      <w:r w:rsidR="00D0244B" w:rsidRPr="00F00D94">
        <w:rPr>
          <w:rFonts w:ascii="Arial" w:hAnsi="Arial" w:cs="Arial"/>
          <w:color w:val="252525"/>
        </w:rPr>
        <w:t>25</w:t>
      </w:r>
      <w:r w:rsidRPr="00F00D94">
        <w:rPr>
          <w:rFonts w:ascii="Arial" w:hAnsi="Arial" w:cs="Arial"/>
          <w:color w:val="252525"/>
        </w:rPr>
        <w:t xml:space="preserve">,000 for </w:t>
      </w:r>
      <w:r w:rsidR="00650482">
        <w:rPr>
          <w:rFonts w:ascii="Arial" w:hAnsi="Arial" w:cs="Arial"/>
          <w:color w:val="252525"/>
        </w:rPr>
        <w:t xml:space="preserve">a </w:t>
      </w:r>
      <w:r w:rsidR="00591884">
        <w:rPr>
          <w:rFonts w:ascii="Arial" w:hAnsi="Arial" w:cs="Arial"/>
          <w:color w:val="252525"/>
        </w:rPr>
        <w:t>f</w:t>
      </w:r>
      <w:r w:rsidR="00650482">
        <w:rPr>
          <w:rFonts w:ascii="Arial" w:hAnsi="Arial" w:cs="Arial"/>
          <w:color w:val="252525"/>
        </w:rPr>
        <w:t xml:space="preserve">ederal </w:t>
      </w:r>
      <w:r w:rsidRPr="00F00D94">
        <w:rPr>
          <w:rFonts w:ascii="Arial" w:hAnsi="Arial" w:cs="Arial"/>
          <w:color w:val="252525"/>
        </w:rPr>
        <w:t xml:space="preserve">program that </w:t>
      </w:r>
      <w:r w:rsidR="00650482">
        <w:rPr>
          <w:rFonts w:ascii="Arial" w:hAnsi="Arial" w:cs="Arial"/>
          <w:color w:val="252525"/>
        </w:rPr>
        <w:t>is</w:t>
      </w:r>
      <w:r w:rsidR="00650482" w:rsidRPr="00F00D94">
        <w:rPr>
          <w:rFonts w:ascii="Arial" w:hAnsi="Arial" w:cs="Arial"/>
          <w:color w:val="252525"/>
        </w:rPr>
        <w:t xml:space="preserve"> </w:t>
      </w:r>
      <w:r w:rsidRPr="00F00D94">
        <w:rPr>
          <w:rFonts w:ascii="Arial" w:hAnsi="Arial" w:cs="Arial"/>
          <w:color w:val="252525"/>
        </w:rPr>
        <w:t xml:space="preserve">not audited as </w:t>
      </w:r>
      <w:r w:rsidR="00650482">
        <w:rPr>
          <w:rFonts w:ascii="Arial" w:hAnsi="Arial" w:cs="Arial"/>
          <w:color w:val="252525"/>
        </w:rPr>
        <w:t xml:space="preserve">a </w:t>
      </w:r>
      <w:r w:rsidRPr="00F00D94">
        <w:rPr>
          <w:rFonts w:ascii="Arial" w:hAnsi="Arial" w:cs="Arial"/>
          <w:color w:val="252525"/>
        </w:rPr>
        <w:t>major</w:t>
      </w:r>
      <w:r w:rsidR="00650482">
        <w:rPr>
          <w:rFonts w:ascii="Arial" w:hAnsi="Arial" w:cs="Arial"/>
          <w:color w:val="252525"/>
        </w:rPr>
        <w:t xml:space="preserve"> program</w:t>
      </w:r>
      <w:r w:rsidRPr="00F00D94">
        <w:rPr>
          <w:rFonts w:ascii="Arial" w:hAnsi="Arial" w:cs="Arial"/>
          <w:color w:val="252525"/>
        </w:rPr>
        <w:t>.</w:t>
      </w:r>
    </w:p>
    <w:p w14:paraId="005CA2AB" w14:textId="4FA03DBC" w:rsidR="00650482" w:rsidRPr="00F00D94" w:rsidRDefault="00650482" w:rsidP="008B4BCE">
      <w:pPr>
        <w:numPr>
          <w:ilvl w:val="0"/>
          <w:numId w:val="27"/>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auditor's report on compliance for </w:t>
      </w:r>
      <w:r>
        <w:rPr>
          <w:rFonts w:ascii="Arial" w:hAnsi="Arial" w:cs="Arial"/>
          <w:color w:val="252525"/>
        </w:rPr>
        <w:t xml:space="preserve">each </w:t>
      </w:r>
      <w:r w:rsidRPr="00F00D94">
        <w:rPr>
          <w:rFonts w:ascii="Arial" w:hAnsi="Arial" w:cs="Arial"/>
          <w:color w:val="252525"/>
        </w:rPr>
        <w:t xml:space="preserve">major program is other than an unmodified opinion, unless </w:t>
      </w:r>
      <w:r>
        <w:rPr>
          <w:rFonts w:ascii="Arial" w:hAnsi="Arial" w:cs="Arial"/>
          <w:color w:val="252525"/>
        </w:rPr>
        <w:t>the</w:t>
      </w:r>
      <w:r w:rsidRPr="00F00D94">
        <w:rPr>
          <w:rFonts w:ascii="Arial" w:hAnsi="Arial" w:cs="Arial"/>
          <w:color w:val="252525"/>
        </w:rPr>
        <w:t xml:space="preserve"> circumstances are otherwise reported as audit findings in the schedule of findings and questioned costs (for example, a scope limitation that is not otherwise reported as a finding). </w:t>
      </w:r>
    </w:p>
    <w:p w14:paraId="35ED46B7" w14:textId="56B473F7" w:rsidR="009F67E0" w:rsidRPr="00F00D94" w:rsidRDefault="009F67E0" w:rsidP="008B4BCE">
      <w:pPr>
        <w:numPr>
          <w:ilvl w:val="0"/>
          <w:numId w:val="27"/>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7CF0D62A" w14:textId="30D23CA9" w:rsidR="00784098" w:rsidRPr="00F00D94" w:rsidRDefault="00294688" w:rsidP="008B4BCE">
      <w:pPr>
        <w:numPr>
          <w:ilvl w:val="0"/>
          <w:numId w:val="27"/>
        </w:numPr>
        <w:tabs>
          <w:tab w:val="clear" w:pos="360"/>
          <w:tab w:val="num" w:pos="720"/>
        </w:tabs>
        <w:spacing w:after="240"/>
        <w:ind w:left="720"/>
        <w:jc w:val="both"/>
        <w:rPr>
          <w:rFonts w:ascii="Arial" w:hAnsi="Arial" w:cs="Arial"/>
        </w:rPr>
      </w:pPr>
      <w:r w:rsidRPr="00F00D94">
        <w:rPr>
          <w:rFonts w:ascii="Arial" w:hAnsi="Arial" w:cs="Arial"/>
          <w:color w:val="252525"/>
        </w:rPr>
        <w:t xml:space="preserve">Instances </w:t>
      </w:r>
      <w:r w:rsidR="00650482">
        <w:rPr>
          <w:rFonts w:ascii="Arial" w:hAnsi="Arial" w:cs="Arial"/>
          <w:color w:val="252525"/>
        </w:rPr>
        <w:t>where</w:t>
      </w:r>
      <w:r w:rsidRPr="00F00D94">
        <w:rPr>
          <w:rFonts w:ascii="Arial" w:hAnsi="Arial" w:cs="Arial"/>
          <w:color w:val="252525"/>
        </w:rPr>
        <w:t xml:space="preserve">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materially misrepresents the status of any prior audit finding</w:t>
      </w:r>
      <w:r w:rsidR="00784098" w:rsidRPr="00F00D94">
        <w:rPr>
          <w:rFonts w:ascii="Arial" w:hAnsi="Arial" w:cs="Arial"/>
          <w:color w:val="252525"/>
        </w:rPr>
        <w:t>.</w:t>
      </w:r>
    </w:p>
    <w:p w14:paraId="40EA5EEB" w14:textId="4D433163" w:rsidR="00650482" w:rsidRPr="00650482" w:rsidRDefault="00650482" w:rsidP="006672EA">
      <w:pPr>
        <w:spacing w:after="240"/>
        <w:jc w:val="both"/>
        <w:rPr>
          <w:rFonts w:ascii="Arial" w:hAnsi="Arial" w:cs="Arial"/>
          <w:i/>
          <w:iCs/>
          <w:color w:val="002060"/>
        </w:rPr>
      </w:pPr>
      <w:r w:rsidRPr="00650482">
        <w:rPr>
          <w:rFonts w:ascii="Arial" w:hAnsi="Arial" w:cs="Arial"/>
          <w:i/>
          <w:iCs/>
          <w:color w:val="002060"/>
        </w:rPr>
        <w:t>Prior to the 2024 Revisions to the Uniform Guidance, significant instances of abuse relating to major programs were also required to be reported in the schedule of findings and questioned costs.</w:t>
      </w:r>
    </w:p>
    <w:p w14:paraId="3E54F574" w14:textId="094A275D" w:rsidR="00FA3EC3" w:rsidRPr="00F00D94" w:rsidRDefault="00FA3EC3" w:rsidP="006672EA">
      <w:pPr>
        <w:spacing w:after="240"/>
        <w:jc w:val="both"/>
        <w:rPr>
          <w:rFonts w:ascii="Arial" w:hAnsi="Arial" w:cs="Arial"/>
        </w:rPr>
      </w:pPr>
      <w:hyperlink r:id="rId145"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46CFCEBA"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46"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182" w:name="AICPAIGS:767.2670-1"/>
      <w:bookmarkEnd w:id="182"/>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8B4BCE">
      <w:pPr>
        <w:pStyle w:val="ListParagraph"/>
        <w:numPr>
          <w:ilvl w:val="0"/>
          <w:numId w:val="13"/>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8B4BCE">
      <w:pPr>
        <w:pStyle w:val="ListParagraph"/>
        <w:numPr>
          <w:ilvl w:val="0"/>
          <w:numId w:val="13"/>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8B4BCE">
      <w:pPr>
        <w:pStyle w:val="ListParagraph"/>
        <w:numPr>
          <w:ilvl w:val="0"/>
          <w:numId w:val="13"/>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0AE2A782"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4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226D7CBA" w:rsidR="000C7D0B" w:rsidRDefault="009D190B">
    <w:pPr>
      <w:pBdr>
        <w:top w:val="single" w:sz="4" w:space="1" w:color="auto"/>
      </w:pBdr>
      <w:tabs>
        <w:tab w:val="center" w:pos="4680"/>
      </w:tabs>
      <w:spacing w:line="240" w:lineRule="exact"/>
      <w:rPr>
        <w:sz w:val="18"/>
      </w:rPr>
    </w:pPr>
    <w:r>
      <w:rPr>
        <w:sz w:val="18"/>
      </w:rPr>
      <w:t xml:space="preserve">2025 </w:t>
    </w:r>
    <w:r w:rsidR="00227793">
      <w:rPr>
        <w:sz w:val="18"/>
      </w:rPr>
      <w:t>FACCR, Public Housing Operating Fund, AL #14.850</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33F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I. Procurement and Suspension and Debarment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5198" w14:textId="393677DA" w:rsidR="00885BA6" w:rsidRPr="002616A3" w:rsidRDefault="00885BA6"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1</w:t>
    </w:r>
    <w:r w:rsidRPr="002616A3">
      <w:rPr>
        <w:rFonts w:ascii="Arial" w:hAnsi="Arial" w:cs="Arial"/>
        <w:b/>
        <w:sz w:val="36"/>
        <w:szCs w:val="36"/>
      </w:rPr>
      <w:t xml:space="preserve">. </w:t>
    </w:r>
    <w:r>
      <w:rPr>
        <w:rFonts w:ascii="Arial" w:hAnsi="Arial" w:cs="Arial"/>
        <w:b/>
        <w:sz w:val="36"/>
        <w:szCs w:val="36"/>
      </w:rPr>
      <w:t>Special Tests and Provisions – Wage Rate Requirements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C809E" w14:textId="45F751F1" w:rsidR="00885BA6" w:rsidRPr="002616A3" w:rsidRDefault="00885BA6" w:rsidP="00F13178">
    <w:pPr>
      <w:pStyle w:val="Header"/>
      <w:spacing w:after="240"/>
      <w:jc w:val="center"/>
      <w:rPr>
        <w:rFonts w:ascii="Arial" w:hAnsi="Arial" w:cs="Arial"/>
        <w:sz w:val="36"/>
        <w:szCs w:val="36"/>
      </w:rPr>
    </w:pPr>
    <w:r w:rsidRPr="002616A3">
      <w:rPr>
        <w:rFonts w:ascii="Arial" w:hAnsi="Arial" w:cs="Arial"/>
        <w:b/>
        <w:sz w:val="36"/>
        <w:szCs w:val="36"/>
      </w:rPr>
      <w:t>N</w:t>
    </w:r>
    <w:r w:rsidR="0001160F">
      <w:rPr>
        <w:rFonts w:ascii="Arial" w:hAnsi="Arial" w:cs="Arial"/>
        <w:b/>
        <w:sz w:val="36"/>
        <w:szCs w:val="36"/>
      </w:rPr>
      <w:t>2</w:t>
    </w:r>
    <w:r w:rsidRPr="002616A3">
      <w:rPr>
        <w:rFonts w:ascii="Arial" w:hAnsi="Arial" w:cs="Arial"/>
        <w:b/>
        <w:sz w:val="36"/>
        <w:szCs w:val="36"/>
      </w:rPr>
      <w:t xml:space="preserve">. </w:t>
    </w:r>
    <w:r>
      <w:rPr>
        <w:rFonts w:ascii="Arial" w:hAnsi="Arial" w:cs="Arial"/>
        <w:b/>
        <w:sz w:val="36"/>
        <w:szCs w:val="36"/>
      </w:rPr>
      <w:t>Special Tests and Provisions</w:t>
    </w:r>
    <w:r w:rsidR="0001160F">
      <w:rPr>
        <w:rFonts w:ascii="Arial" w:hAnsi="Arial" w:cs="Arial"/>
        <w:b/>
        <w:sz w:val="36"/>
        <w:szCs w:val="36"/>
      </w:rPr>
      <w:t xml:space="preserve"> – Public Housing Waiting List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F8FC8" w14:textId="1030876E" w:rsidR="00885BA6" w:rsidRPr="002616A3" w:rsidRDefault="00885BA6" w:rsidP="00F13178">
    <w:pPr>
      <w:pStyle w:val="Header"/>
      <w:spacing w:after="240"/>
      <w:jc w:val="center"/>
      <w:rPr>
        <w:rFonts w:ascii="Arial" w:hAnsi="Arial" w:cs="Arial"/>
        <w:sz w:val="36"/>
        <w:szCs w:val="36"/>
      </w:rPr>
    </w:pPr>
    <w:r w:rsidRPr="002616A3">
      <w:rPr>
        <w:rFonts w:ascii="Arial" w:hAnsi="Arial" w:cs="Arial"/>
        <w:b/>
        <w:sz w:val="36"/>
        <w:szCs w:val="36"/>
      </w:rPr>
      <w:t>N</w:t>
    </w:r>
    <w:r w:rsidR="008B4BCE">
      <w:rPr>
        <w:rFonts w:ascii="Arial" w:hAnsi="Arial" w:cs="Arial"/>
        <w:b/>
        <w:sz w:val="36"/>
        <w:szCs w:val="36"/>
      </w:rPr>
      <w:t>3</w:t>
    </w:r>
    <w:r w:rsidRPr="002616A3">
      <w:rPr>
        <w:rFonts w:ascii="Arial" w:hAnsi="Arial" w:cs="Arial"/>
        <w:b/>
        <w:sz w:val="36"/>
        <w:szCs w:val="36"/>
      </w:rPr>
      <w:t xml:space="preserve">. </w:t>
    </w:r>
    <w:r>
      <w:rPr>
        <w:rFonts w:ascii="Arial" w:hAnsi="Arial" w:cs="Arial"/>
        <w:b/>
        <w:sz w:val="36"/>
        <w:szCs w:val="36"/>
      </w:rPr>
      <w:t>Special Tests and Provisions</w:t>
    </w:r>
    <w:r w:rsidR="008B4BCE">
      <w:rPr>
        <w:rFonts w:ascii="Arial" w:hAnsi="Arial" w:cs="Arial"/>
        <w:b/>
        <w:sz w:val="36"/>
        <w:szCs w:val="36"/>
      </w:rPr>
      <w:t xml:space="preserve"> – Tenant Participation Funds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F218" w14:textId="5A62FD9C" w:rsidR="008B4BCE" w:rsidRPr="002616A3" w:rsidRDefault="008B4BCE" w:rsidP="00F13178">
    <w:pPr>
      <w:pStyle w:val="Header"/>
      <w:spacing w:after="240"/>
      <w:jc w:val="center"/>
      <w:rPr>
        <w:rFonts w:ascii="Arial" w:hAnsi="Arial" w:cs="Arial"/>
        <w:sz w:val="36"/>
        <w:szCs w:val="36"/>
      </w:rPr>
    </w:pPr>
    <w:r w:rsidRPr="002616A3">
      <w:rPr>
        <w:rFonts w:ascii="Arial" w:hAnsi="Arial" w:cs="Arial"/>
        <w:b/>
        <w:sz w:val="36"/>
        <w:szCs w:val="36"/>
      </w:rPr>
      <w:t>N</w:t>
    </w:r>
    <w:r w:rsidR="00AA09E4">
      <w:rPr>
        <w:rFonts w:ascii="Arial" w:hAnsi="Arial" w:cs="Arial"/>
        <w:b/>
        <w:sz w:val="36"/>
        <w:szCs w:val="36"/>
      </w:rPr>
      <w:t>4</w:t>
    </w:r>
    <w:r w:rsidRPr="002616A3">
      <w:rPr>
        <w:rFonts w:ascii="Arial" w:hAnsi="Arial" w:cs="Arial"/>
        <w:b/>
        <w:sz w:val="36"/>
        <w:szCs w:val="36"/>
      </w:rPr>
      <w:t xml:space="preserve">. </w:t>
    </w:r>
    <w:r>
      <w:rPr>
        <w:rFonts w:ascii="Arial" w:hAnsi="Arial" w:cs="Arial"/>
        <w:b/>
        <w:sz w:val="36"/>
        <w:szCs w:val="36"/>
      </w:rPr>
      <w:t>Special Tests and Provisions</w:t>
    </w:r>
    <w:r w:rsidR="00AA09E4">
      <w:rPr>
        <w:rFonts w:ascii="Arial" w:hAnsi="Arial" w:cs="Arial"/>
        <w:b/>
        <w:sz w:val="36"/>
        <w:szCs w:val="36"/>
      </w:rPr>
      <w:t xml:space="preserve"> – Project-Based Budgeting and Accounting</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E0662" w14:textId="23762674" w:rsidR="005C5BD9" w:rsidRPr="002616A3" w:rsidRDefault="005C5BD9"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5</w:t>
    </w:r>
    <w:r w:rsidRPr="002616A3">
      <w:rPr>
        <w:rFonts w:ascii="Arial" w:hAnsi="Arial" w:cs="Arial"/>
        <w:b/>
        <w:sz w:val="36"/>
        <w:szCs w:val="36"/>
      </w:rPr>
      <w:t xml:space="preserve">. </w:t>
    </w:r>
    <w:r>
      <w:rPr>
        <w:rFonts w:ascii="Arial" w:hAnsi="Arial" w:cs="Arial"/>
        <w:b/>
        <w:sz w:val="36"/>
        <w:szCs w:val="36"/>
      </w:rPr>
      <w:t>Special Tests and Provisions – Balance Sheet Allocations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9D6D3" w14:textId="3CD19A5E" w:rsidR="00031514" w:rsidRPr="002616A3" w:rsidRDefault="00031514"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6</w:t>
    </w:r>
    <w:r w:rsidRPr="002616A3">
      <w:rPr>
        <w:rFonts w:ascii="Arial" w:hAnsi="Arial" w:cs="Arial"/>
        <w:b/>
        <w:sz w:val="36"/>
        <w:szCs w:val="36"/>
      </w:rPr>
      <w:t xml:space="preserve">. </w:t>
    </w:r>
    <w:r>
      <w:rPr>
        <w:rFonts w:ascii="Arial" w:hAnsi="Arial" w:cs="Arial"/>
        <w:b/>
        <w:sz w:val="36"/>
        <w:szCs w:val="36"/>
      </w:rPr>
      <w:t>Special Tests and Provisions – Fees Charged for Centralized Services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CBB32" w14:textId="57B73196" w:rsidR="00A3316B" w:rsidRPr="002616A3" w:rsidRDefault="00A3316B"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7</w:t>
    </w:r>
    <w:r w:rsidRPr="002616A3">
      <w:rPr>
        <w:rFonts w:ascii="Arial" w:hAnsi="Arial" w:cs="Arial"/>
        <w:b/>
        <w:sz w:val="36"/>
        <w:szCs w:val="36"/>
      </w:rPr>
      <w:t xml:space="preserve">. </w:t>
    </w:r>
    <w:r>
      <w:rPr>
        <w:rFonts w:ascii="Arial" w:hAnsi="Arial" w:cs="Arial"/>
        <w:b/>
        <w:sz w:val="36"/>
        <w:szCs w:val="36"/>
      </w:rPr>
      <w:t>Special Tests and Provisions – Prorating Front-line Centralized Services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A366" w14:textId="0795BBBC" w:rsidR="00A3316B" w:rsidRPr="002616A3" w:rsidRDefault="00A3316B" w:rsidP="00F13178">
    <w:pPr>
      <w:pStyle w:val="Header"/>
      <w:spacing w:after="240"/>
      <w:jc w:val="center"/>
      <w:rPr>
        <w:rFonts w:ascii="Arial" w:hAnsi="Arial" w:cs="Arial"/>
        <w:sz w:val="36"/>
        <w:szCs w:val="36"/>
      </w:rPr>
    </w:pPr>
    <w:r w:rsidRPr="002616A3">
      <w:rPr>
        <w:rFonts w:ascii="Arial" w:hAnsi="Arial" w:cs="Arial"/>
        <w:b/>
        <w:sz w:val="36"/>
        <w:szCs w:val="36"/>
      </w:rPr>
      <w:t>N</w:t>
    </w:r>
    <w:r w:rsidR="00474638">
      <w:rPr>
        <w:rFonts w:ascii="Arial" w:hAnsi="Arial" w:cs="Arial"/>
        <w:b/>
        <w:sz w:val="36"/>
        <w:szCs w:val="36"/>
      </w:rPr>
      <w:t>8</w:t>
    </w:r>
    <w:r w:rsidRPr="002616A3">
      <w:rPr>
        <w:rFonts w:ascii="Arial" w:hAnsi="Arial" w:cs="Arial"/>
        <w:b/>
        <w:sz w:val="36"/>
        <w:szCs w:val="36"/>
      </w:rPr>
      <w:t xml:space="preserve">. </w:t>
    </w:r>
    <w:r>
      <w:rPr>
        <w:rFonts w:ascii="Arial" w:hAnsi="Arial" w:cs="Arial"/>
        <w:b/>
        <w:sz w:val="36"/>
        <w:szCs w:val="36"/>
      </w:rPr>
      <w:t>Special Tests and Provisions</w:t>
    </w:r>
    <w:r w:rsidR="00474638">
      <w:rPr>
        <w:rFonts w:ascii="Arial" w:hAnsi="Arial" w:cs="Arial"/>
        <w:b/>
        <w:sz w:val="36"/>
        <w:szCs w:val="36"/>
      </w:rPr>
      <w:t xml:space="preserve"> – Asset Management Fee</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5D556" w14:textId="0CE42F53" w:rsidR="00A3316B" w:rsidRPr="002616A3" w:rsidRDefault="00A3316B" w:rsidP="00F13178">
    <w:pPr>
      <w:pStyle w:val="Header"/>
      <w:spacing w:after="240"/>
      <w:jc w:val="center"/>
      <w:rPr>
        <w:rFonts w:ascii="Arial" w:hAnsi="Arial" w:cs="Arial"/>
        <w:sz w:val="36"/>
        <w:szCs w:val="36"/>
      </w:rPr>
    </w:pPr>
    <w:r w:rsidRPr="002616A3">
      <w:rPr>
        <w:rFonts w:ascii="Arial" w:hAnsi="Arial" w:cs="Arial"/>
        <w:b/>
        <w:sz w:val="36"/>
        <w:szCs w:val="36"/>
      </w:rPr>
      <w:t>N</w:t>
    </w:r>
    <w:r w:rsidR="00616E36">
      <w:rPr>
        <w:rFonts w:ascii="Arial" w:hAnsi="Arial" w:cs="Arial"/>
        <w:b/>
        <w:sz w:val="36"/>
        <w:szCs w:val="36"/>
      </w:rPr>
      <w:t>9</w:t>
    </w:r>
    <w:r w:rsidRPr="002616A3">
      <w:rPr>
        <w:rFonts w:ascii="Arial" w:hAnsi="Arial" w:cs="Arial"/>
        <w:b/>
        <w:sz w:val="36"/>
        <w:szCs w:val="36"/>
      </w:rPr>
      <w:t xml:space="preserve">. </w:t>
    </w:r>
    <w:r>
      <w:rPr>
        <w:rFonts w:ascii="Arial" w:hAnsi="Arial" w:cs="Arial"/>
        <w:b/>
        <w:sz w:val="36"/>
        <w:szCs w:val="36"/>
      </w:rPr>
      <w:t>Special Tests and Provisions</w:t>
    </w:r>
    <w:r w:rsidR="00616E36">
      <w:rPr>
        <w:rFonts w:ascii="Arial" w:hAnsi="Arial" w:cs="Arial"/>
        <w:b/>
        <w:sz w:val="36"/>
        <w:szCs w:val="36"/>
      </w:rPr>
      <w:t xml:space="preserve"> – Management Fees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2B5DF" w14:textId="6328293B" w:rsidR="00C04E8C" w:rsidRPr="002616A3" w:rsidRDefault="00C04E8C"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10</w:t>
    </w:r>
    <w:r w:rsidRPr="002616A3">
      <w:rPr>
        <w:rFonts w:ascii="Arial" w:hAnsi="Arial" w:cs="Arial"/>
        <w:b/>
        <w:sz w:val="36"/>
        <w:szCs w:val="36"/>
      </w:rPr>
      <w:t xml:space="preserve">. </w:t>
    </w:r>
    <w:r>
      <w:rPr>
        <w:rFonts w:ascii="Arial" w:hAnsi="Arial" w:cs="Arial"/>
        <w:b/>
        <w:sz w:val="36"/>
        <w:szCs w:val="36"/>
      </w:rPr>
      <w:t>Special Tests and Provisions – Allocated Overhead</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01B3D" w14:textId="469E1226" w:rsidR="00C04E8C" w:rsidRPr="002616A3" w:rsidRDefault="00C04E8C" w:rsidP="00F13178">
    <w:pPr>
      <w:pStyle w:val="Header"/>
      <w:spacing w:after="240"/>
      <w:jc w:val="center"/>
      <w:rPr>
        <w:rFonts w:ascii="Arial" w:hAnsi="Arial" w:cs="Arial"/>
        <w:sz w:val="36"/>
        <w:szCs w:val="36"/>
      </w:rPr>
    </w:pPr>
    <w:r w:rsidRPr="002616A3">
      <w:rPr>
        <w:rFonts w:ascii="Arial" w:hAnsi="Arial" w:cs="Arial"/>
        <w:b/>
        <w:sz w:val="36"/>
        <w:szCs w:val="36"/>
      </w:rPr>
      <w:t>N</w:t>
    </w:r>
    <w:r w:rsidR="00786806">
      <w:rPr>
        <w:rFonts w:ascii="Arial" w:hAnsi="Arial" w:cs="Arial"/>
        <w:b/>
        <w:sz w:val="36"/>
        <w:szCs w:val="36"/>
      </w:rPr>
      <w:t>11</w:t>
    </w:r>
    <w:r w:rsidRPr="002616A3">
      <w:rPr>
        <w:rFonts w:ascii="Arial" w:hAnsi="Arial" w:cs="Arial"/>
        <w:b/>
        <w:sz w:val="36"/>
        <w:szCs w:val="36"/>
      </w:rPr>
      <w:t xml:space="preserve">. </w:t>
    </w:r>
    <w:r>
      <w:rPr>
        <w:rFonts w:ascii="Arial" w:hAnsi="Arial" w:cs="Arial"/>
        <w:b/>
        <w:sz w:val="36"/>
        <w:szCs w:val="36"/>
      </w:rPr>
      <w:t>Special Tests and Provisions</w:t>
    </w:r>
    <w:r w:rsidR="00786806">
      <w:rPr>
        <w:rFonts w:ascii="Arial" w:hAnsi="Arial" w:cs="Arial"/>
        <w:b/>
        <w:sz w:val="36"/>
        <w:szCs w:val="36"/>
      </w:rPr>
      <w:t xml:space="preserve"> – Funding Central Office with Capital Fund Program Funds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2B85" w14:textId="354BEF69" w:rsidR="003A6024" w:rsidRPr="002616A3" w:rsidRDefault="003A6024" w:rsidP="00F13178">
    <w:pPr>
      <w:pStyle w:val="Header"/>
      <w:spacing w:after="240"/>
      <w:jc w:val="center"/>
      <w:rPr>
        <w:rFonts w:ascii="Arial" w:hAnsi="Arial" w:cs="Arial"/>
        <w:sz w:val="36"/>
        <w:szCs w:val="36"/>
      </w:rPr>
    </w:pPr>
    <w:r w:rsidRPr="002616A3">
      <w:rPr>
        <w:rFonts w:ascii="Arial" w:hAnsi="Arial" w:cs="Arial"/>
        <w:b/>
        <w:sz w:val="36"/>
        <w:szCs w:val="36"/>
      </w:rPr>
      <w:t>N</w:t>
    </w:r>
    <w:r w:rsidR="00786806">
      <w:rPr>
        <w:rFonts w:ascii="Arial" w:hAnsi="Arial" w:cs="Arial"/>
        <w:b/>
        <w:sz w:val="36"/>
        <w:szCs w:val="36"/>
      </w:rPr>
      <w:t>12</w:t>
    </w:r>
    <w:r w:rsidRPr="002616A3">
      <w:rPr>
        <w:rFonts w:ascii="Arial" w:hAnsi="Arial" w:cs="Arial"/>
        <w:b/>
        <w:sz w:val="36"/>
        <w:szCs w:val="36"/>
      </w:rPr>
      <w:t xml:space="preserve">. </w:t>
    </w:r>
    <w:r>
      <w:rPr>
        <w:rFonts w:ascii="Arial" w:hAnsi="Arial" w:cs="Arial"/>
        <w:b/>
        <w:sz w:val="36"/>
        <w:szCs w:val="36"/>
      </w:rPr>
      <w:t>Special Tests and Provisions</w:t>
    </w:r>
    <w:r w:rsidR="001F1600">
      <w:rPr>
        <w:rFonts w:ascii="Arial" w:hAnsi="Arial" w:cs="Arial"/>
        <w:b/>
        <w:sz w:val="36"/>
        <w:szCs w:val="36"/>
      </w:rPr>
      <w:t xml:space="preserve"> – PHA Utilities Operating Funding Requests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ECA0" w14:textId="41C897CF" w:rsidR="003A6024" w:rsidRPr="002616A3" w:rsidRDefault="003A6024" w:rsidP="00F13178">
    <w:pPr>
      <w:pStyle w:val="Header"/>
      <w:spacing w:after="240"/>
      <w:jc w:val="center"/>
      <w:rPr>
        <w:rFonts w:ascii="Arial" w:hAnsi="Arial" w:cs="Arial"/>
        <w:sz w:val="36"/>
        <w:szCs w:val="36"/>
      </w:rPr>
    </w:pPr>
    <w:r w:rsidRPr="002616A3">
      <w:rPr>
        <w:rFonts w:ascii="Arial" w:hAnsi="Arial" w:cs="Arial"/>
        <w:b/>
        <w:sz w:val="36"/>
        <w:szCs w:val="36"/>
      </w:rPr>
      <w:t>N</w:t>
    </w:r>
    <w:r w:rsidR="00F973D0">
      <w:rPr>
        <w:rFonts w:ascii="Arial" w:hAnsi="Arial" w:cs="Arial"/>
        <w:b/>
        <w:sz w:val="36"/>
        <w:szCs w:val="36"/>
      </w:rPr>
      <w:t>13</w:t>
    </w:r>
    <w:r w:rsidRPr="002616A3">
      <w:rPr>
        <w:rFonts w:ascii="Arial" w:hAnsi="Arial" w:cs="Arial"/>
        <w:b/>
        <w:sz w:val="36"/>
        <w:szCs w:val="36"/>
      </w:rPr>
      <w:t xml:space="preserve">. </w:t>
    </w:r>
    <w:r>
      <w:rPr>
        <w:rFonts w:ascii="Arial" w:hAnsi="Arial" w:cs="Arial"/>
        <w:b/>
        <w:sz w:val="36"/>
        <w:szCs w:val="36"/>
      </w:rPr>
      <w:t>Special Tests and Provisions</w:t>
    </w:r>
    <w:r w:rsidR="00F973D0">
      <w:rPr>
        <w:rFonts w:ascii="Arial" w:hAnsi="Arial" w:cs="Arial"/>
        <w:b/>
        <w:sz w:val="36"/>
        <w:szCs w:val="36"/>
      </w:rPr>
      <w:t xml:space="preserve"> – Recording of Declarations of Trust/Declaration of Restrictive Covenants Against Public Housing Property</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55394" w14:textId="0294D984" w:rsidR="005541E9" w:rsidRPr="002616A3" w:rsidRDefault="005541E9"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14</w:t>
    </w:r>
    <w:r w:rsidRPr="002616A3">
      <w:rPr>
        <w:rFonts w:ascii="Arial" w:hAnsi="Arial" w:cs="Arial"/>
        <w:b/>
        <w:sz w:val="36"/>
        <w:szCs w:val="36"/>
      </w:rPr>
      <w:t xml:space="preserve">. </w:t>
    </w:r>
    <w:r>
      <w:rPr>
        <w:rFonts w:ascii="Arial" w:hAnsi="Arial" w:cs="Arial"/>
        <w:b/>
        <w:sz w:val="36"/>
        <w:szCs w:val="36"/>
      </w:rPr>
      <w:t>Special Tests and Provisions – Depository Agreements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FEF0" w14:textId="655FD1D9" w:rsidR="005541E9" w:rsidRPr="002616A3" w:rsidRDefault="005541E9" w:rsidP="00F13178">
    <w:pPr>
      <w:pStyle w:val="Header"/>
      <w:spacing w:after="240"/>
      <w:jc w:val="center"/>
      <w:rPr>
        <w:rFonts w:ascii="Arial" w:hAnsi="Arial" w:cs="Arial"/>
        <w:sz w:val="36"/>
        <w:szCs w:val="36"/>
      </w:rPr>
    </w:pPr>
    <w:r w:rsidRPr="002616A3">
      <w:rPr>
        <w:rFonts w:ascii="Arial" w:hAnsi="Arial" w:cs="Arial"/>
        <w:b/>
        <w:sz w:val="36"/>
        <w:szCs w:val="36"/>
      </w:rPr>
      <w:t>N</w:t>
    </w:r>
    <w:r w:rsidR="00DC4A66">
      <w:rPr>
        <w:rFonts w:ascii="Arial" w:hAnsi="Arial" w:cs="Arial"/>
        <w:b/>
        <w:sz w:val="36"/>
        <w:szCs w:val="36"/>
      </w:rPr>
      <w:t>15</w:t>
    </w:r>
    <w:r w:rsidRPr="002616A3">
      <w:rPr>
        <w:rFonts w:ascii="Arial" w:hAnsi="Arial" w:cs="Arial"/>
        <w:b/>
        <w:sz w:val="36"/>
        <w:szCs w:val="36"/>
      </w:rPr>
      <w:t xml:space="preserve">. </w:t>
    </w:r>
    <w:r>
      <w:rPr>
        <w:rFonts w:ascii="Arial" w:hAnsi="Arial" w:cs="Arial"/>
        <w:b/>
        <w:sz w:val="36"/>
        <w:szCs w:val="36"/>
      </w:rPr>
      <w:t>Special Tests and Provisions</w:t>
    </w:r>
    <w:r w:rsidR="00DC4A66">
      <w:rPr>
        <w:rFonts w:ascii="Arial" w:hAnsi="Arial" w:cs="Arial"/>
        <w:b/>
        <w:sz w:val="36"/>
        <w:szCs w:val="36"/>
      </w:rPr>
      <w:t xml:space="preserve"> – Insurance Proceeds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5D8C5" w14:textId="1EFEC193" w:rsidR="003A6024" w:rsidRPr="002616A3" w:rsidRDefault="003A6024" w:rsidP="00F13178">
    <w:pPr>
      <w:pStyle w:val="Header"/>
      <w:spacing w:after="240"/>
      <w:jc w:val="center"/>
      <w:rPr>
        <w:rFonts w:ascii="Arial" w:hAnsi="Arial" w:cs="Arial"/>
        <w:sz w:val="36"/>
        <w:szCs w:val="36"/>
      </w:rPr>
    </w:pPr>
    <w:r w:rsidRPr="002616A3">
      <w:rPr>
        <w:rFonts w:ascii="Arial" w:hAnsi="Arial" w:cs="Arial"/>
        <w:b/>
        <w:sz w:val="36"/>
        <w:szCs w:val="36"/>
      </w:rPr>
      <w:t>N</w:t>
    </w:r>
    <w:r w:rsidR="00F65A04">
      <w:rPr>
        <w:rFonts w:ascii="Arial" w:hAnsi="Arial" w:cs="Arial"/>
        <w:b/>
        <w:sz w:val="36"/>
        <w:szCs w:val="36"/>
      </w:rPr>
      <w:t>16</w:t>
    </w:r>
    <w:r w:rsidRPr="002616A3">
      <w:rPr>
        <w:rFonts w:ascii="Arial" w:hAnsi="Arial" w:cs="Arial"/>
        <w:b/>
        <w:sz w:val="36"/>
        <w:szCs w:val="36"/>
      </w:rPr>
      <w:t xml:space="preserve">. </w:t>
    </w:r>
    <w:r>
      <w:rPr>
        <w:rFonts w:ascii="Arial" w:hAnsi="Arial" w:cs="Arial"/>
        <w:b/>
        <w:sz w:val="36"/>
        <w:szCs w:val="36"/>
      </w:rPr>
      <w:t>Special Tests and Provisions</w:t>
    </w:r>
    <w:r w:rsidR="00E6567C">
      <w:rPr>
        <w:rFonts w:ascii="Arial" w:hAnsi="Arial" w:cs="Arial"/>
        <w:b/>
        <w:sz w:val="36"/>
        <w:szCs w:val="36"/>
      </w:rPr>
      <w:t xml:space="preserve"> – Environmental Contaminants Testing and Remediation</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94DC6" w14:textId="2932FBBD" w:rsidR="003A6024" w:rsidRPr="002616A3" w:rsidRDefault="003A6024" w:rsidP="00F13178">
    <w:pPr>
      <w:pStyle w:val="Header"/>
      <w:spacing w:after="240"/>
      <w:jc w:val="center"/>
      <w:rPr>
        <w:rFonts w:ascii="Arial" w:hAnsi="Arial" w:cs="Arial"/>
        <w:sz w:val="36"/>
        <w:szCs w:val="36"/>
      </w:rPr>
    </w:pPr>
    <w:r w:rsidRPr="002616A3">
      <w:rPr>
        <w:rFonts w:ascii="Arial" w:hAnsi="Arial" w:cs="Arial"/>
        <w:b/>
        <w:sz w:val="36"/>
        <w:szCs w:val="36"/>
      </w:rPr>
      <w:t>N</w:t>
    </w:r>
    <w:r w:rsidR="00174E6A">
      <w:rPr>
        <w:rFonts w:ascii="Arial" w:hAnsi="Arial" w:cs="Arial"/>
        <w:b/>
        <w:sz w:val="36"/>
        <w:szCs w:val="36"/>
      </w:rPr>
      <w:t>17</w:t>
    </w:r>
    <w:r w:rsidRPr="002616A3">
      <w:rPr>
        <w:rFonts w:ascii="Arial" w:hAnsi="Arial" w:cs="Arial"/>
        <w:b/>
        <w:sz w:val="36"/>
        <w:szCs w:val="36"/>
      </w:rPr>
      <w:t xml:space="preserve">. </w:t>
    </w:r>
    <w:r>
      <w:rPr>
        <w:rFonts w:ascii="Arial" w:hAnsi="Arial" w:cs="Arial"/>
        <w:b/>
        <w:sz w:val="36"/>
        <w:szCs w:val="36"/>
      </w:rPr>
      <w:t>Special Tests and Provisions</w:t>
    </w:r>
    <w:r w:rsidR="00174E6A">
      <w:rPr>
        <w:rFonts w:ascii="Arial" w:hAnsi="Arial" w:cs="Arial"/>
        <w:b/>
        <w:sz w:val="36"/>
        <w:szCs w:val="36"/>
      </w:rPr>
      <w:t xml:space="preserve"> – UEL Formula (Form 52722 OMB Approval No. 2577-0029)</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3B6F" w14:textId="7636F5BA" w:rsidR="00C04E8C" w:rsidRPr="002616A3" w:rsidRDefault="00C04E8C" w:rsidP="00F13178">
    <w:pPr>
      <w:pStyle w:val="Header"/>
      <w:spacing w:after="240"/>
      <w:jc w:val="center"/>
      <w:rPr>
        <w:rFonts w:ascii="Arial" w:hAnsi="Arial" w:cs="Arial"/>
        <w:sz w:val="36"/>
        <w:szCs w:val="36"/>
      </w:rPr>
    </w:pPr>
    <w:r w:rsidRPr="002616A3">
      <w:rPr>
        <w:rFonts w:ascii="Arial" w:hAnsi="Arial" w:cs="Arial"/>
        <w:b/>
        <w:sz w:val="36"/>
        <w:szCs w:val="36"/>
      </w:rPr>
      <w:t>N</w:t>
    </w:r>
    <w:r w:rsidR="00174E6A">
      <w:rPr>
        <w:rFonts w:ascii="Arial" w:hAnsi="Arial" w:cs="Arial"/>
        <w:b/>
        <w:sz w:val="36"/>
        <w:szCs w:val="36"/>
      </w:rPr>
      <w:t>18</w:t>
    </w:r>
    <w:r w:rsidRPr="002616A3">
      <w:rPr>
        <w:rFonts w:ascii="Arial" w:hAnsi="Arial" w:cs="Arial"/>
        <w:b/>
        <w:sz w:val="36"/>
        <w:szCs w:val="36"/>
      </w:rPr>
      <w:t xml:space="preserve">. </w:t>
    </w:r>
    <w:r>
      <w:rPr>
        <w:rFonts w:ascii="Arial" w:hAnsi="Arial" w:cs="Arial"/>
        <w:b/>
        <w:sz w:val="36"/>
        <w:szCs w:val="36"/>
      </w:rPr>
      <w:t>Special Tests and Provisions</w:t>
    </w:r>
    <w:r w:rsidR="00174E6A">
      <w:rPr>
        <w:rFonts w:ascii="Arial" w:hAnsi="Arial" w:cs="Arial"/>
        <w:b/>
        <w:sz w:val="36"/>
        <w:szCs w:val="36"/>
      </w:rPr>
      <w:t xml:space="preserve"> – Formula Income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BC5DB" w14:textId="7851D101" w:rsidR="00A3316B" w:rsidRPr="002616A3" w:rsidRDefault="00A3316B" w:rsidP="00F13178">
    <w:pPr>
      <w:pStyle w:val="Header"/>
      <w:spacing w:after="240"/>
      <w:jc w:val="center"/>
      <w:rPr>
        <w:rFonts w:ascii="Arial" w:hAnsi="Arial" w:cs="Arial"/>
        <w:sz w:val="36"/>
        <w:szCs w:val="36"/>
      </w:rPr>
    </w:pPr>
    <w:r w:rsidRPr="002616A3">
      <w:rPr>
        <w:rFonts w:ascii="Arial" w:hAnsi="Arial" w:cs="Arial"/>
        <w:b/>
        <w:sz w:val="36"/>
        <w:szCs w:val="36"/>
      </w:rPr>
      <w:t>N</w:t>
    </w:r>
    <w:r w:rsidR="006D34C5">
      <w:rPr>
        <w:rFonts w:ascii="Arial" w:hAnsi="Arial" w:cs="Arial"/>
        <w:b/>
        <w:sz w:val="36"/>
        <w:szCs w:val="36"/>
      </w:rPr>
      <w:t>19</w:t>
    </w:r>
    <w:r w:rsidRPr="002616A3">
      <w:rPr>
        <w:rFonts w:ascii="Arial" w:hAnsi="Arial" w:cs="Arial"/>
        <w:b/>
        <w:sz w:val="36"/>
        <w:szCs w:val="36"/>
      </w:rPr>
      <w:t xml:space="preserve">. </w:t>
    </w:r>
    <w:r>
      <w:rPr>
        <w:rFonts w:ascii="Arial" w:hAnsi="Arial" w:cs="Arial"/>
        <w:b/>
        <w:sz w:val="36"/>
        <w:szCs w:val="36"/>
      </w:rPr>
      <w:t>Special Tests and Provisions</w:t>
    </w:r>
    <w:r w:rsidR="006D34C5">
      <w:rPr>
        <w:rFonts w:ascii="Arial" w:hAnsi="Arial" w:cs="Arial"/>
        <w:b/>
        <w:sz w:val="36"/>
        <w:szCs w:val="36"/>
      </w:rPr>
      <w:t xml:space="preserve"> – Shortfall Funding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79F9" w14:textId="77777777" w:rsidR="000C7D0B" w:rsidRPr="00114391" w:rsidRDefault="000C7D0B" w:rsidP="00114391">
    <w:pPr>
      <w:pStyle w:val="Header"/>
      <w:jc w:val="center"/>
      <w:rPr>
        <w:rFonts w:ascii="Arial" w:hAnsi="Arial" w:cs="Arial"/>
      </w:rPr>
    </w:pPr>
    <w:r w:rsidRPr="00114391">
      <w:rPr>
        <w:rStyle w:val="PageNumber"/>
        <w:rFonts w:ascii="Arial" w:hAnsi="Arial" w:cs="Arial"/>
        <w:b/>
        <w:sz w:val="36"/>
        <w:szCs w:val="36"/>
      </w:rPr>
      <w:t>E. Eligibility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7.5pt;height:7.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C51F69"/>
    <w:multiLevelType w:val="hybridMultilevel"/>
    <w:tmpl w:val="5B9E3728"/>
    <w:lvl w:ilvl="0" w:tplc="A4EA2BCE">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67E17"/>
    <w:multiLevelType w:val="hybridMultilevel"/>
    <w:tmpl w:val="93523224"/>
    <w:lvl w:ilvl="0" w:tplc="EE3E7EF6">
      <w:start w:val="1"/>
      <w:numFmt w:val="decimal"/>
      <w:lvlText w:val="%1."/>
      <w:lvlJc w:val="left"/>
      <w:pPr>
        <w:ind w:left="2260" w:hanging="720"/>
      </w:pPr>
      <w:rPr>
        <w:rFonts w:ascii="Arial" w:eastAsia="Times New Roman" w:hAnsi="Arial" w:cs="Arial" w:hint="default"/>
        <w:spacing w:val="-2"/>
        <w:w w:val="99"/>
        <w:sz w:val="20"/>
        <w:szCs w:val="20"/>
      </w:rPr>
    </w:lvl>
    <w:lvl w:ilvl="1" w:tplc="5F885028">
      <w:numFmt w:val="bullet"/>
      <w:lvlText w:val="•"/>
      <w:lvlJc w:val="left"/>
      <w:pPr>
        <w:ind w:left="3082" w:hanging="720"/>
      </w:pPr>
      <w:rPr>
        <w:rFonts w:hint="default"/>
      </w:rPr>
    </w:lvl>
    <w:lvl w:ilvl="2" w:tplc="698C98E6">
      <w:numFmt w:val="bullet"/>
      <w:lvlText w:val="•"/>
      <w:lvlJc w:val="left"/>
      <w:pPr>
        <w:ind w:left="3904" w:hanging="720"/>
      </w:pPr>
      <w:rPr>
        <w:rFonts w:hint="default"/>
      </w:rPr>
    </w:lvl>
    <w:lvl w:ilvl="3" w:tplc="2B04B952">
      <w:numFmt w:val="bullet"/>
      <w:lvlText w:val="•"/>
      <w:lvlJc w:val="left"/>
      <w:pPr>
        <w:ind w:left="4726" w:hanging="720"/>
      </w:pPr>
      <w:rPr>
        <w:rFonts w:hint="default"/>
      </w:rPr>
    </w:lvl>
    <w:lvl w:ilvl="4" w:tplc="21CA963E">
      <w:numFmt w:val="bullet"/>
      <w:lvlText w:val="•"/>
      <w:lvlJc w:val="left"/>
      <w:pPr>
        <w:ind w:left="5548" w:hanging="720"/>
      </w:pPr>
      <w:rPr>
        <w:rFonts w:hint="default"/>
      </w:rPr>
    </w:lvl>
    <w:lvl w:ilvl="5" w:tplc="452E4F10">
      <w:numFmt w:val="bullet"/>
      <w:lvlText w:val="•"/>
      <w:lvlJc w:val="left"/>
      <w:pPr>
        <w:ind w:left="6370" w:hanging="720"/>
      </w:pPr>
      <w:rPr>
        <w:rFonts w:hint="default"/>
      </w:rPr>
    </w:lvl>
    <w:lvl w:ilvl="6" w:tplc="87009A1C">
      <w:numFmt w:val="bullet"/>
      <w:lvlText w:val="•"/>
      <w:lvlJc w:val="left"/>
      <w:pPr>
        <w:ind w:left="7192" w:hanging="720"/>
      </w:pPr>
      <w:rPr>
        <w:rFonts w:hint="default"/>
      </w:rPr>
    </w:lvl>
    <w:lvl w:ilvl="7" w:tplc="98CEA856">
      <w:numFmt w:val="bullet"/>
      <w:lvlText w:val="•"/>
      <w:lvlJc w:val="left"/>
      <w:pPr>
        <w:ind w:left="8014" w:hanging="720"/>
      </w:pPr>
      <w:rPr>
        <w:rFonts w:hint="default"/>
      </w:rPr>
    </w:lvl>
    <w:lvl w:ilvl="8" w:tplc="996A201C">
      <w:numFmt w:val="bullet"/>
      <w:lvlText w:val="•"/>
      <w:lvlJc w:val="left"/>
      <w:pPr>
        <w:ind w:left="8836" w:hanging="720"/>
      </w:pPr>
      <w:rPr>
        <w:rFonts w:hint="default"/>
      </w:rPr>
    </w:lvl>
  </w:abstractNum>
  <w:abstractNum w:abstractNumId="3"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A732C8"/>
    <w:multiLevelType w:val="hybridMultilevel"/>
    <w:tmpl w:val="D220A494"/>
    <w:lvl w:ilvl="0" w:tplc="3798233E">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A955D2"/>
    <w:multiLevelType w:val="hybridMultilevel"/>
    <w:tmpl w:val="5B9E3728"/>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09B52303"/>
    <w:multiLevelType w:val="hybridMultilevel"/>
    <w:tmpl w:val="DB62CA14"/>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8" w15:restartNumberingAfterBreak="0">
    <w:nsid w:val="0A32428F"/>
    <w:multiLevelType w:val="hybridMultilevel"/>
    <w:tmpl w:val="5B9E3728"/>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BFA1653"/>
    <w:multiLevelType w:val="hybridMultilevel"/>
    <w:tmpl w:val="5B9E3728"/>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C1F21D5"/>
    <w:multiLevelType w:val="hybridMultilevel"/>
    <w:tmpl w:val="180E4AF0"/>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DEB12F3"/>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E545FB2"/>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1D30DFE"/>
    <w:multiLevelType w:val="hybridMultilevel"/>
    <w:tmpl w:val="5B9E3728"/>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8F4430"/>
    <w:multiLevelType w:val="hybridMultilevel"/>
    <w:tmpl w:val="1144D716"/>
    <w:lvl w:ilvl="0" w:tplc="FFFFFFFF">
      <w:start w:val="1"/>
      <w:numFmt w:val="upperLetter"/>
      <w:lvlText w:val="%1."/>
      <w:lvlJc w:val="left"/>
      <w:pPr>
        <w:ind w:left="72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64D2C49"/>
    <w:multiLevelType w:val="hybridMultilevel"/>
    <w:tmpl w:val="F5BCD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20"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AA1366"/>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C3B2C9B"/>
    <w:multiLevelType w:val="hybridMultilevel"/>
    <w:tmpl w:val="5B9E3728"/>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CEA61C5"/>
    <w:multiLevelType w:val="hybridMultilevel"/>
    <w:tmpl w:val="5B9E3728"/>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0882D58"/>
    <w:multiLevelType w:val="hybridMultilevel"/>
    <w:tmpl w:val="5B9E3728"/>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1DD5EEF"/>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99517E"/>
    <w:multiLevelType w:val="hybridMultilevel"/>
    <w:tmpl w:val="5B9E3728"/>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283E0B66"/>
    <w:multiLevelType w:val="hybridMultilevel"/>
    <w:tmpl w:val="5B9E3728"/>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84B7246"/>
    <w:multiLevelType w:val="hybridMultilevel"/>
    <w:tmpl w:val="2EACE2D8"/>
    <w:lvl w:ilvl="0" w:tplc="315C1538">
      <w:start w:val="1"/>
      <w:numFmt w:val="lowerLetter"/>
      <w:lvlText w:val="%1."/>
      <w:lvlJc w:val="left"/>
      <w:pPr>
        <w:ind w:left="1440" w:hanging="360"/>
      </w:pPr>
      <w:rPr>
        <w:rFonts w:ascii="Arial" w:hAnsi="Arial" w:cs="Arial" w:hint="default"/>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288C3B91"/>
    <w:multiLevelType w:val="hybridMultilevel"/>
    <w:tmpl w:val="ACB2B5F4"/>
    <w:lvl w:ilvl="0" w:tplc="FD3EE546">
      <w:start w:val="1"/>
      <w:numFmt w:val="lowerLetter"/>
      <w:lvlText w:val="%1."/>
      <w:lvlJc w:val="left"/>
      <w:pPr>
        <w:ind w:left="2260" w:hanging="720"/>
      </w:pPr>
      <w:rPr>
        <w:rFonts w:ascii="Arial" w:eastAsia="Times New Roman" w:hAnsi="Arial" w:cs="Arial" w:hint="default"/>
        <w:spacing w:val="-6"/>
        <w:w w:val="100"/>
        <w:sz w:val="20"/>
        <w:szCs w:val="20"/>
      </w:rPr>
    </w:lvl>
    <w:lvl w:ilvl="1" w:tplc="5BA8B3A0">
      <w:numFmt w:val="bullet"/>
      <w:lvlText w:val="•"/>
      <w:lvlJc w:val="left"/>
      <w:pPr>
        <w:ind w:left="3082" w:hanging="720"/>
      </w:pPr>
      <w:rPr>
        <w:rFonts w:hint="default"/>
      </w:rPr>
    </w:lvl>
    <w:lvl w:ilvl="2" w:tplc="95382CF6">
      <w:numFmt w:val="bullet"/>
      <w:lvlText w:val="•"/>
      <w:lvlJc w:val="left"/>
      <w:pPr>
        <w:ind w:left="3904" w:hanging="720"/>
      </w:pPr>
      <w:rPr>
        <w:rFonts w:hint="default"/>
      </w:rPr>
    </w:lvl>
    <w:lvl w:ilvl="3" w:tplc="21784190">
      <w:numFmt w:val="bullet"/>
      <w:lvlText w:val="•"/>
      <w:lvlJc w:val="left"/>
      <w:pPr>
        <w:ind w:left="4726" w:hanging="720"/>
      </w:pPr>
      <w:rPr>
        <w:rFonts w:hint="default"/>
      </w:rPr>
    </w:lvl>
    <w:lvl w:ilvl="4" w:tplc="AA2AA994">
      <w:numFmt w:val="bullet"/>
      <w:lvlText w:val="•"/>
      <w:lvlJc w:val="left"/>
      <w:pPr>
        <w:ind w:left="5548" w:hanging="720"/>
      </w:pPr>
      <w:rPr>
        <w:rFonts w:hint="default"/>
      </w:rPr>
    </w:lvl>
    <w:lvl w:ilvl="5" w:tplc="3E940048">
      <w:numFmt w:val="bullet"/>
      <w:lvlText w:val="•"/>
      <w:lvlJc w:val="left"/>
      <w:pPr>
        <w:ind w:left="6370" w:hanging="720"/>
      </w:pPr>
      <w:rPr>
        <w:rFonts w:hint="default"/>
      </w:rPr>
    </w:lvl>
    <w:lvl w:ilvl="6" w:tplc="1FE058CE">
      <w:numFmt w:val="bullet"/>
      <w:lvlText w:val="•"/>
      <w:lvlJc w:val="left"/>
      <w:pPr>
        <w:ind w:left="7192" w:hanging="720"/>
      </w:pPr>
      <w:rPr>
        <w:rFonts w:hint="default"/>
      </w:rPr>
    </w:lvl>
    <w:lvl w:ilvl="7" w:tplc="2988C520">
      <w:numFmt w:val="bullet"/>
      <w:lvlText w:val="•"/>
      <w:lvlJc w:val="left"/>
      <w:pPr>
        <w:ind w:left="8014" w:hanging="720"/>
      </w:pPr>
      <w:rPr>
        <w:rFonts w:hint="default"/>
      </w:rPr>
    </w:lvl>
    <w:lvl w:ilvl="8" w:tplc="053E6782">
      <w:numFmt w:val="bullet"/>
      <w:lvlText w:val="•"/>
      <w:lvlJc w:val="left"/>
      <w:pPr>
        <w:ind w:left="8836" w:hanging="720"/>
      </w:pPr>
      <w:rPr>
        <w:rFonts w:hint="default"/>
      </w:rPr>
    </w:lvl>
  </w:abstractNum>
  <w:abstractNum w:abstractNumId="33"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35" w15:restartNumberingAfterBreak="0">
    <w:nsid w:val="2DE61708"/>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F470479"/>
    <w:multiLevelType w:val="hybridMultilevel"/>
    <w:tmpl w:val="68DE7E12"/>
    <w:lvl w:ilvl="0" w:tplc="1D56EBF8">
      <w:start w:val="14"/>
      <w:numFmt w:val="upperLetter"/>
      <w:lvlText w:val="%1."/>
      <w:lvlJc w:val="left"/>
      <w:pPr>
        <w:ind w:left="1540" w:hanging="720"/>
        <w:jc w:val="left"/>
      </w:pPr>
      <w:rPr>
        <w:rFonts w:ascii="Times New Roman" w:eastAsia="Times New Roman" w:hAnsi="Times New Roman" w:cs="Times New Roman" w:hint="default"/>
        <w:b/>
        <w:bCs/>
        <w:spacing w:val="-4"/>
        <w:w w:val="100"/>
        <w:sz w:val="24"/>
        <w:szCs w:val="24"/>
      </w:rPr>
    </w:lvl>
    <w:lvl w:ilvl="1" w:tplc="2160A91A">
      <w:start w:val="1"/>
      <w:numFmt w:val="decimal"/>
      <w:lvlText w:val="%2."/>
      <w:lvlJc w:val="left"/>
      <w:pPr>
        <w:ind w:left="2260" w:hanging="720"/>
        <w:jc w:val="left"/>
      </w:pPr>
      <w:rPr>
        <w:rFonts w:ascii="Times New Roman" w:eastAsia="Times New Roman" w:hAnsi="Times New Roman" w:cs="Times New Roman" w:hint="default"/>
        <w:b/>
        <w:bCs/>
        <w:spacing w:val="-1"/>
        <w:w w:val="100"/>
        <w:sz w:val="24"/>
        <w:szCs w:val="24"/>
      </w:rPr>
    </w:lvl>
    <w:lvl w:ilvl="2" w:tplc="F3CEAE5C">
      <w:start w:val="1"/>
      <w:numFmt w:val="lowerLetter"/>
      <w:lvlText w:val="%3."/>
      <w:lvlJc w:val="left"/>
      <w:pPr>
        <w:ind w:left="2260" w:hanging="720"/>
        <w:jc w:val="left"/>
      </w:pPr>
      <w:rPr>
        <w:rFonts w:ascii="Arial" w:eastAsia="Times New Roman" w:hAnsi="Arial" w:cs="Arial" w:hint="default"/>
        <w:b w:val="0"/>
        <w:bCs w:val="0"/>
        <w:spacing w:val="-5"/>
        <w:w w:val="100"/>
        <w:sz w:val="20"/>
        <w:szCs w:val="20"/>
      </w:rPr>
    </w:lvl>
    <w:lvl w:ilvl="3" w:tplc="D3A29862">
      <w:numFmt w:val="bullet"/>
      <w:lvlText w:val="•"/>
      <w:lvlJc w:val="left"/>
      <w:pPr>
        <w:ind w:left="3305" w:hanging="720"/>
      </w:pPr>
      <w:rPr>
        <w:rFonts w:hint="default"/>
      </w:rPr>
    </w:lvl>
    <w:lvl w:ilvl="4" w:tplc="92FC3104">
      <w:numFmt w:val="bullet"/>
      <w:lvlText w:val="•"/>
      <w:lvlJc w:val="left"/>
      <w:pPr>
        <w:ind w:left="4330" w:hanging="720"/>
      </w:pPr>
      <w:rPr>
        <w:rFonts w:hint="default"/>
      </w:rPr>
    </w:lvl>
    <w:lvl w:ilvl="5" w:tplc="ABF0AF04">
      <w:numFmt w:val="bullet"/>
      <w:lvlText w:val="•"/>
      <w:lvlJc w:val="left"/>
      <w:pPr>
        <w:ind w:left="5355" w:hanging="720"/>
      </w:pPr>
      <w:rPr>
        <w:rFonts w:hint="default"/>
      </w:rPr>
    </w:lvl>
    <w:lvl w:ilvl="6" w:tplc="A8240494">
      <w:numFmt w:val="bullet"/>
      <w:lvlText w:val="•"/>
      <w:lvlJc w:val="left"/>
      <w:pPr>
        <w:ind w:left="6380" w:hanging="720"/>
      </w:pPr>
      <w:rPr>
        <w:rFonts w:hint="default"/>
      </w:rPr>
    </w:lvl>
    <w:lvl w:ilvl="7" w:tplc="0FFCA58E">
      <w:numFmt w:val="bullet"/>
      <w:lvlText w:val="•"/>
      <w:lvlJc w:val="left"/>
      <w:pPr>
        <w:ind w:left="7405" w:hanging="720"/>
      </w:pPr>
      <w:rPr>
        <w:rFonts w:hint="default"/>
      </w:rPr>
    </w:lvl>
    <w:lvl w:ilvl="8" w:tplc="BC0A49AC">
      <w:numFmt w:val="bullet"/>
      <w:lvlText w:val="•"/>
      <w:lvlJc w:val="left"/>
      <w:pPr>
        <w:ind w:left="8430" w:hanging="720"/>
      </w:pPr>
      <w:rPr>
        <w:rFonts w:hint="default"/>
      </w:rPr>
    </w:lvl>
  </w:abstractNum>
  <w:abstractNum w:abstractNumId="37" w15:restartNumberingAfterBreak="0">
    <w:nsid w:val="344F0AB5"/>
    <w:multiLevelType w:val="hybridMultilevel"/>
    <w:tmpl w:val="0412755C"/>
    <w:lvl w:ilvl="0" w:tplc="27264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68A1B2B"/>
    <w:multiLevelType w:val="hybridMultilevel"/>
    <w:tmpl w:val="5B9E3728"/>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7E16141"/>
    <w:multiLevelType w:val="hybridMultilevel"/>
    <w:tmpl w:val="5B9E3728"/>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38F7275D"/>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AB73232"/>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C9B480E"/>
    <w:multiLevelType w:val="hybridMultilevel"/>
    <w:tmpl w:val="DA8A6F6E"/>
    <w:lvl w:ilvl="0" w:tplc="3748383C">
      <w:start w:val="1"/>
      <w:numFmt w:val="lowerLetter"/>
      <w:lvlText w:val="%1."/>
      <w:lvlJc w:val="left"/>
      <w:pPr>
        <w:ind w:left="2260" w:hanging="720"/>
      </w:pPr>
      <w:rPr>
        <w:rFonts w:ascii="Arial" w:eastAsia="Times New Roman" w:hAnsi="Arial" w:cs="Arial" w:hint="default"/>
        <w:b w:val="0"/>
        <w:bCs w:val="0"/>
        <w:spacing w:val="-5"/>
        <w:w w:val="100"/>
        <w:sz w:val="20"/>
        <w:szCs w:val="20"/>
      </w:rPr>
    </w:lvl>
    <w:lvl w:ilvl="1" w:tplc="C5EEC138">
      <w:numFmt w:val="bullet"/>
      <w:lvlText w:val="•"/>
      <w:lvlJc w:val="left"/>
      <w:pPr>
        <w:ind w:left="3082" w:hanging="720"/>
      </w:pPr>
      <w:rPr>
        <w:rFonts w:hint="default"/>
      </w:rPr>
    </w:lvl>
    <w:lvl w:ilvl="2" w:tplc="39D63AB4">
      <w:numFmt w:val="bullet"/>
      <w:lvlText w:val="•"/>
      <w:lvlJc w:val="left"/>
      <w:pPr>
        <w:ind w:left="3904" w:hanging="720"/>
      </w:pPr>
      <w:rPr>
        <w:rFonts w:hint="default"/>
      </w:rPr>
    </w:lvl>
    <w:lvl w:ilvl="3" w:tplc="836C3B88">
      <w:numFmt w:val="bullet"/>
      <w:lvlText w:val="•"/>
      <w:lvlJc w:val="left"/>
      <w:pPr>
        <w:ind w:left="4726" w:hanging="720"/>
      </w:pPr>
      <w:rPr>
        <w:rFonts w:hint="default"/>
      </w:rPr>
    </w:lvl>
    <w:lvl w:ilvl="4" w:tplc="415496C2">
      <w:numFmt w:val="bullet"/>
      <w:lvlText w:val="•"/>
      <w:lvlJc w:val="left"/>
      <w:pPr>
        <w:ind w:left="5548" w:hanging="720"/>
      </w:pPr>
      <w:rPr>
        <w:rFonts w:hint="default"/>
      </w:rPr>
    </w:lvl>
    <w:lvl w:ilvl="5" w:tplc="3FAE62FC">
      <w:numFmt w:val="bullet"/>
      <w:lvlText w:val="•"/>
      <w:lvlJc w:val="left"/>
      <w:pPr>
        <w:ind w:left="6370" w:hanging="720"/>
      </w:pPr>
      <w:rPr>
        <w:rFonts w:hint="default"/>
      </w:rPr>
    </w:lvl>
    <w:lvl w:ilvl="6" w:tplc="B86E0846">
      <w:numFmt w:val="bullet"/>
      <w:lvlText w:val="•"/>
      <w:lvlJc w:val="left"/>
      <w:pPr>
        <w:ind w:left="7192" w:hanging="720"/>
      </w:pPr>
      <w:rPr>
        <w:rFonts w:hint="default"/>
      </w:rPr>
    </w:lvl>
    <w:lvl w:ilvl="7" w:tplc="B19AD36A">
      <w:numFmt w:val="bullet"/>
      <w:lvlText w:val="•"/>
      <w:lvlJc w:val="left"/>
      <w:pPr>
        <w:ind w:left="8014" w:hanging="720"/>
      </w:pPr>
      <w:rPr>
        <w:rFonts w:hint="default"/>
      </w:rPr>
    </w:lvl>
    <w:lvl w:ilvl="8" w:tplc="37E6F698">
      <w:numFmt w:val="bullet"/>
      <w:lvlText w:val="•"/>
      <w:lvlJc w:val="left"/>
      <w:pPr>
        <w:ind w:left="8836" w:hanging="720"/>
      </w:pPr>
      <w:rPr>
        <w:rFonts w:hint="default"/>
      </w:rPr>
    </w:lvl>
  </w:abstractNum>
  <w:abstractNum w:abstractNumId="45"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47" w15:restartNumberingAfterBreak="0">
    <w:nsid w:val="44344C9A"/>
    <w:multiLevelType w:val="hybridMultilevel"/>
    <w:tmpl w:val="0764E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67B2D60"/>
    <w:multiLevelType w:val="hybridMultilevel"/>
    <w:tmpl w:val="0D2CA200"/>
    <w:lvl w:ilvl="0" w:tplc="5DDAE86C">
      <w:start w:val="1"/>
      <w:numFmt w:val="lowerLetter"/>
      <w:lvlText w:val="%1."/>
      <w:lvlJc w:val="left"/>
      <w:pPr>
        <w:ind w:left="1560" w:hanging="720"/>
      </w:pPr>
      <w:rPr>
        <w:rFonts w:ascii="Times New Roman" w:eastAsia="Times New Roman" w:hAnsi="Times New Roman" w:cs="Times New Roman" w:hint="default"/>
        <w:spacing w:val="-1"/>
        <w:w w:val="100"/>
        <w:sz w:val="24"/>
        <w:szCs w:val="24"/>
      </w:rPr>
    </w:lvl>
    <w:lvl w:ilvl="1" w:tplc="326EEF8C">
      <w:numFmt w:val="bullet"/>
      <w:lvlText w:val="•"/>
      <w:lvlJc w:val="left"/>
      <w:pPr>
        <w:ind w:left="2372" w:hanging="720"/>
      </w:pPr>
      <w:rPr>
        <w:rFonts w:hint="default"/>
      </w:rPr>
    </w:lvl>
    <w:lvl w:ilvl="2" w:tplc="7684215E">
      <w:numFmt w:val="bullet"/>
      <w:lvlText w:val="•"/>
      <w:lvlJc w:val="left"/>
      <w:pPr>
        <w:ind w:left="3184" w:hanging="720"/>
      </w:pPr>
      <w:rPr>
        <w:rFonts w:hint="default"/>
      </w:rPr>
    </w:lvl>
    <w:lvl w:ilvl="3" w:tplc="8F0C431E">
      <w:numFmt w:val="bullet"/>
      <w:lvlText w:val="•"/>
      <w:lvlJc w:val="left"/>
      <w:pPr>
        <w:ind w:left="3996" w:hanging="720"/>
      </w:pPr>
      <w:rPr>
        <w:rFonts w:hint="default"/>
      </w:rPr>
    </w:lvl>
    <w:lvl w:ilvl="4" w:tplc="2E6E7702">
      <w:numFmt w:val="bullet"/>
      <w:lvlText w:val="•"/>
      <w:lvlJc w:val="left"/>
      <w:pPr>
        <w:ind w:left="4808" w:hanging="720"/>
      </w:pPr>
      <w:rPr>
        <w:rFonts w:hint="default"/>
      </w:rPr>
    </w:lvl>
    <w:lvl w:ilvl="5" w:tplc="1924C1CC">
      <w:numFmt w:val="bullet"/>
      <w:lvlText w:val="•"/>
      <w:lvlJc w:val="left"/>
      <w:pPr>
        <w:ind w:left="5620" w:hanging="720"/>
      </w:pPr>
      <w:rPr>
        <w:rFonts w:hint="default"/>
      </w:rPr>
    </w:lvl>
    <w:lvl w:ilvl="6" w:tplc="2AE4B06C">
      <w:numFmt w:val="bullet"/>
      <w:lvlText w:val="•"/>
      <w:lvlJc w:val="left"/>
      <w:pPr>
        <w:ind w:left="6432" w:hanging="720"/>
      </w:pPr>
      <w:rPr>
        <w:rFonts w:hint="default"/>
      </w:rPr>
    </w:lvl>
    <w:lvl w:ilvl="7" w:tplc="A48294F2">
      <w:numFmt w:val="bullet"/>
      <w:lvlText w:val="•"/>
      <w:lvlJc w:val="left"/>
      <w:pPr>
        <w:ind w:left="7244" w:hanging="720"/>
      </w:pPr>
      <w:rPr>
        <w:rFonts w:hint="default"/>
      </w:rPr>
    </w:lvl>
    <w:lvl w:ilvl="8" w:tplc="9ADC5258">
      <w:numFmt w:val="bullet"/>
      <w:lvlText w:val="•"/>
      <w:lvlJc w:val="left"/>
      <w:pPr>
        <w:ind w:left="8056" w:hanging="720"/>
      </w:pPr>
      <w:rPr>
        <w:rFonts w:hint="default"/>
      </w:rPr>
    </w:lvl>
  </w:abstractNum>
  <w:abstractNum w:abstractNumId="49" w15:restartNumberingAfterBreak="0">
    <w:nsid w:val="48470251"/>
    <w:multiLevelType w:val="hybridMultilevel"/>
    <w:tmpl w:val="F5D45F12"/>
    <w:lvl w:ilvl="0" w:tplc="04090001">
      <w:start w:val="1"/>
      <w:numFmt w:val="bullet"/>
      <w:lvlText w:val=""/>
      <w:lvlJc w:val="left"/>
      <w:pPr>
        <w:ind w:left="720" w:hanging="360"/>
      </w:pPr>
      <w:rPr>
        <w:rFonts w:ascii="Symbol" w:hAnsi="Symbol" w:hint="default"/>
      </w:rPr>
    </w:lvl>
    <w:lvl w:ilvl="1" w:tplc="BFF4640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D852170"/>
    <w:multiLevelType w:val="hybridMultilevel"/>
    <w:tmpl w:val="5B9E3728"/>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DA44029"/>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E427B17"/>
    <w:multiLevelType w:val="hybridMultilevel"/>
    <w:tmpl w:val="5B9E3728"/>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FDA2759"/>
    <w:multiLevelType w:val="hybridMultilevel"/>
    <w:tmpl w:val="E31A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093628F"/>
    <w:multiLevelType w:val="hybridMultilevel"/>
    <w:tmpl w:val="5B9E3728"/>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15:restartNumberingAfterBreak="0">
    <w:nsid w:val="52280257"/>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59" w15:restartNumberingAfterBreak="0">
    <w:nsid w:val="533B4246"/>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61" w15:restartNumberingAfterBreak="0">
    <w:nsid w:val="565A7852"/>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79C4EC2"/>
    <w:multiLevelType w:val="hybridMultilevel"/>
    <w:tmpl w:val="5B9E3728"/>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B800AB6"/>
    <w:multiLevelType w:val="hybridMultilevel"/>
    <w:tmpl w:val="5B9E3728"/>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D2C2ED0"/>
    <w:multiLevelType w:val="hybridMultilevel"/>
    <w:tmpl w:val="0E36A610"/>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50C0471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D7C18E9"/>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DC50A9B"/>
    <w:multiLevelType w:val="hybridMultilevel"/>
    <w:tmpl w:val="3140B41A"/>
    <w:lvl w:ilvl="0" w:tplc="4F9CA0C8">
      <w:start w:val="1"/>
      <w:numFmt w:val="lowerLetter"/>
      <w:lvlText w:val="%1."/>
      <w:lvlJc w:val="left"/>
      <w:pPr>
        <w:ind w:left="810" w:hanging="720"/>
      </w:pPr>
      <w:rPr>
        <w:rFonts w:ascii="Arial" w:eastAsia="Times New Roman" w:hAnsi="Arial" w:cs="Arial" w:hint="default"/>
        <w:spacing w:val="-5"/>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F477A84"/>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0352428"/>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5" w15:restartNumberingAfterBreak="0">
    <w:nsid w:val="68D17044"/>
    <w:multiLevelType w:val="hybridMultilevel"/>
    <w:tmpl w:val="56345B60"/>
    <w:lvl w:ilvl="0" w:tplc="E75A127E">
      <w:start w:val="2"/>
      <w:numFmt w:val="decimal"/>
      <w:lvlText w:val="%1."/>
      <w:lvlJc w:val="left"/>
      <w:pPr>
        <w:ind w:left="1080" w:hanging="72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233BE3"/>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D082A14"/>
    <w:multiLevelType w:val="hybridMultilevel"/>
    <w:tmpl w:val="587ABEA4"/>
    <w:lvl w:ilvl="0" w:tplc="100A9798">
      <w:start w:val="14"/>
      <w:numFmt w:val="upperLetter"/>
      <w:lvlText w:val="%1."/>
      <w:lvlJc w:val="left"/>
      <w:pPr>
        <w:ind w:left="1540" w:hanging="720"/>
      </w:pPr>
      <w:rPr>
        <w:rFonts w:ascii="Times New Roman" w:eastAsia="Times New Roman" w:hAnsi="Times New Roman" w:cs="Times New Roman" w:hint="default"/>
        <w:b/>
        <w:bCs/>
        <w:spacing w:val="-4"/>
        <w:w w:val="100"/>
        <w:sz w:val="24"/>
        <w:szCs w:val="24"/>
      </w:rPr>
    </w:lvl>
    <w:lvl w:ilvl="1" w:tplc="40BE4676">
      <w:start w:val="1"/>
      <w:numFmt w:val="decimal"/>
      <w:lvlText w:val="%2."/>
      <w:lvlJc w:val="left"/>
      <w:pPr>
        <w:ind w:left="2260" w:hanging="720"/>
      </w:pPr>
      <w:rPr>
        <w:rFonts w:ascii="Times New Roman" w:eastAsia="Times New Roman" w:hAnsi="Times New Roman" w:cs="Times New Roman" w:hint="default"/>
        <w:b/>
        <w:bCs/>
        <w:spacing w:val="-1"/>
        <w:w w:val="100"/>
        <w:sz w:val="24"/>
        <w:szCs w:val="24"/>
      </w:rPr>
    </w:lvl>
    <w:lvl w:ilvl="2" w:tplc="4F9CA0C8">
      <w:start w:val="1"/>
      <w:numFmt w:val="lowerLetter"/>
      <w:lvlText w:val="%3."/>
      <w:lvlJc w:val="left"/>
      <w:pPr>
        <w:ind w:left="810" w:hanging="720"/>
      </w:pPr>
      <w:rPr>
        <w:rFonts w:ascii="Arial" w:eastAsia="Times New Roman" w:hAnsi="Arial" w:cs="Arial" w:hint="default"/>
        <w:spacing w:val="-5"/>
        <w:w w:val="100"/>
        <w:sz w:val="20"/>
        <w:szCs w:val="20"/>
      </w:rPr>
    </w:lvl>
    <w:lvl w:ilvl="3" w:tplc="5484DE50">
      <w:numFmt w:val="bullet"/>
      <w:lvlText w:val="•"/>
      <w:lvlJc w:val="left"/>
      <w:pPr>
        <w:ind w:left="3305" w:hanging="720"/>
      </w:pPr>
      <w:rPr>
        <w:rFonts w:hint="default"/>
      </w:rPr>
    </w:lvl>
    <w:lvl w:ilvl="4" w:tplc="4984ADC2">
      <w:numFmt w:val="bullet"/>
      <w:lvlText w:val="•"/>
      <w:lvlJc w:val="left"/>
      <w:pPr>
        <w:ind w:left="4330" w:hanging="720"/>
      </w:pPr>
      <w:rPr>
        <w:rFonts w:hint="default"/>
      </w:rPr>
    </w:lvl>
    <w:lvl w:ilvl="5" w:tplc="93C45C7C">
      <w:numFmt w:val="bullet"/>
      <w:lvlText w:val="•"/>
      <w:lvlJc w:val="left"/>
      <w:pPr>
        <w:ind w:left="5355" w:hanging="720"/>
      </w:pPr>
      <w:rPr>
        <w:rFonts w:hint="default"/>
      </w:rPr>
    </w:lvl>
    <w:lvl w:ilvl="6" w:tplc="57E2CDBE">
      <w:numFmt w:val="bullet"/>
      <w:lvlText w:val="•"/>
      <w:lvlJc w:val="left"/>
      <w:pPr>
        <w:ind w:left="6380" w:hanging="720"/>
      </w:pPr>
      <w:rPr>
        <w:rFonts w:hint="default"/>
      </w:rPr>
    </w:lvl>
    <w:lvl w:ilvl="7" w:tplc="6BAAE936">
      <w:numFmt w:val="bullet"/>
      <w:lvlText w:val="•"/>
      <w:lvlJc w:val="left"/>
      <w:pPr>
        <w:ind w:left="7405" w:hanging="720"/>
      </w:pPr>
      <w:rPr>
        <w:rFonts w:hint="default"/>
      </w:rPr>
    </w:lvl>
    <w:lvl w:ilvl="8" w:tplc="3D94B684">
      <w:numFmt w:val="bullet"/>
      <w:lvlText w:val="•"/>
      <w:lvlJc w:val="left"/>
      <w:pPr>
        <w:ind w:left="8430" w:hanging="720"/>
      </w:pPr>
      <w:rPr>
        <w:rFonts w:hint="default"/>
      </w:rPr>
    </w:lvl>
  </w:abstractNum>
  <w:abstractNum w:abstractNumId="78"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41F299F"/>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4D01D81"/>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82"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83"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56"/>
  </w:num>
  <w:num w:numId="3" w16cid:durableId="845168209">
    <w:abstractNumId w:val="29"/>
  </w:num>
  <w:num w:numId="4" w16cid:durableId="495266702">
    <w:abstractNumId w:val="45"/>
  </w:num>
  <w:num w:numId="5" w16cid:durableId="1496074526">
    <w:abstractNumId w:val="74"/>
  </w:num>
  <w:num w:numId="6" w16cid:durableId="1894850701">
    <w:abstractNumId w:val="40"/>
  </w:num>
  <w:num w:numId="7" w16cid:durableId="1851287688">
    <w:abstractNumId w:val="83"/>
  </w:num>
  <w:num w:numId="8" w16cid:durableId="169563015">
    <w:abstractNumId w:val="72"/>
  </w:num>
  <w:num w:numId="9" w16cid:durableId="829565744">
    <w:abstractNumId w:val="26"/>
  </w:num>
  <w:num w:numId="10" w16cid:durableId="1649020827">
    <w:abstractNumId w:val="6"/>
  </w:num>
  <w:num w:numId="11" w16cid:durableId="812450053">
    <w:abstractNumId w:val="81"/>
  </w:num>
  <w:num w:numId="12" w16cid:durableId="208225967">
    <w:abstractNumId w:val="58"/>
  </w:num>
  <w:num w:numId="13" w16cid:durableId="1372924585">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61647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8249420">
    <w:abstractNumId w:val="60"/>
  </w:num>
  <w:num w:numId="16" w16cid:durableId="1726903200">
    <w:abstractNumId w:val="20"/>
  </w:num>
  <w:num w:numId="17" w16cid:durableId="884410781">
    <w:abstractNumId w:val="11"/>
  </w:num>
  <w:num w:numId="18" w16cid:durableId="810370577">
    <w:abstractNumId w:val="53"/>
  </w:num>
  <w:num w:numId="19" w16cid:durableId="2056466201">
    <w:abstractNumId w:val="27"/>
  </w:num>
  <w:num w:numId="20" w16cid:durableId="368649401">
    <w:abstractNumId w:val="3"/>
  </w:num>
  <w:num w:numId="21" w16cid:durableId="1478910963">
    <w:abstractNumId w:val="78"/>
  </w:num>
  <w:num w:numId="22" w16cid:durableId="516505364">
    <w:abstractNumId w:val="62"/>
  </w:num>
  <w:num w:numId="23" w16cid:durableId="1352143524">
    <w:abstractNumId w:val="34"/>
  </w:num>
  <w:num w:numId="24" w16cid:durableId="2034109230">
    <w:abstractNumId w:val="49"/>
  </w:num>
  <w:num w:numId="25" w16cid:durableId="752432378">
    <w:abstractNumId w:val="46"/>
  </w:num>
  <w:num w:numId="26" w16cid:durableId="1766726706">
    <w:abstractNumId w:val="19"/>
  </w:num>
  <w:num w:numId="27" w16cid:durableId="1123234674">
    <w:abstractNumId w:val="7"/>
  </w:num>
  <w:num w:numId="28" w16cid:durableId="1056511850">
    <w:abstractNumId w:val="73"/>
  </w:num>
  <w:num w:numId="29" w16cid:durableId="1317146710">
    <w:abstractNumId w:val="66"/>
  </w:num>
  <w:num w:numId="30" w16cid:durableId="1101756761">
    <w:abstractNumId w:val="54"/>
  </w:num>
  <w:num w:numId="31" w16cid:durableId="1244534831">
    <w:abstractNumId w:val="63"/>
  </w:num>
  <w:num w:numId="32" w16cid:durableId="120655483">
    <w:abstractNumId w:val="33"/>
  </w:num>
  <w:num w:numId="33" w16cid:durableId="667756309">
    <w:abstractNumId w:val="10"/>
  </w:num>
  <w:num w:numId="34" w16cid:durableId="142236087">
    <w:abstractNumId w:val="42"/>
  </w:num>
  <w:num w:numId="35" w16cid:durableId="2005356031">
    <w:abstractNumId w:val="16"/>
  </w:num>
  <w:num w:numId="36" w16cid:durableId="196281328">
    <w:abstractNumId w:val="67"/>
  </w:num>
  <w:num w:numId="37" w16cid:durableId="2066832860">
    <w:abstractNumId w:val="4"/>
  </w:num>
  <w:num w:numId="38" w16cid:durableId="1902322810">
    <w:abstractNumId w:val="18"/>
  </w:num>
  <w:num w:numId="39" w16cid:durableId="1314218672">
    <w:abstractNumId w:val="47"/>
  </w:num>
  <w:num w:numId="40" w16cid:durableId="1163159298">
    <w:abstractNumId w:val="37"/>
  </w:num>
  <w:num w:numId="41" w16cid:durableId="1569071518">
    <w:abstractNumId w:val="2"/>
  </w:num>
  <w:num w:numId="42" w16cid:durableId="58134164">
    <w:abstractNumId w:val="1"/>
  </w:num>
  <w:num w:numId="43" w16cid:durableId="2142921929">
    <w:abstractNumId w:val="48"/>
  </w:num>
  <w:num w:numId="44" w16cid:durableId="2082481427">
    <w:abstractNumId w:val="50"/>
  </w:num>
  <w:num w:numId="45" w16cid:durableId="247085029">
    <w:abstractNumId w:val="77"/>
  </w:num>
  <w:num w:numId="46" w16cid:durableId="1535533275">
    <w:abstractNumId w:val="70"/>
  </w:num>
  <w:num w:numId="47" w16cid:durableId="606815368">
    <w:abstractNumId w:val="17"/>
  </w:num>
  <w:num w:numId="48" w16cid:durableId="1194197292">
    <w:abstractNumId w:val="44"/>
  </w:num>
  <w:num w:numId="49" w16cid:durableId="694616490">
    <w:abstractNumId w:val="5"/>
  </w:num>
  <w:num w:numId="50" w16cid:durableId="20598034">
    <w:abstractNumId w:val="69"/>
  </w:num>
  <w:num w:numId="51" w16cid:durableId="1181823036">
    <w:abstractNumId w:val="68"/>
  </w:num>
  <w:num w:numId="52" w16cid:durableId="913855365">
    <w:abstractNumId w:val="24"/>
  </w:num>
  <w:num w:numId="53" w16cid:durableId="2009401377">
    <w:abstractNumId w:val="79"/>
  </w:num>
  <w:num w:numId="54" w16cid:durableId="862210197">
    <w:abstractNumId w:val="9"/>
  </w:num>
  <w:num w:numId="55" w16cid:durableId="194539888">
    <w:abstractNumId w:val="31"/>
  </w:num>
  <w:num w:numId="56" w16cid:durableId="1204901463">
    <w:abstractNumId w:val="25"/>
  </w:num>
  <w:num w:numId="57" w16cid:durableId="1058822068">
    <w:abstractNumId w:val="64"/>
  </w:num>
  <w:num w:numId="58" w16cid:durableId="2050759469">
    <w:abstractNumId w:val="57"/>
  </w:num>
  <w:num w:numId="59" w16cid:durableId="1979875062">
    <w:abstractNumId w:val="22"/>
  </w:num>
  <w:num w:numId="60" w16cid:durableId="454834578">
    <w:abstractNumId w:val="51"/>
  </w:num>
  <w:num w:numId="61" w16cid:durableId="534970744">
    <w:abstractNumId w:val="23"/>
  </w:num>
  <w:num w:numId="62" w16cid:durableId="936521868">
    <w:abstractNumId w:val="76"/>
  </w:num>
  <w:num w:numId="63" w16cid:durableId="1935015964">
    <w:abstractNumId w:val="30"/>
  </w:num>
  <w:num w:numId="64" w16cid:durableId="437214040">
    <w:abstractNumId w:val="13"/>
  </w:num>
  <w:num w:numId="65" w16cid:durableId="1238827911">
    <w:abstractNumId w:val="39"/>
  </w:num>
  <w:num w:numId="66" w16cid:durableId="1999264139">
    <w:abstractNumId w:val="43"/>
  </w:num>
  <w:num w:numId="67" w16cid:durableId="194346970">
    <w:abstractNumId w:val="28"/>
  </w:num>
  <w:num w:numId="68" w16cid:durableId="1066145120">
    <w:abstractNumId w:val="59"/>
  </w:num>
  <w:num w:numId="69" w16cid:durableId="1262952722">
    <w:abstractNumId w:val="55"/>
  </w:num>
  <w:num w:numId="70" w16cid:durableId="1177305007">
    <w:abstractNumId w:val="41"/>
  </w:num>
  <w:num w:numId="71" w16cid:durableId="103962293">
    <w:abstractNumId w:val="38"/>
  </w:num>
  <w:num w:numId="72" w16cid:durableId="1152527684">
    <w:abstractNumId w:val="71"/>
  </w:num>
  <w:num w:numId="73" w16cid:durableId="1931156240">
    <w:abstractNumId w:val="52"/>
  </w:num>
  <w:num w:numId="74" w16cid:durableId="1849906810">
    <w:abstractNumId w:val="14"/>
  </w:num>
  <w:num w:numId="75" w16cid:durableId="694159837">
    <w:abstractNumId w:val="8"/>
  </w:num>
  <w:num w:numId="76" w16cid:durableId="396590079">
    <w:abstractNumId w:val="80"/>
  </w:num>
  <w:num w:numId="77" w16cid:durableId="147596525">
    <w:abstractNumId w:val="15"/>
  </w:num>
  <w:num w:numId="78" w16cid:durableId="1363046308">
    <w:abstractNumId w:val="32"/>
  </w:num>
  <w:num w:numId="79" w16cid:durableId="1466042683">
    <w:abstractNumId w:val="21"/>
  </w:num>
  <w:num w:numId="80" w16cid:durableId="146898125">
    <w:abstractNumId w:val="65"/>
  </w:num>
  <w:num w:numId="81" w16cid:durableId="2079398835">
    <w:abstractNumId w:val="75"/>
  </w:num>
  <w:num w:numId="82" w16cid:durableId="980579476">
    <w:abstractNumId w:val="61"/>
  </w:num>
  <w:num w:numId="83" w16cid:durableId="1204100835">
    <w:abstractNumId w:val="35"/>
  </w:num>
  <w:num w:numId="84" w16cid:durableId="242184213">
    <w:abstractNumId w:val="3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701"/>
    <w:rsid w:val="0000786B"/>
    <w:rsid w:val="000104D2"/>
    <w:rsid w:val="00011046"/>
    <w:rsid w:val="0001160F"/>
    <w:rsid w:val="00011C0F"/>
    <w:rsid w:val="00011C4A"/>
    <w:rsid w:val="000120C4"/>
    <w:rsid w:val="00012CD3"/>
    <w:rsid w:val="00012E75"/>
    <w:rsid w:val="00013161"/>
    <w:rsid w:val="00013C48"/>
    <w:rsid w:val="000148A1"/>
    <w:rsid w:val="00016009"/>
    <w:rsid w:val="00016E7D"/>
    <w:rsid w:val="00017EE1"/>
    <w:rsid w:val="000208C0"/>
    <w:rsid w:val="00020EF9"/>
    <w:rsid w:val="00021ADA"/>
    <w:rsid w:val="000220CB"/>
    <w:rsid w:val="000223CF"/>
    <w:rsid w:val="00023CBC"/>
    <w:rsid w:val="00023D8F"/>
    <w:rsid w:val="00024140"/>
    <w:rsid w:val="00026512"/>
    <w:rsid w:val="00027C89"/>
    <w:rsid w:val="00031358"/>
    <w:rsid w:val="00031514"/>
    <w:rsid w:val="000321D8"/>
    <w:rsid w:val="000329D7"/>
    <w:rsid w:val="00032B96"/>
    <w:rsid w:val="000330F5"/>
    <w:rsid w:val="00033627"/>
    <w:rsid w:val="000346F7"/>
    <w:rsid w:val="00035360"/>
    <w:rsid w:val="00035C2F"/>
    <w:rsid w:val="00036055"/>
    <w:rsid w:val="000361F7"/>
    <w:rsid w:val="00036261"/>
    <w:rsid w:val="0004135F"/>
    <w:rsid w:val="0004185F"/>
    <w:rsid w:val="0004205B"/>
    <w:rsid w:val="00042191"/>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4E1C"/>
    <w:rsid w:val="00065A67"/>
    <w:rsid w:val="00065FD1"/>
    <w:rsid w:val="000666D4"/>
    <w:rsid w:val="000679E5"/>
    <w:rsid w:val="000700C3"/>
    <w:rsid w:val="0007063F"/>
    <w:rsid w:val="000706D1"/>
    <w:rsid w:val="0007208C"/>
    <w:rsid w:val="000723D6"/>
    <w:rsid w:val="00072C5E"/>
    <w:rsid w:val="00072EA0"/>
    <w:rsid w:val="00073281"/>
    <w:rsid w:val="000746AB"/>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5AB6"/>
    <w:rsid w:val="00096B87"/>
    <w:rsid w:val="00096DD3"/>
    <w:rsid w:val="00097363"/>
    <w:rsid w:val="00097F4F"/>
    <w:rsid w:val="000A015D"/>
    <w:rsid w:val="000A0A91"/>
    <w:rsid w:val="000A0CA3"/>
    <w:rsid w:val="000A10E0"/>
    <w:rsid w:val="000A19FC"/>
    <w:rsid w:val="000A2F8F"/>
    <w:rsid w:val="000A336C"/>
    <w:rsid w:val="000A350D"/>
    <w:rsid w:val="000A41D3"/>
    <w:rsid w:val="000A530B"/>
    <w:rsid w:val="000A636A"/>
    <w:rsid w:val="000A63F1"/>
    <w:rsid w:val="000A6694"/>
    <w:rsid w:val="000A6DFA"/>
    <w:rsid w:val="000A7103"/>
    <w:rsid w:val="000A7411"/>
    <w:rsid w:val="000A77DF"/>
    <w:rsid w:val="000A7F53"/>
    <w:rsid w:val="000B0F9A"/>
    <w:rsid w:val="000B1641"/>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2ED7"/>
    <w:rsid w:val="000D30FF"/>
    <w:rsid w:val="000D3A29"/>
    <w:rsid w:val="000D418D"/>
    <w:rsid w:val="000D4B4F"/>
    <w:rsid w:val="000D54D5"/>
    <w:rsid w:val="000D5C29"/>
    <w:rsid w:val="000D5DC1"/>
    <w:rsid w:val="000D62DF"/>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417"/>
    <w:rsid w:val="000F1FFE"/>
    <w:rsid w:val="000F335D"/>
    <w:rsid w:val="000F3F50"/>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236"/>
    <w:rsid w:val="00123A6A"/>
    <w:rsid w:val="00126213"/>
    <w:rsid w:val="001265BD"/>
    <w:rsid w:val="001266B9"/>
    <w:rsid w:val="001266BB"/>
    <w:rsid w:val="00126E21"/>
    <w:rsid w:val="0012746E"/>
    <w:rsid w:val="00130446"/>
    <w:rsid w:val="00131991"/>
    <w:rsid w:val="00132C72"/>
    <w:rsid w:val="00134229"/>
    <w:rsid w:val="0013460B"/>
    <w:rsid w:val="00134E0E"/>
    <w:rsid w:val="00135501"/>
    <w:rsid w:val="00135ACC"/>
    <w:rsid w:val="001364E4"/>
    <w:rsid w:val="001373F3"/>
    <w:rsid w:val="00137509"/>
    <w:rsid w:val="001413FE"/>
    <w:rsid w:val="001419E3"/>
    <w:rsid w:val="001429ED"/>
    <w:rsid w:val="00143218"/>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4E6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0E70"/>
    <w:rsid w:val="001B1381"/>
    <w:rsid w:val="001B1710"/>
    <w:rsid w:val="001B1E16"/>
    <w:rsid w:val="001B2242"/>
    <w:rsid w:val="001B2685"/>
    <w:rsid w:val="001B301C"/>
    <w:rsid w:val="001B3EF7"/>
    <w:rsid w:val="001B3FDF"/>
    <w:rsid w:val="001B48C6"/>
    <w:rsid w:val="001B63FB"/>
    <w:rsid w:val="001B6A61"/>
    <w:rsid w:val="001B6CBD"/>
    <w:rsid w:val="001B6DDE"/>
    <w:rsid w:val="001C1040"/>
    <w:rsid w:val="001C24A3"/>
    <w:rsid w:val="001C2E62"/>
    <w:rsid w:val="001C2F47"/>
    <w:rsid w:val="001C3146"/>
    <w:rsid w:val="001C3EE9"/>
    <w:rsid w:val="001C4828"/>
    <w:rsid w:val="001C56D2"/>
    <w:rsid w:val="001C58DB"/>
    <w:rsid w:val="001C5ADF"/>
    <w:rsid w:val="001C636A"/>
    <w:rsid w:val="001C73C2"/>
    <w:rsid w:val="001C77A9"/>
    <w:rsid w:val="001C7D47"/>
    <w:rsid w:val="001D152D"/>
    <w:rsid w:val="001D227B"/>
    <w:rsid w:val="001D301E"/>
    <w:rsid w:val="001D338A"/>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1600"/>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56C2"/>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793"/>
    <w:rsid w:val="00227B90"/>
    <w:rsid w:val="002308CD"/>
    <w:rsid w:val="00231C25"/>
    <w:rsid w:val="00231D2C"/>
    <w:rsid w:val="002331DB"/>
    <w:rsid w:val="002335CE"/>
    <w:rsid w:val="002336FF"/>
    <w:rsid w:val="0023411F"/>
    <w:rsid w:val="0023424F"/>
    <w:rsid w:val="002345C4"/>
    <w:rsid w:val="0023503F"/>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E78"/>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3131"/>
    <w:rsid w:val="002938E4"/>
    <w:rsid w:val="00294591"/>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A5C66"/>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07A1"/>
    <w:rsid w:val="002E24F0"/>
    <w:rsid w:val="002E2F97"/>
    <w:rsid w:val="002E315B"/>
    <w:rsid w:val="002E4046"/>
    <w:rsid w:val="002E426B"/>
    <w:rsid w:val="002E6F9D"/>
    <w:rsid w:val="002E731E"/>
    <w:rsid w:val="002F1157"/>
    <w:rsid w:val="002F1287"/>
    <w:rsid w:val="002F1FB2"/>
    <w:rsid w:val="002F2429"/>
    <w:rsid w:val="002F33D2"/>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4BBE"/>
    <w:rsid w:val="00314FD2"/>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086"/>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689C"/>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0A39"/>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3BA0"/>
    <w:rsid w:val="003A44B9"/>
    <w:rsid w:val="003A5313"/>
    <w:rsid w:val="003A6024"/>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E79"/>
    <w:rsid w:val="003C6FE4"/>
    <w:rsid w:val="003C7C31"/>
    <w:rsid w:val="003D08DE"/>
    <w:rsid w:val="003D09BA"/>
    <w:rsid w:val="003D0CCF"/>
    <w:rsid w:val="003D1B0E"/>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0DCF"/>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620"/>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137"/>
    <w:rsid w:val="004256CF"/>
    <w:rsid w:val="0042698D"/>
    <w:rsid w:val="00430027"/>
    <w:rsid w:val="0043051A"/>
    <w:rsid w:val="00430811"/>
    <w:rsid w:val="00430853"/>
    <w:rsid w:val="00431608"/>
    <w:rsid w:val="00432292"/>
    <w:rsid w:val="00432C31"/>
    <w:rsid w:val="00434AB7"/>
    <w:rsid w:val="00434E8B"/>
    <w:rsid w:val="00435467"/>
    <w:rsid w:val="004355B5"/>
    <w:rsid w:val="00436A17"/>
    <w:rsid w:val="00436E55"/>
    <w:rsid w:val="004370CB"/>
    <w:rsid w:val="00437101"/>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5F"/>
    <w:rsid w:val="00444C94"/>
    <w:rsid w:val="00444E48"/>
    <w:rsid w:val="00444ECF"/>
    <w:rsid w:val="00444FBA"/>
    <w:rsid w:val="0044605D"/>
    <w:rsid w:val="004465CA"/>
    <w:rsid w:val="00447BD7"/>
    <w:rsid w:val="00450475"/>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646"/>
    <w:rsid w:val="00470A97"/>
    <w:rsid w:val="00470BB8"/>
    <w:rsid w:val="004717CE"/>
    <w:rsid w:val="00471B9F"/>
    <w:rsid w:val="00471E4E"/>
    <w:rsid w:val="00472308"/>
    <w:rsid w:val="004730B9"/>
    <w:rsid w:val="00473187"/>
    <w:rsid w:val="00473BDC"/>
    <w:rsid w:val="00473F26"/>
    <w:rsid w:val="00473F88"/>
    <w:rsid w:val="0047409E"/>
    <w:rsid w:val="00474638"/>
    <w:rsid w:val="00475098"/>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5CBA"/>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0D57"/>
    <w:rsid w:val="004D2BFA"/>
    <w:rsid w:val="004D410F"/>
    <w:rsid w:val="004D658A"/>
    <w:rsid w:val="004D6AB6"/>
    <w:rsid w:val="004D7AAA"/>
    <w:rsid w:val="004E072E"/>
    <w:rsid w:val="004E23CE"/>
    <w:rsid w:val="004E25D7"/>
    <w:rsid w:val="004E2981"/>
    <w:rsid w:val="004E3BB1"/>
    <w:rsid w:val="004E4035"/>
    <w:rsid w:val="004E486F"/>
    <w:rsid w:val="004E493D"/>
    <w:rsid w:val="004E4CD8"/>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A83"/>
    <w:rsid w:val="00521BDB"/>
    <w:rsid w:val="00522061"/>
    <w:rsid w:val="005225E4"/>
    <w:rsid w:val="005236DF"/>
    <w:rsid w:val="00523F3B"/>
    <w:rsid w:val="00526085"/>
    <w:rsid w:val="00527A06"/>
    <w:rsid w:val="00527E9E"/>
    <w:rsid w:val="0053013E"/>
    <w:rsid w:val="00530A17"/>
    <w:rsid w:val="0053224A"/>
    <w:rsid w:val="00533025"/>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41E9"/>
    <w:rsid w:val="005550AD"/>
    <w:rsid w:val="00555627"/>
    <w:rsid w:val="00555B9A"/>
    <w:rsid w:val="00555C30"/>
    <w:rsid w:val="00555EBD"/>
    <w:rsid w:val="0055698C"/>
    <w:rsid w:val="005570A7"/>
    <w:rsid w:val="005570FA"/>
    <w:rsid w:val="00557877"/>
    <w:rsid w:val="005578EC"/>
    <w:rsid w:val="00557A40"/>
    <w:rsid w:val="0056087D"/>
    <w:rsid w:val="00560B1D"/>
    <w:rsid w:val="00560F2B"/>
    <w:rsid w:val="00561132"/>
    <w:rsid w:val="00562110"/>
    <w:rsid w:val="005624E4"/>
    <w:rsid w:val="00562637"/>
    <w:rsid w:val="005631AC"/>
    <w:rsid w:val="00563268"/>
    <w:rsid w:val="00563BB6"/>
    <w:rsid w:val="005665A2"/>
    <w:rsid w:val="005669E2"/>
    <w:rsid w:val="0056716D"/>
    <w:rsid w:val="00572E34"/>
    <w:rsid w:val="00572EAD"/>
    <w:rsid w:val="0057362A"/>
    <w:rsid w:val="0057650C"/>
    <w:rsid w:val="00576830"/>
    <w:rsid w:val="005768AD"/>
    <w:rsid w:val="00576C40"/>
    <w:rsid w:val="00577260"/>
    <w:rsid w:val="00581190"/>
    <w:rsid w:val="00583C6B"/>
    <w:rsid w:val="00584AFE"/>
    <w:rsid w:val="00584CBF"/>
    <w:rsid w:val="005850A0"/>
    <w:rsid w:val="00585D53"/>
    <w:rsid w:val="0058617A"/>
    <w:rsid w:val="005864FB"/>
    <w:rsid w:val="00587394"/>
    <w:rsid w:val="00590733"/>
    <w:rsid w:val="00590B6A"/>
    <w:rsid w:val="00591884"/>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1EBC"/>
    <w:rsid w:val="005C5145"/>
    <w:rsid w:val="005C528A"/>
    <w:rsid w:val="005C52FE"/>
    <w:rsid w:val="005C5BD9"/>
    <w:rsid w:val="005C61A2"/>
    <w:rsid w:val="005C6290"/>
    <w:rsid w:val="005C6C7A"/>
    <w:rsid w:val="005D078D"/>
    <w:rsid w:val="005D0AC2"/>
    <w:rsid w:val="005D136A"/>
    <w:rsid w:val="005D1676"/>
    <w:rsid w:val="005D24F4"/>
    <w:rsid w:val="005D3F08"/>
    <w:rsid w:val="005D5ABF"/>
    <w:rsid w:val="005D6028"/>
    <w:rsid w:val="005D7889"/>
    <w:rsid w:val="005E0235"/>
    <w:rsid w:val="005E14D2"/>
    <w:rsid w:val="005E19C4"/>
    <w:rsid w:val="005E2C2D"/>
    <w:rsid w:val="005E3A58"/>
    <w:rsid w:val="005E3EE2"/>
    <w:rsid w:val="005E3EEB"/>
    <w:rsid w:val="005E45F3"/>
    <w:rsid w:val="005E4707"/>
    <w:rsid w:val="005E5BCC"/>
    <w:rsid w:val="005E6D9B"/>
    <w:rsid w:val="005E7472"/>
    <w:rsid w:val="005F0D0C"/>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4DF"/>
    <w:rsid w:val="00615E60"/>
    <w:rsid w:val="006160C2"/>
    <w:rsid w:val="00616873"/>
    <w:rsid w:val="00616D09"/>
    <w:rsid w:val="00616E36"/>
    <w:rsid w:val="006173DF"/>
    <w:rsid w:val="00621DC9"/>
    <w:rsid w:val="0062270F"/>
    <w:rsid w:val="006230CF"/>
    <w:rsid w:val="00624DA1"/>
    <w:rsid w:val="006263ED"/>
    <w:rsid w:val="00626C6D"/>
    <w:rsid w:val="0062713F"/>
    <w:rsid w:val="00627482"/>
    <w:rsid w:val="0063042C"/>
    <w:rsid w:val="00630A37"/>
    <w:rsid w:val="00631256"/>
    <w:rsid w:val="0063239E"/>
    <w:rsid w:val="0063267C"/>
    <w:rsid w:val="00632B00"/>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482"/>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26EF"/>
    <w:rsid w:val="006847FE"/>
    <w:rsid w:val="00684E74"/>
    <w:rsid w:val="00684ED1"/>
    <w:rsid w:val="00685EEF"/>
    <w:rsid w:val="00686886"/>
    <w:rsid w:val="00687039"/>
    <w:rsid w:val="0069062A"/>
    <w:rsid w:val="006910A3"/>
    <w:rsid w:val="00691C2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761"/>
    <w:rsid w:val="006A7E36"/>
    <w:rsid w:val="006B0E16"/>
    <w:rsid w:val="006B11EF"/>
    <w:rsid w:val="006B18F4"/>
    <w:rsid w:val="006B36D5"/>
    <w:rsid w:val="006B5D76"/>
    <w:rsid w:val="006B6BC7"/>
    <w:rsid w:val="006B73AC"/>
    <w:rsid w:val="006B7B87"/>
    <w:rsid w:val="006C00C2"/>
    <w:rsid w:val="006C0E96"/>
    <w:rsid w:val="006C0F2A"/>
    <w:rsid w:val="006C1D41"/>
    <w:rsid w:val="006C270B"/>
    <w:rsid w:val="006C2984"/>
    <w:rsid w:val="006C2D23"/>
    <w:rsid w:val="006C2DCB"/>
    <w:rsid w:val="006C3AD0"/>
    <w:rsid w:val="006C4260"/>
    <w:rsid w:val="006C4E2D"/>
    <w:rsid w:val="006C5278"/>
    <w:rsid w:val="006C53CA"/>
    <w:rsid w:val="006C55D0"/>
    <w:rsid w:val="006C743F"/>
    <w:rsid w:val="006C74DD"/>
    <w:rsid w:val="006D0914"/>
    <w:rsid w:val="006D0AC4"/>
    <w:rsid w:val="006D0C13"/>
    <w:rsid w:val="006D168E"/>
    <w:rsid w:val="006D1D27"/>
    <w:rsid w:val="006D1D54"/>
    <w:rsid w:val="006D210C"/>
    <w:rsid w:val="006D2FBD"/>
    <w:rsid w:val="006D34C5"/>
    <w:rsid w:val="006D45EB"/>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67B6"/>
    <w:rsid w:val="006F7C3A"/>
    <w:rsid w:val="00700570"/>
    <w:rsid w:val="007006DC"/>
    <w:rsid w:val="00701E3F"/>
    <w:rsid w:val="00701EDA"/>
    <w:rsid w:val="00703CEB"/>
    <w:rsid w:val="00703F98"/>
    <w:rsid w:val="0070414A"/>
    <w:rsid w:val="00706A8A"/>
    <w:rsid w:val="00706B1C"/>
    <w:rsid w:val="00706CA0"/>
    <w:rsid w:val="00706CD8"/>
    <w:rsid w:val="007074EC"/>
    <w:rsid w:val="0071159A"/>
    <w:rsid w:val="00712319"/>
    <w:rsid w:val="00712448"/>
    <w:rsid w:val="0071302C"/>
    <w:rsid w:val="0071325C"/>
    <w:rsid w:val="00713D3E"/>
    <w:rsid w:val="00714C1B"/>
    <w:rsid w:val="007152FE"/>
    <w:rsid w:val="00716831"/>
    <w:rsid w:val="007168C7"/>
    <w:rsid w:val="00716B2F"/>
    <w:rsid w:val="00716CAF"/>
    <w:rsid w:val="00717916"/>
    <w:rsid w:val="0072012C"/>
    <w:rsid w:val="007205DF"/>
    <w:rsid w:val="00721387"/>
    <w:rsid w:val="007221BB"/>
    <w:rsid w:val="00723298"/>
    <w:rsid w:val="0072338C"/>
    <w:rsid w:val="00723AD1"/>
    <w:rsid w:val="00724AAA"/>
    <w:rsid w:val="007251F7"/>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0F0A"/>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5AD6"/>
    <w:rsid w:val="00756E05"/>
    <w:rsid w:val="00757437"/>
    <w:rsid w:val="0075765D"/>
    <w:rsid w:val="00760785"/>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75A46"/>
    <w:rsid w:val="00776DDE"/>
    <w:rsid w:val="007777A0"/>
    <w:rsid w:val="00777C0A"/>
    <w:rsid w:val="00780AD4"/>
    <w:rsid w:val="007814B6"/>
    <w:rsid w:val="0078239F"/>
    <w:rsid w:val="00782B0D"/>
    <w:rsid w:val="00783DE3"/>
    <w:rsid w:val="00784098"/>
    <w:rsid w:val="00784485"/>
    <w:rsid w:val="007848C0"/>
    <w:rsid w:val="0078513F"/>
    <w:rsid w:val="00785244"/>
    <w:rsid w:val="00786806"/>
    <w:rsid w:val="00786CB6"/>
    <w:rsid w:val="00787073"/>
    <w:rsid w:val="007939C2"/>
    <w:rsid w:val="007942F3"/>
    <w:rsid w:val="0079481E"/>
    <w:rsid w:val="007948E6"/>
    <w:rsid w:val="00795F89"/>
    <w:rsid w:val="00796D1D"/>
    <w:rsid w:val="00797F65"/>
    <w:rsid w:val="007A028B"/>
    <w:rsid w:val="007A028C"/>
    <w:rsid w:val="007A046B"/>
    <w:rsid w:val="007A0D51"/>
    <w:rsid w:val="007A3749"/>
    <w:rsid w:val="007A4786"/>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0ADA"/>
    <w:rsid w:val="007D1119"/>
    <w:rsid w:val="007D1310"/>
    <w:rsid w:val="007D144D"/>
    <w:rsid w:val="007D1A13"/>
    <w:rsid w:val="007D2691"/>
    <w:rsid w:val="007D30D1"/>
    <w:rsid w:val="007D40B0"/>
    <w:rsid w:val="007D4990"/>
    <w:rsid w:val="007D4DC5"/>
    <w:rsid w:val="007D5BDA"/>
    <w:rsid w:val="007D6615"/>
    <w:rsid w:val="007D6832"/>
    <w:rsid w:val="007D68EB"/>
    <w:rsid w:val="007D7457"/>
    <w:rsid w:val="007D7551"/>
    <w:rsid w:val="007D76AB"/>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7CE"/>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4E27"/>
    <w:rsid w:val="008253D8"/>
    <w:rsid w:val="00826DFE"/>
    <w:rsid w:val="00826F53"/>
    <w:rsid w:val="00827801"/>
    <w:rsid w:val="00827C71"/>
    <w:rsid w:val="00827D02"/>
    <w:rsid w:val="00830331"/>
    <w:rsid w:val="00830489"/>
    <w:rsid w:val="008305F3"/>
    <w:rsid w:val="00830628"/>
    <w:rsid w:val="00830A76"/>
    <w:rsid w:val="00831B45"/>
    <w:rsid w:val="008334AB"/>
    <w:rsid w:val="008335CF"/>
    <w:rsid w:val="00833EAA"/>
    <w:rsid w:val="00835E89"/>
    <w:rsid w:val="00837942"/>
    <w:rsid w:val="00843176"/>
    <w:rsid w:val="008444CE"/>
    <w:rsid w:val="0084635E"/>
    <w:rsid w:val="00847158"/>
    <w:rsid w:val="00852F3B"/>
    <w:rsid w:val="008547AA"/>
    <w:rsid w:val="00854BE2"/>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727"/>
    <w:rsid w:val="00866949"/>
    <w:rsid w:val="008675CA"/>
    <w:rsid w:val="00870676"/>
    <w:rsid w:val="00871148"/>
    <w:rsid w:val="00872265"/>
    <w:rsid w:val="008738CC"/>
    <w:rsid w:val="00873901"/>
    <w:rsid w:val="008740E7"/>
    <w:rsid w:val="008745DC"/>
    <w:rsid w:val="00874658"/>
    <w:rsid w:val="00874952"/>
    <w:rsid w:val="00875D08"/>
    <w:rsid w:val="008805C5"/>
    <w:rsid w:val="00880D6B"/>
    <w:rsid w:val="00881E8E"/>
    <w:rsid w:val="008820F7"/>
    <w:rsid w:val="00882ED7"/>
    <w:rsid w:val="00882EE0"/>
    <w:rsid w:val="00882FAC"/>
    <w:rsid w:val="00885049"/>
    <w:rsid w:val="00885BA6"/>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5FA1"/>
    <w:rsid w:val="008A666D"/>
    <w:rsid w:val="008A66C7"/>
    <w:rsid w:val="008A6AEF"/>
    <w:rsid w:val="008A6C81"/>
    <w:rsid w:val="008A72D8"/>
    <w:rsid w:val="008B1D4D"/>
    <w:rsid w:val="008B2043"/>
    <w:rsid w:val="008B299D"/>
    <w:rsid w:val="008B33DB"/>
    <w:rsid w:val="008B3524"/>
    <w:rsid w:val="008B374B"/>
    <w:rsid w:val="008B4214"/>
    <w:rsid w:val="008B4BCE"/>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458B"/>
    <w:rsid w:val="008F54CC"/>
    <w:rsid w:val="008F66D7"/>
    <w:rsid w:val="008F6A6B"/>
    <w:rsid w:val="008F6AAE"/>
    <w:rsid w:val="008F6E78"/>
    <w:rsid w:val="008F7129"/>
    <w:rsid w:val="008F736F"/>
    <w:rsid w:val="008F7AB0"/>
    <w:rsid w:val="008F7C33"/>
    <w:rsid w:val="00901C9F"/>
    <w:rsid w:val="00901DC7"/>
    <w:rsid w:val="009034FB"/>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3DBC"/>
    <w:rsid w:val="009656BB"/>
    <w:rsid w:val="0096765C"/>
    <w:rsid w:val="00970E53"/>
    <w:rsid w:val="00971109"/>
    <w:rsid w:val="00972081"/>
    <w:rsid w:val="0097225B"/>
    <w:rsid w:val="009728F0"/>
    <w:rsid w:val="00972A91"/>
    <w:rsid w:val="009732C3"/>
    <w:rsid w:val="00974272"/>
    <w:rsid w:val="00974B52"/>
    <w:rsid w:val="00975310"/>
    <w:rsid w:val="00975C2E"/>
    <w:rsid w:val="00975C41"/>
    <w:rsid w:val="00977F8B"/>
    <w:rsid w:val="00982659"/>
    <w:rsid w:val="0098272A"/>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558E"/>
    <w:rsid w:val="009A6065"/>
    <w:rsid w:val="009A75F1"/>
    <w:rsid w:val="009A7756"/>
    <w:rsid w:val="009A792B"/>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07EB"/>
    <w:rsid w:val="009D145C"/>
    <w:rsid w:val="009D190B"/>
    <w:rsid w:val="009D1918"/>
    <w:rsid w:val="009D1C2E"/>
    <w:rsid w:val="009D24B2"/>
    <w:rsid w:val="009D3B4F"/>
    <w:rsid w:val="009D4DA5"/>
    <w:rsid w:val="009D5672"/>
    <w:rsid w:val="009D5915"/>
    <w:rsid w:val="009D5CC6"/>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6BC0"/>
    <w:rsid w:val="00A01F61"/>
    <w:rsid w:val="00A022E3"/>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27CA7"/>
    <w:rsid w:val="00A3130A"/>
    <w:rsid w:val="00A31FE0"/>
    <w:rsid w:val="00A321E7"/>
    <w:rsid w:val="00A322FC"/>
    <w:rsid w:val="00A3316B"/>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4B10"/>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0E9E"/>
    <w:rsid w:val="00A712B0"/>
    <w:rsid w:val="00A71AD9"/>
    <w:rsid w:val="00A73761"/>
    <w:rsid w:val="00A74866"/>
    <w:rsid w:val="00A74D26"/>
    <w:rsid w:val="00A75037"/>
    <w:rsid w:val="00A8162E"/>
    <w:rsid w:val="00A83C33"/>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9E4"/>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4ED9"/>
    <w:rsid w:val="00AB4F7E"/>
    <w:rsid w:val="00AB5127"/>
    <w:rsid w:val="00AB5AC3"/>
    <w:rsid w:val="00AB6B37"/>
    <w:rsid w:val="00AB75E2"/>
    <w:rsid w:val="00AC0C71"/>
    <w:rsid w:val="00AC1DFB"/>
    <w:rsid w:val="00AC2E0C"/>
    <w:rsid w:val="00AC2E28"/>
    <w:rsid w:val="00AC31F4"/>
    <w:rsid w:val="00AC3233"/>
    <w:rsid w:val="00AC366B"/>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06E2"/>
    <w:rsid w:val="00B20CBB"/>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56A"/>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150"/>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2863"/>
    <w:rsid w:val="00B837D4"/>
    <w:rsid w:val="00B85001"/>
    <w:rsid w:val="00B851BA"/>
    <w:rsid w:val="00B8589F"/>
    <w:rsid w:val="00B8638D"/>
    <w:rsid w:val="00B8753C"/>
    <w:rsid w:val="00B90FDD"/>
    <w:rsid w:val="00B91131"/>
    <w:rsid w:val="00B911BC"/>
    <w:rsid w:val="00B9146A"/>
    <w:rsid w:val="00B93219"/>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980"/>
    <w:rsid w:val="00BE0F13"/>
    <w:rsid w:val="00BE1079"/>
    <w:rsid w:val="00BE1661"/>
    <w:rsid w:val="00BE22E2"/>
    <w:rsid w:val="00BE2F4B"/>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65AC"/>
    <w:rsid w:val="00BF75E2"/>
    <w:rsid w:val="00BF7836"/>
    <w:rsid w:val="00C001DA"/>
    <w:rsid w:val="00C00995"/>
    <w:rsid w:val="00C00D6F"/>
    <w:rsid w:val="00C0143E"/>
    <w:rsid w:val="00C0199F"/>
    <w:rsid w:val="00C0376F"/>
    <w:rsid w:val="00C0414F"/>
    <w:rsid w:val="00C0425A"/>
    <w:rsid w:val="00C04E8C"/>
    <w:rsid w:val="00C0581C"/>
    <w:rsid w:val="00C05828"/>
    <w:rsid w:val="00C059FA"/>
    <w:rsid w:val="00C066A6"/>
    <w:rsid w:val="00C0777A"/>
    <w:rsid w:val="00C0791D"/>
    <w:rsid w:val="00C1078A"/>
    <w:rsid w:val="00C107AC"/>
    <w:rsid w:val="00C111A8"/>
    <w:rsid w:val="00C12613"/>
    <w:rsid w:val="00C137E8"/>
    <w:rsid w:val="00C15C64"/>
    <w:rsid w:val="00C162E4"/>
    <w:rsid w:val="00C167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27716"/>
    <w:rsid w:val="00C30812"/>
    <w:rsid w:val="00C30A67"/>
    <w:rsid w:val="00C30AA9"/>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2B1"/>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97195"/>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61"/>
    <w:rsid w:val="00CB0EC2"/>
    <w:rsid w:val="00CB14FE"/>
    <w:rsid w:val="00CB2D24"/>
    <w:rsid w:val="00CB3023"/>
    <w:rsid w:val="00CB39A5"/>
    <w:rsid w:val="00CB56DD"/>
    <w:rsid w:val="00CB6283"/>
    <w:rsid w:val="00CB779A"/>
    <w:rsid w:val="00CC121D"/>
    <w:rsid w:val="00CC1268"/>
    <w:rsid w:val="00CC1783"/>
    <w:rsid w:val="00CC1CDA"/>
    <w:rsid w:val="00CC36F6"/>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656F"/>
    <w:rsid w:val="00CF72AA"/>
    <w:rsid w:val="00CF749C"/>
    <w:rsid w:val="00D002F4"/>
    <w:rsid w:val="00D016A4"/>
    <w:rsid w:val="00D0244B"/>
    <w:rsid w:val="00D0258A"/>
    <w:rsid w:val="00D02654"/>
    <w:rsid w:val="00D03CCB"/>
    <w:rsid w:val="00D04114"/>
    <w:rsid w:val="00D04488"/>
    <w:rsid w:val="00D04F54"/>
    <w:rsid w:val="00D056C1"/>
    <w:rsid w:val="00D075BA"/>
    <w:rsid w:val="00D07B53"/>
    <w:rsid w:val="00D11D21"/>
    <w:rsid w:val="00D12306"/>
    <w:rsid w:val="00D12E5B"/>
    <w:rsid w:val="00D13F63"/>
    <w:rsid w:val="00D1435E"/>
    <w:rsid w:val="00D14FE1"/>
    <w:rsid w:val="00D15062"/>
    <w:rsid w:val="00D162CD"/>
    <w:rsid w:val="00D166E4"/>
    <w:rsid w:val="00D214D0"/>
    <w:rsid w:val="00D2168D"/>
    <w:rsid w:val="00D22B7F"/>
    <w:rsid w:val="00D24060"/>
    <w:rsid w:val="00D242F7"/>
    <w:rsid w:val="00D24FA4"/>
    <w:rsid w:val="00D25932"/>
    <w:rsid w:val="00D25F3C"/>
    <w:rsid w:val="00D26650"/>
    <w:rsid w:val="00D3045C"/>
    <w:rsid w:val="00D30758"/>
    <w:rsid w:val="00D30B6F"/>
    <w:rsid w:val="00D31418"/>
    <w:rsid w:val="00D314BA"/>
    <w:rsid w:val="00D315C9"/>
    <w:rsid w:val="00D31B7B"/>
    <w:rsid w:val="00D31F86"/>
    <w:rsid w:val="00D3290B"/>
    <w:rsid w:val="00D34A79"/>
    <w:rsid w:val="00D37890"/>
    <w:rsid w:val="00D37925"/>
    <w:rsid w:val="00D40D0C"/>
    <w:rsid w:val="00D41896"/>
    <w:rsid w:val="00D42ECA"/>
    <w:rsid w:val="00D4387A"/>
    <w:rsid w:val="00D44F44"/>
    <w:rsid w:val="00D452DD"/>
    <w:rsid w:val="00D45620"/>
    <w:rsid w:val="00D46496"/>
    <w:rsid w:val="00D46691"/>
    <w:rsid w:val="00D4746B"/>
    <w:rsid w:val="00D478B3"/>
    <w:rsid w:val="00D50DE6"/>
    <w:rsid w:val="00D5234C"/>
    <w:rsid w:val="00D550D9"/>
    <w:rsid w:val="00D55140"/>
    <w:rsid w:val="00D5517C"/>
    <w:rsid w:val="00D55450"/>
    <w:rsid w:val="00D56CAD"/>
    <w:rsid w:val="00D579CB"/>
    <w:rsid w:val="00D60D46"/>
    <w:rsid w:val="00D61000"/>
    <w:rsid w:val="00D62A7C"/>
    <w:rsid w:val="00D631C9"/>
    <w:rsid w:val="00D636AE"/>
    <w:rsid w:val="00D639A1"/>
    <w:rsid w:val="00D64ED7"/>
    <w:rsid w:val="00D65ADE"/>
    <w:rsid w:val="00D66104"/>
    <w:rsid w:val="00D66606"/>
    <w:rsid w:val="00D677FB"/>
    <w:rsid w:val="00D67BD8"/>
    <w:rsid w:val="00D70856"/>
    <w:rsid w:val="00D718C4"/>
    <w:rsid w:val="00D71BF4"/>
    <w:rsid w:val="00D7245B"/>
    <w:rsid w:val="00D74A1B"/>
    <w:rsid w:val="00D74E6A"/>
    <w:rsid w:val="00D758B5"/>
    <w:rsid w:val="00D7592F"/>
    <w:rsid w:val="00D76212"/>
    <w:rsid w:val="00D76C7E"/>
    <w:rsid w:val="00D76DF5"/>
    <w:rsid w:val="00D76F2F"/>
    <w:rsid w:val="00D76FE3"/>
    <w:rsid w:val="00D77A2D"/>
    <w:rsid w:val="00D77DEE"/>
    <w:rsid w:val="00D800FD"/>
    <w:rsid w:val="00D811C3"/>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5D"/>
    <w:rsid w:val="00D947AA"/>
    <w:rsid w:val="00D94F69"/>
    <w:rsid w:val="00D96E56"/>
    <w:rsid w:val="00DA04BD"/>
    <w:rsid w:val="00DA04D8"/>
    <w:rsid w:val="00DA1794"/>
    <w:rsid w:val="00DA2432"/>
    <w:rsid w:val="00DA309C"/>
    <w:rsid w:val="00DA4AD0"/>
    <w:rsid w:val="00DA6A9D"/>
    <w:rsid w:val="00DA759F"/>
    <w:rsid w:val="00DB00A0"/>
    <w:rsid w:val="00DB0198"/>
    <w:rsid w:val="00DB043E"/>
    <w:rsid w:val="00DB06D9"/>
    <w:rsid w:val="00DB0990"/>
    <w:rsid w:val="00DB0D15"/>
    <w:rsid w:val="00DB1658"/>
    <w:rsid w:val="00DB1864"/>
    <w:rsid w:val="00DB1AAF"/>
    <w:rsid w:val="00DB1F0E"/>
    <w:rsid w:val="00DB2002"/>
    <w:rsid w:val="00DB2015"/>
    <w:rsid w:val="00DB4B94"/>
    <w:rsid w:val="00DB6059"/>
    <w:rsid w:val="00DB6722"/>
    <w:rsid w:val="00DC3468"/>
    <w:rsid w:val="00DC46C3"/>
    <w:rsid w:val="00DC4A66"/>
    <w:rsid w:val="00DC4A76"/>
    <w:rsid w:val="00DC56A1"/>
    <w:rsid w:val="00DC5A76"/>
    <w:rsid w:val="00DC7D15"/>
    <w:rsid w:val="00DC7E69"/>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6837"/>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3AE2"/>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4747"/>
    <w:rsid w:val="00E351B4"/>
    <w:rsid w:val="00E37040"/>
    <w:rsid w:val="00E37F02"/>
    <w:rsid w:val="00E37F1B"/>
    <w:rsid w:val="00E40311"/>
    <w:rsid w:val="00E41AA1"/>
    <w:rsid w:val="00E43224"/>
    <w:rsid w:val="00E437EF"/>
    <w:rsid w:val="00E4439C"/>
    <w:rsid w:val="00E44AD3"/>
    <w:rsid w:val="00E45178"/>
    <w:rsid w:val="00E45481"/>
    <w:rsid w:val="00E464BD"/>
    <w:rsid w:val="00E476A2"/>
    <w:rsid w:val="00E50831"/>
    <w:rsid w:val="00E5094C"/>
    <w:rsid w:val="00E512C9"/>
    <w:rsid w:val="00E51366"/>
    <w:rsid w:val="00E52CC0"/>
    <w:rsid w:val="00E52E5B"/>
    <w:rsid w:val="00E52FCC"/>
    <w:rsid w:val="00E54713"/>
    <w:rsid w:val="00E54756"/>
    <w:rsid w:val="00E5477F"/>
    <w:rsid w:val="00E549A7"/>
    <w:rsid w:val="00E55263"/>
    <w:rsid w:val="00E55EF7"/>
    <w:rsid w:val="00E562E5"/>
    <w:rsid w:val="00E56AF5"/>
    <w:rsid w:val="00E6143F"/>
    <w:rsid w:val="00E61681"/>
    <w:rsid w:val="00E63331"/>
    <w:rsid w:val="00E64680"/>
    <w:rsid w:val="00E64AC8"/>
    <w:rsid w:val="00E65485"/>
    <w:rsid w:val="00E6567C"/>
    <w:rsid w:val="00E6639E"/>
    <w:rsid w:val="00E66E23"/>
    <w:rsid w:val="00E67A9F"/>
    <w:rsid w:val="00E719D2"/>
    <w:rsid w:val="00E72480"/>
    <w:rsid w:val="00E7478D"/>
    <w:rsid w:val="00E755A8"/>
    <w:rsid w:val="00E771C7"/>
    <w:rsid w:val="00E775D1"/>
    <w:rsid w:val="00E77643"/>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0714"/>
    <w:rsid w:val="00E91939"/>
    <w:rsid w:val="00E92260"/>
    <w:rsid w:val="00E92E2B"/>
    <w:rsid w:val="00E93929"/>
    <w:rsid w:val="00E93D6E"/>
    <w:rsid w:val="00E951D1"/>
    <w:rsid w:val="00E95C24"/>
    <w:rsid w:val="00E96252"/>
    <w:rsid w:val="00E97579"/>
    <w:rsid w:val="00EA0823"/>
    <w:rsid w:val="00EA1A19"/>
    <w:rsid w:val="00EA1D0E"/>
    <w:rsid w:val="00EA2EE2"/>
    <w:rsid w:val="00EA2EF9"/>
    <w:rsid w:val="00EA3656"/>
    <w:rsid w:val="00EA3826"/>
    <w:rsid w:val="00EA61BE"/>
    <w:rsid w:val="00EA6EC8"/>
    <w:rsid w:val="00EB0EA0"/>
    <w:rsid w:val="00EB15BE"/>
    <w:rsid w:val="00EB2539"/>
    <w:rsid w:val="00EB4B88"/>
    <w:rsid w:val="00EB50D4"/>
    <w:rsid w:val="00EB5C5F"/>
    <w:rsid w:val="00EB613B"/>
    <w:rsid w:val="00EB65BC"/>
    <w:rsid w:val="00EB75E1"/>
    <w:rsid w:val="00EB763B"/>
    <w:rsid w:val="00EC06F3"/>
    <w:rsid w:val="00EC3A42"/>
    <w:rsid w:val="00EC4D34"/>
    <w:rsid w:val="00EC606B"/>
    <w:rsid w:val="00EC608C"/>
    <w:rsid w:val="00EC7572"/>
    <w:rsid w:val="00EC760C"/>
    <w:rsid w:val="00EC7EB5"/>
    <w:rsid w:val="00ED04C6"/>
    <w:rsid w:val="00ED091A"/>
    <w:rsid w:val="00ED1A2C"/>
    <w:rsid w:val="00ED2897"/>
    <w:rsid w:val="00ED32B0"/>
    <w:rsid w:val="00ED3524"/>
    <w:rsid w:val="00ED3D0F"/>
    <w:rsid w:val="00ED4472"/>
    <w:rsid w:val="00ED4AD1"/>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41F5"/>
    <w:rsid w:val="00F04DE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168FF"/>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1EF0"/>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65A04"/>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3D0"/>
    <w:rsid w:val="00F97531"/>
    <w:rsid w:val="00F975A3"/>
    <w:rsid w:val="00FA00C7"/>
    <w:rsid w:val="00FA0A58"/>
    <w:rsid w:val="00FA1758"/>
    <w:rsid w:val="00FA18E3"/>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C7DA7"/>
    <w:rsid w:val="00FD0E37"/>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0A7F53"/>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1"/>
      </w:numPr>
      <w:spacing w:after="240"/>
    </w:pPr>
    <w:rPr>
      <w:sz w:val="24"/>
    </w:rPr>
  </w:style>
  <w:style w:type="paragraph" w:customStyle="1" w:styleId="Normal1">
    <w:name w:val="Normal 1"/>
    <w:rsid w:val="007E5B12"/>
    <w:pPr>
      <w:numPr>
        <w:ilvl w:val="1"/>
        <w:numId w:val="11"/>
      </w:numPr>
      <w:spacing w:after="240"/>
    </w:pPr>
    <w:rPr>
      <w:sz w:val="24"/>
    </w:rPr>
  </w:style>
  <w:style w:type="paragraph" w:customStyle="1" w:styleId="Normala0">
    <w:name w:val="Normal a"/>
    <w:rsid w:val="007E5B12"/>
    <w:pPr>
      <w:numPr>
        <w:ilvl w:val="2"/>
        <w:numId w:val="11"/>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2"/>
      </w:numPr>
      <w:tabs>
        <w:tab w:val="left" w:pos="2592"/>
      </w:tabs>
    </w:pPr>
    <w:rPr>
      <w:szCs w:val="20"/>
    </w:rPr>
  </w:style>
  <w:style w:type="paragraph" w:customStyle="1" w:styleId="Outline1">
    <w:name w:val="Outline 1"/>
    <w:basedOn w:val="BodyText"/>
    <w:rsid w:val="00320978"/>
    <w:pPr>
      <w:numPr>
        <w:numId w:val="12"/>
      </w:numPr>
      <w:tabs>
        <w:tab w:val="left" w:pos="504"/>
      </w:tabs>
    </w:pPr>
    <w:rPr>
      <w:szCs w:val="20"/>
    </w:rPr>
  </w:style>
  <w:style w:type="paragraph" w:customStyle="1" w:styleId="Outlinea">
    <w:name w:val="Outline a"/>
    <w:basedOn w:val="BodyText"/>
    <w:link w:val="OutlineaChar"/>
    <w:rsid w:val="00320978"/>
    <w:pPr>
      <w:numPr>
        <w:ilvl w:val="3"/>
        <w:numId w:val="12"/>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14"/>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15"/>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21"/>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B3756A"/>
    <w:rPr>
      <w:color w:val="666666"/>
    </w:rPr>
  </w:style>
  <w:style w:type="paragraph" w:styleId="TOC4">
    <w:name w:val="toc 4"/>
    <w:basedOn w:val="Normal"/>
    <w:next w:val="Normal"/>
    <w:autoRedefine/>
    <w:uiPriority w:val="39"/>
    <w:unhideWhenUsed/>
    <w:rsid w:val="0023503F"/>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23503F"/>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23503F"/>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23503F"/>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23503F"/>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23503F"/>
    <w:pPr>
      <w:spacing w:after="100" w:line="278" w:lineRule="auto"/>
      <w:ind w:left="1920"/>
    </w:pPr>
    <w:rPr>
      <w:rFonts w:asciiTheme="minorHAnsi" w:eastAsiaTheme="minorEastAsia"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663123697">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052457819">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117" Type="http://schemas.openxmlformats.org/officeDocument/2006/relationships/header" Target="header24.xml"/><Relationship Id="rId21" Type="http://schemas.openxmlformats.org/officeDocument/2006/relationships/hyperlink" Target="Agency_Adoption_of_the_UG_and_Example_Citations.pdf" TargetMode="External"/><Relationship Id="rId42" Type="http://schemas.openxmlformats.org/officeDocument/2006/relationships/header" Target="header5.xml"/><Relationship Id="rId47" Type="http://schemas.openxmlformats.org/officeDocument/2006/relationships/header" Target="header7.xml"/><Relationship Id="rId63" Type="http://schemas.openxmlformats.org/officeDocument/2006/relationships/hyperlink" Target="https://www.madeinamerica.gov/waivers" TargetMode="External"/><Relationship Id="rId68" Type="http://schemas.openxmlformats.org/officeDocument/2006/relationships/hyperlink" Target="48_CFR_Part_52.pdf" TargetMode="External"/><Relationship Id="rId84" Type="http://schemas.openxmlformats.org/officeDocument/2006/relationships/header" Target="header11.xml"/><Relationship Id="rId89" Type="http://schemas.openxmlformats.org/officeDocument/2006/relationships/hyperlink" Target="Agency_Adoption_of_the_UG_and_Example_Citations.pdf" TargetMode="External"/><Relationship Id="rId112" Type="http://schemas.openxmlformats.org/officeDocument/2006/relationships/header" Target="header22.xml"/><Relationship Id="rId133" Type="http://schemas.openxmlformats.org/officeDocument/2006/relationships/hyperlink" Target="https://www.hud.gov/program_offices/public_indian_housing/programs/ph/am/webportal" TargetMode="External"/><Relationship Id="rId138" Type="http://schemas.openxmlformats.org/officeDocument/2006/relationships/hyperlink" Target="https://www.hud.gov/sites/dfiles/PIH/documents/JPEID_Guidance.pdf" TargetMode="External"/><Relationship Id="rId16" Type="http://schemas.openxmlformats.org/officeDocument/2006/relationships/hyperlink" Target="https://www.gao.gov/assets/gao-25-107721.pdf" TargetMode="External"/><Relationship Id="rId107" Type="http://schemas.openxmlformats.org/officeDocument/2006/relationships/header" Target="header21.xml"/><Relationship Id="rId11" Type="http://schemas.openxmlformats.org/officeDocument/2006/relationships/hyperlink" Target="OMB_Appendix_VII.pdf" TargetMode="External"/><Relationship Id="rId32" Type="http://schemas.openxmlformats.org/officeDocument/2006/relationships/hyperlink" Target="https://www.hud.gov/program_offices/public_indian_housing/publications" TargetMode="External"/><Relationship Id="rId37" Type="http://schemas.openxmlformats.org/officeDocument/2006/relationships/hyperlink" Target="https://www.hud.gov/sites/documents/DOC_9191.PDF" TargetMode="External"/><Relationship Id="rId53" Type="http://schemas.openxmlformats.org/officeDocument/2006/relationships/hyperlink" Target="https://www.hud.gov/program_offices/public_indian_housing/programs/ph/am/accounting" TargetMode="External"/><Relationship Id="rId58" Type="http://schemas.openxmlformats.org/officeDocument/2006/relationships/hyperlink" Target="Agency_Adoption_of_the_UG_and_Example_Citations.pdf" TargetMode="External"/><Relationship Id="rId74" Type="http://schemas.openxmlformats.org/officeDocument/2006/relationships/hyperlink" Target="48_CFR_Part_52.pdf" TargetMode="External"/><Relationship Id="rId79" Type="http://schemas.openxmlformats.org/officeDocument/2006/relationships/hyperlink" Target="Agency_Adoption_of_the_UG_and_Example_Citations.pdf" TargetMode="External"/><Relationship Id="rId102" Type="http://schemas.openxmlformats.org/officeDocument/2006/relationships/hyperlink" Target="Agency_Adoption_of_the_UG_and_Example_Citations.pdf" TargetMode="External"/><Relationship Id="rId123" Type="http://schemas.openxmlformats.org/officeDocument/2006/relationships/hyperlink" Target="https://www.hud.gov/sites/dfiles/OCHCO/documents/52722.pdf" TargetMode="External"/><Relationship Id="rId128" Type="http://schemas.openxmlformats.org/officeDocument/2006/relationships/hyperlink" Target="https://www.hud.gov/sites/dfiles/OCHCO/documents/2024-25pihn.pdf" TargetMode="External"/><Relationship Id="rId144" Type="http://schemas.openxmlformats.org/officeDocument/2006/relationships/header" Target="header29.xml"/><Relationship Id="rId149" Type="http://schemas.openxmlformats.org/officeDocument/2006/relationships/glossaryDocument" Target="glossary/document.xml"/><Relationship Id="rId5" Type="http://schemas.openxmlformats.org/officeDocument/2006/relationships/numbering" Target="numbering.xml"/><Relationship Id="rId90" Type="http://schemas.openxmlformats.org/officeDocument/2006/relationships/header" Target="header14.xml"/><Relationship Id="rId95" Type="http://schemas.openxmlformats.org/officeDocument/2006/relationships/hyperlink" Target="Agency_Adoption_of_the_UG_and_Example_Citations.pdf" TargetMode="External"/><Relationship Id="rId22" Type="http://schemas.openxmlformats.org/officeDocument/2006/relationships/header" Target="header1.xml"/><Relationship Id="rId27" Type="http://schemas.openxmlformats.org/officeDocument/2006/relationships/hyperlink" Target="OMB_Part_6.pdf" TargetMode="External"/><Relationship Id="rId43" Type="http://schemas.openxmlformats.org/officeDocument/2006/relationships/header" Target="header6.xml"/><Relationship Id="rId48" Type="http://schemas.openxmlformats.org/officeDocument/2006/relationships/hyperlink" Target="https://ohauditor.sharepoint.com/sites/Intranet/Shared%20Documents/Forms/AllItems.aspx?id=%2Fsites%2FIntranet%2FShared%20Documents%2FAudit%5FResources%2FFederal%2FFACCRs%2F2025&amp;viewid=68cb3ab2%2D567e%2D456a%2D975c%2Da88f3e9c3727&amp;csf=1&amp;web=1&amp;e=RtVw5R&amp;CID=edc47248%2D1453%2D4294%2Dadb1%2D841404571303&amp;FolderCTID=0x0120002FFBFB1F4A3C3F47AE37C7A44E1C1EDE" TargetMode="External"/><Relationship Id="rId64" Type="http://schemas.openxmlformats.org/officeDocument/2006/relationships/hyperlink" Target="https://sam.gov/content/home" TargetMode="External"/><Relationship Id="rId69" Type="http://schemas.openxmlformats.org/officeDocument/2006/relationships/hyperlink" Target="48_CFR_Part_52.pdf" TargetMode="External"/><Relationship Id="rId113" Type="http://schemas.openxmlformats.org/officeDocument/2006/relationships/hyperlink" Target="Agency_Adoption_of_the_UG_and_Example_Citations.pdf" TargetMode="External"/><Relationship Id="rId118" Type="http://schemas.openxmlformats.org/officeDocument/2006/relationships/hyperlink" Target="https://www.hud.gov/program_offices/public_indian_housing/programs/ph/am/accounting" TargetMode="External"/><Relationship Id="rId134" Type="http://schemas.openxmlformats.org/officeDocument/2006/relationships/hyperlink" Target="https://www.hud.gov/program_offices/public_indian_housing/programs/ph/am/funding" TargetMode="External"/><Relationship Id="rId139" Type="http://schemas.openxmlformats.org/officeDocument/2006/relationships/hyperlink" Target="https://www.hud.gov/sites/dfiles/PIH/documents/FSS-GUIDANCE.PD_.pdf" TargetMode="External"/><Relationship Id="rId80" Type="http://schemas.openxmlformats.org/officeDocument/2006/relationships/header" Target="header10.xml"/><Relationship Id="rId85" Type="http://schemas.openxmlformats.org/officeDocument/2006/relationships/hyperlink" Target="Agency_Adoption_of_the_UG_and_Example_Citations.pdf" TargetMode="External"/><Relationship Id="rId15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hyperlink" Target="2_CFR_Part_200_2024Revisions.pdf" TargetMode="External"/><Relationship Id="rId25" Type="http://schemas.openxmlformats.org/officeDocument/2006/relationships/header" Target="header3.xml"/><Relationship Id="rId33" Type="http://schemas.openxmlformats.org/officeDocument/2006/relationships/hyperlink" Target="https://www.hud.gov/program_offices/public_indian_housing/reac" TargetMode="External"/><Relationship Id="rId38" Type="http://schemas.openxmlformats.org/officeDocument/2006/relationships/hyperlink" Target="https://www.hud.gov/program_offices/administration/hudclips" TargetMode="External"/><Relationship Id="rId46" Type="http://schemas.openxmlformats.org/officeDocument/2006/relationships/hyperlink" Target="Agency_Adoption_of_the_UG_and_Example_Citations.pdf" TargetMode="External"/><Relationship Id="rId59" Type="http://schemas.openxmlformats.org/officeDocument/2006/relationships/header" Target="header9.xml"/><Relationship Id="rId67" Type="http://schemas.openxmlformats.org/officeDocument/2006/relationships/hyperlink" Target="48_CFR_Part_9.pdf" TargetMode="External"/><Relationship Id="rId103" Type="http://schemas.openxmlformats.org/officeDocument/2006/relationships/header" Target="header19.xml"/><Relationship Id="rId108" Type="http://schemas.openxmlformats.org/officeDocument/2006/relationships/hyperlink" Target="https://www.hud.gov/sites/dfiles/OCHCO/documents/52722.pdf" TargetMode="External"/><Relationship Id="rId116" Type="http://schemas.openxmlformats.org/officeDocument/2006/relationships/hyperlink" Target="Agency_Adoption_of_the_UG_and_Example_Citations.pdf" TargetMode="External"/><Relationship Id="rId124" Type="http://schemas.openxmlformats.org/officeDocument/2006/relationships/hyperlink" Target="https://www.hud.gov/program_offices/administration/hudclips" TargetMode="External"/><Relationship Id="rId129" Type="http://schemas.openxmlformats.org/officeDocument/2006/relationships/hyperlink" Target="https://www.hud.gov/sites/dfiles/OCHCO/documents/2024-25pihn.pdf" TargetMode="External"/><Relationship Id="rId137" Type="http://schemas.openxmlformats.org/officeDocument/2006/relationships/hyperlink" Target="https://www.hud.gov/sites/dfiles/PIH/documents/JPEID_Guidance.pdf" TargetMode="Externa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www.hud.gov/RAD" TargetMode="External"/><Relationship Id="rId54" Type="http://schemas.openxmlformats.org/officeDocument/2006/relationships/hyperlink" Target="Testing_the_ICRP_discussion.pdf" TargetMode="External"/><Relationship Id="rId62" Type="http://schemas.openxmlformats.org/officeDocument/2006/relationships/hyperlink" Target="https://www.whitehouse.gov/wp-content/uploads/2023/10/M-24-02-Buy-America-Implementation-Guidance-Update.pdf" TargetMode="External"/><Relationship Id="rId70" Type="http://schemas.openxmlformats.org/officeDocument/2006/relationships/hyperlink" Target="48_CFR_Part_52.pdf" TargetMode="External"/><Relationship Id="rId75" Type="http://schemas.openxmlformats.org/officeDocument/2006/relationships/hyperlink" Target="48_CFR_Part_15.pdf" TargetMode="External"/><Relationship Id="rId83" Type="http://schemas.openxmlformats.org/officeDocument/2006/relationships/hyperlink" Target="Agency_Adoption_of_the_UG_and_Example_Citations.pdf" TargetMode="External"/><Relationship Id="rId88" Type="http://schemas.openxmlformats.org/officeDocument/2006/relationships/header" Target="header13.xml"/><Relationship Id="rId91" Type="http://schemas.openxmlformats.org/officeDocument/2006/relationships/hyperlink" Target="https://www.hud.gov/program_offices/administration/hudclips/handbooks/pihh/74751" TargetMode="External"/><Relationship Id="rId96" Type="http://schemas.openxmlformats.org/officeDocument/2006/relationships/header" Target="header16.xml"/><Relationship Id="rId111" Type="http://schemas.openxmlformats.org/officeDocument/2006/relationships/hyperlink" Target="Agency_Adoption_of_the_UG_and_Example_Citations.pdf" TargetMode="External"/><Relationship Id="rId132" Type="http://schemas.openxmlformats.org/officeDocument/2006/relationships/hyperlink" Target="https://www.hud.gov/program_offices/public_indian_housing/programs/ph/am/webportal" TargetMode="External"/><Relationship Id="rId140" Type="http://schemas.openxmlformats.org/officeDocument/2006/relationships/hyperlink" Target="https://www.hud.gov/sites/dfiles/PIH/documents/FSS-GUIDANCE.PD_.pdf" TargetMode="External"/><Relationship Id="rId145" Type="http://schemas.openxmlformats.org/officeDocument/2006/relationships/hyperlink" Target="OMB_Appendix_I.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www.hud.gov/sites/documents/doc_9191.pdf" TargetMode="External"/><Relationship Id="rId49" Type="http://schemas.openxmlformats.org/officeDocument/2006/relationships/hyperlink" Target="https://ohioauditor.gov/references/practiceaids/faccrs.html" TargetMode="External"/><Relationship Id="rId57" Type="http://schemas.openxmlformats.org/officeDocument/2006/relationships/hyperlink" Target="https://www.ecfr.gov/current/title-24/subtitle-A/part-5/subpart-B/subject-group-ECFR571d9c483519586/section-5.230" TargetMode="External"/><Relationship Id="rId106" Type="http://schemas.openxmlformats.org/officeDocument/2006/relationships/hyperlink" Target="Agency_Adoption_of_the_UG_and_Example_Citations.pdf" TargetMode="External"/><Relationship Id="rId114" Type="http://schemas.openxmlformats.org/officeDocument/2006/relationships/header" Target="header23.xml"/><Relationship Id="rId119" Type="http://schemas.openxmlformats.org/officeDocument/2006/relationships/hyperlink" Target="Agency_Adoption_of_the_UG_and_Example_Citations.pdf" TargetMode="External"/><Relationship Id="rId127" Type="http://schemas.openxmlformats.org/officeDocument/2006/relationships/hyperlink" Target="https://www.hud.gov/sites/dfiles/PIH/documents/CY2023%20Formula%20Income%20Guidance%20FINAL%20(10-4-22).pdf" TargetMode="External"/><Relationship Id="rId10" Type="http://schemas.openxmlformats.org/officeDocument/2006/relationships/endnotes" Target="endnotes.xml"/><Relationship Id="rId31" Type="http://schemas.openxmlformats.org/officeDocument/2006/relationships/hyperlink" Target="https://www.hud.gov/program_offices/public_indian_housing/publications" TargetMode="External"/><Relationship Id="rId44" Type="http://schemas.openxmlformats.org/officeDocument/2006/relationships/hyperlink" Target="http://www.ohioauditor.gov/references/practiceaids.html" TargetMode="External"/><Relationship Id="rId52" Type="http://schemas.openxmlformats.org/officeDocument/2006/relationships/hyperlink" Target="https://www.opm.gov/policy-data-oversight/pay-leave/salaries-wages/" TargetMode="External"/><Relationship Id="rId60" Type="http://schemas.openxmlformats.org/officeDocument/2006/relationships/hyperlink" Target="https://www.congress.gov/117/plaws/publ58/PLAW-117publ58.pdf" TargetMode="External"/><Relationship Id="rId65" Type="http://schemas.openxmlformats.org/officeDocument/2006/relationships/hyperlink" Target="2_CFR_Part_180.pdf" TargetMode="External"/><Relationship Id="rId73" Type="http://schemas.openxmlformats.org/officeDocument/2006/relationships/hyperlink" Target="48_CFR_Part_52.pdf" TargetMode="External"/><Relationship Id="rId78" Type="http://schemas.openxmlformats.org/officeDocument/2006/relationships/hyperlink" Target="48_CFR_Part_52.pdf" TargetMode="External"/><Relationship Id="rId81" Type="http://schemas.openxmlformats.org/officeDocument/2006/relationships/hyperlink" Target="https://www.hud.gov/program_offices/davis_bacon_and_labor_standards/olr_foa" TargetMode="External"/><Relationship Id="rId86" Type="http://schemas.openxmlformats.org/officeDocument/2006/relationships/header" Target="header12.xml"/><Relationship Id="rId94" Type="http://schemas.openxmlformats.org/officeDocument/2006/relationships/hyperlink" Target="https://www.hud.gov/program_offices/administration/hudclips/handbooks/pihh/74751" TargetMode="External"/><Relationship Id="rId99" Type="http://schemas.openxmlformats.org/officeDocument/2006/relationships/hyperlink" Target="Agency_Adoption_of_the_UG_and_Example_Citations.pdf" TargetMode="External"/><Relationship Id="rId101" Type="http://schemas.openxmlformats.org/officeDocument/2006/relationships/hyperlink" Target="https://www.hud.gov/program_offices/administration/hudclips/handbooks/pihh/74751" TargetMode="External"/><Relationship Id="rId122" Type="http://schemas.openxmlformats.org/officeDocument/2006/relationships/header" Target="header26.xml"/><Relationship Id="rId130" Type="http://schemas.openxmlformats.org/officeDocument/2006/relationships/hyperlink" Target="https://www.hud.gov/sites/dfiles/PIH/documents/CY21-OPFND-GRNT-PRCSNG-NOTICE.pdf" TargetMode="External"/><Relationship Id="rId135" Type="http://schemas.openxmlformats.org/officeDocument/2006/relationships/hyperlink" Target="https://www.hud.gov/sites/dfiles/PIH/documents/CY2023%20Formula%20Income%20Guidance%20FINAL%20(10-4-22).pdf" TargetMode="External"/><Relationship Id="rId143" Type="http://schemas.openxmlformats.org/officeDocument/2006/relationships/hyperlink" Target="Agency_Adoption_of_the_UG_and_Example_Citations.pdf" TargetMode="External"/><Relationship Id="rId14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footer" Target="footer1.xml"/><Relationship Id="rId39" Type="http://schemas.openxmlformats.org/officeDocument/2006/relationships/hyperlink" Target="https://www.hud.gov/program_offices/administration/hudclips" TargetMode="External"/><Relationship Id="rId109" Type="http://schemas.openxmlformats.org/officeDocument/2006/relationships/hyperlink" Target="https://www.hud.gov/sites/dfiles/OCHCO/documents/52723.pdf" TargetMode="External"/><Relationship Id="rId34" Type="http://schemas.openxmlformats.org/officeDocument/2006/relationships/hyperlink" Target="https://www.hud.gov/program_offices/public_indian_housing/reac" TargetMode="External"/><Relationship Id="rId50" Type="http://schemas.openxmlformats.org/officeDocument/2006/relationships/hyperlink" Target="Selected_Items_of_Cost_Part_3.2_ComplianceSupplement.pdf" TargetMode="External"/><Relationship Id="rId55" Type="http://schemas.openxmlformats.org/officeDocument/2006/relationships/hyperlink" Target="Agency_Adoption_of_the_UG_and_Example_Citations.pdf" TargetMode="External"/><Relationship Id="rId76" Type="http://schemas.openxmlformats.org/officeDocument/2006/relationships/hyperlink" Target="48_CFR_Part_52.pdf" TargetMode="External"/><Relationship Id="rId97" Type="http://schemas.openxmlformats.org/officeDocument/2006/relationships/hyperlink" Target="Agency_Adoption_of_the_UG_and_Example_Citations.pdf" TargetMode="External"/><Relationship Id="rId104" Type="http://schemas.openxmlformats.org/officeDocument/2006/relationships/hyperlink" Target="Agency_Adoption_of_the_UG_and_Example_Citations.pdf" TargetMode="External"/><Relationship Id="rId120" Type="http://schemas.openxmlformats.org/officeDocument/2006/relationships/header" Target="header25.xml"/><Relationship Id="rId125" Type="http://schemas.openxmlformats.org/officeDocument/2006/relationships/hyperlink" Target="Agency_Adoption_of_the_UG_and_Example_Citations.pdf" TargetMode="External"/><Relationship Id="rId141" Type="http://schemas.openxmlformats.org/officeDocument/2006/relationships/hyperlink" Target="Agency_Adoption_of_the_UG_and_Example_Citations.pdf" TargetMode="External"/><Relationship Id="rId146" Type="http://schemas.openxmlformats.org/officeDocument/2006/relationships/hyperlink" Target="Agency_Adoption_of_the_UG_and_Example_Citations.pdf" TargetMode="External"/><Relationship Id="rId7" Type="http://schemas.openxmlformats.org/officeDocument/2006/relationships/settings" Target="settings.xml"/><Relationship Id="rId71" Type="http://schemas.openxmlformats.org/officeDocument/2006/relationships/hyperlink" Target="48_CFR_Part_44.pdf" TargetMode="External"/><Relationship Id="rId92" Type="http://schemas.openxmlformats.org/officeDocument/2006/relationships/hyperlink" Target="Agency_Adoption_of_the_UG_and_Example_Citations.pdf" TargetMode="External"/><Relationship Id="rId2" Type="http://schemas.openxmlformats.org/officeDocument/2006/relationships/customXml" Target="../customXml/item2.xml"/><Relationship Id="rId29" Type="http://schemas.openxmlformats.org/officeDocument/2006/relationships/hyperlink" Target="https://www.hud.gov/program_offices/public_indian_housing/programs/ph" TargetMode="External"/><Relationship Id="rId24" Type="http://schemas.openxmlformats.org/officeDocument/2006/relationships/footer" Target="footer2.xml"/><Relationship Id="rId40" Type="http://schemas.openxmlformats.org/officeDocument/2006/relationships/hyperlink" Target="https://www.hud.gov/RAD" TargetMode="External"/><Relationship Id="rId45" Type="http://schemas.openxmlformats.org/officeDocument/2006/relationships/hyperlink" Target="https://www.ecfr.gov/current/title-24/subtitle-B/chapter-IX/part-990/subpart-H/section-990.280" TargetMode="External"/><Relationship Id="rId66" Type="http://schemas.openxmlformats.org/officeDocument/2006/relationships/hyperlink" Target="OMB_Appendix_II.pdf" TargetMode="External"/><Relationship Id="rId87" Type="http://schemas.openxmlformats.org/officeDocument/2006/relationships/hyperlink" Target="Agency_Adoption_of_the_UG_and_Example_Citations.pdf" TargetMode="External"/><Relationship Id="rId110" Type="http://schemas.openxmlformats.org/officeDocument/2006/relationships/hyperlink" Target="https://www.hud.gov/sites/dfiles/OCHCO/documents/52722.pdf" TargetMode="External"/><Relationship Id="rId115" Type="http://schemas.openxmlformats.org/officeDocument/2006/relationships/hyperlink" Target="https://www.hud.gov/sites/dfiles/OCHCO/documents/51999.pdf" TargetMode="External"/><Relationship Id="rId131" Type="http://schemas.openxmlformats.org/officeDocument/2006/relationships/hyperlink" Target="https://www.hud.gov/sites/dfiles/PIH/documents/CY21-OPFND-GRNT-PRCSNG-NOTICE.pdf" TargetMode="External"/><Relationship Id="rId136" Type="http://schemas.openxmlformats.org/officeDocument/2006/relationships/hyperlink" Target="https://www.hud.gov/sites/dfiles/OCHCO/documents/52723.pdf" TargetMode="External"/><Relationship Id="rId61" Type="http://schemas.openxmlformats.org/officeDocument/2006/relationships/hyperlink" Target="https://www.ecfr.gov/current/title-2/subtitle-A/chapter-I/part-184" TargetMode="External"/><Relationship Id="rId82" Type="http://schemas.openxmlformats.org/officeDocument/2006/relationships/hyperlink" Target="https://www.dol.gov/agencies/whd/government-contracts/construction" TargetMode="External"/><Relationship Id="rId19" Type="http://schemas.openxmlformats.org/officeDocument/2006/relationships/hyperlink" Target="OMB_Appendix_II.pdf" TargetMode="External"/><Relationship Id="rId14" Type="http://schemas.openxmlformats.org/officeDocument/2006/relationships/hyperlink" Target="https://www.coso.org/_files/ugd/3059fc_61ea5985b03c4293960642fdce408eaa.pdf" TargetMode="External"/><Relationship Id="rId30" Type="http://schemas.openxmlformats.org/officeDocument/2006/relationships/hyperlink" Target="https://www.hud.gov/program_offices/public_indian_housing/programs/ph" TargetMode="External"/><Relationship Id="rId35" Type="http://schemas.openxmlformats.org/officeDocument/2006/relationships/hyperlink" Target="https://www.hud.gov/program_offices/public_indian_housing/reac" TargetMode="External"/><Relationship Id="rId56" Type="http://schemas.openxmlformats.org/officeDocument/2006/relationships/header" Target="header8.xml"/><Relationship Id="rId77" Type="http://schemas.openxmlformats.org/officeDocument/2006/relationships/hyperlink" Target="2_CFR_Part_180.pdf" TargetMode="External"/><Relationship Id="rId100" Type="http://schemas.openxmlformats.org/officeDocument/2006/relationships/header" Target="header18.xml"/><Relationship Id="rId105" Type="http://schemas.openxmlformats.org/officeDocument/2006/relationships/header" Target="header20.xml"/><Relationship Id="rId126" Type="http://schemas.openxmlformats.org/officeDocument/2006/relationships/header" Target="header27.xml"/><Relationship Id="rId147" Type="http://schemas.openxmlformats.org/officeDocument/2006/relationships/header" Target="header30.xml"/><Relationship Id="rId8" Type="http://schemas.openxmlformats.org/officeDocument/2006/relationships/webSettings" Target="webSettings.xml"/><Relationship Id="rId51" Type="http://schemas.openxmlformats.org/officeDocument/2006/relationships/hyperlink" Target="https://www.hud.gov/sites/documents/16-14pihn.pdf" TargetMode="External"/><Relationship Id="rId72" Type="http://schemas.openxmlformats.org/officeDocument/2006/relationships/hyperlink" Target="48_CFR_Part_52.pdf" TargetMode="External"/><Relationship Id="rId93" Type="http://schemas.openxmlformats.org/officeDocument/2006/relationships/header" Target="header15.xml"/><Relationship Id="rId98" Type="http://schemas.openxmlformats.org/officeDocument/2006/relationships/header" Target="header17.xml"/><Relationship Id="rId121" Type="http://schemas.openxmlformats.org/officeDocument/2006/relationships/hyperlink" Target="Agency_Adoption_of_the_UG_and_Example_Citations.pdf" TargetMode="External"/><Relationship Id="rId142" Type="http://schemas.openxmlformats.org/officeDocument/2006/relationships/header" Target="header28.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0F2C55ED544E69886D339BCCA3AF2"/>
        <w:category>
          <w:name w:val="General"/>
          <w:gallery w:val="placeholder"/>
        </w:category>
        <w:types>
          <w:type w:val="bbPlcHdr"/>
        </w:types>
        <w:behaviors>
          <w:behavior w:val="content"/>
        </w:behaviors>
        <w:guid w:val="{43497D4F-A6C0-4A0E-A8A3-4F82ECC30BC2}"/>
      </w:docPartPr>
      <w:docPartBody>
        <w:p w:rsidR="00AC1185" w:rsidRDefault="00AC1185" w:rsidP="00AC1185">
          <w:pPr>
            <w:pStyle w:val="2C10F2C55ED544E69886D339BCCA3AF2"/>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85"/>
    <w:rsid w:val="00016009"/>
    <w:rsid w:val="000A0CA3"/>
    <w:rsid w:val="000D2ED7"/>
    <w:rsid w:val="002E1B1A"/>
    <w:rsid w:val="00314BBE"/>
    <w:rsid w:val="00435AE4"/>
    <w:rsid w:val="00444C5F"/>
    <w:rsid w:val="00521A83"/>
    <w:rsid w:val="00560B1D"/>
    <w:rsid w:val="0057650C"/>
    <w:rsid w:val="00620F21"/>
    <w:rsid w:val="00755AD6"/>
    <w:rsid w:val="00776DDE"/>
    <w:rsid w:val="007777A0"/>
    <w:rsid w:val="00777C0A"/>
    <w:rsid w:val="00963DBC"/>
    <w:rsid w:val="00974272"/>
    <w:rsid w:val="00A74D26"/>
    <w:rsid w:val="00A97B5A"/>
    <w:rsid w:val="00AC1185"/>
    <w:rsid w:val="00BB24E2"/>
    <w:rsid w:val="00C632B1"/>
    <w:rsid w:val="00E4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185"/>
    <w:rPr>
      <w:color w:val="666666"/>
    </w:rPr>
  </w:style>
  <w:style w:type="paragraph" w:customStyle="1" w:styleId="2C10F2C55ED544E69886D339BCCA3AF2">
    <w:name w:val="2C10F2C55ED544E69886D339BCCA3AF2"/>
    <w:rsid w:val="00AC1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2.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3.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4CEAD5-0F54-441D-9957-C57457F50EE3}">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0d5817e3-b880-408f-991f-e458db71995f"/>
    <ds:schemaRef ds:uri="http://schemas.microsoft.com/office/2006/documentManagement/types"/>
    <ds:schemaRef ds:uri="afbe0f3c-19b9-4654-b3a0-3e9f76fd8c8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115</Pages>
  <Words>38963</Words>
  <Characters>222875</Characters>
  <Application>Microsoft Office Word</Application>
  <DocSecurity>0</DocSecurity>
  <Lines>4127</Lines>
  <Paragraphs>1968</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259870</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47</cp:revision>
  <cp:lastPrinted>2015-07-01T17:39:00Z</cp:lastPrinted>
  <dcterms:created xsi:type="dcterms:W3CDTF">2025-10-07T11:34:00Z</dcterms:created>
  <dcterms:modified xsi:type="dcterms:W3CDTF">2026-01-12T13:35:00Z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