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4BAC8869" w:rsidR="00B3756A" w:rsidRPr="00A0464C" w:rsidRDefault="009D59A2" w:rsidP="003D19F2">
            <w:pPr>
              <w:jc w:val="both"/>
              <w:rPr>
                <w:rFonts w:ascii="Arial" w:hAnsi="Arial" w:cs="Arial"/>
                <w:sz w:val="24"/>
                <w:szCs w:val="24"/>
              </w:rPr>
            </w:pPr>
            <w:r>
              <w:rPr>
                <w:rFonts w:ascii="Arial" w:hAnsi="Arial" w:cs="Arial"/>
                <w:sz w:val="24"/>
                <w:szCs w:val="24"/>
              </w:rPr>
              <w:t>Housing Voucher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142E4025" w14:textId="6E1E9239" w:rsidR="00B3756A" w:rsidRDefault="009D59A2" w:rsidP="003D19F2">
            <w:pPr>
              <w:jc w:val="both"/>
              <w:rPr>
                <w:rFonts w:ascii="Arial" w:hAnsi="Arial" w:cs="Arial"/>
                <w:sz w:val="24"/>
                <w:szCs w:val="24"/>
              </w:rPr>
            </w:pPr>
            <w:r>
              <w:rPr>
                <w:rFonts w:ascii="Arial" w:hAnsi="Arial" w:cs="Arial"/>
                <w:sz w:val="24"/>
                <w:szCs w:val="24"/>
              </w:rPr>
              <w:t>#14.871 - Section 8 Housing Choice Vouchers</w:t>
            </w:r>
          </w:p>
          <w:p w14:paraId="621E241C" w14:textId="54AC28F2" w:rsidR="009D59A2" w:rsidRPr="00A0464C" w:rsidRDefault="009D59A2" w:rsidP="003D19F2">
            <w:pPr>
              <w:jc w:val="both"/>
              <w:rPr>
                <w:rFonts w:ascii="Arial" w:hAnsi="Arial" w:cs="Arial"/>
                <w:sz w:val="24"/>
                <w:szCs w:val="24"/>
              </w:rPr>
            </w:pPr>
            <w:r>
              <w:rPr>
                <w:rFonts w:ascii="Arial" w:hAnsi="Arial" w:cs="Arial"/>
                <w:sz w:val="24"/>
                <w:szCs w:val="24"/>
              </w:rPr>
              <w:t>#14.879 – Mainstream Vouchers</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178619A" w:rsidR="00B3756A" w:rsidRPr="00886A3E" w:rsidRDefault="009D59A2"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4B1A06D5" w:rsidR="00B3756A" w:rsidRPr="00A0464C" w:rsidRDefault="009D59A2"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EE3FBA4" w14:textId="77777777" w:rsidR="009D59A2" w:rsidRPr="009D59A2" w:rsidRDefault="009D59A2" w:rsidP="009D59A2">
            <w:pPr>
              <w:jc w:val="both"/>
              <w:rPr>
                <w:rFonts w:ascii="Arial" w:hAnsi="Arial" w:cs="Arial"/>
                <w:sz w:val="24"/>
                <w:szCs w:val="24"/>
              </w:rPr>
            </w:pPr>
            <w:r w:rsidRPr="009D59A2">
              <w:rPr>
                <w:rFonts w:ascii="Arial" w:hAnsi="Arial" w:cs="Arial"/>
                <w:sz w:val="24"/>
                <w:szCs w:val="24"/>
              </w:rPr>
              <w:t>This FACCR was prepared under the 2024 Revisions to the Uniform Guidance. The Department of Housing and Urban Development (HUD) adopted the 2024 Revisions effective October 1, 2024.</w:t>
            </w:r>
          </w:p>
          <w:p w14:paraId="2B397A8D" w14:textId="77777777" w:rsidR="009D59A2" w:rsidRPr="009D59A2" w:rsidRDefault="009D59A2" w:rsidP="009D59A2">
            <w:pPr>
              <w:jc w:val="both"/>
              <w:rPr>
                <w:rFonts w:ascii="Arial" w:hAnsi="Arial" w:cs="Arial"/>
                <w:sz w:val="24"/>
                <w:szCs w:val="24"/>
              </w:rPr>
            </w:pPr>
          </w:p>
          <w:p w14:paraId="571F40FF" w14:textId="2EAE66D6" w:rsidR="009D59A2" w:rsidRPr="009D59A2" w:rsidRDefault="009D59A2" w:rsidP="009D59A2">
            <w:pPr>
              <w:jc w:val="both"/>
              <w:rPr>
                <w:rFonts w:ascii="Arial" w:hAnsi="Arial" w:cs="Arial"/>
                <w:sz w:val="24"/>
                <w:szCs w:val="24"/>
              </w:rPr>
            </w:pPr>
            <w:r w:rsidRPr="009D59A2">
              <w:rPr>
                <w:rFonts w:ascii="Arial" w:hAnsi="Arial" w:cs="Arial"/>
                <w:sz w:val="24"/>
                <w:szCs w:val="24"/>
              </w:rPr>
              <w:t xml:space="preserve">After reviewing both the pre- and post-2024 Revisions guidance, CFAE determined that the </w:t>
            </w:r>
            <w:r>
              <w:rPr>
                <w:rFonts w:ascii="Arial" w:hAnsi="Arial" w:cs="Arial"/>
                <w:sz w:val="24"/>
                <w:szCs w:val="24"/>
              </w:rPr>
              <w:t xml:space="preserve">Housing Voucher Cluster </w:t>
            </w:r>
            <w:r w:rsidRPr="009D59A2">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p w14:paraId="4B7C991A" w14:textId="690FDDCA" w:rsidR="00B3756A" w:rsidRDefault="00B3756A" w:rsidP="003D19F2">
            <w:pPr>
              <w:jc w:val="both"/>
              <w:rPr>
                <w:rFonts w:ascii="Arial" w:hAnsi="Arial" w:cs="Arial"/>
                <w:sz w:val="24"/>
                <w:szCs w:val="24"/>
              </w:rPr>
            </w:pP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253345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70689F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4E6EA4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CC78D99" w:rsidR="004717CE" w:rsidRPr="00F00D94" w:rsidRDefault="004717CE" w:rsidP="006F743F">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CBB5649" w:rsidR="004717CE" w:rsidRPr="00F00D94" w:rsidRDefault="004717CE" w:rsidP="006F743F">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D1AEE08" w:rsidR="004717CE" w:rsidRPr="00D74A1B" w:rsidRDefault="00D74A1B" w:rsidP="006F743F">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0B7E3322" w:rsidR="00DF7D32" w:rsidRPr="00F00D94" w:rsidRDefault="004717CE" w:rsidP="006F743F">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F743F">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2533456"/>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07FEE00B"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38B58718"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2F762E61"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53345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8B34ADC" w14:textId="0CD7CEDD" w:rsidR="00946355"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533455" w:history="1">
            <w:r w:rsidR="00946355" w:rsidRPr="00D83A99">
              <w:rPr>
                <w:rStyle w:val="Hyperlink"/>
                <w:rFonts w:cs="Arial"/>
                <w:noProof/>
              </w:rPr>
              <w:t>Important Information</w:t>
            </w:r>
            <w:r w:rsidR="00946355">
              <w:rPr>
                <w:noProof/>
                <w:webHidden/>
              </w:rPr>
              <w:tab/>
            </w:r>
            <w:r w:rsidR="00946355">
              <w:rPr>
                <w:noProof/>
                <w:webHidden/>
              </w:rPr>
              <w:fldChar w:fldCharType="begin"/>
            </w:r>
            <w:r w:rsidR="00946355">
              <w:rPr>
                <w:noProof/>
                <w:webHidden/>
              </w:rPr>
              <w:instrText xml:space="preserve"> PAGEREF _Toc212533455 \h </w:instrText>
            </w:r>
            <w:r w:rsidR="00946355">
              <w:rPr>
                <w:noProof/>
                <w:webHidden/>
              </w:rPr>
            </w:r>
            <w:r w:rsidR="00946355">
              <w:rPr>
                <w:noProof/>
                <w:webHidden/>
              </w:rPr>
              <w:fldChar w:fldCharType="separate"/>
            </w:r>
            <w:r w:rsidR="00B952BC">
              <w:rPr>
                <w:noProof/>
                <w:webHidden/>
              </w:rPr>
              <w:t>2</w:t>
            </w:r>
            <w:r w:rsidR="00946355">
              <w:rPr>
                <w:noProof/>
                <w:webHidden/>
              </w:rPr>
              <w:fldChar w:fldCharType="end"/>
            </w:r>
          </w:hyperlink>
        </w:p>
        <w:p w14:paraId="614B8D65" w14:textId="7FE60A33" w:rsidR="00946355" w:rsidRDefault="00946355">
          <w:pPr>
            <w:pStyle w:val="TOC1"/>
            <w:rPr>
              <w:rFonts w:asciiTheme="minorHAnsi" w:eastAsiaTheme="minorEastAsia" w:hAnsiTheme="minorHAnsi" w:cstheme="minorBidi"/>
              <w:noProof/>
              <w:kern w:val="2"/>
              <w:sz w:val="24"/>
              <w:szCs w:val="24"/>
              <w14:ligatures w14:val="standardContextual"/>
            </w:rPr>
          </w:pPr>
          <w:hyperlink w:anchor="_Toc212533456" w:history="1">
            <w:r w:rsidRPr="00D83A9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_Toc212533456 \h </w:instrText>
            </w:r>
            <w:r>
              <w:rPr>
                <w:noProof/>
                <w:webHidden/>
              </w:rPr>
            </w:r>
            <w:r>
              <w:rPr>
                <w:noProof/>
                <w:webHidden/>
              </w:rPr>
              <w:fldChar w:fldCharType="separate"/>
            </w:r>
            <w:r w:rsidR="00B952BC">
              <w:rPr>
                <w:noProof/>
                <w:webHidden/>
              </w:rPr>
              <w:t>3</w:t>
            </w:r>
            <w:r>
              <w:rPr>
                <w:noProof/>
                <w:webHidden/>
              </w:rPr>
              <w:fldChar w:fldCharType="end"/>
            </w:r>
          </w:hyperlink>
        </w:p>
        <w:p w14:paraId="2A7C53BA" w14:textId="0180F4F9" w:rsidR="00946355" w:rsidRDefault="00946355">
          <w:pPr>
            <w:pStyle w:val="TOC1"/>
            <w:rPr>
              <w:rFonts w:asciiTheme="minorHAnsi" w:eastAsiaTheme="minorEastAsia" w:hAnsiTheme="minorHAnsi" w:cstheme="minorBidi"/>
              <w:noProof/>
              <w:kern w:val="2"/>
              <w:sz w:val="24"/>
              <w:szCs w:val="24"/>
              <w14:ligatures w14:val="standardContextual"/>
            </w:rPr>
          </w:pPr>
          <w:hyperlink w:anchor="_Toc212533457" w:history="1">
            <w:r w:rsidRPr="00D83A99">
              <w:rPr>
                <w:rStyle w:val="Hyperlink"/>
                <w:rFonts w:cs="Arial"/>
                <w:noProof/>
              </w:rPr>
              <w:t>Table of Contents</w:t>
            </w:r>
            <w:r>
              <w:rPr>
                <w:noProof/>
                <w:webHidden/>
              </w:rPr>
              <w:tab/>
            </w:r>
            <w:r>
              <w:rPr>
                <w:noProof/>
                <w:webHidden/>
              </w:rPr>
              <w:fldChar w:fldCharType="begin"/>
            </w:r>
            <w:r>
              <w:rPr>
                <w:noProof/>
                <w:webHidden/>
              </w:rPr>
              <w:instrText xml:space="preserve"> PAGEREF _Toc212533457 \h </w:instrText>
            </w:r>
            <w:r>
              <w:rPr>
                <w:noProof/>
                <w:webHidden/>
              </w:rPr>
            </w:r>
            <w:r>
              <w:rPr>
                <w:noProof/>
                <w:webHidden/>
              </w:rPr>
              <w:fldChar w:fldCharType="separate"/>
            </w:r>
            <w:r w:rsidR="00B952BC">
              <w:rPr>
                <w:noProof/>
                <w:webHidden/>
              </w:rPr>
              <w:t>4</w:t>
            </w:r>
            <w:r>
              <w:rPr>
                <w:noProof/>
                <w:webHidden/>
              </w:rPr>
              <w:fldChar w:fldCharType="end"/>
            </w:r>
          </w:hyperlink>
        </w:p>
        <w:p w14:paraId="7EA4DFF5" w14:textId="4423BC1C" w:rsidR="00946355" w:rsidRDefault="00946355">
          <w:pPr>
            <w:pStyle w:val="TOC1"/>
            <w:rPr>
              <w:rFonts w:asciiTheme="minorHAnsi" w:eastAsiaTheme="minorEastAsia" w:hAnsiTheme="minorHAnsi" w:cstheme="minorBidi"/>
              <w:noProof/>
              <w:kern w:val="2"/>
              <w:sz w:val="24"/>
              <w:szCs w:val="24"/>
              <w14:ligatures w14:val="standardContextual"/>
            </w:rPr>
          </w:pPr>
          <w:hyperlink w:anchor="_Toc212533458" w:history="1">
            <w:r w:rsidRPr="00D83A9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_Toc212533458 \h </w:instrText>
            </w:r>
            <w:r>
              <w:rPr>
                <w:noProof/>
                <w:webHidden/>
              </w:rPr>
            </w:r>
            <w:r>
              <w:rPr>
                <w:noProof/>
                <w:webHidden/>
              </w:rPr>
              <w:fldChar w:fldCharType="separate"/>
            </w:r>
            <w:r w:rsidR="00B952BC">
              <w:rPr>
                <w:noProof/>
                <w:webHidden/>
              </w:rPr>
              <w:t>9</w:t>
            </w:r>
            <w:r>
              <w:rPr>
                <w:noProof/>
                <w:webHidden/>
              </w:rPr>
              <w:fldChar w:fldCharType="end"/>
            </w:r>
          </w:hyperlink>
        </w:p>
        <w:p w14:paraId="1630AE98" w14:textId="0D2D217D"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59" w:history="1">
            <w:r w:rsidRPr="00D83A99">
              <w:rPr>
                <w:rStyle w:val="Hyperlink"/>
                <w:rFonts w:cs="Arial"/>
                <w:noProof/>
              </w:rPr>
              <w:t>I. Program Objectives</w:t>
            </w:r>
            <w:r>
              <w:rPr>
                <w:noProof/>
                <w:webHidden/>
              </w:rPr>
              <w:tab/>
            </w:r>
            <w:r>
              <w:rPr>
                <w:noProof/>
                <w:webHidden/>
              </w:rPr>
              <w:fldChar w:fldCharType="begin"/>
            </w:r>
            <w:r>
              <w:rPr>
                <w:noProof/>
                <w:webHidden/>
              </w:rPr>
              <w:instrText xml:space="preserve"> PAGEREF _Toc212533459 \h </w:instrText>
            </w:r>
            <w:r>
              <w:rPr>
                <w:noProof/>
                <w:webHidden/>
              </w:rPr>
            </w:r>
            <w:r>
              <w:rPr>
                <w:noProof/>
                <w:webHidden/>
              </w:rPr>
              <w:fldChar w:fldCharType="separate"/>
            </w:r>
            <w:r w:rsidR="00B952BC">
              <w:rPr>
                <w:noProof/>
                <w:webHidden/>
              </w:rPr>
              <w:t>9</w:t>
            </w:r>
            <w:r>
              <w:rPr>
                <w:noProof/>
                <w:webHidden/>
              </w:rPr>
              <w:fldChar w:fldCharType="end"/>
            </w:r>
          </w:hyperlink>
        </w:p>
        <w:p w14:paraId="64A6C8F8" w14:textId="31E7D2A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0" w:history="1">
            <w:r w:rsidRPr="00D83A99">
              <w:rPr>
                <w:rStyle w:val="Hyperlink"/>
                <w:rFonts w:cs="Arial"/>
                <w:noProof/>
              </w:rPr>
              <w:t>II. Program Procedures</w:t>
            </w:r>
            <w:r>
              <w:rPr>
                <w:noProof/>
                <w:webHidden/>
              </w:rPr>
              <w:tab/>
            </w:r>
            <w:r>
              <w:rPr>
                <w:noProof/>
                <w:webHidden/>
              </w:rPr>
              <w:fldChar w:fldCharType="begin"/>
            </w:r>
            <w:r>
              <w:rPr>
                <w:noProof/>
                <w:webHidden/>
              </w:rPr>
              <w:instrText xml:space="preserve"> PAGEREF _Toc212533460 \h </w:instrText>
            </w:r>
            <w:r>
              <w:rPr>
                <w:noProof/>
                <w:webHidden/>
              </w:rPr>
            </w:r>
            <w:r>
              <w:rPr>
                <w:noProof/>
                <w:webHidden/>
              </w:rPr>
              <w:fldChar w:fldCharType="separate"/>
            </w:r>
            <w:r w:rsidR="00B952BC">
              <w:rPr>
                <w:noProof/>
                <w:webHidden/>
              </w:rPr>
              <w:t>9</w:t>
            </w:r>
            <w:r>
              <w:rPr>
                <w:noProof/>
                <w:webHidden/>
              </w:rPr>
              <w:fldChar w:fldCharType="end"/>
            </w:r>
          </w:hyperlink>
        </w:p>
        <w:p w14:paraId="6D78C46F" w14:textId="5CE382CB"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1" w:history="1">
            <w:r w:rsidRPr="00D83A99">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_Toc212533461 \h </w:instrText>
            </w:r>
            <w:r>
              <w:rPr>
                <w:noProof/>
                <w:webHidden/>
              </w:rPr>
            </w:r>
            <w:r>
              <w:rPr>
                <w:noProof/>
                <w:webHidden/>
              </w:rPr>
              <w:fldChar w:fldCharType="separate"/>
            </w:r>
            <w:r w:rsidR="00B952BC">
              <w:rPr>
                <w:noProof/>
                <w:webHidden/>
              </w:rPr>
              <w:t>14</w:t>
            </w:r>
            <w:r>
              <w:rPr>
                <w:noProof/>
                <w:webHidden/>
              </w:rPr>
              <w:fldChar w:fldCharType="end"/>
            </w:r>
          </w:hyperlink>
        </w:p>
        <w:p w14:paraId="4D14B735" w14:textId="4DCA9BBE"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2" w:history="1">
            <w:r w:rsidRPr="00D83A99">
              <w:rPr>
                <w:rStyle w:val="Hyperlink"/>
                <w:rFonts w:cs="Arial"/>
                <w:noProof/>
              </w:rPr>
              <w:t>IV. Other Information</w:t>
            </w:r>
            <w:r>
              <w:rPr>
                <w:noProof/>
                <w:webHidden/>
              </w:rPr>
              <w:tab/>
            </w:r>
            <w:r>
              <w:rPr>
                <w:noProof/>
                <w:webHidden/>
              </w:rPr>
              <w:fldChar w:fldCharType="begin"/>
            </w:r>
            <w:r>
              <w:rPr>
                <w:noProof/>
                <w:webHidden/>
              </w:rPr>
              <w:instrText xml:space="preserve"> PAGEREF _Toc212533462 \h </w:instrText>
            </w:r>
            <w:r>
              <w:rPr>
                <w:noProof/>
                <w:webHidden/>
              </w:rPr>
            </w:r>
            <w:r>
              <w:rPr>
                <w:noProof/>
                <w:webHidden/>
              </w:rPr>
              <w:fldChar w:fldCharType="separate"/>
            </w:r>
            <w:r w:rsidR="00B952BC">
              <w:rPr>
                <w:noProof/>
                <w:webHidden/>
              </w:rPr>
              <w:t>14</w:t>
            </w:r>
            <w:r>
              <w:rPr>
                <w:noProof/>
                <w:webHidden/>
              </w:rPr>
              <w:fldChar w:fldCharType="end"/>
            </w:r>
          </w:hyperlink>
        </w:p>
        <w:p w14:paraId="2EC540D9" w14:textId="6296BFAE" w:rsidR="00946355" w:rsidRDefault="00946355">
          <w:pPr>
            <w:pStyle w:val="TOC1"/>
            <w:rPr>
              <w:rFonts w:asciiTheme="minorHAnsi" w:eastAsiaTheme="minorEastAsia" w:hAnsiTheme="minorHAnsi" w:cstheme="minorBidi"/>
              <w:noProof/>
              <w:kern w:val="2"/>
              <w:sz w:val="24"/>
              <w:szCs w:val="24"/>
              <w14:ligatures w14:val="standardContextual"/>
            </w:rPr>
          </w:pPr>
          <w:hyperlink w:anchor="_Toc212533463" w:history="1">
            <w:r w:rsidRPr="00D83A9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_Toc212533463 \h </w:instrText>
            </w:r>
            <w:r>
              <w:rPr>
                <w:noProof/>
                <w:webHidden/>
              </w:rPr>
            </w:r>
            <w:r>
              <w:rPr>
                <w:noProof/>
                <w:webHidden/>
              </w:rPr>
              <w:fldChar w:fldCharType="separate"/>
            </w:r>
            <w:r w:rsidR="00B952BC">
              <w:rPr>
                <w:noProof/>
                <w:webHidden/>
              </w:rPr>
              <w:t>16</w:t>
            </w:r>
            <w:r>
              <w:rPr>
                <w:noProof/>
                <w:webHidden/>
              </w:rPr>
              <w:fldChar w:fldCharType="end"/>
            </w:r>
          </w:hyperlink>
        </w:p>
        <w:p w14:paraId="6055A171" w14:textId="377AF258"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4" w:history="1">
            <w:r w:rsidRPr="00D83A99">
              <w:rPr>
                <w:rStyle w:val="Hyperlink"/>
                <w:rFonts w:cs="Arial"/>
                <w:noProof/>
              </w:rPr>
              <w:t>Program Overview</w:t>
            </w:r>
            <w:r>
              <w:rPr>
                <w:noProof/>
                <w:webHidden/>
              </w:rPr>
              <w:tab/>
            </w:r>
            <w:r>
              <w:rPr>
                <w:noProof/>
                <w:webHidden/>
              </w:rPr>
              <w:fldChar w:fldCharType="begin"/>
            </w:r>
            <w:r>
              <w:rPr>
                <w:noProof/>
                <w:webHidden/>
              </w:rPr>
              <w:instrText xml:space="preserve"> PAGEREF _Toc212533464 \h </w:instrText>
            </w:r>
            <w:r>
              <w:rPr>
                <w:noProof/>
                <w:webHidden/>
              </w:rPr>
            </w:r>
            <w:r>
              <w:rPr>
                <w:noProof/>
                <w:webHidden/>
              </w:rPr>
              <w:fldChar w:fldCharType="separate"/>
            </w:r>
            <w:r w:rsidR="00B952BC">
              <w:rPr>
                <w:noProof/>
                <w:webHidden/>
              </w:rPr>
              <w:t>16</w:t>
            </w:r>
            <w:r>
              <w:rPr>
                <w:noProof/>
                <w:webHidden/>
              </w:rPr>
              <w:fldChar w:fldCharType="end"/>
            </w:r>
          </w:hyperlink>
        </w:p>
        <w:p w14:paraId="501F595F" w14:textId="4D8F024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5" w:history="1">
            <w:r w:rsidRPr="00D83A99">
              <w:rPr>
                <w:rStyle w:val="Hyperlink"/>
                <w:rFonts w:cs="Arial"/>
                <w:noProof/>
              </w:rPr>
              <w:t>Testing Considerations</w:t>
            </w:r>
            <w:r>
              <w:rPr>
                <w:noProof/>
                <w:webHidden/>
              </w:rPr>
              <w:tab/>
            </w:r>
            <w:r>
              <w:rPr>
                <w:noProof/>
                <w:webHidden/>
              </w:rPr>
              <w:fldChar w:fldCharType="begin"/>
            </w:r>
            <w:r>
              <w:rPr>
                <w:noProof/>
                <w:webHidden/>
              </w:rPr>
              <w:instrText xml:space="preserve"> PAGEREF _Toc212533465 \h </w:instrText>
            </w:r>
            <w:r>
              <w:rPr>
                <w:noProof/>
                <w:webHidden/>
              </w:rPr>
            </w:r>
            <w:r>
              <w:rPr>
                <w:noProof/>
                <w:webHidden/>
              </w:rPr>
              <w:fldChar w:fldCharType="separate"/>
            </w:r>
            <w:r w:rsidR="00B952BC">
              <w:rPr>
                <w:noProof/>
                <w:webHidden/>
              </w:rPr>
              <w:t>16</w:t>
            </w:r>
            <w:r>
              <w:rPr>
                <w:noProof/>
                <w:webHidden/>
              </w:rPr>
              <w:fldChar w:fldCharType="end"/>
            </w:r>
          </w:hyperlink>
        </w:p>
        <w:p w14:paraId="5DB46BE0" w14:textId="1E66F4E8"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6" w:history="1">
            <w:r w:rsidRPr="00D83A99">
              <w:rPr>
                <w:rStyle w:val="Hyperlink"/>
                <w:rFonts w:cs="Arial"/>
                <w:noProof/>
              </w:rPr>
              <w:t>Reporting</w:t>
            </w:r>
            <w:r>
              <w:rPr>
                <w:noProof/>
                <w:webHidden/>
              </w:rPr>
              <w:tab/>
            </w:r>
            <w:r>
              <w:rPr>
                <w:noProof/>
                <w:webHidden/>
              </w:rPr>
              <w:fldChar w:fldCharType="begin"/>
            </w:r>
            <w:r>
              <w:rPr>
                <w:noProof/>
                <w:webHidden/>
              </w:rPr>
              <w:instrText xml:space="preserve"> PAGEREF _Toc212533466 \h </w:instrText>
            </w:r>
            <w:r>
              <w:rPr>
                <w:noProof/>
                <w:webHidden/>
              </w:rPr>
            </w:r>
            <w:r>
              <w:rPr>
                <w:noProof/>
                <w:webHidden/>
              </w:rPr>
              <w:fldChar w:fldCharType="separate"/>
            </w:r>
            <w:r w:rsidR="00B952BC">
              <w:rPr>
                <w:noProof/>
                <w:webHidden/>
              </w:rPr>
              <w:t>16</w:t>
            </w:r>
            <w:r>
              <w:rPr>
                <w:noProof/>
                <w:webHidden/>
              </w:rPr>
              <w:fldChar w:fldCharType="end"/>
            </w:r>
          </w:hyperlink>
        </w:p>
        <w:p w14:paraId="6D9B4C76" w14:textId="74E745B9" w:rsidR="00946355" w:rsidRDefault="00946355">
          <w:pPr>
            <w:pStyle w:val="TOC1"/>
            <w:rPr>
              <w:rFonts w:asciiTheme="minorHAnsi" w:eastAsiaTheme="minorEastAsia" w:hAnsiTheme="minorHAnsi" w:cstheme="minorBidi"/>
              <w:noProof/>
              <w:kern w:val="2"/>
              <w:sz w:val="24"/>
              <w:szCs w:val="24"/>
              <w14:ligatures w14:val="standardContextual"/>
            </w:rPr>
          </w:pPr>
          <w:hyperlink w:anchor="_Toc212533467" w:history="1">
            <w:r w:rsidRPr="00D83A9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_Toc212533467 \h </w:instrText>
            </w:r>
            <w:r>
              <w:rPr>
                <w:noProof/>
                <w:webHidden/>
              </w:rPr>
            </w:r>
            <w:r>
              <w:rPr>
                <w:noProof/>
                <w:webHidden/>
              </w:rPr>
              <w:fldChar w:fldCharType="separate"/>
            </w:r>
            <w:r w:rsidR="00B952BC">
              <w:rPr>
                <w:noProof/>
                <w:webHidden/>
              </w:rPr>
              <w:t>17</w:t>
            </w:r>
            <w:r>
              <w:rPr>
                <w:noProof/>
                <w:webHidden/>
              </w:rPr>
              <w:fldChar w:fldCharType="end"/>
            </w:r>
          </w:hyperlink>
        </w:p>
        <w:p w14:paraId="79D12DC5" w14:textId="48CE399B" w:rsidR="00946355" w:rsidRDefault="00946355">
          <w:pPr>
            <w:pStyle w:val="TOC2"/>
            <w:rPr>
              <w:rFonts w:asciiTheme="minorHAnsi" w:eastAsiaTheme="minorEastAsia" w:hAnsiTheme="minorHAnsi" w:cstheme="minorBidi"/>
              <w:bCs w:val="0"/>
              <w:kern w:val="2"/>
              <w:sz w:val="24"/>
              <w14:ligatures w14:val="standardContextual"/>
            </w:rPr>
          </w:pPr>
          <w:hyperlink w:anchor="_Toc212533468" w:history="1">
            <w:r w:rsidRPr="00D83A99">
              <w:rPr>
                <w:rStyle w:val="Hyperlink"/>
              </w:rPr>
              <w:t>A.  ACTIVITIES ALLOWED OR UNALLOWED</w:t>
            </w:r>
            <w:r>
              <w:rPr>
                <w:webHidden/>
              </w:rPr>
              <w:tab/>
            </w:r>
            <w:r>
              <w:rPr>
                <w:webHidden/>
              </w:rPr>
              <w:fldChar w:fldCharType="begin"/>
            </w:r>
            <w:r>
              <w:rPr>
                <w:webHidden/>
              </w:rPr>
              <w:instrText xml:space="preserve"> PAGEREF _Toc212533468 \h </w:instrText>
            </w:r>
            <w:r>
              <w:rPr>
                <w:webHidden/>
              </w:rPr>
            </w:r>
            <w:r>
              <w:rPr>
                <w:webHidden/>
              </w:rPr>
              <w:fldChar w:fldCharType="separate"/>
            </w:r>
            <w:r w:rsidR="00B952BC">
              <w:rPr>
                <w:webHidden/>
              </w:rPr>
              <w:t>17</w:t>
            </w:r>
            <w:r>
              <w:rPr>
                <w:webHidden/>
              </w:rPr>
              <w:fldChar w:fldCharType="end"/>
            </w:r>
          </w:hyperlink>
        </w:p>
        <w:p w14:paraId="68D5D5C6" w14:textId="22459B0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69"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_Toc212533469 \h </w:instrText>
            </w:r>
            <w:r>
              <w:rPr>
                <w:noProof/>
                <w:webHidden/>
              </w:rPr>
            </w:r>
            <w:r>
              <w:rPr>
                <w:noProof/>
                <w:webHidden/>
              </w:rPr>
              <w:fldChar w:fldCharType="separate"/>
            </w:r>
            <w:r w:rsidR="00B952BC">
              <w:rPr>
                <w:noProof/>
                <w:webHidden/>
              </w:rPr>
              <w:t>17</w:t>
            </w:r>
            <w:r>
              <w:rPr>
                <w:noProof/>
                <w:webHidden/>
              </w:rPr>
              <w:fldChar w:fldCharType="end"/>
            </w:r>
          </w:hyperlink>
        </w:p>
        <w:p w14:paraId="6E770CD4" w14:textId="4FE7E5A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0"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_Toc212533470 \h </w:instrText>
            </w:r>
            <w:r>
              <w:rPr>
                <w:noProof/>
                <w:webHidden/>
              </w:rPr>
            </w:r>
            <w:r>
              <w:rPr>
                <w:noProof/>
                <w:webHidden/>
              </w:rPr>
              <w:fldChar w:fldCharType="separate"/>
            </w:r>
            <w:r w:rsidR="00B952BC">
              <w:rPr>
                <w:noProof/>
                <w:webHidden/>
              </w:rPr>
              <w:t>20</w:t>
            </w:r>
            <w:r>
              <w:rPr>
                <w:noProof/>
                <w:webHidden/>
              </w:rPr>
              <w:fldChar w:fldCharType="end"/>
            </w:r>
          </w:hyperlink>
        </w:p>
        <w:p w14:paraId="6834238A" w14:textId="137F6A94"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1" w:history="1">
            <w:r w:rsidRPr="00D83A99">
              <w:rPr>
                <w:rStyle w:val="Hyperlink"/>
                <w:noProof/>
              </w:rPr>
              <w:t>Audit Objectives and Control Testing</w:t>
            </w:r>
            <w:r>
              <w:rPr>
                <w:noProof/>
                <w:webHidden/>
              </w:rPr>
              <w:tab/>
            </w:r>
            <w:r>
              <w:rPr>
                <w:noProof/>
                <w:webHidden/>
              </w:rPr>
              <w:fldChar w:fldCharType="begin"/>
            </w:r>
            <w:r>
              <w:rPr>
                <w:noProof/>
                <w:webHidden/>
              </w:rPr>
              <w:instrText xml:space="preserve"> PAGEREF _Toc212533471 \h </w:instrText>
            </w:r>
            <w:r>
              <w:rPr>
                <w:noProof/>
                <w:webHidden/>
              </w:rPr>
            </w:r>
            <w:r>
              <w:rPr>
                <w:noProof/>
                <w:webHidden/>
              </w:rPr>
              <w:fldChar w:fldCharType="separate"/>
            </w:r>
            <w:r w:rsidR="00B952BC">
              <w:rPr>
                <w:noProof/>
                <w:webHidden/>
              </w:rPr>
              <w:t>20</w:t>
            </w:r>
            <w:r>
              <w:rPr>
                <w:noProof/>
                <w:webHidden/>
              </w:rPr>
              <w:fldChar w:fldCharType="end"/>
            </w:r>
          </w:hyperlink>
        </w:p>
        <w:p w14:paraId="33444F28" w14:textId="19592BF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2"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_Toc212533472 \h </w:instrText>
            </w:r>
            <w:r>
              <w:rPr>
                <w:noProof/>
                <w:webHidden/>
              </w:rPr>
            </w:r>
            <w:r>
              <w:rPr>
                <w:noProof/>
                <w:webHidden/>
              </w:rPr>
              <w:fldChar w:fldCharType="separate"/>
            </w:r>
            <w:r w:rsidR="00B952BC">
              <w:rPr>
                <w:noProof/>
                <w:webHidden/>
              </w:rPr>
              <w:t>21</w:t>
            </w:r>
            <w:r>
              <w:rPr>
                <w:noProof/>
                <w:webHidden/>
              </w:rPr>
              <w:fldChar w:fldCharType="end"/>
            </w:r>
          </w:hyperlink>
        </w:p>
        <w:p w14:paraId="5E9D8C31" w14:textId="2419C37E"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3"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_Toc212533473 \h </w:instrText>
            </w:r>
            <w:r>
              <w:rPr>
                <w:noProof/>
                <w:webHidden/>
              </w:rPr>
            </w:r>
            <w:r>
              <w:rPr>
                <w:noProof/>
                <w:webHidden/>
              </w:rPr>
              <w:fldChar w:fldCharType="separate"/>
            </w:r>
            <w:r w:rsidR="00B952BC">
              <w:rPr>
                <w:noProof/>
                <w:webHidden/>
              </w:rPr>
              <w:t>21</w:t>
            </w:r>
            <w:r>
              <w:rPr>
                <w:noProof/>
                <w:webHidden/>
              </w:rPr>
              <w:fldChar w:fldCharType="end"/>
            </w:r>
          </w:hyperlink>
        </w:p>
        <w:p w14:paraId="5D182BC2" w14:textId="494D1CC9" w:rsidR="00946355" w:rsidRDefault="00946355">
          <w:pPr>
            <w:pStyle w:val="TOC2"/>
            <w:rPr>
              <w:rFonts w:asciiTheme="minorHAnsi" w:eastAsiaTheme="minorEastAsia" w:hAnsiTheme="minorHAnsi" w:cstheme="minorBidi"/>
              <w:bCs w:val="0"/>
              <w:kern w:val="2"/>
              <w:sz w:val="24"/>
              <w14:ligatures w14:val="standardContextual"/>
            </w:rPr>
          </w:pPr>
          <w:hyperlink w:anchor="_Toc212533474" w:history="1">
            <w:r w:rsidRPr="00D83A99">
              <w:rPr>
                <w:rStyle w:val="Hyperlink"/>
              </w:rPr>
              <w:t>B.  ALLOWABLE COSTS/COST PRINCIPLES</w:t>
            </w:r>
            <w:r>
              <w:rPr>
                <w:webHidden/>
              </w:rPr>
              <w:tab/>
            </w:r>
            <w:r>
              <w:rPr>
                <w:webHidden/>
              </w:rPr>
              <w:fldChar w:fldCharType="begin"/>
            </w:r>
            <w:r>
              <w:rPr>
                <w:webHidden/>
              </w:rPr>
              <w:instrText xml:space="preserve"> PAGEREF _Toc212533474 \h </w:instrText>
            </w:r>
            <w:r>
              <w:rPr>
                <w:webHidden/>
              </w:rPr>
            </w:r>
            <w:r>
              <w:rPr>
                <w:webHidden/>
              </w:rPr>
              <w:fldChar w:fldCharType="separate"/>
            </w:r>
            <w:r w:rsidR="00B952BC">
              <w:rPr>
                <w:webHidden/>
              </w:rPr>
              <w:t>23</w:t>
            </w:r>
            <w:r>
              <w:rPr>
                <w:webHidden/>
              </w:rPr>
              <w:fldChar w:fldCharType="end"/>
            </w:r>
          </w:hyperlink>
        </w:p>
        <w:p w14:paraId="0353AA44" w14:textId="7784B035"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5" w:history="1">
            <w:r w:rsidRPr="00D83A99">
              <w:rPr>
                <w:rStyle w:val="Hyperlink"/>
                <w:rFonts w:cs="Arial"/>
                <w:noProof/>
              </w:rPr>
              <w:t>Applicability of Cost Principles</w:t>
            </w:r>
            <w:r>
              <w:rPr>
                <w:noProof/>
                <w:webHidden/>
              </w:rPr>
              <w:tab/>
            </w:r>
            <w:r>
              <w:rPr>
                <w:noProof/>
                <w:webHidden/>
              </w:rPr>
              <w:fldChar w:fldCharType="begin"/>
            </w:r>
            <w:r>
              <w:rPr>
                <w:noProof/>
                <w:webHidden/>
              </w:rPr>
              <w:instrText xml:space="preserve"> PAGEREF _Toc212533475 \h </w:instrText>
            </w:r>
            <w:r>
              <w:rPr>
                <w:noProof/>
                <w:webHidden/>
              </w:rPr>
            </w:r>
            <w:r>
              <w:rPr>
                <w:noProof/>
                <w:webHidden/>
              </w:rPr>
              <w:fldChar w:fldCharType="separate"/>
            </w:r>
            <w:r w:rsidR="00B952BC">
              <w:rPr>
                <w:noProof/>
                <w:webHidden/>
              </w:rPr>
              <w:t>24</w:t>
            </w:r>
            <w:r>
              <w:rPr>
                <w:noProof/>
                <w:webHidden/>
              </w:rPr>
              <w:fldChar w:fldCharType="end"/>
            </w:r>
          </w:hyperlink>
        </w:p>
        <w:p w14:paraId="3BB79EB0" w14:textId="39E09EE1"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6"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_Toc212533476 \h </w:instrText>
            </w:r>
            <w:r>
              <w:rPr>
                <w:noProof/>
                <w:webHidden/>
              </w:rPr>
            </w:r>
            <w:r>
              <w:rPr>
                <w:noProof/>
                <w:webHidden/>
              </w:rPr>
              <w:fldChar w:fldCharType="separate"/>
            </w:r>
            <w:r w:rsidR="00B952BC">
              <w:rPr>
                <w:noProof/>
                <w:webHidden/>
              </w:rPr>
              <w:t>27</w:t>
            </w:r>
            <w:r>
              <w:rPr>
                <w:noProof/>
                <w:webHidden/>
              </w:rPr>
              <w:fldChar w:fldCharType="end"/>
            </w:r>
          </w:hyperlink>
        </w:p>
        <w:p w14:paraId="0E4F9152" w14:textId="2018735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7" w:history="1">
            <w:r w:rsidRPr="00D83A9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_Toc212533477 \h </w:instrText>
            </w:r>
            <w:r>
              <w:rPr>
                <w:noProof/>
                <w:webHidden/>
              </w:rPr>
            </w:r>
            <w:r>
              <w:rPr>
                <w:noProof/>
                <w:webHidden/>
              </w:rPr>
              <w:fldChar w:fldCharType="separate"/>
            </w:r>
            <w:r w:rsidR="00B952BC">
              <w:rPr>
                <w:noProof/>
                <w:webHidden/>
              </w:rPr>
              <w:t>27</w:t>
            </w:r>
            <w:r>
              <w:rPr>
                <w:noProof/>
                <w:webHidden/>
              </w:rPr>
              <w:fldChar w:fldCharType="end"/>
            </w:r>
          </w:hyperlink>
        </w:p>
        <w:p w14:paraId="1D86B6EE" w14:textId="04C215EA"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8"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_Toc212533478 \h </w:instrText>
            </w:r>
            <w:r>
              <w:rPr>
                <w:noProof/>
                <w:webHidden/>
              </w:rPr>
            </w:r>
            <w:r>
              <w:rPr>
                <w:noProof/>
                <w:webHidden/>
              </w:rPr>
              <w:fldChar w:fldCharType="separate"/>
            </w:r>
            <w:r w:rsidR="00B952BC">
              <w:rPr>
                <w:noProof/>
                <w:webHidden/>
              </w:rPr>
              <w:t>27</w:t>
            </w:r>
            <w:r>
              <w:rPr>
                <w:noProof/>
                <w:webHidden/>
              </w:rPr>
              <w:fldChar w:fldCharType="end"/>
            </w:r>
          </w:hyperlink>
        </w:p>
        <w:p w14:paraId="54248E85" w14:textId="21584933"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79"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_Toc212533479 \h </w:instrText>
            </w:r>
            <w:r>
              <w:rPr>
                <w:noProof/>
                <w:webHidden/>
              </w:rPr>
            </w:r>
            <w:r>
              <w:rPr>
                <w:noProof/>
                <w:webHidden/>
              </w:rPr>
              <w:fldChar w:fldCharType="separate"/>
            </w:r>
            <w:r w:rsidR="00B952BC">
              <w:rPr>
                <w:noProof/>
                <w:webHidden/>
              </w:rPr>
              <w:t>35</w:t>
            </w:r>
            <w:r>
              <w:rPr>
                <w:noProof/>
                <w:webHidden/>
              </w:rPr>
              <w:fldChar w:fldCharType="end"/>
            </w:r>
          </w:hyperlink>
        </w:p>
        <w:p w14:paraId="197C57CA" w14:textId="356E1BF5" w:rsidR="00946355" w:rsidRDefault="00946355">
          <w:pPr>
            <w:pStyle w:val="TOC2"/>
            <w:rPr>
              <w:rFonts w:asciiTheme="minorHAnsi" w:eastAsiaTheme="minorEastAsia" w:hAnsiTheme="minorHAnsi" w:cstheme="minorBidi"/>
              <w:bCs w:val="0"/>
              <w:kern w:val="2"/>
              <w:sz w:val="24"/>
              <w14:ligatures w14:val="standardContextual"/>
            </w:rPr>
          </w:pPr>
          <w:hyperlink w:anchor="_Toc212533480" w:history="1">
            <w:r w:rsidRPr="00D83A99">
              <w:rPr>
                <w:rStyle w:val="Hyperlink"/>
              </w:rPr>
              <w:t>E.  ELIGIBILITY</w:t>
            </w:r>
            <w:r>
              <w:rPr>
                <w:webHidden/>
              </w:rPr>
              <w:tab/>
            </w:r>
            <w:r>
              <w:rPr>
                <w:webHidden/>
              </w:rPr>
              <w:fldChar w:fldCharType="begin"/>
            </w:r>
            <w:r>
              <w:rPr>
                <w:webHidden/>
              </w:rPr>
              <w:instrText xml:space="preserve"> PAGEREF _Toc212533480 \h </w:instrText>
            </w:r>
            <w:r>
              <w:rPr>
                <w:webHidden/>
              </w:rPr>
            </w:r>
            <w:r>
              <w:rPr>
                <w:webHidden/>
              </w:rPr>
              <w:fldChar w:fldCharType="separate"/>
            </w:r>
            <w:r w:rsidR="00B952BC">
              <w:rPr>
                <w:webHidden/>
              </w:rPr>
              <w:t>37</w:t>
            </w:r>
            <w:r>
              <w:rPr>
                <w:webHidden/>
              </w:rPr>
              <w:fldChar w:fldCharType="end"/>
            </w:r>
          </w:hyperlink>
        </w:p>
        <w:p w14:paraId="5240A132" w14:textId="3C42A892"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1"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_Toc212533481 \h </w:instrText>
            </w:r>
            <w:r>
              <w:rPr>
                <w:noProof/>
                <w:webHidden/>
              </w:rPr>
            </w:r>
            <w:r>
              <w:rPr>
                <w:noProof/>
                <w:webHidden/>
              </w:rPr>
              <w:fldChar w:fldCharType="separate"/>
            </w:r>
            <w:r w:rsidR="00B952BC">
              <w:rPr>
                <w:noProof/>
                <w:webHidden/>
              </w:rPr>
              <w:t>37</w:t>
            </w:r>
            <w:r>
              <w:rPr>
                <w:noProof/>
                <w:webHidden/>
              </w:rPr>
              <w:fldChar w:fldCharType="end"/>
            </w:r>
          </w:hyperlink>
        </w:p>
        <w:p w14:paraId="1474D994" w14:textId="6537E71E"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2"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_Toc212533482 \h </w:instrText>
            </w:r>
            <w:r>
              <w:rPr>
                <w:noProof/>
                <w:webHidden/>
              </w:rPr>
            </w:r>
            <w:r>
              <w:rPr>
                <w:noProof/>
                <w:webHidden/>
              </w:rPr>
              <w:fldChar w:fldCharType="separate"/>
            </w:r>
            <w:r w:rsidR="00B952BC">
              <w:rPr>
                <w:noProof/>
                <w:webHidden/>
              </w:rPr>
              <w:t>38</w:t>
            </w:r>
            <w:r>
              <w:rPr>
                <w:noProof/>
                <w:webHidden/>
              </w:rPr>
              <w:fldChar w:fldCharType="end"/>
            </w:r>
          </w:hyperlink>
        </w:p>
        <w:p w14:paraId="61CBB125" w14:textId="01F2F663"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3"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_Toc212533483 \h </w:instrText>
            </w:r>
            <w:r>
              <w:rPr>
                <w:noProof/>
                <w:webHidden/>
              </w:rPr>
            </w:r>
            <w:r>
              <w:rPr>
                <w:noProof/>
                <w:webHidden/>
              </w:rPr>
              <w:fldChar w:fldCharType="separate"/>
            </w:r>
            <w:r w:rsidR="00B952BC">
              <w:rPr>
                <w:noProof/>
                <w:webHidden/>
              </w:rPr>
              <w:t>38</w:t>
            </w:r>
            <w:r>
              <w:rPr>
                <w:noProof/>
                <w:webHidden/>
              </w:rPr>
              <w:fldChar w:fldCharType="end"/>
            </w:r>
          </w:hyperlink>
        </w:p>
        <w:p w14:paraId="5E57C2FD" w14:textId="0A3DA80A"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4"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_Toc212533484 \h </w:instrText>
            </w:r>
            <w:r>
              <w:rPr>
                <w:noProof/>
                <w:webHidden/>
              </w:rPr>
            </w:r>
            <w:r>
              <w:rPr>
                <w:noProof/>
                <w:webHidden/>
              </w:rPr>
              <w:fldChar w:fldCharType="separate"/>
            </w:r>
            <w:r w:rsidR="00B952BC">
              <w:rPr>
                <w:noProof/>
                <w:webHidden/>
              </w:rPr>
              <w:t>39</w:t>
            </w:r>
            <w:r>
              <w:rPr>
                <w:noProof/>
                <w:webHidden/>
              </w:rPr>
              <w:fldChar w:fldCharType="end"/>
            </w:r>
          </w:hyperlink>
        </w:p>
        <w:p w14:paraId="67E048FC" w14:textId="41DFD622"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5"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_Toc212533485 \h </w:instrText>
            </w:r>
            <w:r>
              <w:rPr>
                <w:noProof/>
                <w:webHidden/>
              </w:rPr>
            </w:r>
            <w:r>
              <w:rPr>
                <w:noProof/>
                <w:webHidden/>
              </w:rPr>
              <w:fldChar w:fldCharType="separate"/>
            </w:r>
            <w:r w:rsidR="00B952BC">
              <w:rPr>
                <w:noProof/>
                <w:webHidden/>
              </w:rPr>
              <w:t>41</w:t>
            </w:r>
            <w:r>
              <w:rPr>
                <w:noProof/>
                <w:webHidden/>
              </w:rPr>
              <w:fldChar w:fldCharType="end"/>
            </w:r>
          </w:hyperlink>
        </w:p>
        <w:p w14:paraId="225CED06" w14:textId="1158E6D4" w:rsidR="00946355" w:rsidRDefault="00946355">
          <w:pPr>
            <w:pStyle w:val="TOC2"/>
            <w:rPr>
              <w:rFonts w:asciiTheme="minorHAnsi" w:eastAsiaTheme="minorEastAsia" w:hAnsiTheme="minorHAnsi" w:cstheme="minorBidi"/>
              <w:bCs w:val="0"/>
              <w:kern w:val="2"/>
              <w:sz w:val="24"/>
              <w14:ligatures w14:val="standardContextual"/>
            </w:rPr>
          </w:pPr>
          <w:hyperlink w:anchor="_Toc212533486" w:history="1">
            <w:r w:rsidRPr="00D83A99">
              <w:rPr>
                <w:rStyle w:val="Hyperlink"/>
              </w:rPr>
              <w:t>L.  REPORTING</w:t>
            </w:r>
            <w:r>
              <w:rPr>
                <w:webHidden/>
              </w:rPr>
              <w:tab/>
            </w:r>
            <w:r>
              <w:rPr>
                <w:webHidden/>
              </w:rPr>
              <w:fldChar w:fldCharType="begin"/>
            </w:r>
            <w:r>
              <w:rPr>
                <w:webHidden/>
              </w:rPr>
              <w:instrText xml:space="preserve"> PAGEREF _Toc212533486 \h </w:instrText>
            </w:r>
            <w:r>
              <w:rPr>
                <w:webHidden/>
              </w:rPr>
            </w:r>
            <w:r>
              <w:rPr>
                <w:webHidden/>
              </w:rPr>
              <w:fldChar w:fldCharType="separate"/>
            </w:r>
            <w:r w:rsidR="00B952BC">
              <w:rPr>
                <w:webHidden/>
              </w:rPr>
              <w:t>42</w:t>
            </w:r>
            <w:r>
              <w:rPr>
                <w:webHidden/>
              </w:rPr>
              <w:fldChar w:fldCharType="end"/>
            </w:r>
          </w:hyperlink>
        </w:p>
        <w:p w14:paraId="61FDD439" w14:textId="4B54E894"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7"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_Toc212533487 \h </w:instrText>
            </w:r>
            <w:r>
              <w:rPr>
                <w:noProof/>
                <w:webHidden/>
              </w:rPr>
            </w:r>
            <w:r>
              <w:rPr>
                <w:noProof/>
                <w:webHidden/>
              </w:rPr>
              <w:fldChar w:fldCharType="separate"/>
            </w:r>
            <w:r w:rsidR="00B952BC">
              <w:rPr>
                <w:noProof/>
                <w:webHidden/>
              </w:rPr>
              <w:t>42</w:t>
            </w:r>
            <w:r>
              <w:rPr>
                <w:noProof/>
                <w:webHidden/>
              </w:rPr>
              <w:fldChar w:fldCharType="end"/>
            </w:r>
          </w:hyperlink>
        </w:p>
        <w:p w14:paraId="61C36EC3" w14:textId="0F07CAF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8"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_Toc212533488 \h </w:instrText>
            </w:r>
            <w:r>
              <w:rPr>
                <w:noProof/>
                <w:webHidden/>
              </w:rPr>
            </w:r>
            <w:r>
              <w:rPr>
                <w:noProof/>
                <w:webHidden/>
              </w:rPr>
              <w:fldChar w:fldCharType="separate"/>
            </w:r>
            <w:r w:rsidR="00B952BC">
              <w:rPr>
                <w:noProof/>
                <w:webHidden/>
              </w:rPr>
              <w:t>47</w:t>
            </w:r>
            <w:r>
              <w:rPr>
                <w:noProof/>
                <w:webHidden/>
              </w:rPr>
              <w:fldChar w:fldCharType="end"/>
            </w:r>
          </w:hyperlink>
        </w:p>
        <w:p w14:paraId="217D29CD" w14:textId="004C5670"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89"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_Toc212533489 \h </w:instrText>
            </w:r>
            <w:r>
              <w:rPr>
                <w:noProof/>
                <w:webHidden/>
              </w:rPr>
            </w:r>
            <w:r>
              <w:rPr>
                <w:noProof/>
                <w:webHidden/>
              </w:rPr>
              <w:fldChar w:fldCharType="separate"/>
            </w:r>
            <w:r w:rsidR="00B952BC">
              <w:rPr>
                <w:noProof/>
                <w:webHidden/>
              </w:rPr>
              <w:t>47</w:t>
            </w:r>
            <w:r>
              <w:rPr>
                <w:noProof/>
                <w:webHidden/>
              </w:rPr>
              <w:fldChar w:fldCharType="end"/>
            </w:r>
          </w:hyperlink>
        </w:p>
        <w:p w14:paraId="59B953B8" w14:textId="2E697DAC"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0"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_Toc212533490 \h </w:instrText>
            </w:r>
            <w:r>
              <w:rPr>
                <w:noProof/>
                <w:webHidden/>
              </w:rPr>
            </w:r>
            <w:r>
              <w:rPr>
                <w:noProof/>
                <w:webHidden/>
              </w:rPr>
              <w:fldChar w:fldCharType="separate"/>
            </w:r>
            <w:r w:rsidR="00B952BC">
              <w:rPr>
                <w:noProof/>
                <w:webHidden/>
              </w:rPr>
              <w:t>48</w:t>
            </w:r>
            <w:r>
              <w:rPr>
                <w:noProof/>
                <w:webHidden/>
              </w:rPr>
              <w:fldChar w:fldCharType="end"/>
            </w:r>
          </w:hyperlink>
        </w:p>
        <w:p w14:paraId="35CDA72A" w14:textId="20E3E437"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1"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_Toc212533491 \h </w:instrText>
            </w:r>
            <w:r>
              <w:rPr>
                <w:noProof/>
                <w:webHidden/>
              </w:rPr>
            </w:r>
            <w:r>
              <w:rPr>
                <w:noProof/>
                <w:webHidden/>
              </w:rPr>
              <w:fldChar w:fldCharType="separate"/>
            </w:r>
            <w:r w:rsidR="00B952BC">
              <w:rPr>
                <w:noProof/>
                <w:webHidden/>
              </w:rPr>
              <w:t>51</w:t>
            </w:r>
            <w:r>
              <w:rPr>
                <w:noProof/>
                <w:webHidden/>
              </w:rPr>
              <w:fldChar w:fldCharType="end"/>
            </w:r>
          </w:hyperlink>
        </w:p>
        <w:p w14:paraId="2D92D09F" w14:textId="550BA3E0" w:rsidR="00946355" w:rsidRDefault="00946355">
          <w:pPr>
            <w:pStyle w:val="TOC2"/>
            <w:rPr>
              <w:rFonts w:asciiTheme="minorHAnsi" w:eastAsiaTheme="minorEastAsia" w:hAnsiTheme="minorHAnsi" w:cstheme="minorBidi"/>
              <w:bCs w:val="0"/>
              <w:kern w:val="2"/>
              <w:sz w:val="24"/>
              <w14:ligatures w14:val="standardContextual"/>
            </w:rPr>
          </w:pPr>
          <w:hyperlink w:anchor="_Toc212533492" w:history="1">
            <w:r w:rsidRPr="00D83A99">
              <w:rPr>
                <w:rStyle w:val="Hyperlink"/>
              </w:rPr>
              <w:t>N1.  SPECIAL TESTS AND PROVISIONS – SELECTION FROM THE WAITING LIST</w:t>
            </w:r>
            <w:r>
              <w:rPr>
                <w:webHidden/>
              </w:rPr>
              <w:tab/>
            </w:r>
            <w:r>
              <w:rPr>
                <w:webHidden/>
              </w:rPr>
              <w:fldChar w:fldCharType="begin"/>
            </w:r>
            <w:r>
              <w:rPr>
                <w:webHidden/>
              </w:rPr>
              <w:instrText xml:space="preserve"> PAGEREF _Toc212533492 \h </w:instrText>
            </w:r>
            <w:r>
              <w:rPr>
                <w:webHidden/>
              </w:rPr>
            </w:r>
            <w:r>
              <w:rPr>
                <w:webHidden/>
              </w:rPr>
              <w:fldChar w:fldCharType="separate"/>
            </w:r>
            <w:r w:rsidR="00B952BC">
              <w:rPr>
                <w:webHidden/>
              </w:rPr>
              <w:t>52</w:t>
            </w:r>
            <w:r>
              <w:rPr>
                <w:webHidden/>
              </w:rPr>
              <w:fldChar w:fldCharType="end"/>
            </w:r>
          </w:hyperlink>
        </w:p>
        <w:p w14:paraId="745A3FD9" w14:textId="3BF738A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3"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_Toc212533493 \h </w:instrText>
            </w:r>
            <w:r>
              <w:rPr>
                <w:noProof/>
                <w:webHidden/>
              </w:rPr>
            </w:r>
            <w:r>
              <w:rPr>
                <w:noProof/>
                <w:webHidden/>
              </w:rPr>
              <w:fldChar w:fldCharType="separate"/>
            </w:r>
            <w:r w:rsidR="00B952BC">
              <w:rPr>
                <w:noProof/>
                <w:webHidden/>
              </w:rPr>
              <w:t>52</w:t>
            </w:r>
            <w:r>
              <w:rPr>
                <w:noProof/>
                <w:webHidden/>
              </w:rPr>
              <w:fldChar w:fldCharType="end"/>
            </w:r>
          </w:hyperlink>
        </w:p>
        <w:p w14:paraId="45504ABD" w14:textId="7CDB47F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4"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_Toc212533494 \h </w:instrText>
            </w:r>
            <w:r>
              <w:rPr>
                <w:noProof/>
                <w:webHidden/>
              </w:rPr>
            </w:r>
            <w:r>
              <w:rPr>
                <w:noProof/>
                <w:webHidden/>
              </w:rPr>
              <w:fldChar w:fldCharType="separate"/>
            </w:r>
            <w:r w:rsidR="00B952BC">
              <w:rPr>
                <w:noProof/>
                <w:webHidden/>
              </w:rPr>
              <w:t>52</w:t>
            </w:r>
            <w:r>
              <w:rPr>
                <w:noProof/>
                <w:webHidden/>
              </w:rPr>
              <w:fldChar w:fldCharType="end"/>
            </w:r>
          </w:hyperlink>
        </w:p>
        <w:p w14:paraId="34500582" w14:textId="6FAE3EE7"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5"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_Toc212533495 \h </w:instrText>
            </w:r>
            <w:r>
              <w:rPr>
                <w:noProof/>
                <w:webHidden/>
              </w:rPr>
            </w:r>
            <w:r>
              <w:rPr>
                <w:noProof/>
                <w:webHidden/>
              </w:rPr>
              <w:fldChar w:fldCharType="separate"/>
            </w:r>
            <w:r w:rsidR="00B952BC">
              <w:rPr>
                <w:noProof/>
                <w:webHidden/>
              </w:rPr>
              <w:t>53</w:t>
            </w:r>
            <w:r>
              <w:rPr>
                <w:noProof/>
                <w:webHidden/>
              </w:rPr>
              <w:fldChar w:fldCharType="end"/>
            </w:r>
          </w:hyperlink>
        </w:p>
        <w:p w14:paraId="7CF025B0" w14:textId="02F52E1C"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6"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_Toc212533496 \h </w:instrText>
            </w:r>
            <w:r>
              <w:rPr>
                <w:noProof/>
                <w:webHidden/>
              </w:rPr>
            </w:r>
            <w:r>
              <w:rPr>
                <w:noProof/>
                <w:webHidden/>
              </w:rPr>
              <w:fldChar w:fldCharType="separate"/>
            </w:r>
            <w:r w:rsidR="00B952BC">
              <w:rPr>
                <w:noProof/>
                <w:webHidden/>
              </w:rPr>
              <w:t>53</w:t>
            </w:r>
            <w:r>
              <w:rPr>
                <w:noProof/>
                <w:webHidden/>
              </w:rPr>
              <w:fldChar w:fldCharType="end"/>
            </w:r>
          </w:hyperlink>
        </w:p>
        <w:p w14:paraId="23E2CC7F" w14:textId="77C8F63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7"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_Toc212533497 \h </w:instrText>
            </w:r>
            <w:r>
              <w:rPr>
                <w:noProof/>
                <w:webHidden/>
              </w:rPr>
            </w:r>
            <w:r>
              <w:rPr>
                <w:noProof/>
                <w:webHidden/>
              </w:rPr>
              <w:fldChar w:fldCharType="separate"/>
            </w:r>
            <w:r w:rsidR="00B952BC">
              <w:rPr>
                <w:noProof/>
                <w:webHidden/>
              </w:rPr>
              <w:t>54</w:t>
            </w:r>
            <w:r>
              <w:rPr>
                <w:noProof/>
                <w:webHidden/>
              </w:rPr>
              <w:fldChar w:fldCharType="end"/>
            </w:r>
          </w:hyperlink>
        </w:p>
        <w:p w14:paraId="4ECBEBD8" w14:textId="54D820E0" w:rsidR="00946355" w:rsidRDefault="00946355">
          <w:pPr>
            <w:pStyle w:val="TOC2"/>
            <w:rPr>
              <w:rFonts w:asciiTheme="minorHAnsi" w:eastAsiaTheme="minorEastAsia" w:hAnsiTheme="minorHAnsi" w:cstheme="minorBidi"/>
              <w:bCs w:val="0"/>
              <w:kern w:val="2"/>
              <w:sz w:val="24"/>
              <w14:ligatures w14:val="standardContextual"/>
            </w:rPr>
          </w:pPr>
          <w:hyperlink w:anchor="_Toc212533498" w:history="1">
            <w:r w:rsidRPr="00D83A99">
              <w:rPr>
                <w:rStyle w:val="Hyperlink"/>
              </w:rPr>
              <w:t>N2.  SPECIAL TESTS AND PROVISIONS – REASONABLE RENT</w:t>
            </w:r>
            <w:r>
              <w:rPr>
                <w:webHidden/>
              </w:rPr>
              <w:tab/>
            </w:r>
            <w:r>
              <w:rPr>
                <w:webHidden/>
              </w:rPr>
              <w:fldChar w:fldCharType="begin"/>
            </w:r>
            <w:r>
              <w:rPr>
                <w:webHidden/>
              </w:rPr>
              <w:instrText xml:space="preserve"> PAGEREF _Toc212533498 \h </w:instrText>
            </w:r>
            <w:r>
              <w:rPr>
                <w:webHidden/>
              </w:rPr>
            </w:r>
            <w:r>
              <w:rPr>
                <w:webHidden/>
              </w:rPr>
              <w:fldChar w:fldCharType="separate"/>
            </w:r>
            <w:r w:rsidR="00B952BC">
              <w:rPr>
                <w:webHidden/>
              </w:rPr>
              <w:t>55</w:t>
            </w:r>
            <w:r>
              <w:rPr>
                <w:webHidden/>
              </w:rPr>
              <w:fldChar w:fldCharType="end"/>
            </w:r>
          </w:hyperlink>
        </w:p>
        <w:p w14:paraId="002390CB" w14:textId="40230934"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499"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_Toc212533499 \h </w:instrText>
            </w:r>
            <w:r>
              <w:rPr>
                <w:noProof/>
                <w:webHidden/>
              </w:rPr>
            </w:r>
            <w:r>
              <w:rPr>
                <w:noProof/>
                <w:webHidden/>
              </w:rPr>
              <w:fldChar w:fldCharType="separate"/>
            </w:r>
            <w:r w:rsidR="00B952BC">
              <w:rPr>
                <w:noProof/>
                <w:webHidden/>
              </w:rPr>
              <w:t>55</w:t>
            </w:r>
            <w:r>
              <w:rPr>
                <w:noProof/>
                <w:webHidden/>
              </w:rPr>
              <w:fldChar w:fldCharType="end"/>
            </w:r>
          </w:hyperlink>
        </w:p>
        <w:p w14:paraId="6F766E9F" w14:textId="51C5AFBD"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0"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_Toc212533500 \h </w:instrText>
            </w:r>
            <w:r>
              <w:rPr>
                <w:noProof/>
                <w:webHidden/>
              </w:rPr>
            </w:r>
            <w:r>
              <w:rPr>
                <w:noProof/>
                <w:webHidden/>
              </w:rPr>
              <w:fldChar w:fldCharType="separate"/>
            </w:r>
            <w:r w:rsidR="00B952BC">
              <w:rPr>
                <w:noProof/>
                <w:webHidden/>
              </w:rPr>
              <w:t>55</w:t>
            </w:r>
            <w:r>
              <w:rPr>
                <w:noProof/>
                <w:webHidden/>
              </w:rPr>
              <w:fldChar w:fldCharType="end"/>
            </w:r>
          </w:hyperlink>
        </w:p>
        <w:p w14:paraId="2D7EB06B" w14:textId="17713441"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1"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_Toc212533501 \h </w:instrText>
            </w:r>
            <w:r>
              <w:rPr>
                <w:noProof/>
                <w:webHidden/>
              </w:rPr>
            </w:r>
            <w:r>
              <w:rPr>
                <w:noProof/>
                <w:webHidden/>
              </w:rPr>
              <w:fldChar w:fldCharType="separate"/>
            </w:r>
            <w:r w:rsidR="00B952BC">
              <w:rPr>
                <w:noProof/>
                <w:webHidden/>
              </w:rPr>
              <w:t>56</w:t>
            </w:r>
            <w:r>
              <w:rPr>
                <w:noProof/>
                <w:webHidden/>
              </w:rPr>
              <w:fldChar w:fldCharType="end"/>
            </w:r>
          </w:hyperlink>
        </w:p>
        <w:p w14:paraId="7042B4E3" w14:textId="3968698C"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2"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_Toc212533502 \h </w:instrText>
            </w:r>
            <w:r>
              <w:rPr>
                <w:noProof/>
                <w:webHidden/>
              </w:rPr>
            </w:r>
            <w:r>
              <w:rPr>
                <w:noProof/>
                <w:webHidden/>
              </w:rPr>
              <w:fldChar w:fldCharType="separate"/>
            </w:r>
            <w:r w:rsidR="00B952BC">
              <w:rPr>
                <w:noProof/>
                <w:webHidden/>
              </w:rPr>
              <w:t>56</w:t>
            </w:r>
            <w:r>
              <w:rPr>
                <w:noProof/>
                <w:webHidden/>
              </w:rPr>
              <w:fldChar w:fldCharType="end"/>
            </w:r>
          </w:hyperlink>
        </w:p>
        <w:p w14:paraId="4A225543" w14:textId="03FA3C07"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3"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_Toc212533503 \h </w:instrText>
            </w:r>
            <w:r>
              <w:rPr>
                <w:noProof/>
                <w:webHidden/>
              </w:rPr>
            </w:r>
            <w:r>
              <w:rPr>
                <w:noProof/>
                <w:webHidden/>
              </w:rPr>
              <w:fldChar w:fldCharType="separate"/>
            </w:r>
            <w:r w:rsidR="00B952BC">
              <w:rPr>
                <w:noProof/>
                <w:webHidden/>
              </w:rPr>
              <w:t>57</w:t>
            </w:r>
            <w:r>
              <w:rPr>
                <w:noProof/>
                <w:webHidden/>
              </w:rPr>
              <w:fldChar w:fldCharType="end"/>
            </w:r>
          </w:hyperlink>
        </w:p>
        <w:p w14:paraId="222DBB4A" w14:textId="0EFC4833" w:rsidR="00946355" w:rsidRDefault="00946355">
          <w:pPr>
            <w:pStyle w:val="TOC2"/>
            <w:rPr>
              <w:rFonts w:asciiTheme="minorHAnsi" w:eastAsiaTheme="minorEastAsia" w:hAnsiTheme="minorHAnsi" w:cstheme="minorBidi"/>
              <w:bCs w:val="0"/>
              <w:kern w:val="2"/>
              <w:sz w:val="24"/>
              <w14:ligatures w14:val="standardContextual"/>
            </w:rPr>
          </w:pPr>
          <w:hyperlink w:anchor="_Toc212533504" w:history="1">
            <w:r w:rsidRPr="00D83A99">
              <w:rPr>
                <w:rStyle w:val="Hyperlink"/>
              </w:rPr>
              <w:t>N3.  SPECIAL TESTS AND PROVISIONS – UTILITY ALLOWANCE SCHEDULE</w:t>
            </w:r>
            <w:r>
              <w:rPr>
                <w:webHidden/>
              </w:rPr>
              <w:tab/>
            </w:r>
            <w:r>
              <w:rPr>
                <w:webHidden/>
              </w:rPr>
              <w:fldChar w:fldCharType="begin"/>
            </w:r>
            <w:r>
              <w:rPr>
                <w:webHidden/>
              </w:rPr>
              <w:instrText xml:space="preserve"> PAGEREF _Toc212533504 \h </w:instrText>
            </w:r>
            <w:r>
              <w:rPr>
                <w:webHidden/>
              </w:rPr>
            </w:r>
            <w:r>
              <w:rPr>
                <w:webHidden/>
              </w:rPr>
              <w:fldChar w:fldCharType="separate"/>
            </w:r>
            <w:r w:rsidR="00B952BC">
              <w:rPr>
                <w:webHidden/>
              </w:rPr>
              <w:t>58</w:t>
            </w:r>
            <w:r>
              <w:rPr>
                <w:webHidden/>
              </w:rPr>
              <w:fldChar w:fldCharType="end"/>
            </w:r>
          </w:hyperlink>
        </w:p>
        <w:p w14:paraId="4F76D874" w14:textId="45911688"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5"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_Toc212533505 \h </w:instrText>
            </w:r>
            <w:r>
              <w:rPr>
                <w:noProof/>
                <w:webHidden/>
              </w:rPr>
            </w:r>
            <w:r>
              <w:rPr>
                <w:noProof/>
                <w:webHidden/>
              </w:rPr>
              <w:fldChar w:fldCharType="separate"/>
            </w:r>
            <w:r w:rsidR="00B952BC">
              <w:rPr>
                <w:noProof/>
                <w:webHidden/>
              </w:rPr>
              <w:t>58</w:t>
            </w:r>
            <w:r>
              <w:rPr>
                <w:noProof/>
                <w:webHidden/>
              </w:rPr>
              <w:fldChar w:fldCharType="end"/>
            </w:r>
          </w:hyperlink>
        </w:p>
        <w:p w14:paraId="1D5ABA6D" w14:textId="02FE613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6"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_Toc212533506 \h </w:instrText>
            </w:r>
            <w:r>
              <w:rPr>
                <w:noProof/>
                <w:webHidden/>
              </w:rPr>
            </w:r>
            <w:r>
              <w:rPr>
                <w:noProof/>
                <w:webHidden/>
              </w:rPr>
              <w:fldChar w:fldCharType="separate"/>
            </w:r>
            <w:r w:rsidR="00B952BC">
              <w:rPr>
                <w:noProof/>
                <w:webHidden/>
              </w:rPr>
              <w:t>58</w:t>
            </w:r>
            <w:r>
              <w:rPr>
                <w:noProof/>
                <w:webHidden/>
              </w:rPr>
              <w:fldChar w:fldCharType="end"/>
            </w:r>
          </w:hyperlink>
        </w:p>
        <w:p w14:paraId="3CAEAABC" w14:textId="285DFEE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7"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_Toc212533507 \h </w:instrText>
            </w:r>
            <w:r>
              <w:rPr>
                <w:noProof/>
                <w:webHidden/>
              </w:rPr>
            </w:r>
            <w:r>
              <w:rPr>
                <w:noProof/>
                <w:webHidden/>
              </w:rPr>
              <w:fldChar w:fldCharType="separate"/>
            </w:r>
            <w:r w:rsidR="00B952BC">
              <w:rPr>
                <w:noProof/>
                <w:webHidden/>
              </w:rPr>
              <w:t>58</w:t>
            </w:r>
            <w:r>
              <w:rPr>
                <w:noProof/>
                <w:webHidden/>
              </w:rPr>
              <w:fldChar w:fldCharType="end"/>
            </w:r>
          </w:hyperlink>
        </w:p>
        <w:p w14:paraId="13D8BE8C" w14:textId="388E79C1"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8"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_Toc212533508 \h </w:instrText>
            </w:r>
            <w:r>
              <w:rPr>
                <w:noProof/>
                <w:webHidden/>
              </w:rPr>
            </w:r>
            <w:r>
              <w:rPr>
                <w:noProof/>
                <w:webHidden/>
              </w:rPr>
              <w:fldChar w:fldCharType="separate"/>
            </w:r>
            <w:r w:rsidR="00B952BC">
              <w:rPr>
                <w:noProof/>
                <w:webHidden/>
              </w:rPr>
              <w:t>59</w:t>
            </w:r>
            <w:r>
              <w:rPr>
                <w:noProof/>
                <w:webHidden/>
              </w:rPr>
              <w:fldChar w:fldCharType="end"/>
            </w:r>
          </w:hyperlink>
        </w:p>
        <w:p w14:paraId="7D12C8F0" w14:textId="7C8E1760"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09"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_Toc212533509 \h </w:instrText>
            </w:r>
            <w:r>
              <w:rPr>
                <w:noProof/>
                <w:webHidden/>
              </w:rPr>
            </w:r>
            <w:r>
              <w:rPr>
                <w:noProof/>
                <w:webHidden/>
              </w:rPr>
              <w:fldChar w:fldCharType="separate"/>
            </w:r>
            <w:r w:rsidR="00B952BC">
              <w:rPr>
                <w:noProof/>
                <w:webHidden/>
              </w:rPr>
              <w:t>60</w:t>
            </w:r>
            <w:r>
              <w:rPr>
                <w:noProof/>
                <w:webHidden/>
              </w:rPr>
              <w:fldChar w:fldCharType="end"/>
            </w:r>
          </w:hyperlink>
        </w:p>
        <w:p w14:paraId="54B39559" w14:textId="2473E57D" w:rsidR="00946355" w:rsidRDefault="00946355">
          <w:pPr>
            <w:pStyle w:val="TOC2"/>
            <w:rPr>
              <w:rFonts w:asciiTheme="minorHAnsi" w:eastAsiaTheme="minorEastAsia" w:hAnsiTheme="minorHAnsi" w:cstheme="minorBidi"/>
              <w:bCs w:val="0"/>
              <w:kern w:val="2"/>
              <w:sz w:val="24"/>
              <w14:ligatures w14:val="standardContextual"/>
            </w:rPr>
          </w:pPr>
          <w:hyperlink w:anchor="_Toc212533510" w:history="1">
            <w:r w:rsidRPr="00D83A99">
              <w:rPr>
                <w:rStyle w:val="Hyperlink"/>
              </w:rPr>
              <w:t>N4.  SPECIAL TESTS AND PROVISIONS – NATIONAL STANDARDS FOR THE PHYSICAL INSPECTION OF REAL ESTATE (NSPIRE) / HOUSING QUALITY STANDARDS INSPECTIONS</w:t>
            </w:r>
            <w:r>
              <w:rPr>
                <w:webHidden/>
              </w:rPr>
              <w:tab/>
            </w:r>
            <w:r>
              <w:rPr>
                <w:webHidden/>
              </w:rPr>
              <w:fldChar w:fldCharType="begin"/>
            </w:r>
            <w:r>
              <w:rPr>
                <w:webHidden/>
              </w:rPr>
              <w:instrText xml:space="preserve"> PAGEREF _Toc212533510 \h </w:instrText>
            </w:r>
            <w:r>
              <w:rPr>
                <w:webHidden/>
              </w:rPr>
            </w:r>
            <w:r>
              <w:rPr>
                <w:webHidden/>
              </w:rPr>
              <w:fldChar w:fldCharType="separate"/>
            </w:r>
            <w:r w:rsidR="00B952BC">
              <w:rPr>
                <w:webHidden/>
              </w:rPr>
              <w:t>61</w:t>
            </w:r>
            <w:r>
              <w:rPr>
                <w:webHidden/>
              </w:rPr>
              <w:fldChar w:fldCharType="end"/>
            </w:r>
          </w:hyperlink>
        </w:p>
        <w:p w14:paraId="08756269" w14:textId="52F2606A"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1"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_Toc212533511 \h </w:instrText>
            </w:r>
            <w:r>
              <w:rPr>
                <w:noProof/>
                <w:webHidden/>
              </w:rPr>
            </w:r>
            <w:r>
              <w:rPr>
                <w:noProof/>
                <w:webHidden/>
              </w:rPr>
              <w:fldChar w:fldCharType="separate"/>
            </w:r>
            <w:r w:rsidR="00B952BC">
              <w:rPr>
                <w:noProof/>
                <w:webHidden/>
              </w:rPr>
              <w:t>61</w:t>
            </w:r>
            <w:r>
              <w:rPr>
                <w:noProof/>
                <w:webHidden/>
              </w:rPr>
              <w:fldChar w:fldCharType="end"/>
            </w:r>
          </w:hyperlink>
        </w:p>
        <w:p w14:paraId="1A4CF8EA" w14:textId="46FA8D6F"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2"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_Toc212533512 \h </w:instrText>
            </w:r>
            <w:r>
              <w:rPr>
                <w:noProof/>
                <w:webHidden/>
              </w:rPr>
            </w:r>
            <w:r>
              <w:rPr>
                <w:noProof/>
                <w:webHidden/>
              </w:rPr>
              <w:fldChar w:fldCharType="separate"/>
            </w:r>
            <w:r w:rsidR="00B952BC">
              <w:rPr>
                <w:noProof/>
                <w:webHidden/>
              </w:rPr>
              <w:t>61</w:t>
            </w:r>
            <w:r>
              <w:rPr>
                <w:noProof/>
                <w:webHidden/>
              </w:rPr>
              <w:fldChar w:fldCharType="end"/>
            </w:r>
          </w:hyperlink>
        </w:p>
        <w:p w14:paraId="15F5E747" w14:textId="3B1A4051"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3"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_Toc212533513 \h </w:instrText>
            </w:r>
            <w:r>
              <w:rPr>
                <w:noProof/>
                <w:webHidden/>
              </w:rPr>
            </w:r>
            <w:r>
              <w:rPr>
                <w:noProof/>
                <w:webHidden/>
              </w:rPr>
              <w:fldChar w:fldCharType="separate"/>
            </w:r>
            <w:r w:rsidR="00B952BC">
              <w:rPr>
                <w:noProof/>
                <w:webHidden/>
              </w:rPr>
              <w:t>62</w:t>
            </w:r>
            <w:r>
              <w:rPr>
                <w:noProof/>
                <w:webHidden/>
              </w:rPr>
              <w:fldChar w:fldCharType="end"/>
            </w:r>
          </w:hyperlink>
        </w:p>
        <w:p w14:paraId="15B64019" w14:textId="630542CB"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4"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_Toc212533514 \h </w:instrText>
            </w:r>
            <w:r>
              <w:rPr>
                <w:noProof/>
                <w:webHidden/>
              </w:rPr>
            </w:r>
            <w:r>
              <w:rPr>
                <w:noProof/>
                <w:webHidden/>
              </w:rPr>
              <w:fldChar w:fldCharType="separate"/>
            </w:r>
            <w:r w:rsidR="00B952BC">
              <w:rPr>
                <w:noProof/>
                <w:webHidden/>
              </w:rPr>
              <w:t>63</w:t>
            </w:r>
            <w:r>
              <w:rPr>
                <w:noProof/>
                <w:webHidden/>
              </w:rPr>
              <w:fldChar w:fldCharType="end"/>
            </w:r>
          </w:hyperlink>
        </w:p>
        <w:p w14:paraId="0BC5C67E" w14:textId="563BE244"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5"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_Toc212533515 \h </w:instrText>
            </w:r>
            <w:r>
              <w:rPr>
                <w:noProof/>
                <w:webHidden/>
              </w:rPr>
            </w:r>
            <w:r>
              <w:rPr>
                <w:noProof/>
                <w:webHidden/>
              </w:rPr>
              <w:fldChar w:fldCharType="separate"/>
            </w:r>
            <w:r w:rsidR="00B952BC">
              <w:rPr>
                <w:noProof/>
                <w:webHidden/>
              </w:rPr>
              <w:t>63</w:t>
            </w:r>
            <w:r>
              <w:rPr>
                <w:noProof/>
                <w:webHidden/>
              </w:rPr>
              <w:fldChar w:fldCharType="end"/>
            </w:r>
          </w:hyperlink>
        </w:p>
        <w:p w14:paraId="3D5C8739" w14:textId="3405B7BC" w:rsidR="00946355" w:rsidRDefault="00946355">
          <w:pPr>
            <w:pStyle w:val="TOC2"/>
            <w:rPr>
              <w:rFonts w:asciiTheme="minorHAnsi" w:eastAsiaTheme="minorEastAsia" w:hAnsiTheme="minorHAnsi" w:cstheme="minorBidi"/>
              <w:bCs w:val="0"/>
              <w:kern w:val="2"/>
              <w:sz w:val="24"/>
              <w14:ligatures w14:val="standardContextual"/>
            </w:rPr>
          </w:pPr>
          <w:hyperlink w:anchor="_Toc212533516" w:history="1">
            <w:r w:rsidRPr="00D83A99">
              <w:rPr>
                <w:rStyle w:val="Hyperlink"/>
              </w:rPr>
              <w:t>N5. SPECIAL TESTS AND PROVISIONS – HQS ENFORCEMENT</w:t>
            </w:r>
            <w:r>
              <w:rPr>
                <w:webHidden/>
              </w:rPr>
              <w:tab/>
            </w:r>
            <w:r>
              <w:rPr>
                <w:webHidden/>
              </w:rPr>
              <w:fldChar w:fldCharType="begin"/>
            </w:r>
            <w:r>
              <w:rPr>
                <w:webHidden/>
              </w:rPr>
              <w:instrText xml:space="preserve"> PAGEREF _Toc212533516 \h </w:instrText>
            </w:r>
            <w:r>
              <w:rPr>
                <w:webHidden/>
              </w:rPr>
            </w:r>
            <w:r>
              <w:rPr>
                <w:webHidden/>
              </w:rPr>
              <w:fldChar w:fldCharType="separate"/>
            </w:r>
            <w:r w:rsidR="00B952BC">
              <w:rPr>
                <w:webHidden/>
              </w:rPr>
              <w:t>64</w:t>
            </w:r>
            <w:r>
              <w:rPr>
                <w:webHidden/>
              </w:rPr>
              <w:fldChar w:fldCharType="end"/>
            </w:r>
          </w:hyperlink>
        </w:p>
        <w:p w14:paraId="21BC5912" w14:textId="39A5609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7"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_Toc212533517 \h </w:instrText>
            </w:r>
            <w:r>
              <w:rPr>
                <w:noProof/>
                <w:webHidden/>
              </w:rPr>
            </w:r>
            <w:r>
              <w:rPr>
                <w:noProof/>
                <w:webHidden/>
              </w:rPr>
              <w:fldChar w:fldCharType="separate"/>
            </w:r>
            <w:r w:rsidR="00B952BC">
              <w:rPr>
                <w:noProof/>
                <w:webHidden/>
              </w:rPr>
              <w:t>64</w:t>
            </w:r>
            <w:r>
              <w:rPr>
                <w:noProof/>
                <w:webHidden/>
              </w:rPr>
              <w:fldChar w:fldCharType="end"/>
            </w:r>
          </w:hyperlink>
        </w:p>
        <w:p w14:paraId="51B1C654" w14:textId="20E6E383"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8"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_Toc212533518 \h </w:instrText>
            </w:r>
            <w:r>
              <w:rPr>
                <w:noProof/>
                <w:webHidden/>
              </w:rPr>
            </w:r>
            <w:r>
              <w:rPr>
                <w:noProof/>
                <w:webHidden/>
              </w:rPr>
              <w:fldChar w:fldCharType="separate"/>
            </w:r>
            <w:r w:rsidR="00B952BC">
              <w:rPr>
                <w:noProof/>
                <w:webHidden/>
              </w:rPr>
              <w:t>64</w:t>
            </w:r>
            <w:r>
              <w:rPr>
                <w:noProof/>
                <w:webHidden/>
              </w:rPr>
              <w:fldChar w:fldCharType="end"/>
            </w:r>
          </w:hyperlink>
        </w:p>
        <w:p w14:paraId="2C126699" w14:textId="0F4D55E9"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19"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_Toc212533519 \h </w:instrText>
            </w:r>
            <w:r>
              <w:rPr>
                <w:noProof/>
                <w:webHidden/>
              </w:rPr>
            </w:r>
            <w:r>
              <w:rPr>
                <w:noProof/>
                <w:webHidden/>
              </w:rPr>
              <w:fldChar w:fldCharType="separate"/>
            </w:r>
            <w:r w:rsidR="00B952BC">
              <w:rPr>
                <w:noProof/>
                <w:webHidden/>
              </w:rPr>
              <w:t>65</w:t>
            </w:r>
            <w:r>
              <w:rPr>
                <w:noProof/>
                <w:webHidden/>
              </w:rPr>
              <w:fldChar w:fldCharType="end"/>
            </w:r>
          </w:hyperlink>
        </w:p>
        <w:p w14:paraId="58F6CC81" w14:textId="6F9E4511"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0"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_Toc212533520 \h </w:instrText>
            </w:r>
            <w:r>
              <w:rPr>
                <w:noProof/>
                <w:webHidden/>
              </w:rPr>
            </w:r>
            <w:r>
              <w:rPr>
                <w:noProof/>
                <w:webHidden/>
              </w:rPr>
              <w:fldChar w:fldCharType="separate"/>
            </w:r>
            <w:r w:rsidR="00B952BC">
              <w:rPr>
                <w:noProof/>
                <w:webHidden/>
              </w:rPr>
              <w:t>65</w:t>
            </w:r>
            <w:r>
              <w:rPr>
                <w:noProof/>
                <w:webHidden/>
              </w:rPr>
              <w:fldChar w:fldCharType="end"/>
            </w:r>
          </w:hyperlink>
        </w:p>
        <w:p w14:paraId="0F10514D" w14:textId="7EB4CFAE"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1"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_Toc212533521 \h </w:instrText>
            </w:r>
            <w:r>
              <w:rPr>
                <w:noProof/>
                <w:webHidden/>
              </w:rPr>
            </w:r>
            <w:r>
              <w:rPr>
                <w:noProof/>
                <w:webHidden/>
              </w:rPr>
              <w:fldChar w:fldCharType="separate"/>
            </w:r>
            <w:r w:rsidR="00B952BC">
              <w:rPr>
                <w:noProof/>
                <w:webHidden/>
              </w:rPr>
              <w:t>66</w:t>
            </w:r>
            <w:r>
              <w:rPr>
                <w:noProof/>
                <w:webHidden/>
              </w:rPr>
              <w:fldChar w:fldCharType="end"/>
            </w:r>
          </w:hyperlink>
        </w:p>
        <w:p w14:paraId="000BA1B0" w14:textId="0C158817" w:rsidR="00946355" w:rsidRDefault="00946355">
          <w:pPr>
            <w:pStyle w:val="TOC2"/>
            <w:rPr>
              <w:rFonts w:asciiTheme="minorHAnsi" w:eastAsiaTheme="minorEastAsia" w:hAnsiTheme="minorHAnsi" w:cstheme="minorBidi"/>
              <w:bCs w:val="0"/>
              <w:kern w:val="2"/>
              <w:sz w:val="24"/>
              <w14:ligatures w14:val="standardContextual"/>
            </w:rPr>
          </w:pPr>
          <w:hyperlink w:anchor="_Toc212533522" w:history="1">
            <w:r w:rsidRPr="00D83A99">
              <w:rPr>
                <w:rStyle w:val="Hyperlink"/>
              </w:rPr>
              <w:t>N6. SPECIAL TESTS AND PROVISIONS – HOUSING ASSISTANCE PAYMENT</w:t>
            </w:r>
            <w:r>
              <w:rPr>
                <w:webHidden/>
              </w:rPr>
              <w:tab/>
            </w:r>
            <w:r>
              <w:rPr>
                <w:webHidden/>
              </w:rPr>
              <w:fldChar w:fldCharType="begin"/>
            </w:r>
            <w:r>
              <w:rPr>
                <w:webHidden/>
              </w:rPr>
              <w:instrText xml:space="preserve"> PAGEREF _Toc212533522 \h </w:instrText>
            </w:r>
            <w:r>
              <w:rPr>
                <w:webHidden/>
              </w:rPr>
            </w:r>
            <w:r>
              <w:rPr>
                <w:webHidden/>
              </w:rPr>
              <w:fldChar w:fldCharType="separate"/>
            </w:r>
            <w:r w:rsidR="00B952BC">
              <w:rPr>
                <w:webHidden/>
              </w:rPr>
              <w:t>67</w:t>
            </w:r>
            <w:r>
              <w:rPr>
                <w:webHidden/>
              </w:rPr>
              <w:fldChar w:fldCharType="end"/>
            </w:r>
          </w:hyperlink>
        </w:p>
        <w:p w14:paraId="59467E94" w14:textId="449DD216"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3" w:history="1">
            <w:r w:rsidRPr="00D83A99">
              <w:rPr>
                <w:rStyle w:val="Hyperlink"/>
                <w:rFonts w:cs="Arial"/>
                <w:noProof/>
              </w:rPr>
              <w:t>OMB Compliance Requirements</w:t>
            </w:r>
            <w:r>
              <w:rPr>
                <w:noProof/>
                <w:webHidden/>
              </w:rPr>
              <w:tab/>
            </w:r>
            <w:r>
              <w:rPr>
                <w:noProof/>
                <w:webHidden/>
              </w:rPr>
              <w:fldChar w:fldCharType="begin"/>
            </w:r>
            <w:r>
              <w:rPr>
                <w:noProof/>
                <w:webHidden/>
              </w:rPr>
              <w:instrText xml:space="preserve"> PAGEREF _Toc212533523 \h </w:instrText>
            </w:r>
            <w:r>
              <w:rPr>
                <w:noProof/>
                <w:webHidden/>
              </w:rPr>
            </w:r>
            <w:r>
              <w:rPr>
                <w:noProof/>
                <w:webHidden/>
              </w:rPr>
              <w:fldChar w:fldCharType="separate"/>
            </w:r>
            <w:r w:rsidR="00B952BC">
              <w:rPr>
                <w:noProof/>
                <w:webHidden/>
              </w:rPr>
              <w:t>67</w:t>
            </w:r>
            <w:r>
              <w:rPr>
                <w:noProof/>
                <w:webHidden/>
              </w:rPr>
              <w:fldChar w:fldCharType="end"/>
            </w:r>
          </w:hyperlink>
        </w:p>
        <w:p w14:paraId="0072E2F7" w14:textId="1E8B9D58"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4" w:history="1">
            <w:r w:rsidRPr="00D83A9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_Toc212533524 \h </w:instrText>
            </w:r>
            <w:r>
              <w:rPr>
                <w:noProof/>
                <w:webHidden/>
              </w:rPr>
            </w:r>
            <w:r>
              <w:rPr>
                <w:noProof/>
                <w:webHidden/>
              </w:rPr>
              <w:fldChar w:fldCharType="separate"/>
            </w:r>
            <w:r w:rsidR="00B952BC">
              <w:rPr>
                <w:noProof/>
                <w:webHidden/>
              </w:rPr>
              <w:t>68</w:t>
            </w:r>
            <w:r>
              <w:rPr>
                <w:noProof/>
                <w:webHidden/>
              </w:rPr>
              <w:fldChar w:fldCharType="end"/>
            </w:r>
          </w:hyperlink>
        </w:p>
        <w:p w14:paraId="5279CDC2" w14:textId="7ABCEECD"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5" w:history="1">
            <w:r w:rsidRPr="00D83A9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_Toc212533525 \h </w:instrText>
            </w:r>
            <w:r>
              <w:rPr>
                <w:noProof/>
                <w:webHidden/>
              </w:rPr>
            </w:r>
            <w:r>
              <w:rPr>
                <w:noProof/>
                <w:webHidden/>
              </w:rPr>
              <w:fldChar w:fldCharType="separate"/>
            </w:r>
            <w:r w:rsidR="00B952BC">
              <w:rPr>
                <w:noProof/>
                <w:webHidden/>
              </w:rPr>
              <w:t>69</w:t>
            </w:r>
            <w:r>
              <w:rPr>
                <w:noProof/>
                <w:webHidden/>
              </w:rPr>
              <w:fldChar w:fldCharType="end"/>
            </w:r>
          </w:hyperlink>
        </w:p>
        <w:p w14:paraId="25D775E1" w14:textId="62D85BE9"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6" w:history="1">
            <w:r w:rsidRPr="00D83A9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_Toc212533526 \h </w:instrText>
            </w:r>
            <w:r>
              <w:rPr>
                <w:noProof/>
                <w:webHidden/>
              </w:rPr>
            </w:r>
            <w:r>
              <w:rPr>
                <w:noProof/>
                <w:webHidden/>
              </w:rPr>
              <w:fldChar w:fldCharType="separate"/>
            </w:r>
            <w:r w:rsidR="00B952BC">
              <w:rPr>
                <w:noProof/>
                <w:webHidden/>
              </w:rPr>
              <w:t>69</w:t>
            </w:r>
            <w:r>
              <w:rPr>
                <w:noProof/>
                <w:webHidden/>
              </w:rPr>
              <w:fldChar w:fldCharType="end"/>
            </w:r>
          </w:hyperlink>
        </w:p>
        <w:p w14:paraId="55D1F4FB" w14:textId="0F795BE2" w:rsidR="00946355" w:rsidRDefault="00946355">
          <w:pPr>
            <w:pStyle w:val="TOC3"/>
            <w:rPr>
              <w:rFonts w:asciiTheme="minorHAnsi" w:eastAsiaTheme="minorEastAsia" w:hAnsiTheme="minorHAnsi" w:cstheme="minorBidi"/>
              <w:b w:val="0"/>
              <w:noProof/>
              <w:kern w:val="2"/>
              <w:sz w:val="24"/>
              <w:szCs w:val="24"/>
              <w14:ligatures w14:val="standardContextual"/>
            </w:rPr>
          </w:pPr>
          <w:hyperlink w:anchor="_Toc212533527" w:history="1">
            <w:r w:rsidRPr="00D83A99">
              <w:rPr>
                <w:rStyle w:val="Hyperlink"/>
                <w:rFonts w:cs="Arial"/>
                <w:noProof/>
              </w:rPr>
              <w:t>Audit Implications Summary</w:t>
            </w:r>
            <w:r>
              <w:rPr>
                <w:noProof/>
                <w:webHidden/>
              </w:rPr>
              <w:tab/>
            </w:r>
            <w:r>
              <w:rPr>
                <w:noProof/>
                <w:webHidden/>
              </w:rPr>
              <w:fldChar w:fldCharType="begin"/>
            </w:r>
            <w:r>
              <w:rPr>
                <w:noProof/>
                <w:webHidden/>
              </w:rPr>
              <w:instrText xml:space="preserve"> PAGEREF _Toc212533527 \h </w:instrText>
            </w:r>
            <w:r>
              <w:rPr>
                <w:noProof/>
                <w:webHidden/>
              </w:rPr>
            </w:r>
            <w:r>
              <w:rPr>
                <w:noProof/>
                <w:webHidden/>
              </w:rPr>
              <w:fldChar w:fldCharType="separate"/>
            </w:r>
            <w:r w:rsidR="00B952BC">
              <w:rPr>
                <w:noProof/>
                <w:webHidden/>
              </w:rPr>
              <w:t>70</w:t>
            </w:r>
            <w:r>
              <w:rPr>
                <w:noProof/>
                <w:webHidden/>
              </w:rPr>
              <w:fldChar w:fldCharType="end"/>
            </w:r>
          </w:hyperlink>
        </w:p>
        <w:p w14:paraId="72B01C85" w14:textId="31EAD125" w:rsidR="00946355" w:rsidRDefault="00946355">
          <w:pPr>
            <w:pStyle w:val="TOC2"/>
            <w:rPr>
              <w:rFonts w:asciiTheme="minorHAnsi" w:eastAsiaTheme="minorEastAsia" w:hAnsiTheme="minorHAnsi" w:cstheme="minorBidi"/>
              <w:bCs w:val="0"/>
              <w:kern w:val="2"/>
              <w:sz w:val="24"/>
              <w14:ligatures w14:val="standardContextual"/>
            </w:rPr>
          </w:pPr>
          <w:hyperlink w:anchor="_Toc212533528" w:history="1">
            <w:r w:rsidRPr="00D83A99">
              <w:rPr>
                <w:rStyle w:val="Hyperlink"/>
              </w:rPr>
              <w:t>Program Testing Conclusion</w:t>
            </w:r>
            <w:r>
              <w:rPr>
                <w:webHidden/>
              </w:rPr>
              <w:tab/>
            </w:r>
            <w:r>
              <w:rPr>
                <w:webHidden/>
              </w:rPr>
              <w:fldChar w:fldCharType="begin"/>
            </w:r>
            <w:r>
              <w:rPr>
                <w:webHidden/>
              </w:rPr>
              <w:instrText xml:space="preserve"> PAGEREF _Toc212533528 \h </w:instrText>
            </w:r>
            <w:r>
              <w:rPr>
                <w:webHidden/>
              </w:rPr>
            </w:r>
            <w:r>
              <w:rPr>
                <w:webHidden/>
              </w:rPr>
              <w:fldChar w:fldCharType="separate"/>
            </w:r>
            <w:r w:rsidR="00B952BC">
              <w:rPr>
                <w:webHidden/>
              </w:rPr>
              <w:t>72</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6F743F">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6F743F">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F743F">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F743F">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F743F">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F743F">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404F61B"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6F743F">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6F743F">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53345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533459"/>
      <w:r w:rsidRPr="00A0464C">
        <w:rPr>
          <w:rFonts w:cs="Arial"/>
          <w:sz w:val="24"/>
          <w:szCs w:val="24"/>
        </w:rPr>
        <w:t>I. Program Objectives</w:t>
      </w:r>
      <w:bookmarkEnd w:id="11"/>
    </w:p>
    <w:p w14:paraId="020BF2E8" w14:textId="77777777" w:rsidR="008F18E7" w:rsidRDefault="008F18E7" w:rsidP="008F18E7">
      <w:pPr>
        <w:spacing w:after="240"/>
        <w:jc w:val="both"/>
        <w:rPr>
          <w:rFonts w:ascii="Arial" w:hAnsi="Arial" w:cs="Arial"/>
          <w:bCs/>
        </w:rPr>
      </w:pPr>
      <w:r w:rsidRPr="008F18E7">
        <w:rPr>
          <w:rFonts w:ascii="Arial" w:hAnsi="Arial" w:cs="Arial"/>
          <w:bCs/>
        </w:rPr>
        <w:t>The Housing Choice Voucher Program (HCVP) provides rental assistance to help very low- income families afford decent, safe, and sanitary rental housing. The Mainstream Voucher program (MV) enables families for whom the head, spouse, or co-head is a person with disabilities to lease affordable private housing of their choice.</w:t>
      </w:r>
    </w:p>
    <w:p w14:paraId="27A28DF7" w14:textId="2625E92F" w:rsidR="009656BB" w:rsidRPr="00F00D94" w:rsidRDefault="008F18E7" w:rsidP="006672EA">
      <w:pPr>
        <w:spacing w:after="240"/>
        <w:jc w:val="both"/>
        <w:rPr>
          <w:rFonts w:ascii="Arial" w:hAnsi="Arial" w:cs="Arial"/>
          <w:bCs/>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222D14D9" w14:textId="77777777" w:rsidR="009656BB" w:rsidRPr="00A0464C" w:rsidRDefault="009656BB" w:rsidP="006672EA">
      <w:pPr>
        <w:pStyle w:val="Heading3"/>
        <w:jc w:val="both"/>
        <w:rPr>
          <w:rFonts w:cs="Arial"/>
          <w:sz w:val="24"/>
          <w:szCs w:val="24"/>
        </w:rPr>
      </w:pPr>
      <w:bookmarkStart w:id="12" w:name="_Toc212533460"/>
      <w:r w:rsidRPr="00A0464C">
        <w:rPr>
          <w:rFonts w:cs="Arial"/>
          <w:sz w:val="24"/>
          <w:szCs w:val="24"/>
        </w:rPr>
        <w:t>II. Program Procedures</w:t>
      </w:r>
      <w:bookmarkEnd w:id="12"/>
    </w:p>
    <w:p w14:paraId="3728133F" w14:textId="7EFD6A3A" w:rsidR="008F18E7" w:rsidRPr="008F18E7" w:rsidRDefault="008F18E7" w:rsidP="006F743F">
      <w:pPr>
        <w:pStyle w:val="ListParagraph"/>
        <w:widowControl w:val="0"/>
        <w:numPr>
          <w:ilvl w:val="1"/>
          <w:numId w:val="54"/>
        </w:numPr>
        <w:tabs>
          <w:tab w:val="left" w:pos="1440"/>
        </w:tabs>
        <w:suppressAutoHyphens w:val="0"/>
        <w:adjustRightInd/>
        <w:ind w:left="720"/>
        <w:jc w:val="both"/>
        <w:rPr>
          <w:rFonts w:ascii="Arial" w:hAnsi="Arial" w:cs="Arial"/>
          <w:b/>
        </w:rPr>
      </w:pPr>
      <w:r w:rsidRPr="00736194">
        <w:rPr>
          <w:rFonts w:ascii="Arial" w:hAnsi="Arial" w:cs="Arial"/>
          <w:b/>
          <w:spacing w:val="-3"/>
        </w:rPr>
        <w:t>Overview</w:t>
      </w:r>
    </w:p>
    <w:p w14:paraId="69D802F5" w14:textId="77777777" w:rsidR="008F18E7" w:rsidRPr="008F18E7" w:rsidRDefault="008F18E7" w:rsidP="008F18E7">
      <w:pPr>
        <w:pStyle w:val="ListParagraph"/>
        <w:widowControl w:val="0"/>
        <w:tabs>
          <w:tab w:val="left" w:pos="1440"/>
        </w:tabs>
        <w:suppressAutoHyphens w:val="0"/>
        <w:adjustRightInd/>
        <w:jc w:val="both"/>
        <w:rPr>
          <w:rFonts w:ascii="Arial" w:hAnsi="Arial" w:cs="Arial"/>
          <w:b/>
        </w:rPr>
      </w:pPr>
    </w:p>
    <w:p w14:paraId="52E97C2C" w14:textId="5514E30A" w:rsidR="008F18E7" w:rsidRPr="00736194" w:rsidRDefault="008F18E7" w:rsidP="008F18E7">
      <w:pPr>
        <w:pStyle w:val="BodyText"/>
        <w:ind w:left="720"/>
        <w:jc w:val="both"/>
        <w:rPr>
          <w:rFonts w:ascii="Arial" w:hAnsi="Arial" w:cs="Arial"/>
          <w:szCs w:val="20"/>
        </w:rPr>
      </w:pPr>
      <w:r w:rsidRPr="00736194">
        <w:rPr>
          <w:rFonts w:ascii="Arial" w:hAnsi="Arial" w:cs="Arial"/>
          <w:szCs w:val="20"/>
        </w:rPr>
        <w:t>The HCVP is administered by local public housing agencies (PHAs) authorized under state law to operate housing programs within an area or jurisdiction. The PHA accepts a family’s application for rental assistance, selects the applicant family for admission, and issues the selected family a voucher confirming the family’s eligibility for assistance. The family must then find and lease a dwelling unit suitable to the family’s needs and desires in the private rental market. The PHA pays the owner a portion of the rent (a housing assistance payment [HAP] on behalf of the family).</w:t>
      </w:r>
    </w:p>
    <w:p w14:paraId="536D877A" w14:textId="55A066DE" w:rsidR="008F18E7" w:rsidRPr="00736194" w:rsidRDefault="008F18E7" w:rsidP="008F18E7">
      <w:pPr>
        <w:pStyle w:val="BodyText"/>
        <w:ind w:left="720"/>
        <w:jc w:val="both"/>
        <w:rPr>
          <w:rFonts w:ascii="Arial" w:hAnsi="Arial" w:cs="Arial"/>
          <w:szCs w:val="20"/>
        </w:rPr>
      </w:pPr>
      <w:r w:rsidRPr="00736194">
        <w:rPr>
          <w:rFonts w:ascii="Arial" w:hAnsi="Arial" w:cs="Arial"/>
          <w:szCs w:val="20"/>
        </w:rPr>
        <w:t>The subsidy provided by the HCVP is considered a tenant-based subsidy because when an assisted family moves out of a unit leased under the program, the assistance contract with the owner terminates and the family may move to another unit with continued rental assistance.</w:t>
      </w:r>
    </w:p>
    <w:p w14:paraId="2C09C4B4" w14:textId="716F2A4B" w:rsidR="008F18E7" w:rsidRPr="00736194" w:rsidRDefault="008F18E7" w:rsidP="008F18E7">
      <w:pPr>
        <w:pStyle w:val="BodyText"/>
        <w:spacing w:before="1"/>
        <w:ind w:left="720"/>
        <w:jc w:val="both"/>
        <w:rPr>
          <w:rFonts w:ascii="Arial" w:hAnsi="Arial" w:cs="Arial"/>
          <w:szCs w:val="20"/>
        </w:rPr>
      </w:pPr>
      <w:r w:rsidRPr="00736194">
        <w:rPr>
          <w:rFonts w:ascii="Arial" w:hAnsi="Arial" w:cs="Arial"/>
          <w:szCs w:val="20"/>
        </w:rPr>
        <w:t>The Department of Housing and Urban Development (HUD) enters into Annual Contributions Contracts (ACCs) with PHAs under which HUD provides funds to the PHAs to administer the programs locally. The PHAs enter into HAP contracts with private owners who lease their units to assisted families (24 CFR section 982.151).</w:t>
      </w:r>
    </w:p>
    <w:p w14:paraId="670A766E" w14:textId="7C01436D" w:rsidR="008F18E7" w:rsidRPr="00736194" w:rsidRDefault="008F18E7" w:rsidP="008F18E7">
      <w:pPr>
        <w:pStyle w:val="BodyText"/>
        <w:ind w:left="720"/>
        <w:jc w:val="both"/>
        <w:rPr>
          <w:rFonts w:ascii="Arial" w:hAnsi="Arial" w:cs="Arial"/>
          <w:szCs w:val="20"/>
        </w:rPr>
      </w:pPr>
      <w:r w:rsidRPr="00736194">
        <w:rPr>
          <w:rFonts w:ascii="Arial" w:hAnsi="Arial" w:cs="Arial"/>
          <w:szCs w:val="20"/>
        </w:rPr>
        <w:t>In the HCVP, the PHA verifies a family’s eligibility (including income eligibility) and then issues the family a voucher. The family has a minimum of 60 days to locate a rental unit where the landlord agrees to participate in the program (the PHA establishes the maximum number of days). The PHA determines whether the unit meets housing quality standards (HQS). If the PHA approves a family’s unit and determines that the rent is reasonable, the PHA contracts with the owner to make HAPs on behalf of the family (24 CFR section 982.1(a)(2)).</w:t>
      </w:r>
    </w:p>
    <w:p w14:paraId="7F12D419" w14:textId="639BCF8A" w:rsidR="008F18E7" w:rsidRPr="00736194" w:rsidRDefault="008F18E7" w:rsidP="008F18E7">
      <w:pPr>
        <w:pStyle w:val="BodyText"/>
        <w:ind w:left="720"/>
        <w:jc w:val="both"/>
        <w:rPr>
          <w:rFonts w:ascii="Arial" w:hAnsi="Arial" w:cs="Arial"/>
          <w:szCs w:val="20"/>
        </w:rPr>
      </w:pPr>
      <w:r w:rsidRPr="00736194">
        <w:rPr>
          <w:rFonts w:ascii="Arial" w:hAnsi="Arial" w:cs="Arial"/>
          <w:szCs w:val="20"/>
        </w:rPr>
        <w:t>The voucher subsidy is set based on the difference between the lower of the PHA’s applicable payment standard for the family, the payment standard for the unit size rented, or the gross rent and the total tenant payment (generally 30 percent of the family’s monthly adjusted income). This is the maximum subsidy a family may receive regardless of the rent the owner charges for the unit (24 CFR Part 982, Subpart K). Under the HCVP, apart from the requirement that the rent must be reasonable in relation to rents charged for comparable units in the private unassisted market, there generally is no limit on the amount of rent that an owner may charge for a unit. However, at initial occupancy of any unit where the gross rent exceeds the payment standard, a family may not pay more than 40 percent of adjusted monthly income toward rent and utilities (24 CFR section 982.508).</w:t>
      </w:r>
    </w:p>
    <w:p w14:paraId="46774662" w14:textId="369BA015" w:rsidR="008F18E7" w:rsidRPr="00736194" w:rsidRDefault="008F18E7" w:rsidP="008F18E7">
      <w:pPr>
        <w:pStyle w:val="BodyText"/>
        <w:ind w:left="720"/>
        <w:jc w:val="both"/>
        <w:rPr>
          <w:rFonts w:ascii="Arial" w:hAnsi="Arial" w:cs="Arial"/>
          <w:szCs w:val="20"/>
        </w:rPr>
      </w:pPr>
      <w:r w:rsidRPr="00736194">
        <w:rPr>
          <w:rFonts w:ascii="Arial" w:hAnsi="Arial" w:cs="Arial"/>
          <w:szCs w:val="20"/>
        </w:rPr>
        <w:t>If the cost of utilities is not included in the rent to the owner, the PHA uses a schedule of utility allowances to determine the amount an assisted family needs to cover the cost of utilities. The PHA’s utility allowance schedule is developed based on utility consumption and rate data for various unit sizes, structure types, and fuel types. The PHA is required to review its utility allowance schedules annually and to adjust them if necessary (24 CFR section 982.517).</w:t>
      </w:r>
    </w:p>
    <w:p w14:paraId="29943B86" w14:textId="05DBE088" w:rsidR="008F18E7" w:rsidRPr="00736194" w:rsidRDefault="008F18E7" w:rsidP="008F18E7">
      <w:pPr>
        <w:pStyle w:val="BodyText"/>
        <w:ind w:left="720"/>
        <w:jc w:val="both"/>
        <w:rPr>
          <w:rFonts w:ascii="Arial" w:hAnsi="Arial" w:cs="Arial"/>
          <w:szCs w:val="20"/>
        </w:rPr>
      </w:pPr>
      <w:r w:rsidRPr="00736194">
        <w:rPr>
          <w:rFonts w:ascii="Arial" w:hAnsi="Arial" w:cs="Arial"/>
          <w:szCs w:val="20"/>
        </w:rPr>
        <w:lastRenderedPageBreak/>
        <w:t>The</w:t>
      </w:r>
      <w:r w:rsidRPr="00736194">
        <w:rPr>
          <w:rFonts w:ascii="Arial" w:hAnsi="Arial" w:cs="Arial"/>
          <w:spacing w:val="-6"/>
          <w:szCs w:val="20"/>
        </w:rPr>
        <w:t xml:space="preserve"> </w:t>
      </w:r>
      <w:r w:rsidRPr="00736194">
        <w:rPr>
          <w:rFonts w:ascii="Arial" w:hAnsi="Arial" w:cs="Arial"/>
          <w:szCs w:val="20"/>
        </w:rPr>
        <w:t>PHA</w:t>
      </w:r>
      <w:r w:rsidRPr="00736194">
        <w:rPr>
          <w:rFonts w:ascii="Arial" w:hAnsi="Arial" w:cs="Arial"/>
          <w:spacing w:val="-6"/>
          <w:szCs w:val="20"/>
        </w:rPr>
        <w:t xml:space="preserve"> </w:t>
      </w:r>
      <w:r w:rsidRPr="00736194">
        <w:rPr>
          <w:rFonts w:ascii="Arial" w:hAnsi="Arial" w:cs="Arial"/>
          <w:szCs w:val="20"/>
        </w:rPr>
        <w:t>must</w:t>
      </w:r>
      <w:r w:rsidRPr="00736194">
        <w:rPr>
          <w:rFonts w:ascii="Arial" w:hAnsi="Arial" w:cs="Arial"/>
          <w:spacing w:val="-3"/>
          <w:szCs w:val="20"/>
        </w:rPr>
        <w:t xml:space="preserve"> </w:t>
      </w:r>
      <w:r w:rsidRPr="00736194">
        <w:rPr>
          <w:rFonts w:ascii="Arial" w:hAnsi="Arial" w:cs="Arial"/>
          <w:szCs w:val="20"/>
        </w:rPr>
        <w:t>inspect</w:t>
      </w:r>
      <w:r w:rsidRPr="00736194">
        <w:rPr>
          <w:rFonts w:ascii="Arial" w:hAnsi="Arial" w:cs="Arial"/>
          <w:spacing w:val="-5"/>
          <w:szCs w:val="20"/>
        </w:rPr>
        <w:t xml:space="preserve"> </w:t>
      </w:r>
      <w:r w:rsidRPr="00736194">
        <w:rPr>
          <w:rFonts w:ascii="Arial" w:hAnsi="Arial" w:cs="Arial"/>
          <w:szCs w:val="20"/>
        </w:rPr>
        <w:t>units</w:t>
      </w:r>
      <w:r w:rsidRPr="00736194">
        <w:rPr>
          <w:rFonts w:ascii="Arial" w:hAnsi="Arial" w:cs="Arial"/>
          <w:spacing w:val="-5"/>
          <w:szCs w:val="20"/>
        </w:rPr>
        <w:t xml:space="preserve"> </w:t>
      </w:r>
      <w:r w:rsidRPr="00736194">
        <w:rPr>
          <w:rFonts w:ascii="Arial" w:hAnsi="Arial" w:cs="Arial"/>
          <w:szCs w:val="20"/>
        </w:rPr>
        <w:t>leased</w:t>
      </w:r>
      <w:r w:rsidRPr="00736194">
        <w:rPr>
          <w:rFonts w:ascii="Arial" w:hAnsi="Arial" w:cs="Arial"/>
          <w:spacing w:val="-5"/>
          <w:szCs w:val="20"/>
        </w:rPr>
        <w:t xml:space="preserve"> </w:t>
      </w:r>
      <w:r w:rsidRPr="00736194">
        <w:rPr>
          <w:rFonts w:ascii="Arial" w:hAnsi="Arial" w:cs="Arial"/>
          <w:szCs w:val="20"/>
        </w:rPr>
        <w:t>under</w:t>
      </w:r>
      <w:r w:rsidRPr="00736194">
        <w:rPr>
          <w:rFonts w:ascii="Arial" w:hAnsi="Arial" w:cs="Arial"/>
          <w:spacing w:val="-5"/>
          <w:szCs w:val="20"/>
        </w:rPr>
        <w:t xml:space="preserve"> </w:t>
      </w:r>
      <w:r w:rsidRPr="00736194">
        <w:rPr>
          <w:rFonts w:ascii="Arial" w:hAnsi="Arial" w:cs="Arial"/>
          <w:szCs w:val="20"/>
        </w:rPr>
        <w:t>the</w:t>
      </w:r>
      <w:r w:rsidRPr="00736194">
        <w:rPr>
          <w:rFonts w:ascii="Arial" w:hAnsi="Arial" w:cs="Arial"/>
          <w:spacing w:val="-6"/>
          <w:szCs w:val="20"/>
        </w:rPr>
        <w:t xml:space="preserve"> </w:t>
      </w:r>
      <w:r w:rsidRPr="00736194">
        <w:rPr>
          <w:rFonts w:ascii="Arial" w:hAnsi="Arial" w:cs="Arial"/>
          <w:szCs w:val="20"/>
        </w:rPr>
        <w:t>HCVP</w:t>
      </w:r>
      <w:r w:rsidRPr="00736194">
        <w:rPr>
          <w:rFonts w:ascii="Arial" w:hAnsi="Arial" w:cs="Arial"/>
          <w:spacing w:val="-4"/>
          <w:szCs w:val="20"/>
        </w:rPr>
        <w:t xml:space="preserve"> </w:t>
      </w:r>
      <w:r w:rsidRPr="00736194">
        <w:rPr>
          <w:rFonts w:ascii="Arial" w:hAnsi="Arial" w:cs="Arial"/>
          <w:szCs w:val="20"/>
        </w:rPr>
        <w:t>at</w:t>
      </w:r>
      <w:r w:rsidRPr="00736194">
        <w:rPr>
          <w:rFonts w:ascii="Arial" w:hAnsi="Arial" w:cs="Arial"/>
          <w:spacing w:val="-5"/>
          <w:szCs w:val="20"/>
        </w:rPr>
        <w:t xml:space="preserve"> </w:t>
      </w:r>
      <w:r w:rsidRPr="00736194">
        <w:rPr>
          <w:rFonts w:ascii="Arial" w:hAnsi="Arial" w:cs="Arial"/>
          <w:szCs w:val="20"/>
        </w:rPr>
        <w:t>the</w:t>
      </w:r>
      <w:r w:rsidRPr="00736194">
        <w:rPr>
          <w:rFonts w:ascii="Arial" w:hAnsi="Arial" w:cs="Arial"/>
          <w:spacing w:val="-5"/>
          <w:szCs w:val="20"/>
        </w:rPr>
        <w:t xml:space="preserve"> </w:t>
      </w:r>
      <w:r w:rsidRPr="00736194">
        <w:rPr>
          <w:rFonts w:ascii="Arial" w:hAnsi="Arial" w:cs="Arial"/>
          <w:szCs w:val="20"/>
        </w:rPr>
        <w:t>time</w:t>
      </w:r>
      <w:r w:rsidRPr="00736194">
        <w:rPr>
          <w:rFonts w:ascii="Arial" w:hAnsi="Arial" w:cs="Arial"/>
          <w:spacing w:val="-5"/>
          <w:szCs w:val="20"/>
        </w:rPr>
        <w:t xml:space="preserve"> </w:t>
      </w:r>
      <w:r w:rsidRPr="00736194">
        <w:rPr>
          <w:rFonts w:ascii="Arial" w:hAnsi="Arial" w:cs="Arial"/>
          <w:szCs w:val="20"/>
        </w:rPr>
        <w:t>of</w:t>
      </w:r>
      <w:r w:rsidRPr="00736194">
        <w:rPr>
          <w:rFonts w:ascii="Arial" w:hAnsi="Arial" w:cs="Arial"/>
          <w:spacing w:val="-5"/>
          <w:szCs w:val="20"/>
        </w:rPr>
        <w:t xml:space="preserve"> </w:t>
      </w:r>
      <w:r w:rsidRPr="00736194">
        <w:rPr>
          <w:rFonts w:ascii="Arial" w:hAnsi="Arial" w:cs="Arial"/>
          <w:szCs w:val="20"/>
        </w:rPr>
        <w:t>initial</w:t>
      </w:r>
      <w:r w:rsidRPr="00736194">
        <w:rPr>
          <w:rFonts w:ascii="Arial" w:hAnsi="Arial" w:cs="Arial"/>
          <w:spacing w:val="-5"/>
          <w:szCs w:val="20"/>
        </w:rPr>
        <w:t xml:space="preserve"> </w:t>
      </w:r>
      <w:r w:rsidRPr="00736194">
        <w:rPr>
          <w:rFonts w:ascii="Arial" w:hAnsi="Arial" w:cs="Arial"/>
          <w:szCs w:val="20"/>
        </w:rPr>
        <w:t>leasing</w:t>
      </w:r>
      <w:r w:rsidRPr="00736194">
        <w:rPr>
          <w:rFonts w:ascii="Arial" w:hAnsi="Arial" w:cs="Arial"/>
          <w:spacing w:val="-5"/>
          <w:szCs w:val="20"/>
        </w:rPr>
        <w:t xml:space="preserve"> </w:t>
      </w:r>
      <w:r w:rsidRPr="00736194">
        <w:rPr>
          <w:rFonts w:ascii="Arial" w:hAnsi="Arial" w:cs="Arial"/>
          <w:szCs w:val="20"/>
        </w:rPr>
        <w:t>and</w:t>
      </w:r>
      <w:r w:rsidRPr="00736194">
        <w:rPr>
          <w:rFonts w:ascii="Arial" w:hAnsi="Arial" w:cs="Arial"/>
          <w:spacing w:val="-5"/>
          <w:szCs w:val="20"/>
        </w:rPr>
        <w:t xml:space="preserve"> </w:t>
      </w:r>
      <w:r w:rsidRPr="00736194">
        <w:rPr>
          <w:rFonts w:ascii="Arial" w:hAnsi="Arial" w:cs="Arial"/>
          <w:szCs w:val="20"/>
        </w:rPr>
        <w:t>at</w:t>
      </w:r>
      <w:r w:rsidRPr="00736194">
        <w:rPr>
          <w:rFonts w:ascii="Arial" w:hAnsi="Arial" w:cs="Arial"/>
          <w:spacing w:val="-1"/>
          <w:szCs w:val="20"/>
        </w:rPr>
        <w:t xml:space="preserve"> </w:t>
      </w:r>
      <w:r w:rsidRPr="00736194">
        <w:rPr>
          <w:rFonts w:ascii="Arial" w:hAnsi="Arial" w:cs="Arial"/>
          <w:szCs w:val="20"/>
        </w:rPr>
        <w:t>least biennially thereafter to ensure the units meet HQS. The PHA must also conduct supervisory quality control HQS inspections (24 CFR sections 982.305 and</w:t>
      </w:r>
      <w:r w:rsidRPr="00736194">
        <w:rPr>
          <w:rFonts w:ascii="Arial" w:hAnsi="Arial" w:cs="Arial"/>
          <w:spacing w:val="-7"/>
          <w:szCs w:val="20"/>
        </w:rPr>
        <w:t xml:space="preserve"> </w:t>
      </w:r>
      <w:r w:rsidRPr="00736194">
        <w:rPr>
          <w:rFonts w:ascii="Arial" w:hAnsi="Arial" w:cs="Arial"/>
          <w:szCs w:val="20"/>
        </w:rPr>
        <w:t>982.405).</w:t>
      </w:r>
    </w:p>
    <w:p w14:paraId="6EFE5B4B" w14:textId="7418BC5F" w:rsidR="008F18E7" w:rsidRPr="00736194" w:rsidRDefault="008F18E7" w:rsidP="008F18E7">
      <w:pPr>
        <w:pStyle w:val="BodyText"/>
        <w:ind w:left="720"/>
        <w:jc w:val="both"/>
        <w:rPr>
          <w:rFonts w:ascii="Arial" w:hAnsi="Arial" w:cs="Arial"/>
          <w:szCs w:val="20"/>
        </w:rPr>
      </w:pPr>
      <w:r w:rsidRPr="00736194">
        <w:rPr>
          <w:rFonts w:ascii="Arial" w:hAnsi="Arial" w:cs="Arial"/>
          <w:szCs w:val="20"/>
        </w:rPr>
        <w:t xml:space="preserve">Under the homeownership option of the HCVP, a PHA may choose to </w:t>
      </w:r>
      <w:proofErr w:type="gramStart"/>
      <w:r w:rsidRPr="00736194">
        <w:rPr>
          <w:rFonts w:ascii="Arial" w:hAnsi="Arial" w:cs="Arial"/>
          <w:szCs w:val="20"/>
        </w:rPr>
        <w:t>provide assistance to</w:t>
      </w:r>
      <w:proofErr w:type="gramEnd"/>
      <w:r w:rsidRPr="00736194">
        <w:rPr>
          <w:rFonts w:ascii="Arial" w:hAnsi="Arial" w:cs="Arial"/>
          <w:szCs w:val="20"/>
        </w:rPr>
        <w:t xml:space="preserve"> a qualified first-time homebuyer to subsidize the family’s monthly homeownership expenses. The homeownership option is operated by a PHA as a separate sub-program of the HCVP, which is subject to somewhat different rules (24 CFR sections 982.625 through 982.643).</w:t>
      </w:r>
    </w:p>
    <w:p w14:paraId="7275E8BD" w14:textId="4F3B056A" w:rsidR="008F18E7" w:rsidRPr="00736194" w:rsidRDefault="008F18E7" w:rsidP="008F18E7">
      <w:pPr>
        <w:pStyle w:val="BodyText"/>
        <w:spacing w:before="1"/>
        <w:ind w:left="720"/>
        <w:jc w:val="both"/>
        <w:rPr>
          <w:rFonts w:ascii="Arial" w:hAnsi="Arial" w:cs="Arial"/>
          <w:szCs w:val="20"/>
        </w:rPr>
      </w:pPr>
      <w:r w:rsidRPr="00736194">
        <w:rPr>
          <w:rFonts w:ascii="Arial" w:hAnsi="Arial" w:cs="Arial"/>
          <w:szCs w:val="20"/>
        </w:rPr>
        <w:t>PHAs must maintain complete and accurate accounts and other records for the program in accordance with HUD requirements. PHAs are required to maintain a HAP contract register or similar record in which to record the PHA’s obligation for monthly HAPs. This record must provide information as to (1) the name and address of the family, (2) the name and address of the owner, (3) dwelling unit size, (4) the beginning date of the lease term, (5) the monthly rent payable to the owner, (6) monthly rent payable by the family to the owner, and</w:t>
      </w:r>
      <w:r>
        <w:rPr>
          <w:rFonts w:ascii="Arial" w:hAnsi="Arial" w:cs="Arial"/>
          <w:szCs w:val="20"/>
        </w:rPr>
        <w:t xml:space="preserve"> </w:t>
      </w:r>
      <w:r w:rsidRPr="00736194">
        <w:rPr>
          <w:rFonts w:ascii="Arial" w:hAnsi="Arial" w:cs="Arial"/>
          <w:szCs w:val="20"/>
        </w:rPr>
        <w:t>(7) the monthly HAP (24 CFR section 982.158).</w:t>
      </w:r>
    </w:p>
    <w:p w14:paraId="1BC53E3A" w14:textId="091811E8" w:rsidR="008F18E7" w:rsidRPr="008F18E7" w:rsidRDefault="008F18E7" w:rsidP="006F743F">
      <w:pPr>
        <w:pStyle w:val="ListParagraph"/>
        <w:widowControl w:val="0"/>
        <w:numPr>
          <w:ilvl w:val="1"/>
          <w:numId w:val="54"/>
        </w:numPr>
        <w:suppressAutoHyphens w:val="0"/>
        <w:adjustRightInd/>
        <w:ind w:left="720"/>
        <w:contextualSpacing/>
        <w:jc w:val="both"/>
        <w:rPr>
          <w:rFonts w:ascii="Arial" w:hAnsi="Arial" w:cs="Arial"/>
          <w:b/>
          <w:bCs/>
        </w:rPr>
      </w:pPr>
      <w:r w:rsidRPr="00736194">
        <w:rPr>
          <w:rFonts w:ascii="Arial" w:hAnsi="Arial" w:cs="Arial"/>
          <w:b/>
          <w:bCs/>
        </w:rPr>
        <w:t>Subprograms/Program</w:t>
      </w:r>
      <w:r w:rsidRPr="00736194">
        <w:rPr>
          <w:rFonts w:ascii="Arial" w:hAnsi="Arial" w:cs="Arial"/>
          <w:b/>
          <w:bCs/>
          <w:spacing w:val="-6"/>
        </w:rPr>
        <w:t xml:space="preserve"> </w:t>
      </w:r>
      <w:r w:rsidRPr="00736194">
        <w:rPr>
          <w:rFonts w:ascii="Arial" w:hAnsi="Arial" w:cs="Arial"/>
          <w:b/>
          <w:bCs/>
          <w:spacing w:val="-3"/>
        </w:rPr>
        <w:t>Elements</w:t>
      </w:r>
    </w:p>
    <w:p w14:paraId="7EB5497D" w14:textId="77777777" w:rsidR="008F18E7" w:rsidRPr="008F18E7" w:rsidRDefault="008F18E7" w:rsidP="008F18E7">
      <w:pPr>
        <w:pStyle w:val="ListParagraph"/>
        <w:widowControl w:val="0"/>
        <w:suppressAutoHyphens w:val="0"/>
        <w:adjustRightInd/>
        <w:contextualSpacing/>
        <w:jc w:val="both"/>
        <w:rPr>
          <w:rFonts w:ascii="Arial" w:hAnsi="Arial" w:cs="Arial"/>
          <w:b/>
          <w:bCs/>
        </w:rPr>
      </w:pPr>
    </w:p>
    <w:p w14:paraId="50C4079A" w14:textId="471F662E" w:rsidR="008F18E7" w:rsidRPr="008F18E7" w:rsidRDefault="008F18E7" w:rsidP="006F743F">
      <w:pPr>
        <w:pStyle w:val="ListParagraph"/>
        <w:widowControl w:val="0"/>
        <w:numPr>
          <w:ilvl w:val="2"/>
          <w:numId w:val="54"/>
        </w:numPr>
        <w:tabs>
          <w:tab w:val="left" w:pos="1440"/>
        </w:tabs>
        <w:suppressAutoHyphens w:val="0"/>
        <w:adjustRightInd/>
        <w:spacing w:before="1"/>
        <w:ind w:left="1260" w:hanging="540"/>
        <w:jc w:val="both"/>
        <w:rPr>
          <w:rFonts w:ascii="Arial" w:hAnsi="Arial" w:cs="Arial"/>
          <w:i/>
        </w:rPr>
      </w:pPr>
      <w:r w:rsidRPr="00736194">
        <w:rPr>
          <w:rFonts w:ascii="Arial" w:hAnsi="Arial" w:cs="Arial"/>
          <w:i/>
        </w:rPr>
        <w:t>HUD-Veterans Affairs Supportive</w:t>
      </w:r>
      <w:r w:rsidRPr="00736194">
        <w:rPr>
          <w:rFonts w:ascii="Arial" w:hAnsi="Arial" w:cs="Arial"/>
          <w:i/>
          <w:spacing w:val="-16"/>
        </w:rPr>
        <w:t xml:space="preserve"> </w:t>
      </w:r>
      <w:r w:rsidRPr="00736194">
        <w:rPr>
          <w:rFonts w:ascii="Arial" w:hAnsi="Arial" w:cs="Arial"/>
          <w:i/>
          <w:spacing w:val="-3"/>
        </w:rPr>
        <w:t>Housing</w:t>
      </w:r>
    </w:p>
    <w:p w14:paraId="34C1375A" w14:textId="77777777" w:rsidR="008F18E7" w:rsidRPr="008F18E7" w:rsidRDefault="008F18E7" w:rsidP="008F18E7">
      <w:pPr>
        <w:pStyle w:val="ListParagraph"/>
        <w:widowControl w:val="0"/>
        <w:tabs>
          <w:tab w:val="left" w:pos="1440"/>
        </w:tabs>
        <w:suppressAutoHyphens w:val="0"/>
        <w:adjustRightInd/>
        <w:spacing w:before="1"/>
        <w:ind w:left="1260"/>
        <w:jc w:val="both"/>
        <w:rPr>
          <w:rFonts w:ascii="Arial" w:hAnsi="Arial" w:cs="Arial"/>
          <w:i/>
        </w:rPr>
      </w:pPr>
    </w:p>
    <w:p w14:paraId="2C405D3D" w14:textId="4F4A161A" w:rsidR="008F18E7" w:rsidRPr="00736194" w:rsidRDefault="008F18E7" w:rsidP="008F18E7">
      <w:pPr>
        <w:pStyle w:val="BodyText"/>
        <w:ind w:left="1260"/>
        <w:jc w:val="both"/>
        <w:rPr>
          <w:rFonts w:ascii="Arial" w:hAnsi="Arial" w:cs="Arial"/>
          <w:szCs w:val="20"/>
        </w:rPr>
      </w:pPr>
      <w:r w:rsidRPr="00736194">
        <w:rPr>
          <w:rFonts w:ascii="Arial" w:hAnsi="Arial" w:cs="Arial"/>
          <w:szCs w:val="20"/>
        </w:rPr>
        <w:t>The 2008 Consolidated Appropriations Act (Pub. L. No. 110-161, 121 Stat. 2414- 2415), enacted December 26, 2007, initiated funding for the HUD-Veterans Affairs Supportive Housing (HUD-VASH) voucher program, as authorized under Section 8(o)(19) of the US Housing Act of 1937 (42 USC 1437f(o)(19)). The VASH program is included in Assistance Listing 14.871. The HUD-VASH program combines HUD HCVP rental assistance for homeless veterans with case management and clinical services provided by the Department of Veterans Affairs at its medical centers and in the community. The HUD-VASH program is administered in accordance with regular HCVP requirements (24 CFR Part 982). However, Pub. L. No. 110-161 allows HUD to waive or specify alternative requirements for any provision of any statute or regulation that HUD administers in connection with this program to effectively deliver and administer HUD-VASH voucher assistance.</w:t>
      </w:r>
    </w:p>
    <w:p w14:paraId="5B54E3A7" w14:textId="1AEE4EFD" w:rsidR="008F18E7" w:rsidRPr="00736194" w:rsidRDefault="008F18E7" w:rsidP="008F18E7">
      <w:pPr>
        <w:pStyle w:val="BodyText"/>
        <w:ind w:left="1260"/>
        <w:jc w:val="both"/>
        <w:rPr>
          <w:rFonts w:ascii="Arial" w:hAnsi="Arial" w:cs="Arial"/>
          <w:szCs w:val="20"/>
        </w:rPr>
      </w:pPr>
      <w:r w:rsidRPr="00736194">
        <w:rPr>
          <w:rFonts w:ascii="Arial" w:hAnsi="Arial" w:cs="Arial"/>
          <w:szCs w:val="20"/>
        </w:rPr>
        <w:t xml:space="preserve">The HUD-VASH revised operating requirements (including the waivers and alternative requirements from HCVP rules) were last published in the August 13, 2024, </w:t>
      </w:r>
      <w:r w:rsidRPr="00736194">
        <w:rPr>
          <w:rFonts w:ascii="Arial" w:hAnsi="Arial" w:cs="Arial"/>
          <w:i/>
          <w:szCs w:val="20"/>
        </w:rPr>
        <w:t xml:space="preserve">Federal Register, </w:t>
      </w:r>
      <w:r w:rsidRPr="00736194">
        <w:rPr>
          <w:rFonts w:ascii="Arial" w:hAnsi="Arial" w:cs="Arial"/>
          <w:szCs w:val="20"/>
        </w:rPr>
        <w:t xml:space="preserve">(89 FR 6476-N-01), </w:t>
      </w:r>
      <w:r w:rsidRPr="00736194">
        <w:rPr>
          <w:rFonts w:ascii="Arial" w:hAnsi="Arial" w:cs="Arial"/>
          <w:i/>
          <w:szCs w:val="20"/>
        </w:rPr>
        <w:t>Section 8 Housing Choice Vouchers: Revised Implementation of Veterans Affairs Supportive Housing Program</w:t>
      </w:r>
      <w:r w:rsidRPr="00736194">
        <w:rPr>
          <w:rFonts w:ascii="Arial" w:hAnsi="Arial" w:cs="Arial"/>
          <w:szCs w:val="20"/>
        </w:rPr>
        <w:t>. Public and Indian Housing Notice PIH 2011-53 (HA) provides further guidance on the reporting and portability requirements of VASH, , and Notice PIH 2022-25 (HA) provides guidance on the voluntary reallocation or recapture of HUD-VASH vouchers. All original HUD-VASH increments and renewals are funded under the “Voucher (VO)” program type (i.e., the Housing Choice Voucher (HCV) program housing assistance payment (HAP) funding code) and are included in the PHA’s monthly VO disbursements. Administrative fee-related revenues and expenses should be recorded under the HCVP as Assistance Listing 14.871 on the FDS. PHAs are required to submit family data using HUD-50058 in PIH Information Center (PIC), and HAP and leasing information using HUD-52681-B via the Voucher Management System (VMS).</w:t>
      </w:r>
    </w:p>
    <w:p w14:paraId="62AE75C7" w14:textId="77777777" w:rsidR="008F18E7" w:rsidRPr="00736194" w:rsidRDefault="008F18E7" w:rsidP="006F743F">
      <w:pPr>
        <w:pStyle w:val="ListParagraph"/>
        <w:widowControl w:val="0"/>
        <w:numPr>
          <w:ilvl w:val="2"/>
          <w:numId w:val="54"/>
        </w:numPr>
        <w:tabs>
          <w:tab w:val="left" w:pos="1440"/>
        </w:tabs>
        <w:suppressAutoHyphens w:val="0"/>
        <w:adjustRightInd/>
        <w:ind w:left="720" w:firstLine="0"/>
        <w:jc w:val="both"/>
        <w:rPr>
          <w:rFonts w:ascii="Arial" w:hAnsi="Arial" w:cs="Arial"/>
          <w:i/>
        </w:rPr>
      </w:pPr>
      <w:r w:rsidRPr="00736194">
        <w:rPr>
          <w:rFonts w:ascii="Arial" w:hAnsi="Arial" w:cs="Arial"/>
          <w:i/>
        </w:rPr>
        <w:t>Family Unification</w:t>
      </w:r>
      <w:r w:rsidRPr="00736194">
        <w:rPr>
          <w:rFonts w:ascii="Arial" w:hAnsi="Arial" w:cs="Arial"/>
          <w:i/>
          <w:spacing w:val="-8"/>
        </w:rPr>
        <w:t xml:space="preserve"> </w:t>
      </w:r>
      <w:r w:rsidRPr="00736194">
        <w:rPr>
          <w:rFonts w:ascii="Arial" w:hAnsi="Arial" w:cs="Arial"/>
          <w:i/>
          <w:spacing w:val="-3"/>
        </w:rPr>
        <w:t>Program</w:t>
      </w:r>
    </w:p>
    <w:p w14:paraId="3679C325" w14:textId="77777777" w:rsidR="008F18E7" w:rsidRDefault="008F18E7" w:rsidP="008F18E7">
      <w:pPr>
        <w:pStyle w:val="BodyText"/>
        <w:spacing w:after="0" w:line="259" w:lineRule="auto"/>
        <w:ind w:left="720"/>
        <w:jc w:val="both"/>
        <w:rPr>
          <w:rFonts w:ascii="Arial" w:hAnsi="Arial" w:cs="Arial"/>
          <w:szCs w:val="20"/>
        </w:rPr>
      </w:pPr>
    </w:p>
    <w:p w14:paraId="6487130E" w14:textId="1F9C9D99" w:rsidR="008F18E7" w:rsidRDefault="008F18E7" w:rsidP="008F18E7">
      <w:pPr>
        <w:pStyle w:val="BodyText"/>
        <w:spacing w:after="0" w:line="259" w:lineRule="auto"/>
        <w:ind w:left="1440"/>
        <w:jc w:val="both"/>
        <w:rPr>
          <w:rFonts w:ascii="Arial" w:hAnsi="Arial" w:cs="Arial"/>
          <w:szCs w:val="20"/>
        </w:rPr>
      </w:pPr>
      <w:r w:rsidRPr="00736194">
        <w:rPr>
          <w:rFonts w:ascii="Arial" w:hAnsi="Arial" w:cs="Arial"/>
          <w:szCs w:val="20"/>
        </w:rPr>
        <w:t xml:space="preserve">Family Unification Program (FUP) vouchers are made available to families for whom the lack of adequate housing is a primary factor in the imminent placement of the family's child, or children, in out-of-home care; or the delay in the discharge of the child, or children, to the family from out-of-home care; and youth at least 18 years and not more than 24 years of age (have not reached their 25th birthday) who left foster care, or will leave foster care within 90 days, in accordance with a transition plan described in Section 475(5)(H) of the </w:t>
      </w:r>
      <w:r w:rsidRPr="00736194">
        <w:rPr>
          <w:rFonts w:ascii="Arial" w:hAnsi="Arial" w:cs="Arial"/>
          <w:szCs w:val="20"/>
        </w:rPr>
        <w:lastRenderedPageBreak/>
        <w:t>Social Security Act, and are homeless or are at risk of becoming homeless at age 16 or older. In Fiscal Years 2020 and later, Congress provided FUP assistance to be targeted to FUP-eligible youth. HUD refers to this targeted FUP assistance as the Foster Youth to Independence (FYI) initiative. As required by statute, a FYI voucher or a FUP voucher issued to such a youth may only be used to provide housing assistance for the youth for a maximum of 36 months unless the youth meet the requirements to receive an extension of assistance under the Fostering Stable Housing Opportunities (FSHO) amendments (Section 103 of Division Q of the Consolidated Appropriations Act, 2021 (Pub. L. 116-260)). FSHO provides FUP youth an extension of the 36- month time limit for up to an additional 24 months if they meet certain requirements.</w:t>
      </w:r>
    </w:p>
    <w:p w14:paraId="3EE665B0" w14:textId="77777777" w:rsidR="008F18E7" w:rsidRPr="00736194" w:rsidRDefault="008F18E7" w:rsidP="008F18E7">
      <w:pPr>
        <w:pStyle w:val="BodyText"/>
        <w:spacing w:after="0" w:line="259" w:lineRule="auto"/>
        <w:ind w:left="720"/>
        <w:jc w:val="both"/>
        <w:rPr>
          <w:rFonts w:ascii="Arial" w:hAnsi="Arial" w:cs="Arial"/>
          <w:szCs w:val="20"/>
        </w:rPr>
      </w:pPr>
    </w:p>
    <w:p w14:paraId="7EC4068E" w14:textId="7B01AD8B" w:rsidR="008F18E7" w:rsidRPr="00736194" w:rsidRDefault="008F18E7" w:rsidP="008F18E7">
      <w:pPr>
        <w:pStyle w:val="BodyText"/>
        <w:spacing w:before="1"/>
        <w:ind w:left="1440"/>
        <w:jc w:val="both"/>
        <w:rPr>
          <w:rFonts w:ascii="Arial" w:hAnsi="Arial" w:cs="Arial"/>
          <w:szCs w:val="20"/>
        </w:rPr>
      </w:pPr>
      <w:r w:rsidRPr="00736194">
        <w:rPr>
          <w:rFonts w:ascii="Arial" w:hAnsi="Arial" w:cs="Arial"/>
          <w:szCs w:val="20"/>
        </w:rPr>
        <w:t>FUP/FYI vouchers enable these families and youths to lease decent, safe, and sanitary housing that is affordable in the private-housing market. Funding for the initial FUP vouchers were reported under Assistance Listing 14.880, but currently these vouchers are renewed to FUP-eligible families and FUP-eligible youth through voucher renewals under the HCVP, Assistance Listing 14.871. PHAs are also required to submit family data (HUD-50058) in PIC, and HAP and leasing information using HUD-52681-B via the VMS.</w:t>
      </w:r>
    </w:p>
    <w:p w14:paraId="413C7258" w14:textId="77777777" w:rsidR="008F18E7" w:rsidRPr="00736194" w:rsidRDefault="008F18E7" w:rsidP="006F743F">
      <w:pPr>
        <w:pStyle w:val="ListParagraph"/>
        <w:widowControl w:val="0"/>
        <w:numPr>
          <w:ilvl w:val="2"/>
          <w:numId w:val="54"/>
        </w:numPr>
        <w:tabs>
          <w:tab w:val="left" w:pos="1440"/>
        </w:tabs>
        <w:suppressAutoHyphens w:val="0"/>
        <w:adjustRightInd/>
        <w:ind w:left="720" w:firstLine="0"/>
        <w:jc w:val="both"/>
        <w:rPr>
          <w:rFonts w:ascii="Arial" w:hAnsi="Arial" w:cs="Arial"/>
          <w:i/>
        </w:rPr>
      </w:pPr>
      <w:r w:rsidRPr="00736194">
        <w:rPr>
          <w:rFonts w:ascii="Arial" w:hAnsi="Arial" w:cs="Arial"/>
          <w:i/>
        </w:rPr>
        <w:t>Non-Elderly</w:t>
      </w:r>
      <w:r w:rsidRPr="00736194">
        <w:rPr>
          <w:rFonts w:ascii="Arial" w:hAnsi="Arial" w:cs="Arial"/>
          <w:i/>
          <w:spacing w:val="-4"/>
        </w:rPr>
        <w:t xml:space="preserve"> </w:t>
      </w:r>
      <w:r w:rsidRPr="00736194">
        <w:rPr>
          <w:rFonts w:ascii="Arial" w:hAnsi="Arial" w:cs="Arial"/>
          <w:i/>
          <w:spacing w:val="-3"/>
        </w:rPr>
        <w:t>Disabled</w:t>
      </w:r>
    </w:p>
    <w:p w14:paraId="46FB5E14" w14:textId="77777777" w:rsidR="008F18E7" w:rsidRPr="00736194" w:rsidRDefault="008F18E7" w:rsidP="008F18E7">
      <w:pPr>
        <w:pStyle w:val="BodyText"/>
        <w:spacing w:after="0"/>
        <w:ind w:left="720"/>
        <w:jc w:val="both"/>
        <w:rPr>
          <w:rFonts w:ascii="Arial" w:hAnsi="Arial" w:cs="Arial"/>
          <w:i/>
          <w:szCs w:val="20"/>
        </w:rPr>
      </w:pPr>
    </w:p>
    <w:p w14:paraId="3C6F591C" w14:textId="6F78C948" w:rsidR="008F18E7" w:rsidRDefault="008F18E7" w:rsidP="008F18E7">
      <w:pPr>
        <w:pStyle w:val="BodyText"/>
        <w:spacing w:after="0"/>
        <w:ind w:left="1440"/>
        <w:jc w:val="both"/>
        <w:rPr>
          <w:rFonts w:ascii="Arial" w:hAnsi="Arial" w:cs="Arial"/>
          <w:szCs w:val="20"/>
        </w:rPr>
      </w:pPr>
      <w:r w:rsidRPr="00736194">
        <w:rPr>
          <w:rFonts w:ascii="Arial" w:hAnsi="Arial" w:cs="Arial"/>
          <w:szCs w:val="20"/>
        </w:rPr>
        <w:t>Various appropriations acts have provided separate funding for non-elderly disabled (NED) vouchers (i.e., the participant family’s head-of-household is a person with a disability(ies) who is 18 years of age or older and less than 62 years of age), which are administered in accordance with regular HCVP requirements (24 CFR Part 982) and are included in under Assistance Listing Number 14.871. Related revenues and expenses should be recorded under the HCVP, 14.871 on the FDS. PHAs are also required to submit family data (HUD-50058) in PIC, and HAP and leasing information using HUD-52681-B via the VMS.</w:t>
      </w:r>
    </w:p>
    <w:p w14:paraId="4C799D10" w14:textId="77777777" w:rsidR="008F18E7" w:rsidRPr="00736194" w:rsidRDefault="008F18E7" w:rsidP="008F18E7">
      <w:pPr>
        <w:pStyle w:val="BodyText"/>
        <w:spacing w:after="0"/>
        <w:ind w:left="720"/>
        <w:jc w:val="both"/>
        <w:rPr>
          <w:rFonts w:ascii="Arial" w:hAnsi="Arial" w:cs="Arial"/>
          <w:szCs w:val="20"/>
        </w:rPr>
      </w:pPr>
    </w:p>
    <w:p w14:paraId="16BA5BD8" w14:textId="77777777" w:rsidR="008F18E7" w:rsidRPr="00736194" w:rsidRDefault="008F18E7" w:rsidP="006F743F">
      <w:pPr>
        <w:pStyle w:val="ListParagraph"/>
        <w:widowControl w:val="0"/>
        <w:numPr>
          <w:ilvl w:val="2"/>
          <w:numId w:val="54"/>
        </w:numPr>
        <w:tabs>
          <w:tab w:val="left" w:pos="1440"/>
        </w:tabs>
        <w:suppressAutoHyphens w:val="0"/>
        <w:adjustRightInd/>
        <w:ind w:left="720" w:firstLine="0"/>
        <w:jc w:val="both"/>
        <w:rPr>
          <w:rFonts w:ascii="Arial" w:hAnsi="Arial" w:cs="Arial"/>
          <w:i/>
        </w:rPr>
      </w:pPr>
      <w:r w:rsidRPr="00736194">
        <w:rPr>
          <w:rFonts w:ascii="Arial" w:hAnsi="Arial" w:cs="Arial"/>
          <w:i/>
        </w:rPr>
        <w:t>Disaster Housing Assistance</w:t>
      </w:r>
      <w:r w:rsidRPr="00736194">
        <w:rPr>
          <w:rFonts w:ascii="Arial" w:hAnsi="Arial" w:cs="Arial"/>
          <w:i/>
          <w:spacing w:val="-9"/>
        </w:rPr>
        <w:t xml:space="preserve"> </w:t>
      </w:r>
      <w:r w:rsidRPr="00736194">
        <w:rPr>
          <w:rFonts w:ascii="Arial" w:hAnsi="Arial" w:cs="Arial"/>
          <w:i/>
          <w:spacing w:val="-3"/>
        </w:rPr>
        <w:t>Program</w:t>
      </w:r>
    </w:p>
    <w:p w14:paraId="06622AB0" w14:textId="77777777" w:rsidR="008F18E7" w:rsidRPr="00736194" w:rsidRDefault="008F18E7" w:rsidP="008F18E7">
      <w:pPr>
        <w:pStyle w:val="BodyText"/>
        <w:spacing w:after="0"/>
        <w:ind w:left="720"/>
        <w:jc w:val="both"/>
        <w:rPr>
          <w:rFonts w:ascii="Arial" w:hAnsi="Arial" w:cs="Arial"/>
          <w:i/>
          <w:szCs w:val="20"/>
        </w:rPr>
      </w:pPr>
    </w:p>
    <w:p w14:paraId="1982DAAC" w14:textId="0AB319D4" w:rsidR="008F18E7" w:rsidRDefault="008F18E7" w:rsidP="008F18E7">
      <w:pPr>
        <w:pStyle w:val="BodyText"/>
        <w:spacing w:after="0"/>
        <w:ind w:left="1440"/>
        <w:jc w:val="both"/>
        <w:rPr>
          <w:rFonts w:ascii="Arial" w:hAnsi="Arial" w:cs="Arial"/>
          <w:szCs w:val="20"/>
        </w:rPr>
      </w:pPr>
      <w:r w:rsidRPr="00736194">
        <w:rPr>
          <w:rFonts w:ascii="Arial" w:hAnsi="Arial" w:cs="Arial"/>
          <w:szCs w:val="20"/>
        </w:rPr>
        <w:t>The Disaster Housing Assistance Program (DHAP) is a program designed by the Federal Emergency Management Agency (FEMA) and HUD to serve families displaced by a Presidentially declared disaster. Through an Interagency Agreement (IAA) executed by both federal agencies, on FEMA’s behalf, HUD has the authority to design, implement, and administer DHAP to provide temporary rental assistance to individuals displaced by disaster. The DHAP (Assistance Listing 97.109) was established to provide rental assistance, security and utility deposits, and case management services for families who were displaced by hurricanes Katrina, Rita, Gustav, and Ike. The DHAP was extended to assist eligible families displaced by Hurricane Sandy (DHAP-Sandy, HUD Assistance Listing 97.109) (with funds from DHS Assistance Listings 97.048; 97.049; and 97.050). The IAA between FEMA</w:t>
      </w:r>
      <w:r w:rsidRPr="00736194">
        <w:rPr>
          <w:rFonts w:ascii="Arial" w:hAnsi="Arial" w:cs="Arial"/>
          <w:spacing w:val="-20"/>
          <w:szCs w:val="20"/>
        </w:rPr>
        <w:t xml:space="preserve"> </w:t>
      </w:r>
      <w:r w:rsidRPr="00736194">
        <w:rPr>
          <w:rFonts w:ascii="Arial" w:hAnsi="Arial" w:cs="Arial"/>
          <w:szCs w:val="20"/>
        </w:rPr>
        <w:t>and HUD, applicable to DHAP Sandy, expired on December 31, 2014. The DHAP- Sandy funding is separate and distinct from the PHA’s regular voucher program, in terms of the source and use of the funding. The PHA is required to maintain records that allow for the easy identification of families assisted under DHAP-Sandy and must report monthly leasing and expenditure for such families separately from housing choice voucher families under the VMS. The PHA must maintain a separate HAP register for DHAP-Sandy to record and control assistance payments for rent subsidies. The PHAs reported DHAP-Sandy family information to HUD through the Disaster Information System (DIS). There is no current reporting on DHAP and DIS is dormant in case a future Disaster Program must be stood up. PHAs administering DHAP through DIS (DHAP-Sandy or others) do not complete a HUD-50058 or enter any information on a DHAP families into the PIC</w:t>
      </w:r>
      <w:r w:rsidRPr="00736194">
        <w:rPr>
          <w:rFonts w:ascii="Arial" w:hAnsi="Arial" w:cs="Arial"/>
          <w:spacing w:val="-8"/>
          <w:szCs w:val="20"/>
        </w:rPr>
        <w:t xml:space="preserve"> </w:t>
      </w:r>
      <w:r w:rsidRPr="00736194">
        <w:rPr>
          <w:rFonts w:ascii="Arial" w:hAnsi="Arial" w:cs="Arial"/>
          <w:szCs w:val="20"/>
        </w:rPr>
        <w:t>system.</w:t>
      </w:r>
    </w:p>
    <w:p w14:paraId="6C2172DA" w14:textId="77777777" w:rsidR="008F18E7" w:rsidRPr="00736194" w:rsidRDefault="008F18E7" w:rsidP="008F18E7">
      <w:pPr>
        <w:pStyle w:val="BodyText"/>
        <w:spacing w:after="0"/>
        <w:ind w:left="720"/>
        <w:jc w:val="both"/>
        <w:rPr>
          <w:rFonts w:ascii="Arial" w:hAnsi="Arial" w:cs="Arial"/>
          <w:szCs w:val="20"/>
        </w:rPr>
      </w:pPr>
    </w:p>
    <w:p w14:paraId="5F1690C5" w14:textId="18385AB8" w:rsidR="008F18E7" w:rsidRPr="00736194" w:rsidRDefault="008F18E7" w:rsidP="008F18E7">
      <w:pPr>
        <w:pStyle w:val="BodyText"/>
        <w:ind w:left="1440"/>
        <w:jc w:val="both"/>
        <w:rPr>
          <w:rFonts w:ascii="Arial" w:hAnsi="Arial" w:cs="Arial"/>
          <w:szCs w:val="20"/>
        </w:rPr>
      </w:pPr>
      <w:r w:rsidRPr="00736194">
        <w:rPr>
          <w:rFonts w:ascii="Arial" w:hAnsi="Arial" w:cs="Arial"/>
          <w:szCs w:val="20"/>
        </w:rPr>
        <w:t xml:space="preserve">The underlying authority for DHAP-Sandy is the Department of Homeland Security’s general grant authority under Section 102(b)(2) of the Homeland Security Act of 2002, 6 </w:t>
      </w:r>
      <w:r w:rsidRPr="00736194">
        <w:rPr>
          <w:rFonts w:ascii="Arial" w:hAnsi="Arial" w:cs="Arial"/>
          <w:szCs w:val="20"/>
        </w:rPr>
        <w:lastRenderedPageBreak/>
        <w:t>USC 112(b)(2), and sections 306(a), 408(b)(1), and 426 of the Robert</w:t>
      </w:r>
      <w:r>
        <w:rPr>
          <w:rFonts w:ascii="Arial" w:hAnsi="Arial" w:cs="Arial"/>
          <w:szCs w:val="20"/>
        </w:rPr>
        <w:t xml:space="preserve"> </w:t>
      </w:r>
      <w:r w:rsidRPr="00736194">
        <w:rPr>
          <w:rFonts w:ascii="Arial" w:hAnsi="Arial" w:cs="Arial"/>
          <w:szCs w:val="20"/>
        </w:rPr>
        <w:t>T. Stafford Disaster Relief and Emergency Assistance Act (Stafford Act), 42 USC 5149(a), 5174(b)(1), and 5189d, respectively.</w:t>
      </w:r>
    </w:p>
    <w:p w14:paraId="07C11681" w14:textId="00979226" w:rsidR="008F18E7" w:rsidRPr="008F18E7" w:rsidRDefault="008F18E7" w:rsidP="006F743F">
      <w:pPr>
        <w:pStyle w:val="ListParagraph"/>
        <w:widowControl w:val="0"/>
        <w:numPr>
          <w:ilvl w:val="2"/>
          <w:numId w:val="54"/>
        </w:numPr>
        <w:tabs>
          <w:tab w:val="left" w:pos="2115"/>
          <w:tab w:val="left" w:pos="2116"/>
        </w:tabs>
        <w:suppressAutoHyphens w:val="0"/>
        <w:adjustRightInd/>
        <w:spacing w:before="90"/>
        <w:ind w:left="1440"/>
        <w:jc w:val="both"/>
        <w:rPr>
          <w:rFonts w:ascii="Arial" w:hAnsi="Arial" w:cs="Arial"/>
          <w:i/>
        </w:rPr>
      </w:pPr>
      <w:r w:rsidRPr="00736194">
        <w:rPr>
          <w:rFonts w:ascii="Arial" w:hAnsi="Arial" w:cs="Arial"/>
          <w:i/>
        </w:rPr>
        <w:t>Mainstream Vouchers (Former Mainstream 5-Year</w:t>
      </w:r>
      <w:r w:rsidRPr="00736194">
        <w:rPr>
          <w:rFonts w:ascii="Arial" w:hAnsi="Arial" w:cs="Arial"/>
          <w:i/>
          <w:spacing w:val="-26"/>
        </w:rPr>
        <w:t xml:space="preserve"> </w:t>
      </w:r>
      <w:r w:rsidRPr="00736194">
        <w:rPr>
          <w:rFonts w:ascii="Arial" w:hAnsi="Arial" w:cs="Arial"/>
          <w:i/>
          <w:spacing w:val="-3"/>
        </w:rPr>
        <w:t>Program)</w:t>
      </w:r>
    </w:p>
    <w:p w14:paraId="1148696E" w14:textId="77777777" w:rsidR="008F18E7" w:rsidRPr="008F18E7" w:rsidRDefault="008F18E7" w:rsidP="008F18E7">
      <w:pPr>
        <w:widowControl w:val="0"/>
        <w:tabs>
          <w:tab w:val="left" w:pos="2115"/>
          <w:tab w:val="left" w:pos="2116"/>
        </w:tabs>
        <w:spacing w:before="90"/>
        <w:ind w:left="720"/>
        <w:jc w:val="both"/>
        <w:rPr>
          <w:rFonts w:ascii="Arial" w:hAnsi="Arial" w:cs="Arial"/>
          <w:i/>
        </w:rPr>
      </w:pPr>
    </w:p>
    <w:p w14:paraId="15890B23" w14:textId="77777777" w:rsidR="008F18E7" w:rsidRPr="00736194" w:rsidRDefault="008F18E7" w:rsidP="008F18E7">
      <w:pPr>
        <w:pStyle w:val="BodyText"/>
        <w:ind w:left="1440"/>
        <w:jc w:val="both"/>
        <w:rPr>
          <w:rFonts w:ascii="Arial" w:hAnsi="Arial" w:cs="Arial"/>
          <w:szCs w:val="20"/>
        </w:rPr>
      </w:pPr>
      <w:r w:rsidRPr="00736194">
        <w:rPr>
          <w:rFonts w:ascii="Arial" w:hAnsi="Arial" w:cs="Arial"/>
          <w:szCs w:val="20"/>
        </w:rPr>
        <w:t>The Omnibus Appropriations Act of 2009, Pub. L. No. 111-8, authorized funding for Mainstream Vouchers under Section 811(d)(2) of the Cranston-Gonzalez National Affordable Housing Act (42 USC 8013(d)(2)). PHAs authorized under state law to develop or operate housing assistance programs may apply for the program. In some instances, nonprofit agencies may also administer Mainstream Vouchers.</w:t>
      </w:r>
      <w:r w:rsidRPr="00736194">
        <w:rPr>
          <w:rFonts w:ascii="Arial" w:hAnsi="Arial" w:cs="Arial"/>
          <w:spacing w:val="-40"/>
          <w:szCs w:val="20"/>
        </w:rPr>
        <w:t xml:space="preserve"> </w:t>
      </w:r>
      <w:r w:rsidRPr="00736194">
        <w:rPr>
          <w:rFonts w:ascii="Arial" w:hAnsi="Arial" w:cs="Arial"/>
          <w:szCs w:val="20"/>
        </w:rPr>
        <w:t>Mainstream Vouchers provide housing assistance payments to participating owners on behalf of eligible tenants (i.e., the household includes a person with a disability who is 18 years of age or older and less than 62 years of age). Mainstream Vouchers are administered in accordance with regular HCV program requirements (24 CFR Part 982). However, for FASS-PH reporting, PHAs are to record rental assistance activities under Assistance Listing 14.879. Administrative fee-related revenues and expenses should also be recorded, under Assistance Listing 14.879 in the FDS. PHAs are also required to submit family data (HUD-50058) in PIC, and HAP and leasing (only) information using HUD-52681, and HUD-52681-B via the VMS. Mainstream voucher leasing and HAP costs are not included in the VMS HCV program voucher leasing and HAP totals; they are only considered for renewal calculation</w:t>
      </w:r>
      <w:r w:rsidRPr="00736194">
        <w:rPr>
          <w:rFonts w:ascii="Arial" w:hAnsi="Arial" w:cs="Arial"/>
          <w:spacing w:val="-19"/>
          <w:szCs w:val="20"/>
        </w:rPr>
        <w:t xml:space="preserve"> </w:t>
      </w:r>
      <w:r w:rsidRPr="00736194">
        <w:rPr>
          <w:rFonts w:ascii="Arial" w:hAnsi="Arial" w:cs="Arial"/>
          <w:szCs w:val="20"/>
        </w:rPr>
        <w:t>purposes.</w:t>
      </w:r>
    </w:p>
    <w:p w14:paraId="679C3B2F" w14:textId="39501B03" w:rsidR="008F18E7" w:rsidRPr="00736194" w:rsidRDefault="008F18E7" w:rsidP="008F18E7">
      <w:pPr>
        <w:pStyle w:val="BodyText"/>
        <w:spacing w:before="1"/>
        <w:ind w:left="1440"/>
        <w:jc w:val="both"/>
        <w:rPr>
          <w:rFonts w:ascii="Arial" w:hAnsi="Arial" w:cs="Arial"/>
          <w:szCs w:val="20"/>
        </w:rPr>
      </w:pPr>
      <w:r w:rsidRPr="00736194">
        <w:rPr>
          <w:rFonts w:ascii="Arial" w:hAnsi="Arial" w:cs="Arial"/>
          <w:szCs w:val="20"/>
        </w:rPr>
        <w:t>Mainstream administrative fee expenses are reported in the Mainstream Administrative Expenses field in VMS (HUD-52681-B).</w:t>
      </w:r>
    </w:p>
    <w:p w14:paraId="1D555458" w14:textId="54CD9455" w:rsidR="008F18E7" w:rsidRPr="008F18E7" w:rsidRDefault="008F18E7" w:rsidP="006F743F">
      <w:pPr>
        <w:pStyle w:val="ListParagraph"/>
        <w:widowControl w:val="0"/>
        <w:numPr>
          <w:ilvl w:val="2"/>
          <w:numId w:val="54"/>
        </w:numPr>
        <w:tabs>
          <w:tab w:val="left" w:pos="2115"/>
          <w:tab w:val="left" w:pos="2116"/>
        </w:tabs>
        <w:suppressAutoHyphens w:val="0"/>
        <w:adjustRightInd/>
        <w:ind w:left="1440"/>
        <w:jc w:val="both"/>
        <w:rPr>
          <w:rFonts w:ascii="Arial" w:hAnsi="Arial" w:cs="Arial"/>
          <w:i/>
        </w:rPr>
      </w:pPr>
      <w:r w:rsidRPr="00736194">
        <w:rPr>
          <w:rFonts w:ascii="Arial" w:hAnsi="Arial" w:cs="Arial"/>
          <w:i/>
        </w:rPr>
        <w:t>Emergency Housing Voucher</w:t>
      </w:r>
      <w:r w:rsidRPr="00736194">
        <w:rPr>
          <w:rFonts w:ascii="Arial" w:hAnsi="Arial" w:cs="Arial"/>
          <w:i/>
          <w:spacing w:val="-8"/>
        </w:rPr>
        <w:t xml:space="preserve"> </w:t>
      </w:r>
      <w:r w:rsidRPr="00736194">
        <w:rPr>
          <w:rFonts w:ascii="Arial" w:hAnsi="Arial" w:cs="Arial"/>
          <w:i/>
          <w:spacing w:val="-3"/>
        </w:rPr>
        <w:t>Program</w:t>
      </w:r>
    </w:p>
    <w:p w14:paraId="21AD2927" w14:textId="77777777" w:rsidR="008F18E7" w:rsidRPr="008F18E7" w:rsidRDefault="008F18E7" w:rsidP="008F18E7">
      <w:pPr>
        <w:pStyle w:val="ListParagraph"/>
        <w:widowControl w:val="0"/>
        <w:tabs>
          <w:tab w:val="left" w:pos="2115"/>
          <w:tab w:val="left" w:pos="2116"/>
        </w:tabs>
        <w:suppressAutoHyphens w:val="0"/>
        <w:adjustRightInd/>
        <w:ind w:left="1440"/>
        <w:jc w:val="both"/>
        <w:rPr>
          <w:rFonts w:ascii="Arial" w:hAnsi="Arial" w:cs="Arial"/>
          <w:i/>
        </w:rPr>
      </w:pPr>
    </w:p>
    <w:p w14:paraId="7FC1407E" w14:textId="57502644" w:rsidR="008F18E7" w:rsidRPr="00736194" w:rsidRDefault="008F18E7" w:rsidP="008F18E7">
      <w:pPr>
        <w:pStyle w:val="BodyText"/>
        <w:ind w:left="1440"/>
        <w:jc w:val="both"/>
        <w:rPr>
          <w:rFonts w:ascii="Arial" w:hAnsi="Arial" w:cs="Arial"/>
          <w:szCs w:val="20"/>
        </w:rPr>
      </w:pPr>
      <w:r w:rsidRPr="00736194">
        <w:rPr>
          <w:rFonts w:ascii="Arial" w:hAnsi="Arial" w:cs="Arial"/>
          <w:szCs w:val="20"/>
        </w:rPr>
        <w:t>The American Rescue Plan Act of 2021 (the ARP) (Pub. L. No. 117-2) (Assistance Listing 14.871), enacted on March 11, 2021, provided relief to address the continued impact of the COVID-19 pandemic on the economy, public health, state and local governments, individuals, and businesses.</w:t>
      </w:r>
    </w:p>
    <w:p w14:paraId="6E5BAC37" w14:textId="0BCB9664" w:rsidR="008F18E7" w:rsidRPr="00736194" w:rsidRDefault="008F18E7" w:rsidP="008F18E7">
      <w:pPr>
        <w:pStyle w:val="BodyText"/>
        <w:spacing w:before="1"/>
        <w:ind w:left="1440"/>
        <w:jc w:val="both"/>
        <w:rPr>
          <w:rFonts w:ascii="Arial" w:hAnsi="Arial" w:cs="Arial"/>
          <w:szCs w:val="20"/>
        </w:rPr>
      </w:pPr>
      <w:r w:rsidRPr="00736194">
        <w:rPr>
          <w:rFonts w:ascii="Arial" w:hAnsi="Arial" w:cs="Arial"/>
          <w:szCs w:val="20"/>
        </w:rPr>
        <w:t>Section 3202 of the ARP provided appropriations for new incremental Emergency Housing Voucher (EHVs), the renewal of those EHVs, and fees for the cost of administering the EHVs and other eligible expenses defined by notice to prevent, prepare for, and respond to coronavirus to facilitate the leasing of the emergency vouchers, such as security deposit assistance and other costs related to retention and support of participating owners.</w:t>
      </w:r>
    </w:p>
    <w:p w14:paraId="419F0744" w14:textId="31732ACD" w:rsidR="008F18E7" w:rsidRPr="00736194" w:rsidRDefault="008F18E7" w:rsidP="008F18E7">
      <w:pPr>
        <w:pStyle w:val="BodyText"/>
        <w:ind w:left="1440"/>
        <w:jc w:val="both"/>
        <w:rPr>
          <w:rFonts w:ascii="Arial" w:hAnsi="Arial" w:cs="Arial"/>
          <w:szCs w:val="20"/>
        </w:rPr>
      </w:pPr>
      <w:r w:rsidRPr="00736194">
        <w:rPr>
          <w:rFonts w:ascii="Arial" w:hAnsi="Arial" w:cs="Arial"/>
          <w:szCs w:val="20"/>
        </w:rPr>
        <w:t>Eligibility for these EHVs is limited to individuals and families who are (1) homeless; (2) at risk of homelessness; (3) fleeing, or attempting to flee, domestic violence, dating violence, sexual assault, stalking or human trafficking; or (4) recently homeless and for whom providing rental assistance will prevent the family’s homelessness or having high risk of housing instability. After September 30, 2023, a PHA may not reissue any previously leased EHV, regardless of when the assistance for the formerly assisted family ends or ended.</w:t>
      </w:r>
    </w:p>
    <w:p w14:paraId="0517E644" w14:textId="7E51C935" w:rsidR="008F18E7" w:rsidRPr="00736194" w:rsidRDefault="008F18E7" w:rsidP="008F18E7">
      <w:pPr>
        <w:pStyle w:val="BodyText"/>
        <w:ind w:left="1440"/>
        <w:jc w:val="both"/>
        <w:rPr>
          <w:rFonts w:ascii="Arial" w:hAnsi="Arial" w:cs="Arial"/>
          <w:szCs w:val="20"/>
        </w:rPr>
      </w:pPr>
      <w:r w:rsidRPr="00736194">
        <w:rPr>
          <w:rFonts w:ascii="Arial" w:hAnsi="Arial" w:cs="Arial"/>
          <w:szCs w:val="20"/>
        </w:rPr>
        <w:t xml:space="preserve">EHVs are tenant-based rental assistance under section 8(o) of the United States Housing Act of 1937 (42 USC 1437f(o)). The ARP further provides that HUD may waive any provision of the United States Housing Act of 1937 or regulation applicable to such statute used to administer the amounts made available under section 3202 (except for requirements related to fair housing, nondiscrimination, labor standards and the environment), upon a finding that any such waivers or alternative requirements are necessary to expedite or facilitate the use of amounts made available for the EHVs. EHV waivers and alternate requirements are included in HUD issued PIH Notice 2021-15: </w:t>
      </w:r>
      <w:r w:rsidRPr="00736194">
        <w:rPr>
          <w:rFonts w:ascii="Arial" w:hAnsi="Arial" w:cs="Arial"/>
          <w:szCs w:val="20"/>
        </w:rPr>
        <w:lastRenderedPageBreak/>
        <w:t xml:space="preserve">Emergency Housing Vouchers – Operating Requirements. </w:t>
      </w:r>
      <w:hyperlink r:id="rId29">
        <w:r w:rsidRPr="00736194">
          <w:rPr>
            <w:rFonts w:ascii="Arial" w:hAnsi="Arial" w:cs="Arial"/>
            <w:color w:val="0000FF"/>
            <w:szCs w:val="20"/>
            <w:u w:val="single" w:color="0000FF"/>
          </w:rPr>
          <w:t>https://www.hud.gov/sites/dfiles/PIH/documents/2023-</w:t>
        </w:r>
      </w:hyperlink>
      <w:r w:rsidRPr="00736194">
        <w:rPr>
          <w:rFonts w:ascii="Arial" w:hAnsi="Arial" w:cs="Arial"/>
          <w:color w:val="0000FF"/>
          <w:szCs w:val="20"/>
        </w:rPr>
        <w:t xml:space="preserve"> </w:t>
      </w:r>
      <w:hyperlink r:id="rId30">
        <w:r w:rsidRPr="00736194">
          <w:rPr>
            <w:rFonts w:ascii="Arial" w:hAnsi="Arial" w:cs="Arial"/>
            <w:color w:val="0000FF"/>
            <w:szCs w:val="20"/>
            <w:u w:val="single" w:color="0000FF"/>
          </w:rPr>
          <w:t>14_HA_Notice.pdf</w:t>
        </w:r>
      </w:hyperlink>
    </w:p>
    <w:p w14:paraId="1829F0BD" w14:textId="3373DC30" w:rsidR="008F18E7" w:rsidRPr="00736194" w:rsidRDefault="008F18E7" w:rsidP="008F18E7">
      <w:pPr>
        <w:pStyle w:val="BodyText"/>
        <w:spacing w:before="90"/>
        <w:ind w:left="1440"/>
        <w:jc w:val="both"/>
        <w:rPr>
          <w:rFonts w:ascii="Arial" w:hAnsi="Arial" w:cs="Arial"/>
          <w:szCs w:val="20"/>
        </w:rPr>
      </w:pPr>
      <w:r w:rsidRPr="00736194">
        <w:rPr>
          <w:rFonts w:ascii="Arial" w:hAnsi="Arial" w:cs="Arial"/>
          <w:szCs w:val="20"/>
        </w:rPr>
        <w:t>HUD issued Notice PIH 2021-15 on May 5, 2021, in order to provide operating requirements to PHAs administering the EHV program. On May 10, 2021, HUD notified PHAs of their EHV funding eligibility based on the allocation formula outlined in Notice PIH 2021-15. PHAs had until May 24, 2021, to accept or decline their EHV allocation and any remaining vouchers were reallocated by HUD per the process described in Notice PIH 2021-15. Final allocations were made on June 2, 2021.</w:t>
      </w:r>
    </w:p>
    <w:p w14:paraId="0EEC5A8A" w14:textId="7162259A" w:rsidR="008F18E7" w:rsidRPr="00736194" w:rsidRDefault="008F18E7" w:rsidP="008F18E7">
      <w:pPr>
        <w:pStyle w:val="BodyText"/>
        <w:ind w:left="1440"/>
        <w:jc w:val="both"/>
        <w:rPr>
          <w:rFonts w:ascii="Arial" w:hAnsi="Arial" w:cs="Arial"/>
          <w:szCs w:val="20"/>
        </w:rPr>
      </w:pPr>
      <w:r w:rsidRPr="00736194">
        <w:rPr>
          <w:rFonts w:ascii="Arial" w:hAnsi="Arial" w:cs="Arial"/>
          <w:szCs w:val="20"/>
        </w:rPr>
        <w:t>On June 30, 2021, HUD issued Notice PIH 2021-20, which revised the reporting guidance in Notice PIH 2021-15, the Emergency Housing Vouchers – Operating Requirements Notice, and set forth new requirements for Public Housing Agencies (PHAs) to report EHV household data into HUD’s existing Information Management System/Public Housing Information Center (IMS/PIC) system.</w:t>
      </w:r>
    </w:p>
    <w:p w14:paraId="46268F7D" w14:textId="3F522255" w:rsidR="008F18E7" w:rsidRPr="00736194" w:rsidRDefault="008F18E7" w:rsidP="008F18E7">
      <w:pPr>
        <w:pStyle w:val="BodyText"/>
        <w:ind w:left="1440"/>
        <w:jc w:val="both"/>
        <w:rPr>
          <w:rFonts w:ascii="Arial" w:hAnsi="Arial" w:cs="Arial"/>
          <w:szCs w:val="20"/>
        </w:rPr>
      </w:pPr>
      <w:r w:rsidRPr="00736194">
        <w:rPr>
          <w:rFonts w:ascii="Arial" w:hAnsi="Arial" w:cs="Arial"/>
          <w:szCs w:val="20"/>
        </w:rPr>
        <w:t>On July 20, 2021, HUD issued Notice PIH 2021-23, implementing $200,000,000 in HAP budget authority the ARP made available for funding adjustments from the total $5B appropriation. PHAs administering the HCV Program and Mainstream Vouchers applied for these funds under the Extraordinary Circumstance category. PIH also processed applications submitted under the HAP Set-aside Unforeseen Circumstance category for per unit cost increases, which was treated as a subset of the Extraordinary Circumstance category. Finally, HUD also prioritized the ARP funds for shortfall prevention in calendar year 2021.</w:t>
      </w:r>
    </w:p>
    <w:p w14:paraId="602C9BFA" w14:textId="523C126E" w:rsidR="008F18E7" w:rsidRPr="00736194" w:rsidRDefault="008F18E7" w:rsidP="008F18E7">
      <w:pPr>
        <w:pStyle w:val="BodyText"/>
        <w:spacing w:before="1"/>
        <w:ind w:left="1440"/>
        <w:jc w:val="both"/>
        <w:rPr>
          <w:rFonts w:ascii="Arial" w:hAnsi="Arial" w:cs="Arial"/>
          <w:szCs w:val="20"/>
        </w:rPr>
      </w:pPr>
      <w:r w:rsidRPr="00736194">
        <w:rPr>
          <w:rFonts w:ascii="Arial" w:hAnsi="Arial" w:cs="Arial"/>
          <w:szCs w:val="20"/>
        </w:rPr>
        <w:t>On August 20, 2021, HUD issued Notice PIH 2021-25, which revised the reporting guidance in Notice PIH 2021-20 and Notice PIH 2021-15 and set forth the reporting requirements for PHAs to report EHV data into the Voucher Management System (VMS) and the Financial Data Schedule (FDS).</w:t>
      </w:r>
    </w:p>
    <w:p w14:paraId="0D120D6E" w14:textId="331ACAFE" w:rsidR="008F18E7" w:rsidRPr="00736194" w:rsidRDefault="008F18E7" w:rsidP="008F18E7">
      <w:pPr>
        <w:pStyle w:val="BodyText"/>
        <w:ind w:left="1440"/>
        <w:jc w:val="both"/>
        <w:rPr>
          <w:rFonts w:ascii="Arial" w:hAnsi="Arial" w:cs="Arial"/>
          <w:szCs w:val="20"/>
        </w:rPr>
      </w:pPr>
      <w:r w:rsidRPr="00736194">
        <w:rPr>
          <w:rFonts w:ascii="Arial" w:hAnsi="Arial" w:cs="Arial"/>
          <w:szCs w:val="20"/>
        </w:rPr>
        <w:t xml:space="preserve">More recently, June 29, 2023, HUD issued </w:t>
      </w:r>
      <w:hyperlink r:id="rId31">
        <w:r w:rsidRPr="00736194">
          <w:rPr>
            <w:rFonts w:ascii="Arial" w:hAnsi="Arial" w:cs="Arial"/>
            <w:color w:val="0000FF"/>
            <w:szCs w:val="20"/>
            <w:u w:val="single" w:color="0000FF"/>
          </w:rPr>
          <w:t>Notice PIH 2023-14.</w:t>
        </w:r>
      </w:hyperlink>
      <w:r w:rsidRPr="00736194">
        <w:rPr>
          <w:rFonts w:ascii="Arial" w:hAnsi="Arial" w:cs="Arial"/>
          <w:color w:val="0000FF"/>
          <w:szCs w:val="20"/>
        </w:rPr>
        <w:t xml:space="preserve"> </w:t>
      </w:r>
      <w:r w:rsidRPr="00736194">
        <w:rPr>
          <w:rFonts w:ascii="Arial" w:hAnsi="Arial" w:cs="Arial"/>
          <w:szCs w:val="20"/>
        </w:rPr>
        <w:t>This notice details the statutory restriction prohibiting the reissuance of turnover EHVs after September 30, 2023, as discussed in Section 13 of the Notice PIH 2021-15. Turnover EHVs stand for vouchers made available by families ending their participation with the EHV Program. This notice also provides new guidance for EHV shortfalls and amends section 7.b.4 of Notice PIH 2021-15 with respect to the requirements under which a PHA may receive an adjustment to the PHA’s EHV renewal funding during a calendar year."</w:t>
      </w:r>
    </w:p>
    <w:p w14:paraId="12A7EBAD" w14:textId="7641CA0D" w:rsidR="008F18E7" w:rsidRPr="00736194" w:rsidRDefault="008F18E7" w:rsidP="008F18E7">
      <w:pPr>
        <w:pStyle w:val="BodyText"/>
        <w:spacing w:before="90"/>
        <w:ind w:left="1440"/>
        <w:jc w:val="both"/>
        <w:rPr>
          <w:rFonts w:ascii="Arial" w:hAnsi="Arial" w:cs="Arial"/>
          <w:szCs w:val="20"/>
        </w:rPr>
      </w:pPr>
      <w:r w:rsidRPr="00736194">
        <w:rPr>
          <w:rFonts w:ascii="Arial" w:hAnsi="Arial" w:cs="Arial"/>
          <w:szCs w:val="20"/>
        </w:rPr>
        <w:t xml:space="preserve">On December 19, 2023, HUD issued </w:t>
      </w:r>
      <w:hyperlink r:id="rId32">
        <w:r w:rsidRPr="00736194">
          <w:rPr>
            <w:rFonts w:ascii="Arial" w:hAnsi="Arial" w:cs="Arial"/>
            <w:color w:val="0000FF"/>
            <w:szCs w:val="20"/>
            <w:u w:val="single" w:color="0000FF"/>
          </w:rPr>
          <w:t>Notice PIH-2023-35</w:t>
        </w:r>
      </w:hyperlink>
      <w:r w:rsidRPr="00736194">
        <w:rPr>
          <w:rFonts w:ascii="Arial" w:hAnsi="Arial" w:cs="Arial"/>
          <w:szCs w:val="20"/>
        </w:rPr>
        <w:t>. This notice describes the EHV Program cash management procedures for the disbursement and reconciliation of HAP and Administrative Fee funds provided to participating public housing agencies, including Moving-to-Work agencies. PIH will use the EHV Program HAP cash reconciliation procedures for the Closeout of EHV Programs. This notice also provides supplemental guidance to PIH Notice 2021-15 Section 7(b), regarding the EHV Program contract renewal calculation.</w:t>
      </w:r>
    </w:p>
    <w:p w14:paraId="259FB731" w14:textId="49CEA2DF" w:rsidR="008F18E7" w:rsidRDefault="008F18E7" w:rsidP="006F743F">
      <w:pPr>
        <w:pStyle w:val="ListParagraph"/>
        <w:widowControl w:val="0"/>
        <w:numPr>
          <w:ilvl w:val="2"/>
          <w:numId w:val="54"/>
        </w:numPr>
        <w:tabs>
          <w:tab w:val="left" w:pos="2115"/>
          <w:tab w:val="left" w:pos="2116"/>
        </w:tabs>
        <w:suppressAutoHyphens w:val="0"/>
        <w:adjustRightInd/>
        <w:ind w:left="1440"/>
        <w:jc w:val="both"/>
        <w:rPr>
          <w:rFonts w:ascii="Arial" w:hAnsi="Arial" w:cs="Arial"/>
          <w:i/>
        </w:rPr>
      </w:pPr>
      <w:r w:rsidRPr="00736194">
        <w:rPr>
          <w:rFonts w:ascii="Arial" w:hAnsi="Arial" w:cs="Arial"/>
          <w:i/>
        </w:rPr>
        <w:t>Stability</w:t>
      </w:r>
      <w:r w:rsidRPr="00736194">
        <w:rPr>
          <w:rFonts w:ascii="Arial" w:hAnsi="Arial" w:cs="Arial"/>
          <w:i/>
          <w:spacing w:val="-7"/>
        </w:rPr>
        <w:t xml:space="preserve"> </w:t>
      </w:r>
      <w:r w:rsidRPr="00736194">
        <w:rPr>
          <w:rFonts w:ascii="Arial" w:hAnsi="Arial" w:cs="Arial"/>
          <w:i/>
        </w:rPr>
        <w:t>Vouchers</w:t>
      </w:r>
    </w:p>
    <w:p w14:paraId="1CE2B1DB" w14:textId="77777777" w:rsidR="008F18E7" w:rsidRPr="008F18E7" w:rsidRDefault="008F18E7" w:rsidP="008F18E7">
      <w:pPr>
        <w:pStyle w:val="ListParagraph"/>
        <w:widowControl w:val="0"/>
        <w:tabs>
          <w:tab w:val="left" w:pos="2115"/>
          <w:tab w:val="left" w:pos="2116"/>
        </w:tabs>
        <w:suppressAutoHyphens w:val="0"/>
        <w:adjustRightInd/>
        <w:ind w:left="1440"/>
        <w:jc w:val="both"/>
        <w:rPr>
          <w:rFonts w:ascii="Arial" w:hAnsi="Arial" w:cs="Arial"/>
          <w:i/>
        </w:rPr>
      </w:pPr>
    </w:p>
    <w:p w14:paraId="69E7936D" w14:textId="10BF2244" w:rsidR="008F18E7" w:rsidRPr="00736194" w:rsidRDefault="008F18E7" w:rsidP="008F18E7">
      <w:pPr>
        <w:pStyle w:val="BodyText"/>
        <w:ind w:left="1440"/>
        <w:jc w:val="both"/>
        <w:rPr>
          <w:rFonts w:ascii="Arial" w:hAnsi="Arial" w:cs="Arial"/>
          <w:szCs w:val="20"/>
        </w:rPr>
      </w:pPr>
      <w:r w:rsidRPr="00736194">
        <w:rPr>
          <w:rFonts w:ascii="Arial" w:hAnsi="Arial" w:cs="Arial"/>
          <w:szCs w:val="20"/>
        </w:rPr>
        <w:t xml:space="preserve">The Consolidated Appropriations Act, 2021 (Public Law 116-260) (2021 Act), makes available $43,439,000 for new incremental voucher assistance under Section 8(o) of the United States Housing Act of 1937 for use by individuals and families experiencing or at-risk of homelessness; those fleeing or attempting to flee domestic violence, dating violence, sexual assault, stalking, or human trafficking, and veterans and families that include a veteran family member that meet one of the proceeding criteria. The Consolidated Appropriations Act, 2022 (Public Law 117-103 (2022 Act) further provides that HUD may waive certain statutory and regulatory provisions to administer the SVs (except for </w:t>
      </w:r>
      <w:r w:rsidRPr="00736194">
        <w:rPr>
          <w:rFonts w:ascii="Arial" w:hAnsi="Arial" w:cs="Arial"/>
          <w:szCs w:val="20"/>
        </w:rPr>
        <w:lastRenderedPageBreak/>
        <w:t>requirements related to tenant rights and protections, rent setting, fair housing, nondiscrimination, labor standards and the environment) upon a finding that any such waivers or alternative requirements are necessary to facilitate the use of funds made available for SVs.</w:t>
      </w:r>
    </w:p>
    <w:p w14:paraId="18E7EBE0" w14:textId="35584C73" w:rsidR="008F18E7" w:rsidRPr="00736194" w:rsidRDefault="008F18E7" w:rsidP="008F18E7">
      <w:pPr>
        <w:pStyle w:val="BodyText"/>
        <w:ind w:left="1440"/>
        <w:jc w:val="both"/>
        <w:rPr>
          <w:rFonts w:ascii="Arial" w:hAnsi="Arial" w:cs="Arial"/>
          <w:szCs w:val="20"/>
        </w:rPr>
      </w:pPr>
      <w:r w:rsidRPr="00736194">
        <w:rPr>
          <w:rFonts w:ascii="Arial" w:hAnsi="Arial" w:cs="Arial"/>
          <w:szCs w:val="20"/>
        </w:rPr>
        <w:t xml:space="preserve">On August 16, 2022, HUD issued </w:t>
      </w:r>
      <w:hyperlink r:id="rId33">
        <w:r w:rsidRPr="00736194">
          <w:rPr>
            <w:rFonts w:ascii="Arial" w:hAnsi="Arial" w:cs="Arial"/>
            <w:color w:val="0000FF"/>
            <w:szCs w:val="20"/>
            <w:u w:val="single" w:color="0000FF"/>
          </w:rPr>
          <w:t>Notice PIH-2022-24</w:t>
        </w:r>
      </w:hyperlink>
      <w:r w:rsidRPr="00736194">
        <w:rPr>
          <w:rFonts w:ascii="Arial" w:hAnsi="Arial" w:cs="Arial"/>
          <w:szCs w:val="20"/>
        </w:rPr>
        <w:t>: Stability Voucher Program. This Notice describes the program requirements for these vouchers, including eligibility criteria, mandatory waivers and alternative requirements.</w:t>
      </w:r>
    </w:p>
    <w:p w14:paraId="74E43147" w14:textId="7BD4B733" w:rsidR="008F18E7" w:rsidRPr="00736194" w:rsidRDefault="008F18E7" w:rsidP="008F18E7">
      <w:pPr>
        <w:pStyle w:val="BodyText"/>
        <w:spacing w:before="1"/>
        <w:ind w:left="1440"/>
        <w:jc w:val="both"/>
        <w:rPr>
          <w:rFonts w:ascii="Arial" w:hAnsi="Arial" w:cs="Arial"/>
          <w:szCs w:val="20"/>
        </w:rPr>
      </w:pPr>
      <w:r w:rsidRPr="00736194">
        <w:rPr>
          <w:rFonts w:ascii="Arial" w:hAnsi="Arial" w:cs="Arial"/>
          <w:szCs w:val="20"/>
        </w:rPr>
        <w:t>Stability Vouchers are included in under Assistance Listing Number 14.871. Related revenues and expenses should be recorded under the HCVP, 14.871 on the FDS. PHAs are also required to submit family data (HUD-50058) in PIC, and HAP and leasing information using HUD-52681-B via the VMS.</w:t>
      </w:r>
    </w:p>
    <w:p w14:paraId="426702FD" w14:textId="1AF0DB8D" w:rsidR="008F18E7" w:rsidRDefault="008F18E7" w:rsidP="006F743F">
      <w:pPr>
        <w:pStyle w:val="ListParagraph"/>
        <w:widowControl w:val="0"/>
        <w:numPr>
          <w:ilvl w:val="1"/>
          <w:numId w:val="54"/>
        </w:numPr>
        <w:suppressAutoHyphens w:val="0"/>
        <w:adjustRightInd/>
        <w:ind w:left="720"/>
        <w:contextualSpacing/>
        <w:jc w:val="both"/>
        <w:rPr>
          <w:rFonts w:ascii="Arial" w:hAnsi="Arial" w:cs="Arial"/>
          <w:b/>
          <w:bCs/>
        </w:rPr>
      </w:pPr>
      <w:r w:rsidRPr="00736194">
        <w:rPr>
          <w:rFonts w:ascii="Arial" w:hAnsi="Arial" w:cs="Arial"/>
          <w:b/>
          <w:bCs/>
        </w:rPr>
        <w:t>Other</w:t>
      </w:r>
    </w:p>
    <w:p w14:paraId="334685AC" w14:textId="77777777" w:rsidR="008F18E7" w:rsidRPr="008F18E7" w:rsidRDefault="008F18E7" w:rsidP="008F18E7">
      <w:pPr>
        <w:pStyle w:val="ListParagraph"/>
        <w:widowControl w:val="0"/>
        <w:suppressAutoHyphens w:val="0"/>
        <w:adjustRightInd/>
        <w:contextualSpacing/>
        <w:jc w:val="both"/>
        <w:rPr>
          <w:rFonts w:ascii="Arial" w:hAnsi="Arial" w:cs="Arial"/>
          <w:b/>
          <w:bCs/>
        </w:rPr>
      </w:pPr>
    </w:p>
    <w:p w14:paraId="32CA41B7" w14:textId="780EE6E3" w:rsidR="008F18E7" w:rsidRPr="00736194" w:rsidRDefault="008F18E7" w:rsidP="008F18E7">
      <w:pPr>
        <w:pStyle w:val="BodyText"/>
        <w:ind w:left="720"/>
        <w:jc w:val="both"/>
        <w:rPr>
          <w:rFonts w:ascii="Arial" w:hAnsi="Arial" w:cs="Arial"/>
          <w:szCs w:val="20"/>
        </w:rPr>
      </w:pPr>
      <w:r w:rsidRPr="00736194">
        <w:rPr>
          <w:rFonts w:ascii="Arial" w:hAnsi="Arial" w:cs="Arial"/>
          <w:szCs w:val="20"/>
        </w:rPr>
        <w:t xml:space="preserve">The Section 8 Management Assessment Program (SEMAP) is HUD’s assessment program to measure the performance of PHAs that administer the HCV program. Under SEMAP, PHAs submit an annual or biennial (depending on the size and previous SEMAP scores), certification, Form HUD-52648 </w:t>
      </w:r>
      <w:r w:rsidRPr="00736194">
        <w:rPr>
          <w:rFonts w:ascii="Arial" w:hAnsi="Arial" w:cs="Arial"/>
          <w:i/>
          <w:szCs w:val="20"/>
        </w:rPr>
        <w:t>(OMB No. 2577-0215</w:t>
      </w:r>
      <w:r w:rsidRPr="00736194">
        <w:rPr>
          <w:rFonts w:ascii="Arial" w:hAnsi="Arial" w:cs="Arial"/>
          <w:szCs w:val="20"/>
        </w:rPr>
        <w:t>), to HUD concerning their compliance with program requirements under 14 indicators of performance (24 CFR Part 985).</w:t>
      </w:r>
    </w:p>
    <w:p w14:paraId="5595E854" w14:textId="77777777" w:rsidR="00ED22B9" w:rsidRDefault="008F18E7" w:rsidP="00ED22B9">
      <w:pPr>
        <w:pStyle w:val="BodyText"/>
        <w:spacing w:after="0"/>
        <w:ind w:left="720"/>
        <w:jc w:val="both"/>
        <w:rPr>
          <w:rFonts w:ascii="Arial" w:hAnsi="Arial" w:cs="Arial"/>
          <w:szCs w:val="20"/>
        </w:rPr>
      </w:pPr>
      <w:r w:rsidRPr="00736194">
        <w:rPr>
          <w:rFonts w:ascii="Arial" w:hAnsi="Arial" w:cs="Arial"/>
          <w:szCs w:val="20"/>
        </w:rPr>
        <w:t xml:space="preserve">In the HCV program, required program contracts and other forms must be word- for- word in the form prescribed by HUD. Any additions to our modifications of required program contracts or other forms must be approved by HUD headquarters (24 CFR section 982.162). In addition, housing agencies that are contract administrators for this program must comply with the HUD Uniform Financial Reporting Standards rule. Accordingly, PHAs that administer Section 8 tenant-based housing assistance payment programs are required to submit financial statements, prepared in accordance with generally accepted accounting principles (GAAP), in the electronic format specified by HUD. The unaudited financial statement is due two months after the PHA’s fiscal year- end and the audited financial statement is due nine months after its fiscal year end (24 CFR section 5.801). The financial statement must include the financial activities of this program. Also, PHAs have access to the Real Estate Assessment Center’s PHAs accounting briefs, which provide technical assistance in reporting their unaudited and audited financial statements through FASS, which are available at </w:t>
      </w:r>
    </w:p>
    <w:p w14:paraId="6B85CABF" w14:textId="46BA7ACA" w:rsidR="00464790" w:rsidRDefault="00464790" w:rsidP="00464790">
      <w:pPr>
        <w:pStyle w:val="BodyText"/>
        <w:ind w:left="720"/>
        <w:jc w:val="both"/>
        <w:rPr>
          <w:rFonts w:ascii="Arial" w:hAnsi="Arial" w:cs="Arial"/>
          <w:szCs w:val="20"/>
        </w:rPr>
      </w:pPr>
      <w:hyperlink r:id="rId34" w:history="1">
        <w:r>
          <w:rPr>
            <w:rStyle w:val="Hyperlink"/>
            <w:rFonts w:cs="Arial"/>
            <w:szCs w:val="20"/>
          </w:rPr>
          <w:t>https://www.hud.gov/program_offices/public_indian_housing/reac/products/fass/pha_briefs</w:t>
        </w:r>
      </w:hyperlink>
      <w:r>
        <w:rPr>
          <w:rFonts w:ascii="Arial" w:hAnsi="Arial" w:cs="Arial"/>
          <w:szCs w:val="20"/>
        </w:rPr>
        <w:t>.</w:t>
      </w:r>
    </w:p>
    <w:p w14:paraId="034CC2B2" w14:textId="3521C4C0" w:rsidR="008F18E7" w:rsidRPr="00736194" w:rsidRDefault="008F18E7" w:rsidP="00464790">
      <w:pPr>
        <w:pStyle w:val="BodyText"/>
        <w:ind w:left="720"/>
        <w:jc w:val="both"/>
        <w:rPr>
          <w:rFonts w:ascii="Arial" w:hAnsi="Arial" w:cs="Arial"/>
          <w:szCs w:val="20"/>
        </w:rPr>
      </w:pPr>
      <w:r w:rsidRPr="00736194">
        <w:rPr>
          <w:rFonts w:ascii="Arial" w:hAnsi="Arial" w:cs="Arial"/>
          <w:szCs w:val="20"/>
        </w:rPr>
        <w:t>HUD uses HUD-52681-B via the VMS to monitor the PHA’s HCVP financial and operational performance. In 2021, HUD published Notice PIH 2021-08, which clarified the financial reporting requirements and deadlines for those PHAs that administer the HCV program and HCV program-related programs.</w:t>
      </w:r>
    </w:p>
    <w:p w14:paraId="3D7F8C06" w14:textId="7B057C15" w:rsidR="009656BB" w:rsidRPr="00F00D94" w:rsidRDefault="008F18E7" w:rsidP="00740C6F">
      <w:pPr>
        <w:spacing w:after="240"/>
        <w:jc w:val="both"/>
        <w:rPr>
          <w:rFonts w:ascii="Arial" w:hAnsi="Arial" w:cs="Arial"/>
          <w:bCs/>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612B87C9" w14:textId="77777777" w:rsidR="009656BB" w:rsidRPr="00A0464C" w:rsidRDefault="009656BB" w:rsidP="006672EA">
      <w:pPr>
        <w:pStyle w:val="Heading3"/>
        <w:jc w:val="both"/>
        <w:rPr>
          <w:rFonts w:cs="Arial"/>
          <w:sz w:val="24"/>
          <w:szCs w:val="24"/>
        </w:rPr>
      </w:pPr>
      <w:bookmarkStart w:id="13" w:name="_Toc212533461"/>
      <w:r w:rsidRPr="00A0464C">
        <w:rPr>
          <w:rFonts w:cs="Arial"/>
          <w:sz w:val="24"/>
          <w:szCs w:val="24"/>
        </w:rPr>
        <w:t>III. Source of Governing Requirements</w:t>
      </w:r>
      <w:bookmarkEnd w:id="13"/>
    </w:p>
    <w:p w14:paraId="564F68AA" w14:textId="77777777" w:rsidR="008E4F5F" w:rsidRPr="008E4F5F" w:rsidRDefault="008E4F5F" w:rsidP="008E4F5F">
      <w:pPr>
        <w:pStyle w:val="BodyText"/>
        <w:jc w:val="both"/>
        <w:rPr>
          <w:rFonts w:ascii="Arial" w:hAnsi="Arial" w:cs="Arial"/>
        </w:rPr>
      </w:pPr>
      <w:r w:rsidRPr="008E4F5F">
        <w:rPr>
          <w:rFonts w:ascii="Arial" w:hAnsi="Arial" w:cs="Arial"/>
        </w:rPr>
        <w:t>The HCV program regulations are found in 24 CFR parts 5, 982, 983, and 985.</w:t>
      </w:r>
    </w:p>
    <w:p w14:paraId="5E052068" w14:textId="4A816303" w:rsidR="006F570B" w:rsidRPr="00F00D94" w:rsidRDefault="008E4F5F" w:rsidP="006672EA">
      <w:pPr>
        <w:spacing w:after="240"/>
        <w:jc w:val="both"/>
        <w:rPr>
          <w:rFonts w:ascii="Arial" w:hAnsi="Arial" w:cs="Arial"/>
          <w:bCs/>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278D98F4" w14:textId="77777777" w:rsidR="006F570B" w:rsidRPr="00A0464C" w:rsidRDefault="00386445" w:rsidP="006672EA">
      <w:pPr>
        <w:pStyle w:val="Heading3"/>
        <w:jc w:val="both"/>
        <w:rPr>
          <w:rFonts w:cs="Arial"/>
          <w:sz w:val="24"/>
          <w:szCs w:val="24"/>
        </w:rPr>
      </w:pPr>
      <w:bookmarkStart w:id="14" w:name="_Toc212533462"/>
      <w:r w:rsidRPr="00A0464C">
        <w:rPr>
          <w:rFonts w:cs="Arial"/>
          <w:sz w:val="24"/>
          <w:szCs w:val="24"/>
        </w:rPr>
        <w:t xml:space="preserve">IV. </w:t>
      </w:r>
      <w:r w:rsidR="009C1FCD" w:rsidRPr="00A0464C">
        <w:rPr>
          <w:rFonts w:cs="Arial"/>
          <w:sz w:val="24"/>
          <w:szCs w:val="24"/>
        </w:rPr>
        <w:t>Other Information</w:t>
      </w:r>
      <w:bookmarkEnd w:id="14"/>
    </w:p>
    <w:p w14:paraId="3E0E3481" w14:textId="77777777" w:rsidR="008E4F5F" w:rsidRPr="00736194" w:rsidRDefault="008E4F5F" w:rsidP="008E4F5F">
      <w:pPr>
        <w:ind w:right="136"/>
        <w:jc w:val="both"/>
        <w:rPr>
          <w:rFonts w:ascii="Arial" w:hAnsi="Arial" w:cs="Arial"/>
        </w:rPr>
      </w:pPr>
      <w:r w:rsidRPr="00736194">
        <w:rPr>
          <w:rFonts w:ascii="Arial" w:hAnsi="Arial" w:cs="Arial"/>
        </w:rPr>
        <w:t xml:space="preserve">EHV program funding is reported under Assistance Listing number 14.871 - “Housing Choice Voucher Program” on the Schedule of Expenditures of Federal Awards. The PHA should identify how much of the </w:t>
      </w:r>
      <w:r w:rsidRPr="00736194">
        <w:rPr>
          <w:rFonts w:ascii="Arial" w:hAnsi="Arial" w:cs="Arial"/>
        </w:rPr>
        <w:lastRenderedPageBreak/>
        <w:t>EHV funding is included in the total either by a footnote to the SEFA or by adding detail lines in the SEFA itself under the provisions of PIH Notice 2021-25 (HA), Section 8. k.</w:t>
      </w:r>
    </w:p>
    <w:p w14:paraId="420100CB" w14:textId="77777777" w:rsidR="008E4F5F" w:rsidRPr="00736194" w:rsidRDefault="008E4F5F" w:rsidP="008E4F5F">
      <w:pPr>
        <w:spacing w:before="1"/>
        <w:jc w:val="both"/>
        <w:rPr>
          <w:rFonts w:ascii="Arial" w:hAnsi="Arial" w:cs="Arial"/>
        </w:rPr>
      </w:pPr>
    </w:p>
    <w:p w14:paraId="3B8853F9" w14:textId="77777777" w:rsidR="008E4F5F" w:rsidRDefault="008E4F5F" w:rsidP="008E4F5F">
      <w:pPr>
        <w:jc w:val="both"/>
        <w:rPr>
          <w:rFonts w:ascii="Arial" w:hAnsi="Arial" w:cs="Arial"/>
          <w:b/>
          <w:bCs/>
        </w:rPr>
      </w:pPr>
      <w:r w:rsidRPr="00736194">
        <w:rPr>
          <w:rFonts w:ascii="Arial" w:hAnsi="Arial" w:cs="Arial"/>
          <w:b/>
          <w:bCs/>
        </w:rPr>
        <w:t>Housing Opportunity through Modernization Act of 2016 (HOTMA)</w:t>
      </w:r>
    </w:p>
    <w:p w14:paraId="769E4AED" w14:textId="77777777" w:rsidR="00464790" w:rsidRPr="00736194" w:rsidRDefault="00464790" w:rsidP="008E4F5F">
      <w:pPr>
        <w:jc w:val="both"/>
        <w:rPr>
          <w:rFonts w:ascii="Arial" w:hAnsi="Arial" w:cs="Arial"/>
          <w:b/>
          <w:bCs/>
        </w:rPr>
      </w:pPr>
    </w:p>
    <w:p w14:paraId="7E318C26" w14:textId="49458308" w:rsidR="008148E3" w:rsidRDefault="008E4F5F" w:rsidP="008E4F5F">
      <w:pPr>
        <w:spacing w:line="259" w:lineRule="auto"/>
        <w:ind w:right="178"/>
        <w:jc w:val="both"/>
        <w:rPr>
          <w:rFonts w:ascii="Arial" w:hAnsi="Arial" w:cs="Arial"/>
        </w:rPr>
      </w:pPr>
      <w:r w:rsidRPr="00736194">
        <w:rPr>
          <w:rFonts w:ascii="Arial" w:hAnsi="Arial" w:cs="Arial"/>
        </w:rPr>
        <w:t>HOTMA was signed into law on July 29, 2016 (Public Law 114–201, 130 Stat. 782). The HOTMA statute consists of 14 sections of law that affect the Public Housing and Section 8 rental assistance programs. Sections 102 and 104 of HOTMA make sweeping changes to the United States Housing Act of 1937 (1937 Act), particularly those affecting income calculations and reviews. Section 102 changes requirements related to income reviews for Public Housing and Section 8 programs. Section 104 sets maximum asset limits for Public Housing and Section 8 applicants and participants. Notice PIH 2023-27, which provides implementation guidance on Sections 102 and 104 of (income and assets regulations), established that while the HOTMA Final Rule's effective date is January 1, 2024, PHAs would establish a compliance date as early as January 1, 2024, but no later than January 1, 2025. On February 23, 2024 Principal Deputy Assistant Secretary Richard Monocchio sent a letter to PHAs and noted that compliance with the final HOTMA rule requires access to Housing Information Portal and that Inventory Management System/PIH Information Center (IMS/PIC) only reflects pre-HOTMA requirements, which means that PHAs cannot implement the income and asset requirements in Sections 102 and 104 of HOTMA without having access to the revised HUD-50058 in HIP. HUD will be providing additional time for PHAs to comply beyond January 1,</w:t>
      </w:r>
      <w:r w:rsidRPr="00736194">
        <w:rPr>
          <w:rFonts w:ascii="Arial" w:hAnsi="Arial" w:cs="Arial"/>
          <w:spacing w:val="-3"/>
        </w:rPr>
        <w:t xml:space="preserve"> </w:t>
      </w:r>
      <w:r w:rsidRPr="00736194">
        <w:rPr>
          <w:rFonts w:ascii="Arial" w:hAnsi="Arial" w:cs="Arial"/>
        </w:rPr>
        <w:t>2025.</w:t>
      </w:r>
    </w:p>
    <w:p w14:paraId="26EEFFE0" w14:textId="77777777" w:rsidR="008E4F5F" w:rsidRPr="008E4F5F" w:rsidRDefault="008E4F5F" w:rsidP="008E4F5F">
      <w:pPr>
        <w:spacing w:line="259" w:lineRule="auto"/>
        <w:ind w:right="178"/>
        <w:jc w:val="both"/>
        <w:rPr>
          <w:rFonts w:ascii="Arial" w:hAnsi="Arial" w:cs="Arial"/>
        </w:rPr>
      </w:pPr>
    </w:p>
    <w:p w14:paraId="5F1A4DF9" w14:textId="77777777" w:rsidR="008E4F5F" w:rsidRPr="00736194" w:rsidRDefault="008E4F5F" w:rsidP="008E4F5F">
      <w:pPr>
        <w:jc w:val="both"/>
        <w:rPr>
          <w:rFonts w:ascii="Arial" w:hAnsi="Arial" w:cs="Arial"/>
          <w:b/>
          <w:bCs/>
        </w:rPr>
      </w:pPr>
      <w:r w:rsidRPr="00736194">
        <w:rPr>
          <w:rFonts w:ascii="Arial" w:hAnsi="Arial" w:cs="Arial"/>
          <w:b/>
          <w:bCs/>
        </w:rPr>
        <w:t>Availability of Other Program Information</w:t>
      </w:r>
    </w:p>
    <w:p w14:paraId="0F2E423F" w14:textId="77777777" w:rsidR="008E4F5F" w:rsidRPr="00736194" w:rsidRDefault="008E4F5F" w:rsidP="008E4F5F">
      <w:pPr>
        <w:jc w:val="both"/>
        <w:rPr>
          <w:rFonts w:ascii="Arial" w:hAnsi="Arial" w:cs="Arial"/>
          <w:b/>
          <w:bCs/>
        </w:rPr>
      </w:pPr>
    </w:p>
    <w:p w14:paraId="7CB016DE" w14:textId="77777777" w:rsidR="008E4F5F" w:rsidRDefault="008E4F5F" w:rsidP="008E4F5F">
      <w:pPr>
        <w:ind w:right="417"/>
        <w:jc w:val="both"/>
        <w:rPr>
          <w:rFonts w:ascii="Arial" w:hAnsi="Arial" w:cs="Arial"/>
        </w:rPr>
      </w:pPr>
      <w:r w:rsidRPr="00736194">
        <w:rPr>
          <w:rFonts w:ascii="Arial" w:hAnsi="Arial" w:cs="Arial"/>
        </w:rPr>
        <w:t xml:space="preserve">Copies of PIH notices can be found at </w:t>
      </w:r>
    </w:p>
    <w:p w14:paraId="0A6A3465" w14:textId="1FB7435B" w:rsidR="008E4F5F" w:rsidRPr="00736194" w:rsidRDefault="00464790" w:rsidP="008E4F5F">
      <w:pPr>
        <w:ind w:right="417"/>
        <w:jc w:val="both"/>
        <w:rPr>
          <w:rFonts w:ascii="Arial" w:hAnsi="Arial" w:cs="Arial"/>
        </w:rPr>
      </w:pPr>
      <w:hyperlink r:id="rId35" w:history="1">
        <w:r w:rsidRPr="004B4A2A">
          <w:rPr>
            <w:rStyle w:val="Hyperlink"/>
            <w:rFonts w:cs="Arial"/>
            <w:spacing w:val="-3"/>
          </w:rPr>
          <w:t>http://portal.hud.gov/hudportal/HUD?src=/program_offices/administration/hudclips/notices/pih</w:t>
        </w:r>
      </w:hyperlink>
      <w:r w:rsidR="008E4F5F" w:rsidRPr="00736194">
        <w:rPr>
          <w:rFonts w:ascii="Arial" w:hAnsi="Arial" w:cs="Arial"/>
          <w:spacing w:val="-3"/>
        </w:rPr>
        <w:t>.</w:t>
      </w:r>
      <w:r>
        <w:rPr>
          <w:rFonts w:ascii="Arial" w:hAnsi="Arial" w:cs="Arial"/>
          <w:spacing w:val="-3"/>
        </w:rPr>
        <w:t xml:space="preserve"> </w:t>
      </w:r>
    </w:p>
    <w:p w14:paraId="7DDDB065" w14:textId="77777777" w:rsidR="008E4F5F" w:rsidRDefault="008E4F5F" w:rsidP="008E4F5F">
      <w:pPr>
        <w:jc w:val="both"/>
        <w:rPr>
          <w:rFonts w:ascii="Arial" w:hAnsi="Arial" w:cs="Arial"/>
          <w:bCs/>
        </w:rPr>
      </w:pPr>
    </w:p>
    <w:p w14:paraId="77F247F3" w14:textId="1AFD207D" w:rsidR="008E4F5F" w:rsidRPr="00F00D94" w:rsidRDefault="008E4F5F" w:rsidP="008E4F5F">
      <w:pPr>
        <w:jc w:val="both"/>
        <w:rPr>
          <w:rFonts w:ascii="Arial" w:hAnsi="Arial" w:cs="Arial"/>
          <w:bCs/>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428925CA" w14:textId="77777777" w:rsidR="008E4F5F" w:rsidRPr="00F00D94" w:rsidRDefault="008E4F5F"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2533463"/>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2533464"/>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2533465"/>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2533466"/>
      <w:r w:rsidRPr="00A0464C">
        <w:rPr>
          <w:rFonts w:cs="Arial"/>
          <w:sz w:val="24"/>
          <w:szCs w:val="24"/>
        </w:rPr>
        <w:t>Reporting</w:t>
      </w:r>
      <w:bookmarkEnd w:id="19"/>
    </w:p>
    <w:p w14:paraId="098F526F" w14:textId="05DB2E5B" w:rsidR="002A4184" w:rsidRPr="0019565C" w:rsidRDefault="0047409E" w:rsidP="006672EA">
      <w:pPr>
        <w:spacing w:after="240"/>
        <w:jc w:val="both"/>
        <w:rPr>
          <w:rFonts w:ascii="Arial" w:hAnsi="Arial" w:cs="Arial"/>
          <w:b/>
        </w:rPr>
        <w:sectPr w:rsidR="002A4184" w:rsidRPr="0019565C" w:rsidSect="00FE4777">
          <w:headerReference w:type="default" r:id="rId3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253346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2533468"/>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2533469"/>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C7CE86E" w14:textId="7B6C32D6" w:rsidR="008E4F5F" w:rsidRPr="008E4F5F" w:rsidRDefault="008E4F5F" w:rsidP="006F743F">
      <w:pPr>
        <w:pStyle w:val="ListParagraph"/>
        <w:widowControl w:val="0"/>
        <w:numPr>
          <w:ilvl w:val="1"/>
          <w:numId w:val="56"/>
        </w:numPr>
        <w:tabs>
          <w:tab w:val="left" w:pos="1440"/>
        </w:tabs>
        <w:suppressAutoHyphens w:val="0"/>
        <w:adjustRightInd/>
        <w:ind w:left="720"/>
        <w:jc w:val="both"/>
        <w:rPr>
          <w:rFonts w:ascii="Arial" w:hAnsi="Arial" w:cs="Arial"/>
          <w:i/>
        </w:rPr>
      </w:pPr>
      <w:r w:rsidRPr="008E4F5F">
        <w:rPr>
          <w:rFonts w:ascii="Arial" w:hAnsi="Arial" w:cs="Arial"/>
          <w:i/>
        </w:rPr>
        <w:t>Activities Allowed – HCV Program and Mainstream</w:t>
      </w:r>
      <w:r w:rsidRPr="008E4F5F">
        <w:rPr>
          <w:rFonts w:ascii="Arial" w:hAnsi="Arial" w:cs="Arial"/>
          <w:i/>
          <w:spacing w:val="-26"/>
        </w:rPr>
        <w:t xml:space="preserve"> </w:t>
      </w:r>
      <w:r w:rsidRPr="008E4F5F">
        <w:rPr>
          <w:rFonts w:ascii="Arial" w:hAnsi="Arial" w:cs="Arial"/>
          <w:i/>
          <w:spacing w:val="-3"/>
        </w:rPr>
        <w:t>Vouchers</w:t>
      </w:r>
    </w:p>
    <w:p w14:paraId="3EEDBC12" w14:textId="77777777" w:rsidR="008E4F5F" w:rsidRPr="008E4F5F" w:rsidRDefault="008E4F5F" w:rsidP="008E4F5F">
      <w:pPr>
        <w:widowControl w:val="0"/>
        <w:tabs>
          <w:tab w:val="left" w:pos="1440"/>
        </w:tabs>
        <w:autoSpaceDE w:val="0"/>
        <w:autoSpaceDN w:val="0"/>
        <w:ind w:left="720"/>
        <w:jc w:val="both"/>
        <w:rPr>
          <w:rFonts w:ascii="Arial" w:hAnsi="Arial" w:cs="Arial"/>
          <w:i/>
        </w:rPr>
      </w:pPr>
    </w:p>
    <w:p w14:paraId="4154DEE6" w14:textId="77777777" w:rsidR="008E4F5F" w:rsidRPr="008E4F5F" w:rsidRDefault="008E4F5F" w:rsidP="006F743F">
      <w:pPr>
        <w:widowControl w:val="0"/>
        <w:numPr>
          <w:ilvl w:val="2"/>
          <w:numId w:val="56"/>
        </w:numPr>
        <w:tabs>
          <w:tab w:val="left" w:pos="1440"/>
          <w:tab w:val="left" w:pos="2835"/>
          <w:tab w:val="left" w:pos="2836"/>
        </w:tabs>
        <w:autoSpaceDE w:val="0"/>
        <w:autoSpaceDN w:val="0"/>
        <w:ind w:left="1440"/>
        <w:jc w:val="both"/>
        <w:rPr>
          <w:rFonts w:ascii="Arial" w:hAnsi="Arial" w:cs="Arial"/>
        </w:rPr>
      </w:pPr>
      <w:r w:rsidRPr="008E4F5F">
        <w:rPr>
          <w:rFonts w:ascii="Arial" w:hAnsi="Arial" w:cs="Arial"/>
        </w:rPr>
        <w:t>PHAs may use HCVP and MV funds only for HAPs to participating owners, and for associated administrative fees (24 CFR sections 982.151 and 982.152). In addition, see expanded authority in the use of administrative fees unde</w:t>
      </w:r>
      <w:hyperlink r:id="rId39">
        <w:r w:rsidRPr="008E4F5F">
          <w:rPr>
            <w:rFonts w:ascii="Arial" w:hAnsi="Arial" w:cs="Arial"/>
          </w:rPr>
          <w:t>r PIH Notice 2022-18</w:t>
        </w:r>
      </w:hyperlink>
      <w:r w:rsidRPr="008E4F5F">
        <w:rPr>
          <w:rFonts w:ascii="Arial" w:hAnsi="Arial" w:cs="Arial"/>
        </w:rPr>
        <w:t xml:space="preserve"> Use of Housing Choice Voucher (HCV) and Mainstream Voucher Administrative Fees for Other Expenses to Assist Families to Lease</w:t>
      </w:r>
      <w:r w:rsidRPr="008E4F5F">
        <w:rPr>
          <w:rFonts w:ascii="Arial" w:hAnsi="Arial" w:cs="Arial"/>
          <w:spacing w:val="-4"/>
        </w:rPr>
        <w:t xml:space="preserve"> </w:t>
      </w:r>
      <w:r w:rsidRPr="008E4F5F">
        <w:rPr>
          <w:rFonts w:ascii="Arial" w:hAnsi="Arial" w:cs="Arial"/>
        </w:rPr>
        <w:t>Units.</w:t>
      </w:r>
    </w:p>
    <w:p w14:paraId="6FF7E7A8"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147F0A86" w14:textId="42F5E6FB" w:rsidR="008E4F5F" w:rsidRPr="008E4F5F" w:rsidRDefault="008E4F5F" w:rsidP="006F743F">
      <w:pPr>
        <w:widowControl w:val="0"/>
        <w:numPr>
          <w:ilvl w:val="3"/>
          <w:numId w:val="56"/>
        </w:numPr>
        <w:tabs>
          <w:tab w:val="left" w:pos="3555"/>
          <w:tab w:val="left" w:pos="3556"/>
        </w:tabs>
        <w:autoSpaceDE w:val="0"/>
        <w:autoSpaceDN w:val="0"/>
        <w:ind w:left="2070" w:hanging="630"/>
        <w:jc w:val="both"/>
        <w:rPr>
          <w:rFonts w:ascii="Arial" w:hAnsi="Arial" w:cs="Arial"/>
        </w:rPr>
      </w:pPr>
      <w:r w:rsidRPr="008E4F5F">
        <w:rPr>
          <w:rFonts w:ascii="Arial" w:hAnsi="Arial" w:cs="Arial"/>
        </w:rPr>
        <w:t xml:space="preserve">Accumulated administrative fees prior to Federal Fiscal Year (FFY) 2004 may be used for any housing-related purpose permitted by State and local law. Unspent administrative fees accumulated post FFY 2003 (i.e., fees from Federal fiscal year 2004 and later funding, see III.L.1.e.(4)(a), “Financial Reporting – Financial Reports”) may be used only to support the HCVP. These funds are still considered to be administrative fee reserves and are subject to all of the requirements applicable to administrative fee reserves including, but not limited to, those in 24 CFR section 982.155. The fees accumulated from fiscal year 2003 and later funding must be used for activities related to the provision of tenant-based rental assistance </w:t>
      </w:r>
      <w:r w:rsidRPr="008E4F5F">
        <w:rPr>
          <w:rFonts w:ascii="Arial" w:hAnsi="Arial" w:cs="Arial"/>
        </w:rPr>
        <w:lastRenderedPageBreak/>
        <w:t>authorized under Section 8 of the United States Housing Act of 1937, including related development activities. PHAs must maintain and report balances for both funding sources (see notice</w:t>
      </w:r>
      <w:r w:rsidRPr="008E4F5F">
        <w:rPr>
          <w:rFonts w:ascii="Arial" w:hAnsi="Arial" w:cs="Arial"/>
          <w:color w:val="365F91"/>
        </w:rPr>
        <w:t xml:space="preserve"> </w:t>
      </w:r>
      <w:hyperlink r:id="rId40">
        <w:r w:rsidRPr="008E4F5F">
          <w:rPr>
            <w:rFonts w:ascii="Arial" w:hAnsi="Arial" w:cs="Arial"/>
            <w:color w:val="365F91"/>
            <w:u w:val="single" w:color="365F91"/>
          </w:rPr>
          <w:t>PIH 2015-17</w:t>
        </w:r>
      </w:hyperlink>
      <w:r w:rsidRPr="008E4F5F">
        <w:rPr>
          <w:rFonts w:ascii="Arial" w:hAnsi="Arial" w:cs="Arial"/>
          <w:color w:val="365F91"/>
        </w:rPr>
        <w:t xml:space="preserve"> </w:t>
      </w:r>
      <w:r w:rsidRPr="008E4F5F">
        <w:rPr>
          <w:rFonts w:ascii="Arial" w:hAnsi="Arial" w:cs="Arial"/>
        </w:rPr>
        <w:t>(HA) dated October 6, 2015) (Division I, Title II, Section (5) of Consolidated Appropriations Act, 2005, Pub. L. No. 108-447, 118 Stat. 3296, and subsequent appropriations acts; see Section 5 of Notice PIH 2005-01; 24 CFR section</w:t>
      </w:r>
      <w:r w:rsidRPr="008E4F5F">
        <w:rPr>
          <w:rFonts w:ascii="Arial" w:hAnsi="Arial" w:cs="Arial"/>
          <w:spacing w:val="-1"/>
        </w:rPr>
        <w:t xml:space="preserve"> </w:t>
      </w:r>
      <w:r w:rsidRPr="008E4F5F">
        <w:rPr>
          <w:rFonts w:ascii="Arial" w:hAnsi="Arial" w:cs="Arial"/>
        </w:rPr>
        <w:t>982.155).</w:t>
      </w:r>
    </w:p>
    <w:p w14:paraId="68C37F22"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2EF12DFE" w14:textId="77777777" w:rsidR="008E4F5F" w:rsidRPr="008E4F5F" w:rsidRDefault="008E4F5F" w:rsidP="006F743F">
      <w:pPr>
        <w:widowControl w:val="0"/>
        <w:numPr>
          <w:ilvl w:val="3"/>
          <w:numId w:val="56"/>
        </w:numPr>
        <w:tabs>
          <w:tab w:val="left" w:pos="1440"/>
          <w:tab w:val="left" w:pos="3555"/>
          <w:tab w:val="left" w:pos="3556"/>
        </w:tabs>
        <w:autoSpaceDE w:val="0"/>
        <w:autoSpaceDN w:val="0"/>
        <w:spacing w:before="90"/>
        <w:ind w:left="2070" w:hanging="630"/>
        <w:jc w:val="both"/>
        <w:rPr>
          <w:rFonts w:ascii="Arial" w:hAnsi="Arial" w:cs="Arial"/>
        </w:rPr>
      </w:pPr>
      <w:r w:rsidRPr="008E4F5F">
        <w:rPr>
          <w:rFonts w:ascii="Arial" w:hAnsi="Arial" w:cs="Arial"/>
        </w:rPr>
        <w:t>Current Calendar Year (CY) HAP funding must be used for current CY HAP and later HAP expenses and shall not be used to cover prior year deficits. PHA’s HAP equity balance, also known as</w:t>
      </w:r>
      <w:r w:rsidRPr="008E4F5F">
        <w:rPr>
          <w:rFonts w:ascii="Arial" w:hAnsi="Arial" w:cs="Arial"/>
          <w:spacing w:val="-13"/>
        </w:rPr>
        <w:t xml:space="preserve"> </w:t>
      </w:r>
      <w:r w:rsidRPr="008E4F5F">
        <w:rPr>
          <w:rFonts w:ascii="Arial" w:hAnsi="Arial" w:cs="Arial"/>
        </w:rPr>
        <w:t>restricted net position (RNP), provides the balance of the unspent HAP at any given point in time. A negative HAP equity balance at the calendar year end indicates that the PHA may be facing a shortfall, and auditors must be alert that the PHAs cannot use the following year HAP budget authority to cover this shortfall (i.e., cover last year’s HAP expense) (2005 Appropriations Act each subsequent appropriations act; see Section 15 of Notice PIH 2015-03).</w:t>
      </w:r>
    </w:p>
    <w:p w14:paraId="757E3FAA"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075D4729" w14:textId="77777777" w:rsidR="008E4F5F" w:rsidRPr="008E4F5F" w:rsidRDefault="008E4F5F" w:rsidP="006F743F">
      <w:pPr>
        <w:widowControl w:val="0"/>
        <w:numPr>
          <w:ilvl w:val="2"/>
          <w:numId w:val="56"/>
        </w:numPr>
        <w:tabs>
          <w:tab w:val="left" w:pos="1440"/>
          <w:tab w:val="left" w:pos="2835"/>
          <w:tab w:val="left" w:pos="2836"/>
        </w:tabs>
        <w:autoSpaceDE w:val="0"/>
        <w:autoSpaceDN w:val="0"/>
        <w:ind w:left="1440"/>
        <w:jc w:val="both"/>
        <w:rPr>
          <w:rFonts w:ascii="Arial" w:hAnsi="Arial" w:cs="Arial"/>
        </w:rPr>
      </w:pPr>
      <w:r w:rsidRPr="008E4F5F">
        <w:rPr>
          <w:rFonts w:ascii="Arial" w:hAnsi="Arial" w:cs="Arial"/>
        </w:rPr>
        <w:t>PHAs are allowed to recover their indirect costs related to the HCVP through the</w:t>
      </w:r>
      <w:r w:rsidRPr="008E4F5F">
        <w:rPr>
          <w:rFonts w:ascii="Arial" w:hAnsi="Arial" w:cs="Arial"/>
          <w:spacing w:val="-5"/>
        </w:rPr>
        <w:t xml:space="preserve"> </w:t>
      </w:r>
      <w:r w:rsidRPr="008E4F5F">
        <w:rPr>
          <w:rFonts w:ascii="Arial" w:hAnsi="Arial" w:cs="Arial"/>
        </w:rPr>
        <w:t>use</w:t>
      </w:r>
      <w:r w:rsidRPr="008E4F5F">
        <w:rPr>
          <w:rFonts w:ascii="Arial" w:hAnsi="Arial" w:cs="Arial"/>
          <w:spacing w:val="-6"/>
        </w:rPr>
        <w:t xml:space="preserve"> </w:t>
      </w:r>
      <w:r w:rsidRPr="008E4F5F">
        <w:rPr>
          <w:rFonts w:ascii="Arial" w:hAnsi="Arial" w:cs="Arial"/>
        </w:rPr>
        <w:t>of</w:t>
      </w:r>
      <w:r w:rsidRPr="008E4F5F">
        <w:rPr>
          <w:rFonts w:ascii="Arial" w:hAnsi="Arial" w:cs="Arial"/>
          <w:spacing w:val="-5"/>
        </w:rPr>
        <w:t xml:space="preserve"> </w:t>
      </w:r>
      <w:r w:rsidRPr="008E4F5F">
        <w:rPr>
          <w:rFonts w:ascii="Arial" w:hAnsi="Arial" w:cs="Arial"/>
        </w:rPr>
        <w:t>a</w:t>
      </w:r>
      <w:r w:rsidRPr="008E4F5F">
        <w:rPr>
          <w:rFonts w:ascii="Arial" w:hAnsi="Arial" w:cs="Arial"/>
          <w:spacing w:val="-4"/>
        </w:rPr>
        <w:t xml:space="preserve"> </w:t>
      </w:r>
      <w:r w:rsidRPr="008E4F5F">
        <w:rPr>
          <w:rFonts w:ascii="Arial" w:hAnsi="Arial" w:cs="Arial"/>
        </w:rPr>
        <w:t>fee-for-service</w:t>
      </w:r>
      <w:r w:rsidRPr="008E4F5F">
        <w:rPr>
          <w:rFonts w:ascii="Arial" w:hAnsi="Arial" w:cs="Arial"/>
          <w:spacing w:val="-5"/>
        </w:rPr>
        <w:t xml:space="preserve"> </w:t>
      </w:r>
      <w:r w:rsidRPr="008E4F5F">
        <w:rPr>
          <w:rFonts w:ascii="Arial" w:hAnsi="Arial" w:cs="Arial"/>
        </w:rPr>
        <w:t>model</w:t>
      </w:r>
      <w:r w:rsidRPr="008E4F5F">
        <w:rPr>
          <w:rFonts w:ascii="Arial" w:hAnsi="Arial" w:cs="Arial"/>
          <w:spacing w:val="-5"/>
        </w:rPr>
        <w:t xml:space="preserve"> </w:t>
      </w:r>
      <w:r w:rsidRPr="008E4F5F">
        <w:rPr>
          <w:rFonts w:ascii="Arial" w:hAnsi="Arial" w:cs="Arial"/>
        </w:rPr>
        <w:t>in</w:t>
      </w:r>
      <w:r w:rsidRPr="008E4F5F">
        <w:rPr>
          <w:rFonts w:ascii="Arial" w:hAnsi="Arial" w:cs="Arial"/>
          <w:spacing w:val="-4"/>
        </w:rPr>
        <w:t xml:space="preserve"> </w:t>
      </w:r>
      <w:r w:rsidRPr="008E4F5F">
        <w:rPr>
          <w:rFonts w:ascii="Arial" w:hAnsi="Arial" w:cs="Arial"/>
        </w:rPr>
        <w:t>lieu</w:t>
      </w:r>
      <w:r w:rsidRPr="008E4F5F">
        <w:rPr>
          <w:rFonts w:ascii="Arial" w:hAnsi="Arial" w:cs="Arial"/>
          <w:spacing w:val="-4"/>
        </w:rPr>
        <w:t xml:space="preserve"> </w:t>
      </w:r>
      <w:r w:rsidRPr="008E4F5F">
        <w:rPr>
          <w:rFonts w:ascii="Arial" w:hAnsi="Arial" w:cs="Arial"/>
        </w:rPr>
        <w:t>of</w:t>
      </w:r>
      <w:r w:rsidRPr="008E4F5F">
        <w:rPr>
          <w:rFonts w:ascii="Arial" w:hAnsi="Arial" w:cs="Arial"/>
          <w:spacing w:val="-5"/>
        </w:rPr>
        <w:t xml:space="preserve"> </w:t>
      </w:r>
      <w:r w:rsidRPr="008E4F5F">
        <w:rPr>
          <w:rFonts w:ascii="Arial" w:hAnsi="Arial" w:cs="Arial"/>
        </w:rPr>
        <w:t>a</w:t>
      </w:r>
      <w:r w:rsidRPr="008E4F5F">
        <w:rPr>
          <w:rFonts w:ascii="Arial" w:hAnsi="Arial" w:cs="Arial"/>
          <w:spacing w:val="-6"/>
        </w:rPr>
        <w:t xml:space="preserve"> </w:t>
      </w:r>
      <w:r w:rsidRPr="008E4F5F">
        <w:rPr>
          <w:rFonts w:ascii="Arial" w:hAnsi="Arial" w:cs="Arial"/>
        </w:rPr>
        <w:t>cost</w:t>
      </w:r>
      <w:r w:rsidRPr="008E4F5F">
        <w:rPr>
          <w:rFonts w:ascii="Arial" w:hAnsi="Arial" w:cs="Arial"/>
          <w:spacing w:val="-5"/>
        </w:rPr>
        <w:t xml:space="preserve"> </w:t>
      </w:r>
      <w:r w:rsidRPr="008E4F5F">
        <w:rPr>
          <w:rFonts w:ascii="Arial" w:hAnsi="Arial" w:cs="Arial"/>
        </w:rPr>
        <w:t>allocation</w:t>
      </w:r>
      <w:r w:rsidRPr="008E4F5F">
        <w:rPr>
          <w:rFonts w:ascii="Arial" w:hAnsi="Arial" w:cs="Arial"/>
          <w:spacing w:val="-5"/>
        </w:rPr>
        <w:t xml:space="preserve"> </w:t>
      </w:r>
      <w:r w:rsidRPr="008E4F5F">
        <w:rPr>
          <w:rFonts w:ascii="Arial" w:hAnsi="Arial" w:cs="Arial"/>
        </w:rPr>
        <w:t>plan.</w:t>
      </w:r>
      <w:r w:rsidRPr="008E4F5F">
        <w:rPr>
          <w:rFonts w:ascii="Arial" w:hAnsi="Arial" w:cs="Arial"/>
          <w:spacing w:val="-1"/>
        </w:rPr>
        <w:t xml:space="preserve"> </w:t>
      </w:r>
      <w:r w:rsidRPr="008E4F5F">
        <w:rPr>
          <w:rFonts w:ascii="Arial" w:hAnsi="Arial" w:cs="Arial"/>
        </w:rPr>
        <w:t>In order</w:t>
      </w:r>
      <w:r w:rsidRPr="008E4F5F">
        <w:rPr>
          <w:rFonts w:ascii="Arial" w:hAnsi="Arial" w:cs="Arial"/>
          <w:spacing w:val="-2"/>
        </w:rPr>
        <w:t xml:space="preserve"> </w:t>
      </w:r>
      <w:r w:rsidRPr="008E4F5F">
        <w:rPr>
          <w:rFonts w:ascii="Arial" w:hAnsi="Arial" w:cs="Arial"/>
        </w:rPr>
        <w:t>for a PHA to use a fee-for-service model, the PHA must create a central office cost center (COCC) (24 CFR section 990.280(d)). (Also see Section 7.8 of Handbook 7475.1 and Section 2 of Notice PIH 2008-17.) HUD has established the following as the types of fees the COCC can charge for the HCVP:</w:t>
      </w:r>
    </w:p>
    <w:p w14:paraId="207FA0AD"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5B43C9D7" w14:textId="77777777" w:rsidR="008E4F5F" w:rsidRPr="008E4F5F" w:rsidRDefault="008E4F5F" w:rsidP="006F743F">
      <w:pPr>
        <w:widowControl w:val="0"/>
        <w:numPr>
          <w:ilvl w:val="3"/>
          <w:numId w:val="56"/>
        </w:numPr>
        <w:tabs>
          <w:tab w:val="left" w:pos="1440"/>
          <w:tab w:val="left" w:pos="3555"/>
          <w:tab w:val="left" w:pos="3556"/>
        </w:tabs>
        <w:autoSpaceDE w:val="0"/>
        <w:autoSpaceDN w:val="0"/>
        <w:ind w:left="2160" w:hanging="721"/>
        <w:jc w:val="both"/>
        <w:rPr>
          <w:rFonts w:ascii="Arial" w:hAnsi="Arial" w:cs="Arial"/>
        </w:rPr>
      </w:pPr>
      <w:r w:rsidRPr="008E4F5F">
        <w:rPr>
          <w:rFonts w:ascii="Arial" w:hAnsi="Arial" w:cs="Arial"/>
        </w:rPr>
        <w:t>HCVP management fee;</w:t>
      </w:r>
      <w:r w:rsidRPr="008E4F5F">
        <w:rPr>
          <w:rFonts w:ascii="Arial" w:hAnsi="Arial" w:cs="Arial"/>
          <w:spacing w:val="-7"/>
        </w:rPr>
        <w:t xml:space="preserve"> </w:t>
      </w:r>
      <w:r w:rsidRPr="008E4F5F">
        <w:rPr>
          <w:rFonts w:ascii="Arial" w:hAnsi="Arial" w:cs="Arial"/>
          <w:spacing w:val="-5"/>
        </w:rPr>
        <w:t>and</w:t>
      </w:r>
    </w:p>
    <w:p w14:paraId="52A31166" w14:textId="77777777" w:rsidR="008E4F5F" w:rsidRPr="008E4F5F" w:rsidRDefault="008E4F5F" w:rsidP="008E4F5F">
      <w:pPr>
        <w:widowControl w:val="0"/>
        <w:tabs>
          <w:tab w:val="left" w:pos="1440"/>
        </w:tabs>
        <w:autoSpaceDE w:val="0"/>
        <w:autoSpaceDN w:val="0"/>
        <w:ind w:left="2160"/>
        <w:jc w:val="both"/>
        <w:rPr>
          <w:rFonts w:ascii="Arial" w:hAnsi="Arial" w:cs="Arial"/>
        </w:rPr>
      </w:pPr>
    </w:p>
    <w:p w14:paraId="54DF5D28" w14:textId="77777777" w:rsidR="008E4F5F" w:rsidRPr="008E4F5F" w:rsidRDefault="008E4F5F" w:rsidP="006F743F">
      <w:pPr>
        <w:widowControl w:val="0"/>
        <w:numPr>
          <w:ilvl w:val="3"/>
          <w:numId w:val="56"/>
        </w:numPr>
        <w:tabs>
          <w:tab w:val="left" w:pos="1440"/>
          <w:tab w:val="left" w:pos="3555"/>
          <w:tab w:val="left" w:pos="3556"/>
        </w:tabs>
        <w:autoSpaceDE w:val="0"/>
        <w:autoSpaceDN w:val="0"/>
        <w:ind w:left="2160" w:hanging="721"/>
        <w:jc w:val="both"/>
        <w:rPr>
          <w:rFonts w:ascii="Arial" w:hAnsi="Arial" w:cs="Arial"/>
        </w:rPr>
      </w:pPr>
      <w:r w:rsidRPr="008E4F5F">
        <w:rPr>
          <w:rFonts w:ascii="Arial" w:hAnsi="Arial" w:cs="Arial"/>
        </w:rPr>
        <w:t>Bookkeeping</w:t>
      </w:r>
      <w:r w:rsidRPr="008E4F5F">
        <w:rPr>
          <w:rFonts w:ascii="Arial" w:hAnsi="Arial" w:cs="Arial"/>
          <w:spacing w:val="-5"/>
        </w:rPr>
        <w:t xml:space="preserve"> fee.</w:t>
      </w:r>
    </w:p>
    <w:p w14:paraId="18059EFA"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2AB08F53" w14:textId="77777777" w:rsidR="008E4F5F" w:rsidRPr="008E4F5F" w:rsidRDefault="008E4F5F" w:rsidP="006F743F">
      <w:pPr>
        <w:widowControl w:val="0"/>
        <w:numPr>
          <w:ilvl w:val="1"/>
          <w:numId w:val="56"/>
        </w:numPr>
        <w:tabs>
          <w:tab w:val="left" w:pos="1440"/>
        </w:tabs>
        <w:autoSpaceDE w:val="0"/>
        <w:autoSpaceDN w:val="0"/>
        <w:ind w:left="720" w:hanging="721"/>
        <w:jc w:val="both"/>
        <w:rPr>
          <w:rFonts w:ascii="Arial" w:hAnsi="Arial" w:cs="Arial"/>
          <w:i/>
        </w:rPr>
      </w:pPr>
      <w:r w:rsidRPr="008E4F5F">
        <w:rPr>
          <w:rFonts w:ascii="Arial" w:hAnsi="Arial" w:cs="Arial"/>
          <w:i/>
        </w:rPr>
        <w:t>Activities Allowed – Emergency Housing Vouchers Program</w:t>
      </w:r>
      <w:r w:rsidRPr="008E4F5F">
        <w:rPr>
          <w:rFonts w:ascii="Arial" w:hAnsi="Arial" w:cs="Arial"/>
          <w:i/>
          <w:spacing w:val="-5"/>
        </w:rPr>
        <w:t xml:space="preserve"> </w:t>
      </w:r>
      <w:r w:rsidRPr="008E4F5F">
        <w:rPr>
          <w:rFonts w:ascii="Arial" w:hAnsi="Arial" w:cs="Arial"/>
          <w:i/>
        </w:rPr>
        <w:t>Funding</w:t>
      </w:r>
    </w:p>
    <w:p w14:paraId="527726F6" w14:textId="77777777" w:rsidR="008E4F5F" w:rsidRPr="008E4F5F" w:rsidRDefault="008E4F5F" w:rsidP="008E4F5F">
      <w:pPr>
        <w:widowControl w:val="0"/>
        <w:tabs>
          <w:tab w:val="left" w:pos="1440"/>
        </w:tabs>
        <w:autoSpaceDE w:val="0"/>
        <w:autoSpaceDN w:val="0"/>
        <w:ind w:left="720"/>
        <w:jc w:val="both"/>
        <w:rPr>
          <w:rFonts w:ascii="Arial" w:hAnsi="Arial" w:cs="Arial"/>
          <w:i/>
        </w:rPr>
      </w:pPr>
    </w:p>
    <w:p w14:paraId="401E93F8"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Section 3202 of the ARP provided appropriations for new incremental EHVs, the renewal of those EHVs, and fees for the cost of administering the EHVs and other eligible expenses defined by notice to prevent, prepare for, and respond to coronavirus to facilitate the leasing of the emergency vouchers, such as security deposit assistance and other costs related to retention and support of participating owners.</w:t>
      </w:r>
    </w:p>
    <w:p w14:paraId="701F5A72" w14:textId="77777777" w:rsidR="008E4F5F" w:rsidRPr="008E4F5F" w:rsidRDefault="008E4F5F" w:rsidP="008E4F5F">
      <w:pPr>
        <w:widowControl w:val="0"/>
        <w:tabs>
          <w:tab w:val="left" w:pos="1440"/>
        </w:tabs>
        <w:autoSpaceDE w:val="0"/>
        <w:autoSpaceDN w:val="0"/>
        <w:spacing w:before="10"/>
        <w:ind w:left="720"/>
        <w:jc w:val="both"/>
        <w:rPr>
          <w:rFonts w:ascii="Arial" w:hAnsi="Arial" w:cs="Arial"/>
        </w:rPr>
      </w:pPr>
    </w:p>
    <w:p w14:paraId="7DDDC0F2" w14:textId="77777777" w:rsidR="008E4F5F" w:rsidRPr="008E4F5F" w:rsidRDefault="008E4F5F" w:rsidP="008E4F5F">
      <w:pPr>
        <w:widowControl w:val="0"/>
        <w:tabs>
          <w:tab w:val="left" w:pos="1440"/>
        </w:tabs>
        <w:autoSpaceDE w:val="0"/>
        <w:autoSpaceDN w:val="0"/>
        <w:spacing w:before="1"/>
        <w:ind w:left="720"/>
        <w:jc w:val="both"/>
        <w:rPr>
          <w:rFonts w:ascii="Arial" w:hAnsi="Arial" w:cs="Arial"/>
        </w:rPr>
      </w:pPr>
      <w:r w:rsidRPr="008E4F5F">
        <w:rPr>
          <w:rFonts w:ascii="Arial" w:hAnsi="Arial" w:cs="Arial"/>
        </w:rPr>
        <w:t>Eligibility for these EHVs is limited to individuals and families who are (1) homeless; (2) at risk of homelessness; (3) fleeing, or attempting to flee, domestic violence, dating violence, sexual assault, stalking or human trafficking; or (4) recently homeless and for whom providing rental assistance will prevent the family’s homelessness or having high risk of housing instability. After September 30, 2023, a PHA may not reissue any previously leased EHV, regardless of when the assistance for the formerly assisted family ends or ended.</w:t>
      </w:r>
    </w:p>
    <w:p w14:paraId="3F3FF5BB"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13C2DD7B" w14:textId="77777777" w:rsidR="008E4F5F" w:rsidRPr="008E4F5F" w:rsidRDefault="008E4F5F" w:rsidP="008E4F5F">
      <w:pPr>
        <w:widowControl w:val="0"/>
        <w:tabs>
          <w:tab w:val="left" w:pos="1440"/>
        </w:tabs>
        <w:autoSpaceDE w:val="0"/>
        <w:autoSpaceDN w:val="0"/>
        <w:ind w:left="720"/>
        <w:jc w:val="both"/>
        <w:rPr>
          <w:rFonts w:ascii="Arial" w:hAnsi="Arial" w:cs="Arial"/>
          <w:i/>
        </w:rPr>
      </w:pPr>
      <w:r w:rsidRPr="008E4F5F">
        <w:rPr>
          <w:rFonts w:ascii="Arial" w:hAnsi="Arial" w:cs="Arial"/>
        </w:rPr>
        <w:t xml:space="preserve">EHVs are tenant-based rental assistance under section 8(o) of the United States Housing Act of 1937 (42 USC 1437f(o)). The ARP further provides that HUD may waive any provision of the United States Housing Act of 1937 or regulation applicable to such statute used to administer the amounts made available under section 3202 (except for requirements related to fair housing, nondiscrimination, labor standards and the environment), upon a finding that any such waivers or alternative requirements are necessary to expedite or facilitate the use of amounts made available for the EHVs. EHV waivers and alternate requirements are included in HUD issued PIH Notice 2021-15, </w:t>
      </w:r>
      <w:r w:rsidRPr="008E4F5F">
        <w:rPr>
          <w:rFonts w:ascii="Arial" w:hAnsi="Arial" w:cs="Arial"/>
          <w:i/>
        </w:rPr>
        <w:t>Emergency Housing Vouchers – Operating Requirements</w:t>
      </w:r>
      <w:r w:rsidRPr="008E4F5F">
        <w:rPr>
          <w:rFonts w:ascii="Arial" w:hAnsi="Arial" w:cs="Arial"/>
        </w:rPr>
        <w:t>.</w:t>
      </w:r>
    </w:p>
    <w:p w14:paraId="35B7634B" w14:textId="77777777" w:rsidR="008E4F5F" w:rsidRPr="008E4F5F" w:rsidRDefault="008E4F5F" w:rsidP="008E4F5F">
      <w:pPr>
        <w:widowControl w:val="0"/>
        <w:tabs>
          <w:tab w:val="left" w:pos="1440"/>
        </w:tabs>
        <w:autoSpaceDE w:val="0"/>
        <w:autoSpaceDN w:val="0"/>
        <w:spacing w:before="11"/>
        <w:ind w:left="720"/>
        <w:jc w:val="both"/>
        <w:rPr>
          <w:rFonts w:ascii="Arial" w:hAnsi="Arial" w:cs="Arial"/>
        </w:rPr>
      </w:pPr>
    </w:p>
    <w:p w14:paraId="57690325"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Notice PIH 2021-15 provided operating requirements to PHAs administering the EHV program. Notice PIH 2021-20 revised the reporting guidance in Notice PIH 2021-15 and set forth new requirements for PHAs to report Emergency Housing Voucher (EHV) household data into HUD’s existing IMS/PIC system.</w:t>
      </w:r>
    </w:p>
    <w:p w14:paraId="72AA868B"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12F8761D"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 xml:space="preserve">Notice PIH 2021-25, </w:t>
      </w:r>
      <w:r w:rsidRPr="008E4F5F">
        <w:rPr>
          <w:rFonts w:ascii="Arial" w:hAnsi="Arial" w:cs="Arial"/>
          <w:i/>
        </w:rPr>
        <w:t xml:space="preserve">Emergency Housing Vouchers – Voucher Management System and Financial Data Schedule Reporting Requirements Notice </w:t>
      </w:r>
      <w:r w:rsidRPr="008E4F5F">
        <w:rPr>
          <w:rFonts w:ascii="Arial" w:hAnsi="Arial" w:cs="Arial"/>
        </w:rPr>
        <w:t xml:space="preserve">revised the reporting guidance in Notice PIH 2021- 20, </w:t>
      </w:r>
      <w:r w:rsidRPr="008E4F5F">
        <w:rPr>
          <w:rFonts w:ascii="Arial" w:hAnsi="Arial" w:cs="Arial"/>
          <w:i/>
        </w:rPr>
        <w:t xml:space="preserve">Emergency Housing Vouchers – Household Reporting Requirements Notice </w:t>
      </w:r>
      <w:r w:rsidRPr="008E4F5F">
        <w:rPr>
          <w:rFonts w:ascii="Arial" w:hAnsi="Arial" w:cs="Arial"/>
        </w:rPr>
        <w:t>and Notice PIH 2021-15 and set forth the reporting requirements for PHAs to report EHV data into the VMS and FDS.</w:t>
      </w:r>
    </w:p>
    <w:p w14:paraId="60D7F480"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57CBB4A8" w14:textId="77777777" w:rsidR="008E4F5F" w:rsidRPr="008E4F5F" w:rsidRDefault="008E4F5F" w:rsidP="006F743F">
      <w:pPr>
        <w:widowControl w:val="0"/>
        <w:numPr>
          <w:ilvl w:val="1"/>
          <w:numId w:val="56"/>
        </w:numPr>
        <w:tabs>
          <w:tab w:val="left" w:pos="1440"/>
        </w:tabs>
        <w:autoSpaceDE w:val="0"/>
        <w:autoSpaceDN w:val="0"/>
        <w:ind w:left="720" w:hanging="721"/>
        <w:jc w:val="both"/>
        <w:rPr>
          <w:rFonts w:ascii="Arial" w:hAnsi="Arial" w:cs="Arial"/>
          <w:i/>
        </w:rPr>
      </w:pPr>
      <w:r w:rsidRPr="008E4F5F">
        <w:rPr>
          <w:rFonts w:ascii="Arial" w:hAnsi="Arial" w:cs="Arial"/>
          <w:i/>
        </w:rPr>
        <w:t>Activities Allowed – MTW</w:t>
      </w:r>
      <w:r w:rsidRPr="008E4F5F">
        <w:rPr>
          <w:rFonts w:ascii="Arial" w:hAnsi="Arial" w:cs="Arial"/>
          <w:i/>
          <w:spacing w:val="-12"/>
        </w:rPr>
        <w:t xml:space="preserve"> </w:t>
      </w:r>
      <w:r w:rsidRPr="008E4F5F">
        <w:rPr>
          <w:rFonts w:ascii="Arial" w:hAnsi="Arial" w:cs="Arial"/>
          <w:i/>
          <w:spacing w:val="-3"/>
        </w:rPr>
        <w:t>Program</w:t>
      </w:r>
    </w:p>
    <w:p w14:paraId="3CDE68EC" w14:textId="77777777" w:rsidR="008E4F5F" w:rsidRPr="008E4F5F" w:rsidRDefault="008E4F5F" w:rsidP="008E4F5F">
      <w:pPr>
        <w:widowControl w:val="0"/>
        <w:tabs>
          <w:tab w:val="left" w:pos="1440"/>
        </w:tabs>
        <w:autoSpaceDE w:val="0"/>
        <w:autoSpaceDN w:val="0"/>
        <w:ind w:left="720"/>
        <w:jc w:val="both"/>
        <w:rPr>
          <w:rFonts w:ascii="Arial" w:hAnsi="Arial" w:cs="Arial"/>
          <w:i/>
        </w:rPr>
      </w:pPr>
    </w:p>
    <w:p w14:paraId="3B6C020C"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The MTW program (Assistance Listing 14.881) allows selected PHAs the flexibility to design and test various approaches to providing and administering housing assistance consistent with the MTW Agreement executed by the PHA and HUD and under the MTW Operations Notice. An MTW agency may apply funding fungibility from the following three programs:</w:t>
      </w:r>
    </w:p>
    <w:p w14:paraId="399757CF"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7E1064AE" w14:textId="77777777" w:rsidR="008E4F5F" w:rsidRPr="008E4F5F" w:rsidRDefault="008E4F5F" w:rsidP="00DA3D06">
      <w:pPr>
        <w:widowControl w:val="0"/>
        <w:numPr>
          <w:ilvl w:val="0"/>
          <w:numId w:val="55"/>
        </w:numPr>
        <w:tabs>
          <w:tab w:val="left" w:pos="1440"/>
          <w:tab w:val="left" w:pos="2835"/>
          <w:tab w:val="left" w:pos="2836"/>
        </w:tabs>
        <w:autoSpaceDE w:val="0"/>
        <w:autoSpaceDN w:val="0"/>
        <w:spacing w:before="1"/>
        <w:ind w:left="1440"/>
        <w:jc w:val="both"/>
        <w:rPr>
          <w:rFonts w:ascii="Arial" w:hAnsi="Arial" w:cs="Arial"/>
        </w:rPr>
      </w:pPr>
      <w:r w:rsidRPr="008E4F5F">
        <w:rPr>
          <w:rFonts w:ascii="Arial" w:hAnsi="Arial" w:cs="Arial"/>
        </w:rPr>
        <w:t>Section 8 Housing Choice Vouchers (Assistance Listing</w:t>
      </w:r>
      <w:r w:rsidRPr="008E4F5F">
        <w:rPr>
          <w:rFonts w:ascii="Arial" w:hAnsi="Arial" w:cs="Arial"/>
          <w:spacing w:val="-15"/>
        </w:rPr>
        <w:t xml:space="preserve"> </w:t>
      </w:r>
      <w:r w:rsidRPr="008E4F5F">
        <w:rPr>
          <w:rFonts w:ascii="Arial" w:hAnsi="Arial" w:cs="Arial"/>
          <w:spacing w:val="-3"/>
        </w:rPr>
        <w:t>14.871)</w:t>
      </w:r>
    </w:p>
    <w:p w14:paraId="55F36829" w14:textId="77777777" w:rsidR="008E4F5F" w:rsidRPr="008E4F5F" w:rsidRDefault="008E4F5F" w:rsidP="00DA3D06">
      <w:pPr>
        <w:widowControl w:val="0"/>
        <w:tabs>
          <w:tab w:val="left" w:pos="1440"/>
        </w:tabs>
        <w:autoSpaceDE w:val="0"/>
        <w:autoSpaceDN w:val="0"/>
        <w:spacing w:before="11"/>
        <w:ind w:left="1440"/>
        <w:jc w:val="both"/>
        <w:rPr>
          <w:rFonts w:ascii="Arial" w:hAnsi="Arial" w:cs="Arial"/>
        </w:rPr>
      </w:pPr>
    </w:p>
    <w:p w14:paraId="75EFDDF5" w14:textId="77777777" w:rsidR="008E4F5F" w:rsidRPr="008E4F5F" w:rsidRDefault="008E4F5F" w:rsidP="00DA3D06">
      <w:pPr>
        <w:widowControl w:val="0"/>
        <w:numPr>
          <w:ilvl w:val="0"/>
          <w:numId w:val="55"/>
        </w:numPr>
        <w:tabs>
          <w:tab w:val="left" w:pos="1440"/>
          <w:tab w:val="left" w:pos="2835"/>
          <w:tab w:val="left" w:pos="2836"/>
        </w:tabs>
        <w:autoSpaceDE w:val="0"/>
        <w:autoSpaceDN w:val="0"/>
        <w:ind w:left="1440"/>
        <w:jc w:val="both"/>
        <w:rPr>
          <w:rFonts w:ascii="Arial" w:hAnsi="Arial" w:cs="Arial"/>
        </w:rPr>
      </w:pPr>
      <w:r w:rsidRPr="008E4F5F">
        <w:rPr>
          <w:rFonts w:ascii="Arial" w:hAnsi="Arial" w:cs="Arial"/>
        </w:rPr>
        <w:t>Public Housing Capital Fund (Assistance Listing</w:t>
      </w:r>
      <w:r w:rsidRPr="008E4F5F">
        <w:rPr>
          <w:rFonts w:ascii="Arial" w:hAnsi="Arial" w:cs="Arial"/>
          <w:spacing w:val="-21"/>
        </w:rPr>
        <w:t xml:space="preserve"> </w:t>
      </w:r>
      <w:r w:rsidRPr="008E4F5F">
        <w:rPr>
          <w:rFonts w:ascii="Arial" w:hAnsi="Arial" w:cs="Arial"/>
          <w:spacing w:val="-3"/>
        </w:rPr>
        <w:t>14.872)</w:t>
      </w:r>
    </w:p>
    <w:p w14:paraId="0E2303E2" w14:textId="77777777" w:rsidR="008E4F5F" w:rsidRPr="008E4F5F" w:rsidRDefault="008E4F5F" w:rsidP="00DA3D06">
      <w:pPr>
        <w:widowControl w:val="0"/>
        <w:tabs>
          <w:tab w:val="left" w:pos="1440"/>
        </w:tabs>
        <w:autoSpaceDE w:val="0"/>
        <w:autoSpaceDN w:val="0"/>
        <w:spacing w:before="10"/>
        <w:ind w:left="1440"/>
        <w:jc w:val="both"/>
        <w:rPr>
          <w:rFonts w:ascii="Arial" w:hAnsi="Arial" w:cs="Arial"/>
        </w:rPr>
      </w:pPr>
    </w:p>
    <w:p w14:paraId="70589C96" w14:textId="77777777" w:rsidR="008E4F5F" w:rsidRPr="008E4F5F" w:rsidRDefault="008E4F5F" w:rsidP="00DA3D06">
      <w:pPr>
        <w:widowControl w:val="0"/>
        <w:numPr>
          <w:ilvl w:val="0"/>
          <w:numId w:val="55"/>
        </w:numPr>
        <w:tabs>
          <w:tab w:val="left" w:pos="1440"/>
          <w:tab w:val="left" w:pos="2835"/>
          <w:tab w:val="left" w:pos="2836"/>
        </w:tabs>
        <w:autoSpaceDE w:val="0"/>
        <w:autoSpaceDN w:val="0"/>
        <w:spacing w:before="1"/>
        <w:ind w:left="1440"/>
        <w:jc w:val="both"/>
        <w:rPr>
          <w:rFonts w:ascii="Arial" w:hAnsi="Arial" w:cs="Arial"/>
        </w:rPr>
      </w:pPr>
      <w:r w:rsidRPr="008E4F5F">
        <w:rPr>
          <w:rFonts w:ascii="Arial" w:hAnsi="Arial" w:cs="Arial"/>
        </w:rPr>
        <w:t>Public and Indian Housing (Assistance Listing</w:t>
      </w:r>
      <w:r w:rsidRPr="008E4F5F">
        <w:rPr>
          <w:rFonts w:ascii="Arial" w:hAnsi="Arial" w:cs="Arial"/>
          <w:spacing w:val="-23"/>
        </w:rPr>
        <w:t xml:space="preserve"> </w:t>
      </w:r>
      <w:r w:rsidRPr="008E4F5F">
        <w:rPr>
          <w:rFonts w:ascii="Arial" w:hAnsi="Arial" w:cs="Arial"/>
          <w:spacing w:val="-3"/>
        </w:rPr>
        <w:t>14.850)</w:t>
      </w:r>
    </w:p>
    <w:p w14:paraId="127C1C22" w14:textId="77777777" w:rsidR="008E4F5F" w:rsidRPr="008E4F5F" w:rsidRDefault="008E4F5F" w:rsidP="008E4F5F">
      <w:pPr>
        <w:widowControl w:val="0"/>
        <w:tabs>
          <w:tab w:val="left" w:pos="1440"/>
        </w:tabs>
        <w:autoSpaceDE w:val="0"/>
        <w:autoSpaceDN w:val="0"/>
        <w:spacing w:before="11"/>
        <w:ind w:left="720"/>
        <w:jc w:val="both"/>
        <w:rPr>
          <w:rFonts w:ascii="Arial" w:hAnsi="Arial" w:cs="Arial"/>
        </w:rPr>
      </w:pPr>
    </w:p>
    <w:p w14:paraId="3E4FFEB9" w14:textId="77777777" w:rsidR="008E4F5F" w:rsidRPr="008E4F5F" w:rsidRDefault="008E4F5F" w:rsidP="008E4F5F">
      <w:pPr>
        <w:widowControl w:val="0"/>
        <w:tabs>
          <w:tab w:val="left" w:pos="1440"/>
        </w:tabs>
        <w:autoSpaceDE w:val="0"/>
        <w:autoSpaceDN w:val="0"/>
        <w:spacing w:line="259" w:lineRule="auto"/>
        <w:ind w:left="720"/>
        <w:jc w:val="both"/>
        <w:rPr>
          <w:rFonts w:ascii="Arial" w:hAnsi="Arial" w:cs="Arial"/>
        </w:rPr>
      </w:pPr>
      <w:r w:rsidRPr="008E4F5F">
        <w:rPr>
          <w:rFonts w:ascii="Arial" w:hAnsi="Arial" w:cs="Arial"/>
        </w:rPr>
        <w:t>Depending on whether a PHA is operating under an MTW Agreement or the MTW Operations Notice, the auditor can look at the MTW Agreement or the MTW Operations Notice, as applicable, to determine which funds are included. Even though the Mainstream Vouchers program (Assistance Listing 14.879) follows HCVP procedures, that program is excluded from the MTW program. Other Special Purpose Vouchers such as HUD-VASH, NED vouchers and FUP vouchers are also excluded from the MTW program, meaning funds can only be used for the intended purposes. If HCVP funds are transferred out of HCVP, pursuant to an MTW Agreement or the MTW Operations Notice, they are subject to the requirements of the MTW Agreement or the MTW Operations Notice and should not be included in the audit universe and total expenditures for HCVP when determining Type A programs. On the Schedule of Expenditures of Federal Awards, the amounts transferred out should not be shown as HCVP expenditures but should be shown as expenditures for the MTW Demonstration program. Also, if other program funds are transferred into the HCVP account, pursuant to an MTW Agreement or the MTW Operations Notice, all the HCVP funds would then be considered MTW funds.</w:t>
      </w:r>
    </w:p>
    <w:p w14:paraId="1DEBC5CB" w14:textId="77777777" w:rsidR="008E4F5F" w:rsidRPr="008E4F5F" w:rsidRDefault="008E4F5F" w:rsidP="008E4F5F">
      <w:pPr>
        <w:widowControl w:val="0"/>
        <w:tabs>
          <w:tab w:val="left" w:pos="1440"/>
        </w:tabs>
        <w:autoSpaceDE w:val="0"/>
        <w:autoSpaceDN w:val="0"/>
        <w:spacing w:before="8"/>
        <w:ind w:left="720"/>
        <w:jc w:val="both"/>
        <w:rPr>
          <w:rFonts w:ascii="Arial" w:hAnsi="Arial" w:cs="Arial"/>
        </w:rPr>
      </w:pPr>
    </w:p>
    <w:p w14:paraId="790FB444"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If the MTW agency does not transfer all the funds from the HCVP into the MTW account or another of the authorized programs, those funds would be considered, and audited, under the</w:t>
      </w:r>
      <w:r w:rsidRPr="008E4F5F">
        <w:rPr>
          <w:rFonts w:ascii="Arial" w:hAnsi="Arial" w:cs="Arial"/>
          <w:spacing w:val="-1"/>
        </w:rPr>
        <w:t xml:space="preserve"> </w:t>
      </w:r>
      <w:r w:rsidRPr="008E4F5F">
        <w:rPr>
          <w:rFonts w:ascii="Arial" w:hAnsi="Arial" w:cs="Arial"/>
        </w:rPr>
        <w:t>HCVP.</w:t>
      </w:r>
    </w:p>
    <w:p w14:paraId="6A838565" w14:textId="77777777" w:rsidR="008E4F5F" w:rsidRPr="008E4F5F" w:rsidRDefault="008E4F5F" w:rsidP="008E4F5F">
      <w:pPr>
        <w:widowControl w:val="0"/>
        <w:tabs>
          <w:tab w:val="left" w:pos="1440"/>
        </w:tabs>
        <w:autoSpaceDE w:val="0"/>
        <w:autoSpaceDN w:val="0"/>
        <w:spacing w:before="11"/>
        <w:ind w:left="720"/>
        <w:jc w:val="both"/>
        <w:rPr>
          <w:rFonts w:ascii="Arial" w:hAnsi="Arial" w:cs="Arial"/>
        </w:rPr>
      </w:pPr>
    </w:p>
    <w:p w14:paraId="52A154B9" w14:textId="77777777" w:rsidR="008E4F5F" w:rsidRPr="008E4F5F" w:rsidRDefault="008E4F5F" w:rsidP="008E4F5F">
      <w:pPr>
        <w:widowControl w:val="0"/>
        <w:tabs>
          <w:tab w:val="left" w:pos="1440"/>
        </w:tabs>
        <w:autoSpaceDE w:val="0"/>
        <w:autoSpaceDN w:val="0"/>
        <w:ind w:left="720"/>
        <w:jc w:val="both"/>
        <w:rPr>
          <w:rFonts w:ascii="Arial" w:hAnsi="Arial" w:cs="Arial"/>
        </w:rPr>
      </w:pPr>
      <w:r w:rsidRPr="008E4F5F">
        <w:rPr>
          <w:rFonts w:ascii="Arial" w:hAnsi="Arial" w:cs="Arial"/>
        </w:rPr>
        <w:t>PHAs may obtain proceeds from dispositions of public housing real property under Sections 18 and 22 of the 1937 Act (Assistance Listing Number 14.850). PHAs may use net proceeds, if approved by HUD, for the provision of low-income housing, which includes certain Section 8 HCVP uses. If a PHA receives HUD approval to use proceeds for certain HCVP purposes, those funds would be considered, and audited, under the</w:t>
      </w:r>
      <w:r w:rsidRPr="008E4F5F">
        <w:rPr>
          <w:rFonts w:ascii="Arial" w:hAnsi="Arial" w:cs="Arial"/>
          <w:spacing w:val="-10"/>
        </w:rPr>
        <w:t xml:space="preserve"> </w:t>
      </w:r>
      <w:r w:rsidRPr="008E4F5F">
        <w:rPr>
          <w:rFonts w:ascii="Arial" w:hAnsi="Arial" w:cs="Arial"/>
        </w:rPr>
        <w:t>HCVP.</w:t>
      </w:r>
    </w:p>
    <w:p w14:paraId="123C1FAA" w14:textId="77777777" w:rsidR="008E4F5F" w:rsidRPr="008E4F5F" w:rsidRDefault="008E4F5F" w:rsidP="008E4F5F">
      <w:pPr>
        <w:widowControl w:val="0"/>
        <w:tabs>
          <w:tab w:val="left" w:pos="1440"/>
        </w:tabs>
        <w:autoSpaceDE w:val="0"/>
        <w:autoSpaceDN w:val="0"/>
        <w:ind w:left="720"/>
        <w:jc w:val="both"/>
        <w:rPr>
          <w:rFonts w:ascii="Arial" w:hAnsi="Arial" w:cs="Arial"/>
        </w:rPr>
      </w:pPr>
    </w:p>
    <w:p w14:paraId="27978A29" w14:textId="77777777" w:rsidR="008E4F5F" w:rsidRPr="008E4F5F" w:rsidRDefault="008E4F5F" w:rsidP="006F743F">
      <w:pPr>
        <w:widowControl w:val="0"/>
        <w:numPr>
          <w:ilvl w:val="1"/>
          <w:numId w:val="56"/>
        </w:numPr>
        <w:tabs>
          <w:tab w:val="left" w:pos="1440"/>
        </w:tabs>
        <w:autoSpaceDE w:val="0"/>
        <w:autoSpaceDN w:val="0"/>
        <w:ind w:left="720"/>
        <w:jc w:val="both"/>
        <w:rPr>
          <w:rFonts w:ascii="Arial" w:hAnsi="Arial" w:cs="Arial"/>
          <w:i/>
        </w:rPr>
      </w:pPr>
      <w:r w:rsidRPr="008E4F5F">
        <w:rPr>
          <w:rFonts w:ascii="Arial" w:hAnsi="Arial" w:cs="Arial"/>
          <w:i/>
        </w:rPr>
        <w:t>Activities Unallowed – HCV,</w:t>
      </w:r>
      <w:r w:rsidRPr="008E4F5F">
        <w:rPr>
          <w:rFonts w:ascii="Arial" w:hAnsi="Arial" w:cs="Arial"/>
          <w:i/>
          <w:spacing w:val="-12"/>
        </w:rPr>
        <w:t xml:space="preserve"> </w:t>
      </w:r>
      <w:r w:rsidRPr="008E4F5F">
        <w:rPr>
          <w:rFonts w:ascii="Arial" w:hAnsi="Arial" w:cs="Arial"/>
          <w:i/>
          <w:spacing w:val="-3"/>
        </w:rPr>
        <w:t>Mainstream</w:t>
      </w:r>
    </w:p>
    <w:p w14:paraId="7B9C12B8" w14:textId="77777777" w:rsidR="008E4F5F" w:rsidRPr="008E4F5F" w:rsidRDefault="008E4F5F" w:rsidP="008E4F5F">
      <w:pPr>
        <w:widowControl w:val="0"/>
        <w:tabs>
          <w:tab w:val="left" w:pos="1440"/>
        </w:tabs>
        <w:autoSpaceDE w:val="0"/>
        <w:autoSpaceDN w:val="0"/>
        <w:ind w:left="720"/>
        <w:jc w:val="both"/>
        <w:rPr>
          <w:rFonts w:ascii="Arial" w:hAnsi="Arial" w:cs="Arial"/>
          <w:i/>
        </w:rPr>
      </w:pPr>
    </w:p>
    <w:p w14:paraId="2D871627" w14:textId="77777777" w:rsidR="008E4F5F" w:rsidRPr="008E4F5F" w:rsidRDefault="008E4F5F" w:rsidP="006F743F">
      <w:pPr>
        <w:widowControl w:val="0"/>
        <w:numPr>
          <w:ilvl w:val="2"/>
          <w:numId w:val="56"/>
        </w:numPr>
        <w:tabs>
          <w:tab w:val="left" w:pos="1440"/>
          <w:tab w:val="left" w:pos="2835"/>
          <w:tab w:val="left" w:pos="2836"/>
        </w:tabs>
        <w:autoSpaceDE w:val="0"/>
        <w:autoSpaceDN w:val="0"/>
        <w:ind w:left="1440"/>
        <w:jc w:val="both"/>
        <w:rPr>
          <w:rFonts w:ascii="Arial" w:hAnsi="Arial" w:cs="Arial"/>
        </w:rPr>
      </w:pPr>
      <w:r w:rsidRPr="008E4F5F">
        <w:rPr>
          <w:rFonts w:ascii="Arial" w:hAnsi="Arial" w:cs="Arial"/>
        </w:rPr>
        <w:t xml:space="preserve">Non MTW PHAs must use HAP </w:t>
      </w:r>
      <w:r w:rsidRPr="008E4F5F">
        <w:rPr>
          <w:rFonts w:ascii="Arial" w:hAnsi="Arial" w:cs="Arial"/>
          <w:spacing w:val="-4"/>
        </w:rPr>
        <w:t xml:space="preserve">for </w:t>
      </w:r>
      <w:r w:rsidRPr="008E4F5F">
        <w:rPr>
          <w:rFonts w:ascii="Arial" w:hAnsi="Arial" w:cs="Arial"/>
        </w:rPr>
        <w:t xml:space="preserve">HAP </w:t>
      </w:r>
      <w:r w:rsidRPr="008E4F5F">
        <w:rPr>
          <w:rFonts w:ascii="Arial" w:hAnsi="Arial" w:cs="Arial"/>
          <w:spacing w:val="-3"/>
        </w:rPr>
        <w:t xml:space="preserve">expenses </w:t>
      </w:r>
      <w:r w:rsidRPr="008E4F5F">
        <w:rPr>
          <w:rFonts w:ascii="Arial" w:hAnsi="Arial" w:cs="Arial"/>
        </w:rPr>
        <w:t xml:space="preserve">only, and </w:t>
      </w:r>
      <w:r w:rsidRPr="008E4F5F">
        <w:rPr>
          <w:rFonts w:ascii="Arial" w:hAnsi="Arial" w:cs="Arial"/>
          <w:spacing w:val="-3"/>
        </w:rPr>
        <w:t xml:space="preserve">other uses </w:t>
      </w:r>
      <w:r w:rsidRPr="008E4F5F">
        <w:rPr>
          <w:rFonts w:ascii="Arial" w:hAnsi="Arial" w:cs="Arial"/>
        </w:rPr>
        <w:t xml:space="preserve">are </w:t>
      </w:r>
      <w:r w:rsidRPr="008E4F5F">
        <w:rPr>
          <w:rFonts w:ascii="Arial" w:hAnsi="Arial" w:cs="Arial"/>
          <w:spacing w:val="-3"/>
        </w:rPr>
        <w:t>unallowed.</w:t>
      </w:r>
    </w:p>
    <w:p w14:paraId="3269B301" w14:textId="77777777" w:rsidR="008E4F5F" w:rsidRPr="008E4F5F" w:rsidRDefault="008E4F5F" w:rsidP="008E4F5F">
      <w:pPr>
        <w:widowControl w:val="0"/>
        <w:tabs>
          <w:tab w:val="left" w:pos="1440"/>
        </w:tabs>
        <w:autoSpaceDE w:val="0"/>
        <w:autoSpaceDN w:val="0"/>
        <w:ind w:left="1440" w:hanging="720"/>
        <w:jc w:val="both"/>
        <w:rPr>
          <w:rFonts w:ascii="Arial" w:hAnsi="Arial" w:cs="Arial"/>
        </w:rPr>
      </w:pPr>
    </w:p>
    <w:p w14:paraId="1C05093A" w14:textId="77777777" w:rsidR="008E4F5F" w:rsidRPr="008E4F5F" w:rsidRDefault="008E4F5F" w:rsidP="006F743F">
      <w:pPr>
        <w:widowControl w:val="0"/>
        <w:numPr>
          <w:ilvl w:val="2"/>
          <w:numId w:val="56"/>
        </w:numPr>
        <w:tabs>
          <w:tab w:val="left" w:pos="1440"/>
          <w:tab w:val="left" w:pos="2835"/>
          <w:tab w:val="left" w:pos="2836"/>
        </w:tabs>
        <w:autoSpaceDE w:val="0"/>
        <w:autoSpaceDN w:val="0"/>
        <w:ind w:left="1440"/>
        <w:jc w:val="both"/>
        <w:rPr>
          <w:rFonts w:ascii="Arial" w:hAnsi="Arial" w:cs="Arial"/>
        </w:rPr>
      </w:pPr>
      <w:r w:rsidRPr="008E4F5F">
        <w:rPr>
          <w:rFonts w:ascii="Arial" w:hAnsi="Arial" w:cs="Arial"/>
        </w:rPr>
        <w:t>With the exception of Moving to Work Housing Authorities, Transfers of HAP, and associated administrative fees, even temporarily, to support another program (such as the Low-Rent program or Local Housing programs) or use are not allowed and could be considered a breach of the ACC (see III.L.1.e.(3), “Reporting--Financial Reporting--FDS Transfer Line Items”). Such</w:t>
      </w:r>
      <w:r w:rsidRPr="008E4F5F">
        <w:rPr>
          <w:rFonts w:ascii="Arial" w:hAnsi="Arial" w:cs="Arial"/>
          <w:spacing w:val="-5"/>
        </w:rPr>
        <w:t xml:space="preserve"> </w:t>
      </w:r>
      <w:r w:rsidRPr="008E4F5F">
        <w:rPr>
          <w:rFonts w:ascii="Arial" w:hAnsi="Arial" w:cs="Arial"/>
        </w:rPr>
        <w:t>use</w:t>
      </w:r>
      <w:r w:rsidRPr="008E4F5F">
        <w:rPr>
          <w:rFonts w:ascii="Arial" w:hAnsi="Arial" w:cs="Arial"/>
          <w:spacing w:val="-6"/>
        </w:rPr>
        <w:t xml:space="preserve"> </w:t>
      </w:r>
      <w:r w:rsidRPr="008E4F5F">
        <w:rPr>
          <w:rFonts w:ascii="Arial" w:hAnsi="Arial" w:cs="Arial"/>
        </w:rPr>
        <w:t>may</w:t>
      </w:r>
      <w:r w:rsidRPr="008E4F5F">
        <w:rPr>
          <w:rFonts w:ascii="Arial" w:hAnsi="Arial" w:cs="Arial"/>
          <w:spacing w:val="-4"/>
        </w:rPr>
        <w:t xml:space="preserve"> </w:t>
      </w:r>
      <w:r w:rsidRPr="008E4F5F">
        <w:rPr>
          <w:rFonts w:ascii="Arial" w:hAnsi="Arial" w:cs="Arial"/>
        </w:rPr>
        <w:t>result</w:t>
      </w:r>
      <w:r w:rsidRPr="008E4F5F">
        <w:rPr>
          <w:rFonts w:ascii="Arial" w:hAnsi="Arial" w:cs="Arial"/>
          <w:spacing w:val="-5"/>
        </w:rPr>
        <w:t xml:space="preserve"> </w:t>
      </w:r>
      <w:r w:rsidRPr="008E4F5F">
        <w:rPr>
          <w:rFonts w:ascii="Arial" w:hAnsi="Arial" w:cs="Arial"/>
        </w:rPr>
        <w:t>in</w:t>
      </w:r>
      <w:r w:rsidRPr="008E4F5F">
        <w:rPr>
          <w:rFonts w:ascii="Arial" w:hAnsi="Arial" w:cs="Arial"/>
          <w:spacing w:val="-5"/>
        </w:rPr>
        <w:t xml:space="preserve"> </w:t>
      </w:r>
      <w:r w:rsidRPr="008E4F5F">
        <w:rPr>
          <w:rFonts w:ascii="Arial" w:hAnsi="Arial" w:cs="Arial"/>
        </w:rPr>
        <w:t>civil</w:t>
      </w:r>
      <w:r w:rsidRPr="008E4F5F">
        <w:rPr>
          <w:rFonts w:ascii="Arial" w:hAnsi="Arial" w:cs="Arial"/>
          <w:spacing w:val="-5"/>
        </w:rPr>
        <w:t xml:space="preserve"> </w:t>
      </w:r>
      <w:r w:rsidRPr="008E4F5F">
        <w:rPr>
          <w:rFonts w:ascii="Arial" w:hAnsi="Arial" w:cs="Arial"/>
        </w:rPr>
        <w:t>penalties</w:t>
      </w:r>
      <w:r w:rsidRPr="008E4F5F">
        <w:rPr>
          <w:rFonts w:ascii="Arial" w:hAnsi="Arial" w:cs="Arial"/>
          <w:spacing w:val="-9"/>
        </w:rPr>
        <w:t xml:space="preserve"> </w:t>
      </w:r>
      <w:r w:rsidRPr="008E4F5F">
        <w:rPr>
          <w:rFonts w:ascii="Arial" w:hAnsi="Arial" w:cs="Arial"/>
        </w:rPr>
        <w:t>or</w:t>
      </w:r>
      <w:r w:rsidRPr="008E4F5F">
        <w:rPr>
          <w:rFonts w:ascii="Arial" w:hAnsi="Arial" w:cs="Arial"/>
          <w:spacing w:val="-5"/>
        </w:rPr>
        <w:t xml:space="preserve"> </w:t>
      </w:r>
      <w:r w:rsidRPr="008E4F5F">
        <w:rPr>
          <w:rFonts w:ascii="Arial" w:hAnsi="Arial" w:cs="Arial"/>
        </w:rPr>
        <w:t>sanctions</w:t>
      </w:r>
      <w:r w:rsidRPr="008E4F5F">
        <w:rPr>
          <w:rFonts w:ascii="Arial" w:hAnsi="Arial" w:cs="Arial"/>
          <w:spacing w:val="-5"/>
        </w:rPr>
        <w:t xml:space="preserve"> </w:t>
      </w:r>
      <w:r w:rsidRPr="008E4F5F">
        <w:rPr>
          <w:rFonts w:ascii="Arial" w:hAnsi="Arial" w:cs="Arial"/>
        </w:rPr>
        <w:t>(24</w:t>
      </w:r>
      <w:r w:rsidRPr="008E4F5F">
        <w:rPr>
          <w:rFonts w:ascii="Arial" w:hAnsi="Arial" w:cs="Arial"/>
          <w:spacing w:val="-4"/>
        </w:rPr>
        <w:t xml:space="preserve"> </w:t>
      </w:r>
      <w:r w:rsidRPr="008E4F5F">
        <w:rPr>
          <w:rFonts w:ascii="Arial" w:hAnsi="Arial" w:cs="Arial"/>
        </w:rPr>
        <w:t>CFR</w:t>
      </w:r>
      <w:r w:rsidRPr="008E4F5F">
        <w:rPr>
          <w:rFonts w:ascii="Arial" w:hAnsi="Arial" w:cs="Arial"/>
          <w:spacing w:val="-6"/>
        </w:rPr>
        <w:t xml:space="preserve"> </w:t>
      </w:r>
      <w:r w:rsidRPr="008E4F5F">
        <w:rPr>
          <w:rFonts w:ascii="Arial" w:hAnsi="Arial" w:cs="Arial"/>
        </w:rPr>
        <w:t>section</w:t>
      </w:r>
      <w:r w:rsidRPr="008E4F5F">
        <w:rPr>
          <w:rFonts w:ascii="Arial" w:hAnsi="Arial" w:cs="Arial"/>
          <w:spacing w:val="-1"/>
        </w:rPr>
        <w:t xml:space="preserve"> </w:t>
      </w:r>
      <w:r w:rsidRPr="008E4F5F">
        <w:rPr>
          <w:rFonts w:ascii="Arial" w:hAnsi="Arial" w:cs="Arial"/>
          <w:spacing w:val="-3"/>
        </w:rPr>
        <w:t>985.109).</w:t>
      </w:r>
    </w:p>
    <w:p w14:paraId="083FC413" w14:textId="77777777" w:rsidR="008E4F5F" w:rsidRPr="008E4F5F" w:rsidRDefault="008E4F5F" w:rsidP="008E4F5F">
      <w:pPr>
        <w:widowControl w:val="0"/>
        <w:tabs>
          <w:tab w:val="left" w:pos="1440"/>
        </w:tabs>
        <w:autoSpaceDE w:val="0"/>
        <w:autoSpaceDN w:val="0"/>
        <w:ind w:left="1440" w:hanging="720"/>
        <w:jc w:val="both"/>
        <w:rPr>
          <w:rFonts w:ascii="Arial" w:hAnsi="Arial" w:cs="Arial"/>
        </w:rPr>
      </w:pPr>
    </w:p>
    <w:p w14:paraId="59DCE6D7" w14:textId="777353BF" w:rsidR="00225F9C" w:rsidRDefault="008E4F5F" w:rsidP="006F743F">
      <w:pPr>
        <w:widowControl w:val="0"/>
        <w:numPr>
          <w:ilvl w:val="2"/>
          <w:numId w:val="56"/>
        </w:numPr>
        <w:tabs>
          <w:tab w:val="left" w:pos="1440"/>
          <w:tab w:val="left" w:pos="2835"/>
          <w:tab w:val="left" w:pos="2836"/>
        </w:tabs>
        <w:autoSpaceDE w:val="0"/>
        <w:autoSpaceDN w:val="0"/>
        <w:spacing w:before="1"/>
        <w:ind w:left="1440"/>
        <w:jc w:val="both"/>
        <w:rPr>
          <w:rFonts w:ascii="Arial" w:hAnsi="Arial" w:cs="Arial"/>
        </w:rPr>
      </w:pPr>
      <w:r w:rsidRPr="008E4F5F">
        <w:rPr>
          <w:rFonts w:ascii="Arial" w:hAnsi="Arial" w:cs="Arial"/>
        </w:rPr>
        <w:lastRenderedPageBreak/>
        <w:t>The 2005 Appropriations Act, and subsequent appropriations acts prohibit the use of appropriated funds by any PHA for “over- leasing.” Over-leasing occurs when a PHA has more unit months under a HAP contract for the CY than are available under its ACC baseline, even if the PHA has sufficient Budget Authority to support the additional unit months. Over-leasing is measured on a CY basis. If a PHA engages in over-leasing, it must identify other allowable non-HAP sources to pay for the over-leasing. In addition, the 2008 Appropriations Act and subsequent appropriations acts require that administrative fees be based on actual leasing as of the first day of the month (Division I, Title II, Section (5) of Consolidated Appropriations Act, 2005, Pub. L. No. 108-447, 118 Stat. 3295; Division K, Title II, Section (1) of Consolidated Appropriations Act, 2008, Pub. L. No. 110-161, 121 Stat. 2413; see Section 7 of Notice PIH 2005-01 and Section 17 of Notice PIH 2015-03). PHAs submit lease information via VMS (See also III.L.1.d (1), “Reporting-- Financial Reporting--Unit Months</w:t>
      </w:r>
      <w:r w:rsidRPr="008E4F5F">
        <w:rPr>
          <w:rFonts w:ascii="Arial" w:hAnsi="Arial" w:cs="Arial"/>
          <w:spacing w:val="-1"/>
        </w:rPr>
        <w:t xml:space="preserve"> </w:t>
      </w:r>
      <w:r w:rsidRPr="008E4F5F">
        <w:rPr>
          <w:rFonts w:ascii="Arial" w:hAnsi="Arial" w:cs="Arial"/>
        </w:rPr>
        <w:t>Leased.”).</w:t>
      </w:r>
    </w:p>
    <w:p w14:paraId="28BDF382" w14:textId="77777777" w:rsidR="00D13420" w:rsidRPr="00D13420" w:rsidRDefault="00D13420" w:rsidP="00D13420">
      <w:pPr>
        <w:widowControl w:val="0"/>
        <w:tabs>
          <w:tab w:val="left" w:pos="1440"/>
          <w:tab w:val="left" w:pos="2835"/>
          <w:tab w:val="left" w:pos="2836"/>
        </w:tabs>
        <w:autoSpaceDE w:val="0"/>
        <w:autoSpaceDN w:val="0"/>
        <w:spacing w:before="1"/>
        <w:jc w:val="both"/>
        <w:rPr>
          <w:rFonts w:ascii="Arial" w:hAnsi="Arial" w:cs="Arial"/>
        </w:rPr>
      </w:pPr>
    </w:p>
    <w:p w14:paraId="357A1267" w14:textId="663BD0EF" w:rsidR="00720711" w:rsidRPr="004A0AB6" w:rsidRDefault="00720711" w:rsidP="006672EA">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 xml:space="preserve">5 </w:t>
      </w:r>
      <w:r w:rsidRPr="00F64252">
        <w:rPr>
          <w:rFonts w:ascii="Arial" w:hAnsi="Arial" w:cs="Arial"/>
          <w:i/>
          <w:iCs/>
        </w:rPr>
        <w:t>OMB Compliance Supplement, Part 4, HUD, Housing Voucher Cluster)</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2533470"/>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bookmarkStart w:id="28" w:name="_Hlk210820556"/>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21C280A" w:rsidR="00AA5B05" w:rsidRPr="00AA5B05" w:rsidRDefault="00AA5B05"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78AECCDF" w:rsidR="00AA5B05" w:rsidRPr="00AA5B05" w:rsidRDefault="00AA5B05"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2533471"/>
      <w:bookmarkEnd w:id="28"/>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F743F">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6F743F">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253347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2533473"/>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EA0327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F743F">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lastRenderedPageBreak/>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F743F">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F743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F743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F743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2533474"/>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F743F">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9775402"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F743F">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F743F">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F743F">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F743F">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6F743F">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6F743F">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F743F">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F743F">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F743F">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F743F">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F743F">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2533475"/>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6F743F">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6F743F">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6F743F">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6F743F">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6F743F">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6F743F">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6F743F">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6F743F">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w:t>
      </w:r>
      <w:proofErr w:type="gramStart"/>
      <w:r w:rsidRPr="00E13AE2">
        <w:rPr>
          <w:rFonts w:ascii="Arial" w:hAnsi="Arial" w:cs="Arial"/>
        </w:rPr>
        <w:t>authorized,</w:t>
      </w:r>
      <w:proofErr w:type="gramEnd"/>
      <w:r w:rsidRPr="00E13AE2">
        <w:rPr>
          <w:rFonts w:ascii="Arial" w:hAnsi="Arial" w:cs="Arial"/>
        </w:rPr>
        <w:t xml:space="preserve">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7A7ECBFC" w:rsidR="00545700" w:rsidRPr="00F00D94" w:rsidRDefault="00545700" w:rsidP="006672EA">
      <w:pPr>
        <w:spacing w:after="240"/>
        <w:jc w:val="both"/>
        <w:rPr>
          <w:rFonts w:ascii="Arial" w:hAnsi="Arial" w:cs="Arial"/>
        </w:rPr>
      </w:pPr>
      <w:hyperlink r:id="rId45"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36FF2FAD" w:rsidR="005C6C7A" w:rsidRDefault="00D13420" w:rsidP="00D13420">
      <w:pPr>
        <w:pStyle w:val="BodyText"/>
        <w:spacing w:line="259" w:lineRule="auto"/>
        <w:ind w:right="167"/>
        <w:jc w:val="both"/>
        <w:rPr>
          <w:rFonts w:ascii="Arial" w:hAnsi="Arial" w:cs="Arial"/>
          <w:spacing w:val="-3"/>
          <w:szCs w:val="20"/>
        </w:rPr>
      </w:pPr>
      <w:r w:rsidRPr="00C36D5E">
        <w:rPr>
          <w:rFonts w:ascii="Arial" w:hAnsi="Arial" w:cs="Arial"/>
          <w:szCs w:val="20"/>
        </w:rPr>
        <w:t>The amount of salary, including bonuses, of PHA chief executive officers, other officers, and employees paid with Section 8 HCV administrative fees and Section 9 Capital and Operating funds may not exceed the annual rate of basic pay payable for a federal position</w:t>
      </w:r>
      <w:r w:rsidRPr="00C36D5E">
        <w:rPr>
          <w:rFonts w:ascii="Arial" w:hAnsi="Arial" w:cs="Arial"/>
          <w:spacing w:val="-23"/>
          <w:szCs w:val="20"/>
        </w:rPr>
        <w:t xml:space="preserve"> </w:t>
      </w:r>
      <w:r w:rsidRPr="00C36D5E">
        <w:rPr>
          <w:rFonts w:ascii="Arial" w:hAnsi="Arial" w:cs="Arial"/>
          <w:szCs w:val="20"/>
        </w:rPr>
        <w:t>at Level</w:t>
      </w:r>
      <w:r w:rsidRPr="00C36D5E">
        <w:rPr>
          <w:rFonts w:ascii="Arial" w:hAnsi="Arial" w:cs="Arial"/>
          <w:spacing w:val="-5"/>
          <w:szCs w:val="20"/>
        </w:rPr>
        <w:t xml:space="preserve"> </w:t>
      </w:r>
      <w:r w:rsidRPr="00C36D5E">
        <w:rPr>
          <w:rFonts w:ascii="Arial" w:hAnsi="Arial" w:cs="Arial"/>
          <w:szCs w:val="20"/>
        </w:rPr>
        <w:t>IV</w:t>
      </w:r>
      <w:r w:rsidRPr="00C36D5E">
        <w:rPr>
          <w:rFonts w:ascii="Arial" w:hAnsi="Arial" w:cs="Arial"/>
          <w:spacing w:val="-6"/>
          <w:szCs w:val="20"/>
        </w:rPr>
        <w:t xml:space="preserve"> </w:t>
      </w:r>
      <w:r w:rsidRPr="00C36D5E">
        <w:rPr>
          <w:rFonts w:ascii="Arial" w:hAnsi="Arial" w:cs="Arial"/>
          <w:szCs w:val="20"/>
        </w:rPr>
        <w:t>of</w:t>
      </w:r>
      <w:r w:rsidRPr="00C36D5E">
        <w:rPr>
          <w:rFonts w:ascii="Arial" w:hAnsi="Arial" w:cs="Arial"/>
          <w:spacing w:val="-5"/>
          <w:szCs w:val="20"/>
        </w:rPr>
        <w:t xml:space="preserve"> </w:t>
      </w:r>
      <w:r w:rsidRPr="00C36D5E">
        <w:rPr>
          <w:rFonts w:ascii="Arial" w:hAnsi="Arial" w:cs="Arial"/>
          <w:szCs w:val="20"/>
        </w:rPr>
        <w:t>the</w:t>
      </w:r>
      <w:r w:rsidRPr="00C36D5E">
        <w:rPr>
          <w:rFonts w:ascii="Arial" w:hAnsi="Arial" w:cs="Arial"/>
          <w:spacing w:val="-5"/>
          <w:szCs w:val="20"/>
        </w:rPr>
        <w:t xml:space="preserve"> </w:t>
      </w:r>
      <w:hyperlink r:id="rId46">
        <w:r w:rsidRPr="00C36D5E">
          <w:rPr>
            <w:rFonts w:ascii="Arial" w:hAnsi="Arial" w:cs="Arial"/>
            <w:color w:val="0000FF"/>
            <w:szCs w:val="20"/>
            <w:u w:val="single" w:color="0000FF"/>
          </w:rPr>
          <w:t>Executive</w:t>
        </w:r>
        <w:r w:rsidRPr="00C36D5E">
          <w:rPr>
            <w:rFonts w:ascii="Arial" w:hAnsi="Arial" w:cs="Arial"/>
            <w:color w:val="0000FF"/>
            <w:spacing w:val="-5"/>
            <w:szCs w:val="20"/>
            <w:u w:val="single" w:color="0000FF"/>
          </w:rPr>
          <w:t xml:space="preserve"> </w:t>
        </w:r>
        <w:r w:rsidRPr="00C36D5E">
          <w:rPr>
            <w:rFonts w:ascii="Arial" w:hAnsi="Arial" w:cs="Arial"/>
            <w:color w:val="0000FF"/>
            <w:szCs w:val="20"/>
            <w:u w:val="single" w:color="0000FF"/>
          </w:rPr>
          <w:t>Schedule</w:t>
        </w:r>
        <w:r w:rsidRPr="00C36D5E">
          <w:rPr>
            <w:rFonts w:ascii="Arial" w:hAnsi="Arial" w:cs="Arial"/>
            <w:color w:val="0000FF"/>
            <w:spacing w:val="-5"/>
            <w:szCs w:val="20"/>
          </w:rPr>
          <w:t xml:space="preserve"> </w:t>
        </w:r>
      </w:hyperlink>
      <w:r w:rsidRPr="00C36D5E">
        <w:rPr>
          <w:rFonts w:ascii="Arial" w:hAnsi="Arial" w:cs="Arial"/>
          <w:szCs w:val="20"/>
        </w:rPr>
        <w:t>(currently</w:t>
      </w:r>
      <w:r w:rsidRPr="00C36D5E">
        <w:rPr>
          <w:rFonts w:ascii="Arial" w:hAnsi="Arial" w:cs="Arial"/>
          <w:spacing w:val="-5"/>
          <w:szCs w:val="20"/>
        </w:rPr>
        <w:t xml:space="preserve"> </w:t>
      </w:r>
      <w:r w:rsidRPr="00C36D5E">
        <w:rPr>
          <w:rFonts w:ascii="Arial" w:hAnsi="Arial" w:cs="Arial"/>
          <w:szCs w:val="20"/>
        </w:rPr>
        <w:t>2024</w:t>
      </w:r>
      <w:r w:rsidRPr="00C36D5E">
        <w:rPr>
          <w:rFonts w:ascii="Arial" w:hAnsi="Arial" w:cs="Arial"/>
          <w:spacing w:val="-5"/>
          <w:szCs w:val="20"/>
        </w:rPr>
        <w:t xml:space="preserve"> </w:t>
      </w:r>
      <w:r w:rsidRPr="00C36D5E">
        <w:rPr>
          <w:rFonts w:ascii="Arial" w:hAnsi="Arial" w:cs="Arial"/>
          <w:szCs w:val="20"/>
        </w:rPr>
        <w:t>$191,900)</w:t>
      </w:r>
      <w:r w:rsidRPr="00C36D5E">
        <w:rPr>
          <w:rFonts w:ascii="Arial" w:hAnsi="Arial" w:cs="Arial"/>
          <w:spacing w:val="-5"/>
          <w:szCs w:val="20"/>
        </w:rPr>
        <w:t xml:space="preserve"> </w:t>
      </w:r>
      <w:r w:rsidRPr="00C36D5E">
        <w:rPr>
          <w:rFonts w:ascii="Arial" w:hAnsi="Arial" w:cs="Arial"/>
          <w:szCs w:val="20"/>
        </w:rPr>
        <w:t>(Section</w:t>
      </w:r>
      <w:r w:rsidRPr="00C36D5E">
        <w:rPr>
          <w:rFonts w:ascii="Arial" w:hAnsi="Arial" w:cs="Arial"/>
          <w:spacing w:val="-5"/>
          <w:szCs w:val="20"/>
        </w:rPr>
        <w:t xml:space="preserve"> </w:t>
      </w:r>
      <w:r w:rsidRPr="00C36D5E">
        <w:rPr>
          <w:rFonts w:ascii="Arial" w:hAnsi="Arial" w:cs="Arial"/>
          <w:szCs w:val="20"/>
        </w:rPr>
        <w:t>227</w:t>
      </w:r>
      <w:r w:rsidRPr="00C36D5E">
        <w:rPr>
          <w:rFonts w:ascii="Arial" w:hAnsi="Arial" w:cs="Arial"/>
          <w:spacing w:val="-5"/>
          <w:szCs w:val="20"/>
        </w:rPr>
        <w:t xml:space="preserve"> </w:t>
      </w:r>
      <w:r w:rsidRPr="00C36D5E">
        <w:rPr>
          <w:rFonts w:ascii="Arial" w:hAnsi="Arial" w:cs="Arial"/>
          <w:szCs w:val="20"/>
        </w:rPr>
        <w:t>of Pub.</w:t>
      </w:r>
      <w:r w:rsidRPr="00C36D5E">
        <w:rPr>
          <w:rFonts w:ascii="Arial" w:hAnsi="Arial" w:cs="Arial"/>
          <w:spacing w:val="-1"/>
          <w:szCs w:val="20"/>
        </w:rPr>
        <w:t xml:space="preserve"> </w:t>
      </w:r>
      <w:r w:rsidRPr="00C36D5E">
        <w:rPr>
          <w:rFonts w:ascii="Arial" w:hAnsi="Arial" w:cs="Arial"/>
          <w:szCs w:val="20"/>
        </w:rPr>
        <w:t>L.</w:t>
      </w:r>
      <w:r w:rsidRPr="00C36D5E">
        <w:rPr>
          <w:rFonts w:ascii="Arial" w:hAnsi="Arial" w:cs="Arial"/>
          <w:spacing w:val="-1"/>
          <w:szCs w:val="20"/>
        </w:rPr>
        <w:t xml:space="preserve"> </w:t>
      </w:r>
      <w:r w:rsidRPr="00C36D5E">
        <w:rPr>
          <w:rFonts w:ascii="Arial" w:hAnsi="Arial" w:cs="Arial"/>
          <w:szCs w:val="20"/>
        </w:rPr>
        <w:t>No</w:t>
      </w:r>
      <w:r>
        <w:rPr>
          <w:rFonts w:ascii="Arial" w:hAnsi="Arial" w:cs="Arial"/>
          <w:szCs w:val="20"/>
        </w:rPr>
        <w:t xml:space="preserve">. </w:t>
      </w:r>
      <w:r w:rsidRPr="00C36D5E">
        <w:rPr>
          <w:rFonts w:ascii="Arial" w:hAnsi="Arial" w:cs="Arial"/>
          <w:szCs w:val="20"/>
        </w:rPr>
        <w:t>113-235, 128 Stat. 2756, December 16, 2014, and carried forward in each subsequent appropriations act). Implementing guidance has been issued in</w:t>
      </w:r>
      <w:r w:rsidRPr="00C36D5E">
        <w:rPr>
          <w:rFonts w:ascii="Arial" w:hAnsi="Arial" w:cs="Arial"/>
          <w:color w:val="0000FF"/>
          <w:szCs w:val="20"/>
        </w:rPr>
        <w:t xml:space="preserve"> </w:t>
      </w:r>
      <w:hyperlink r:id="rId47">
        <w:r w:rsidRPr="00C36D5E">
          <w:rPr>
            <w:rFonts w:ascii="Arial" w:hAnsi="Arial" w:cs="Arial"/>
            <w:color w:val="0000FF"/>
            <w:szCs w:val="20"/>
            <w:u w:val="single" w:color="0000FF"/>
          </w:rPr>
          <w:t>PIH_2024-16</w:t>
        </w:r>
      </w:hyperlink>
      <w:r>
        <w:rPr>
          <w:rFonts w:ascii="Arial" w:hAnsi="Arial" w:cs="Arial"/>
          <w:szCs w:val="20"/>
        </w:rPr>
        <w:t xml:space="preserve"> </w:t>
      </w:r>
      <w:r w:rsidRPr="00C36D5E">
        <w:rPr>
          <w:rFonts w:ascii="Arial" w:hAnsi="Arial" w:cs="Arial"/>
          <w:szCs w:val="20"/>
        </w:rPr>
        <w:t>“Guidance</w:t>
      </w:r>
      <w:r w:rsidRPr="00C36D5E">
        <w:rPr>
          <w:rFonts w:ascii="Arial" w:hAnsi="Arial" w:cs="Arial"/>
          <w:spacing w:val="-23"/>
          <w:szCs w:val="20"/>
        </w:rPr>
        <w:t xml:space="preserve"> </w:t>
      </w:r>
      <w:r w:rsidRPr="00C36D5E">
        <w:rPr>
          <w:rFonts w:ascii="Arial" w:hAnsi="Arial" w:cs="Arial"/>
          <w:szCs w:val="20"/>
        </w:rPr>
        <w:t>on</w:t>
      </w:r>
      <w:r>
        <w:rPr>
          <w:rFonts w:ascii="Arial" w:hAnsi="Arial" w:cs="Arial"/>
          <w:szCs w:val="20"/>
        </w:rPr>
        <w:t xml:space="preserve"> </w:t>
      </w:r>
      <w:r w:rsidRPr="00C36D5E">
        <w:rPr>
          <w:rFonts w:ascii="Arial" w:hAnsi="Arial" w:cs="Arial"/>
          <w:szCs w:val="20"/>
        </w:rPr>
        <w:t xml:space="preserve">PHA salary restrictions in HUD’s annual appropriations” </w:t>
      </w:r>
      <w:r w:rsidRPr="00C36D5E">
        <w:rPr>
          <w:rFonts w:ascii="Arial" w:hAnsi="Arial" w:cs="Arial"/>
          <w:spacing w:val="-3"/>
          <w:szCs w:val="20"/>
        </w:rPr>
        <w:t>(</w:t>
      </w:r>
      <w:hyperlink r:id="rId48">
        <w:r w:rsidRPr="00C36D5E">
          <w:rPr>
            <w:rFonts w:ascii="Arial" w:hAnsi="Arial" w:cs="Arial"/>
            <w:color w:val="2C74B5"/>
            <w:spacing w:val="-3"/>
            <w:szCs w:val="20"/>
            <w:u w:val="single" w:color="2C74B5"/>
          </w:rPr>
          <w:t>https://www.hud.gov/program_offices/public_indian_housing/publications/notices</w:t>
        </w:r>
      </w:hyperlink>
      <w:r w:rsidRPr="00C36D5E">
        <w:rPr>
          <w:rFonts w:ascii="Arial" w:hAnsi="Arial" w:cs="Arial"/>
          <w:spacing w:val="-3"/>
          <w:szCs w:val="20"/>
        </w:rPr>
        <w:t>).</w:t>
      </w:r>
    </w:p>
    <w:p w14:paraId="57A17F60" w14:textId="2E25926C" w:rsidR="00D13420" w:rsidRPr="00D13420" w:rsidRDefault="00D13420" w:rsidP="00D13420">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2533476"/>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253347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2533478"/>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F743F">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F743F">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F743F">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6F743F">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6F743F">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6F743F">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6F743F">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w:t>
      </w:r>
      <w:r w:rsidRPr="00E13AE2">
        <w:rPr>
          <w:rFonts w:ascii="Arial" w:hAnsi="Arial" w:cs="Arial"/>
        </w:rPr>
        <w:lastRenderedPageBreak/>
        <w:t>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6F743F">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6F743F">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6F743F">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6F743F">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6F743F">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6F743F">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6F743F">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6F743F">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w:t>
      </w:r>
      <w:r w:rsidRPr="00D9475D">
        <w:rPr>
          <w:rFonts w:ascii="Arial" w:hAnsi="Arial" w:cs="Arial"/>
        </w:rPr>
        <w:lastRenderedPageBreak/>
        <w:t xml:space="preserve">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F743F">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F743F">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F743F">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F743F">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F743F">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F743F">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F743F">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lastRenderedPageBreak/>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F743F">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6F743F">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F743F">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6F743F">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6F743F">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F743F">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F743F">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F743F">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F743F">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6F743F">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F743F">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F743F">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F743F">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F743F">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F743F">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F743F">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F743F">
      <w:pPr>
        <w:pStyle w:val="AuditProcedureHeading"/>
        <w:numPr>
          <w:ilvl w:val="1"/>
          <w:numId w:val="32"/>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F743F">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 xml:space="preserve">If the auditor identifies unallowable direct costs, the auditor should be aware that “directly associated costs” might have been charged.  Directly associated costs are costs incurred solely as a result of incurring another cost, and would not have been incurred </w:t>
            </w:r>
            <w:r w:rsidRPr="005F0D0C">
              <w:rPr>
                <w:rFonts w:ascii="Arial" w:hAnsi="Arial" w:cs="Arial"/>
                <w:sz w:val="20"/>
              </w:rPr>
              <w:lastRenderedPageBreak/>
              <w:t>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w:t>
            </w:r>
            <w:r w:rsidR="004E072E">
              <w:rPr>
                <w:rFonts w:ascii="Arial" w:hAnsi="Arial" w:cs="Arial"/>
                <w:i/>
                <w:iCs/>
                <w:color w:val="002060"/>
                <w:sz w:val="20"/>
              </w:rPr>
              <w:lastRenderedPageBreak/>
              <w:t xml:space="preserve">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8BBA072"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2533479"/>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8C5B79C"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F743F">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F743F">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F743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F743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F743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1"/>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2533480"/>
      <w:bookmarkEnd w:id="43"/>
      <w:bookmarkEnd w:id="44"/>
      <w:r w:rsidRPr="00220BD0">
        <w:rPr>
          <w:rFonts w:cs="Arial"/>
          <w:sz w:val="24"/>
        </w:rPr>
        <w:lastRenderedPageBreak/>
        <w:t xml:space="preserve">E.  </w:t>
      </w:r>
      <w:bookmarkStart w:id="46" w:name="_Toc442267695"/>
      <w:r w:rsidRPr="00220BD0">
        <w:rPr>
          <w:rFonts w:cs="Arial"/>
          <w:sz w:val="24"/>
        </w:rPr>
        <w:t>ELIGIBILITY</w:t>
      </w:r>
      <w:bookmarkEnd w:id="46"/>
      <w:bookmarkEnd w:id="45"/>
    </w:p>
    <w:p w14:paraId="5DAB0DE7" w14:textId="77777777" w:rsidR="007E5B12" w:rsidRPr="00220BD0" w:rsidRDefault="004655E0" w:rsidP="006672EA">
      <w:pPr>
        <w:pStyle w:val="Heading3"/>
        <w:jc w:val="both"/>
        <w:rPr>
          <w:rFonts w:cs="Arial"/>
          <w:sz w:val="24"/>
          <w:szCs w:val="24"/>
        </w:rPr>
      </w:pPr>
      <w:bookmarkStart w:id="47" w:name="_Toc212533481"/>
      <w:r w:rsidRPr="00220BD0">
        <w:rPr>
          <w:rFonts w:cs="Arial"/>
          <w:sz w:val="24"/>
          <w:szCs w:val="24"/>
        </w:rPr>
        <w:t xml:space="preserve">OMB </w:t>
      </w:r>
      <w:r w:rsidR="007E5B12" w:rsidRPr="00220BD0">
        <w:rPr>
          <w:rFonts w:cs="Arial"/>
          <w:sz w:val="24"/>
          <w:szCs w:val="24"/>
        </w:rPr>
        <w:t>Compliance Requirements</w:t>
      </w:r>
      <w:bookmarkEnd w:id="47"/>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7466192" w14:textId="34A891EB" w:rsidR="009B7660" w:rsidRPr="009B7660" w:rsidRDefault="009B7660" w:rsidP="006F743F">
      <w:pPr>
        <w:pStyle w:val="ListParagraph"/>
        <w:widowControl w:val="0"/>
        <w:numPr>
          <w:ilvl w:val="1"/>
          <w:numId w:val="57"/>
        </w:numPr>
        <w:suppressAutoHyphens w:val="0"/>
        <w:adjustRightInd/>
        <w:spacing w:before="230"/>
        <w:ind w:left="720"/>
        <w:jc w:val="both"/>
        <w:rPr>
          <w:rFonts w:ascii="Arial" w:hAnsi="Arial" w:cs="Arial"/>
          <w:b/>
        </w:rPr>
      </w:pPr>
      <w:r w:rsidRPr="00C36D5E">
        <w:rPr>
          <w:rFonts w:ascii="Arial" w:hAnsi="Arial" w:cs="Arial"/>
          <w:b/>
        </w:rPr>
        <w:t>Eligibility for</w:t>
      </w:r>
      <w:r w:rsidRPr="00C36D5E">
        <w:rPr>
          <w:rFonts w:ascii="Arial" w:hAnsi="Arial" w:cs="Arial"/>
          <w:b/>
          <w:spacing w:val="-7"/>
        </w:rPr>
        <w:t xml:space="preserve"> </w:t>
      </w:r>
      <w:r w:rsidRPr="00C36D5E">
        <w:rPr>
          <w:rFonts w:ascii="Arial" w:hAnsi="Arial" w:cs="Arial"/>
          <w:b/>
          <w:spacing w:val="-3"/>
        </w:rPr>
        <w:t>Individuals</w:t>
      </w:r>
    </w:p>
    <w:p w14:paraId="29EA9928" w14:textId="77777777" w:rsidR="009B7660" w:rsidRPr="009B7660" w:rsidRDefault="009B7660" w:rsidP="009B7660">
      <w:pPr>
        <w:pStyle w:val="ListParagraph"/>
        <w:widowControl w:val="0"/>
        <w:suppressAutoHyphens w:val="0"/>
        <w:adjustRightInd/>
        <w:jc w:val="both"/>
        <w:rPr>
          <w:rFonts w:ascii="Arial" w:hAnsi="Arial" w:cs="Arial"/>
          <w:b/>
        </w:rPr>
      </w:pPr>
    </w:p>
    <w:p w14:paraId="7BFD2D91" w14:textId="73A1D8A1" w:rsidR="009B7660" w:rsidRDefault="009B7660" w:rsidP="006F743F">
      <w:pPr>
        <w:pStyle w:val="ListParagraph"/>
        <w:widowControl w:val="0"/>
        <w:numPr>
          <w:ilvl w:val="2"/>
          <w:numId w:val="57"/>
        </w:numPr>
        <w:tabs>
          <w:tab w:val="left" w:pos="2835"/>
          <w:tab w:val="left" w:pos="2836"/>
        </w:tabs>
        <w:suppressAutoHyphens w:val="0"/>
        <w:adjustRightInd/>
        <w:ind w:left="1440"/>
        <w:jc w:val="both"/>
        <w:rPr>
          <w:rFonts w:ascii="Arial" w:hAnsi="Arial" w:cs="Arial"/>
        </w:rPr>
      </w:pPr>
      <w:r w:rsidRPr="00C36D5E">
        <w:rPr>
          <w:rFonts w:ascii="Arial" w:hAnsi="Arial" w:cs="Arial"/>
        </w:rPr>
        <w:t>Most PHAs devise their own application forms that are filled out by the PHA staff during an interview with the tenant. The head of the household and spouse, regardless of age, and each member of the family of an assistance applicant or participant who is at least 18 years of age signs (a) one or more release forms to allow the PHA to obtain information from third parties; (b) a federally prescribed general release form for employment information;</w:t>
      </w:r>
      <w:r w:rsidRPr="00C36D5E">
        <w:rPr>
          <w:rFonts w:ascii="Arial" w:hAnsi="Arial" w:cs="Arial"/>
          <w:spacing w:val="-14"/>
        </w:rPr>
        <w:t xml:space="preserve"> </w:t>
      </w:r>
      <w:r w:rsidRPr="00C36D5E">
        <w:rPr>
          <w:rFonts w:ascii="Arial" w:hAnsi="Arial" w:cs="Arial"/>
        </w:rPr>
        <w:t>and</w:t>
      </w:r>
      <w:r>
        <w:rPr>
          <w:rFonts w:ascii="Arial" w:hAnsi="Arial" w:cs="Arial"/>
        </w:rPr>
        <w:t xml:space="preserve"> </w:t>
      </w:r>
      <w:r w:rsidRPr="00C36D5E">
        <w:rPr>
          <w:rFonts w:ascii="Arial" w:hAnsi="Arial" w:cs="Arial"/>
        </w:rPr>
        <w:t>a privacy notice.  (24 CFR sections 5.212 and</w:t>
      </w:r>
      <w:r w:rsidRPr="00C36D5E">
        <w:rPr>
          <w:rFonts w:ascii="Arial" w:hAnsi="Arial" w:cs="Arial"/>
          <w:spacing w:val="-14"/>
        </w:rPr>
        <w:t xml:space="preserve"> </w:t>
      </w:r>
      <w:r w:rsidRPr="00C36D5E">
        <w:rPr>
          <w:rFonts w:ascii="Arial" w:hAnsi="Arial" w:cs="Arial"/>
        </w:rPr>
        <w:t>5.230).</w:t>
      </w:r>
    </w:p>
    <w:p w14:paraId="2E8324C8" w14:textId="77777777" w:rsidR="009B7660" w:rsidRPr="009B7660" w:rsidRDefault="009B7660" w:rsidP="009B7660">
      <w:pPr>
        <w:pStyle w:val="ListParagraph"/>
        <w:widowControl w:val="0"/>
        <w:tabs>
          <w:tab w:val="left" w:pos="2835"/>
          <w:tab w:val="left" w:pos="2836"/>
        </w:tabs>
        <w:suppressAutoHyphens w:val="0"/>
        <w:adjustRightInd/>
        <w:ind w:left="1440"/>
        <w:jc w:val="both"/>
        <w:rPr>
          <w:rFonts w:ascii="Arial" w:hAnsi="Arial" w:cs="Arial"/>
        </w:rPr>
      </w:pPr>
    </w:p>
    <w:p w14:paraId="76BCA139" w14:textId="4A1B6231" w:rsidR="009B7660" w:rsidRPr="009B7660" w:rsidRDefault="009B7660" w:rsidP="006F743F">
      <w:pPr>
        <w:pStyle w:val="ListParagraph"/>
        <w:widowControl w:val="0"/>
        <w:numPr>
          <w:ilvl w:val="2"/>
          <w:numId w:val="57"/>
        </w:numPr>
        <w:tabs>
          <w:tab w:val="left" w:pos="1440"/>
        </w:tabs>
        <w:suppressAutoHyphens w:val="0"/>
        <w:adjustRightInd/>
        <w:ind w:left="720" w:firstLine="0"/>
        <w:jc w:val="both"/>
        <w:rPr>
          <w:rFonts w:ascii="Arial" w:hAnsi="Arial" w:cs="Arial"/>
        </w:rPr>
      </w:pPr>
      <w:r w:rsidRPr="00C36D5E">
        <w:rPr>
          <w:rFonts w:ascii="Arial" w:hAnsi="Arial" w:cs="Arial"/>
        </w:rPr>
        <w:t>The PHA must do the</w:t>
      </w:r>
      <w:r w:rsidRPr="00C36D5E">
        <w:rPr>
          <w:rFonts w:ascii="Arial" w:hAnsi="Arial" w:cs="Arial"/>
          <w:spacing w:val="-6"/>
        </w:rPr>
        <w:t xml:space="preserve"> </w:t>
      </w:r>
      <w:r w:rsidRPr="00C36D5E">
        <w:rPr>
          <w:rFonts w:ascii="Arial" w:hAnsi="Arial" w:cs="Arial"/>
          <w:spacing w:val="-3"/>
        </w:rPr>
        <w:t>following:</w:t>
      </w:r>
    </w:p>
    <w:p w14:paraId="266E28CD" w14:textId="77777777" w:rsidR="009B7660" w:rsidRPr="009B7660" w:rsidRDefault="009B7660" w:rsidP="009B7660">
      <w:pPr>
        <w:widowControl w:val="0"/>
        <w:tabs>
          <w:tab w:val="left" w:pos="1440"/>
        </w:tabs>
        <w:jc w:val="both"/>
        <w:rPr>
          <w:rFonts w:ascii="Arial" w:hAnsi="Arial" w:cs="Arial"/>
        </w:rPr>
      </w:pPr>
    </w:p>
    <w:p w14:paraId="3D8DC8D0" w14:textId="690D855D" w:rsidR="009B7660" w:rsidRDefault="009B7660" w:rsidP="006F743F">
      <w:pPr>
        <w:pStyle w:val="ListParagraph"/>
        <w:widowControl w:val="0"/>
        <w:numPr>
          <w:ilvl w:val="3"/>
          <w:numId w:val="57"/>
        </w:numPr>
        <w:suppressAutoHyphens w:val="0"/>
        <w:adjustRightInd/>
        <w:ind w:left="1980" w:hanging="450"/>
        <w:jc w:val="both"/>
        <w:rPr>
          <w:rFonts w:ascii="Arial" w:hAnsi="Arial" w:cs="Arial"/>
        </w:rPr>
      </w:pPr>
      <w:r w:rsidRPr="00C36D5E">
        <w:rPr>
          <w:rFonts w:ascii="Arial" w:hAnsi="Arial" w:cs="Arial"/>
        </w:rPr>
        <w:t>As a condition of admission or continued occupancy, require the tenant and other family members to provide necessary information, documentation, and releases for the PHA to verify income eligibility (24 CFR sections 5.230, 5.609, and</w:t>
      </w:r>
      <w:r w:rsidRPr="00C36D5E">
        <w:rPr>
          <w:rFonts w:ascii="Arial" w:hAnsi="Arial" w:cs="Arial"/>
          <w:spacing w:val="-4"/>
        </w:rPr>
        <w:t xml:space="preserve"> </w:t>
      </w:r>
      <w:r w:rsidRPr="00C36D5E">
        <w:rPr>
          <w:rFonts w:ascii="Arial" w:hAnsi="Arial" w:cs="Arial"/>
        </w:rPr>
        <w:t>982.516).</w:t>
      </w:r>
    </w:p>
    <w:p w14:paraId="43F2F810" w14:textId="77777777" w:rsidR="009B7660" w:rsidRPr="009B7660" w:rsidRDefault="009B7660" w:rsidP="009B7660">
      <w:pPr>
        <w:pStyle w:val="ListParagraph"/>
        <w:widowControl w:val="0"/>
        <w:suppressAutoHyphens w:val="0"/>
        <w:adjustRightInd/>
        <w:ind w:left="1980"/>
        <w:jc w:val="both"/>
        <w:rPr>
          <w:rFonts w:ascii="Arial" w:hAnsi="Arial" w:cs="Arial"/>
        </w:rPr>
      </w:pPr>
    </w:p>
    <w:p w14:paraId="3ABB46A3" w14:textId="5AB9ED1C" w:rsidR="009B7660" w:rsidRDefault="009B7660" w:rsidP="006F743F">
      <w:pPr>
        <w:pStyle w:val="ListParagraph"/>
        <w:widowControl w:val="0"/>
        <w:numPr>
          <w:ilvl w:val="3"/>
          <w:numId w:val="57"/>
        </w:numPr>
        <w:suppressAutoHyphens w:val="0"/>
        <w:adjustRightInd/>
        <w:ind w:left="1980" w:hanging="360"/>
        <w:jc w:val="both"/>
        <w:rPr>
          <w:rFonts w:ascii="Arial" w:hAnsi="Arial" w:cs="Arial"/>
        </w:rPr>
      </w:pPr>
      <w:r w:rsidRPr="00C36D5E">
        <w:rPr>
          <w:rFonts w:ascii="Arial" w:hAnsi="Arial" w:cs="Arial"/>
        </w:rPr>
        <w:t>For both family income examinations and reexaminations, obtain and document in the family file third party verification of (1) reported family annual income; (2) the value of assets; (3) expenses related to deductions from annual income; and (4) other factors that affect the determination of adjusted income or income- based rent (24 CFR section</w:t>
      </w:r>
      <w:r w:rsidRPr="00C36D5E">
        <w:rPr>
          <w:rFonts w:ascii="Arial" w:hAnsi="Arial" w:cs="Arial"/>
          <w:spacing w:val="-1"/>
        </w:rPr>
        <w:t xml:space="preserve"> </w:t>
      </w:r>
      <w:r w:rsidRPr="00C36D5E">
        <w:rPr>
          <w:rFonts w:ascii="Arial" w:hAnsi="Arial" w:cs="Arial"/>
        </w:rPr>
        <w:t>982.516).</w:t>
      </w:r>
    </w:p>
    <w:p w14:paraId="55D3D2AB" w14:textId="77AB0551" w:rsidR="009B7660" w:rsidRPr="009B7660" w:rsidRDefault="009B7660" w:rsidP="009B7660">
      <w:pPr>
        <w:widowControl w:val="0"/>
        <w:jc w:val="both"/>
        <w:rPr>
          <w:rFonts w:ascii="Arial" w:hAnsi="Arial" w:cs="Arial"/>
        </w:rPr>
      </w:pPr>
    </w:p>
    <w:p w14:paraId="1674B2F2" w14:textId="0AD5FE06" w:rsidR="009B7660" w:rsidRDefault="009B7660" w:rsidP="006F743F">
      <w:pPr>
        <w:pStyle w:val="ListParagraph"/>
        <w:widowControl w:val="0"/>
        <w:numPr>
          <w:ilvl w:val="3"/>
          <w:numId w:val="57"/>
        </w:numPr>
        <w:suppressAutoHyphens w:val="0"/>
        <w:adjustRightInd/>
        <w:ind w:left="1980" w:hanging="360"/>
        <w:jc w:val="both"/>
        <w:rPr>
          <w:rFonts w:ascii="Arial" w:hAnsi="Arial" w:cs="Arial"/>
        </w:rPr>
      </w:pPr>
      <w:r w:rsidRPr="00C36D5E">
        <w:rPr>
          <w:rFonts w:ascii="Arial" w:hAnsi="Arial" w:cs="Arial"/>
        </w:rPr>
        <w:t>Determine income eligibility and calculate the tenant’s rent payment using the documentation from third party verification in accordance with 24 CFR Part 5 Subpart F (24 CFR section 5.601 et seq.) (24 CFR sections 982.201, 982.515, and</w:t>
      </w:r>
      <w:r w:rsidRPr="00C36D5E">
        <w:rPr>
          <w:rFonts w:ascii="Arial" w:hAnsi="Arial" w:cs="Arial"/>
          <w:spacing w:val="-1"/>
        </w:rPr>
        <w:t xml:space="preserve"> </w:t>
      </w:r>
      <w:r w:rsidRPr="00C36D5E">
        <w:rPr>
          <w:rFonts w:ascii="Arial" w:hAnsi="Arial" w:cs="Arial"/>
        </w:rPr>
        <w:t>982.516).</w:t>
      </w:r>
    </w:p>
    <w:p w14:paraId="02CA91BE" w14:textId="77777777" w:rsidR="009B7660" w:rsidRPr="009B7660" w:rsidRDefault="009B7660" w:rsidP="009B7660">
      <w:pPr>
        <w:widowControl w:val="0"/>
        <w:jc w:val="both"/>
        <w:rPr>
          <w:rFonts w:ascii="Arial" w:hAnsi="Arial" w:cs="Arial"/>
        </w:rPr>
      </w:pPr>
    </w:p>
    <w:p w14:paraId="5E0C1999" w14:textId="67224CEF" w:rsidR="009B7660" w:rsidRDefault="009B7660" w:rsidP="006F743F">
      <w:pPr>
        <w:pStyle w:val="ListParagraph"/>
        <w:widowControl w:val="0"/>
        <w:numPr>
          <w:ilvl w:val="3"/>
          <w:numId w:val="57"/>
        </w:numPr>
        <w:suppressAutoHyphens w:val="0"/>
        <w:adjustRightInd/>
        <w:ind w:left="1980" w:hanging="360"/>
        <w:jc w:val="both"/>
        <w:rPr>
          <w:rFonts w:ascii="Arial" w:hAnsi="Arial" w:cs="Arial"/>
        </w:rPr>
      </w:pPr>
      <w:r w:rsidRPr="00C36D5E">
        <w:rPr>
          <w:rFonts w:ascii="Arial" w:hAnsi="Arial" w:cs="Arial"/>
        </w:rPr>
        <w:t>Use the Enterprise Income Verification (EIV) system in its entirety to verify tenant employment and income information during mandatory reexaminations of family composition and income in accordance with 24 CFR 5.233; and reduce administrative and subsidy payment errors in accordance with 24 CFR 5.236 and other administrative guidance issued by</w:t>
      </w:r>
      <w:r w:rsidRPr="00C36D5E">
        <w:rPr>
          <w:rFonts w:ascii="Arial" w:hAnsi="Arial" w:cs="Arial"/>
          <w:spacing w:val="-1"/>
        </w:rPr>
        <w:t xml:space="preserve"> </w:t>
      </w:r>
      <w:r w:rsidRPr="00C36D5E">
        <w:rPr>
          <w:rFonts w:ascii="Arial" w:hAnsi="Arial" w:cs="Arial"/>
        </w:rPr>
        <w:t>HUD.</w:t>
      </w:r>
    </w:p>
    <w:p w14:paraId="366FCA0A" w14:textId="77777777" w:rsidR="009B7660" w:rsidRPr="009B7660" w:rsidRDefault="009B7660" w:rsidP="009B7660">
      <w:pPr>
        <w:widowControl w:val="0"/>
        <w:jc w:val="both"/>
        <w:rPr>
          <w:rFonts w:ascii="Arial" w:hAnsi="Arial" w:cs="Arial"/>
        </w:rPr>
      </w:pPr>
    </w:p>
    <w:p w14:paraId="2EB92670" w14:textId="28344599" w:rsidR="009B7660" w:rsidRDefault="009B7660" w:rsidP="006F743F">
      <w:pPr>
        <w:pStyle w:val="ListParagraph"/>
        <w:widowControl w:val="0"/>
        <w:numPr>
          <w:ilvl w:val="3"/>
          <w:numId w:val="57"/>
        </w:numPr>
        <w:suppressAutoHyphens w:val="0"/>
        <w:adjustRightInd/>
        <w:ind w:left="1980" w:hanging="360"/>
        <w:jc w:val="both"/>
        <w:rPr>
          <w:rFonts w:ascii="Arial" w:hAnsi="Arial" w:cs="Arial"/>
        </w:rPr>
      </w:pPr>
      <w:r w:rsidRPr="00C36D5E">
        <w:rPr>
          <w:rFonts w:ascii="Arial" w:hAnsi="Arial" w:cs="Arial"/>
        </w:rPr>
        <w:t>Tenants need to be on the HCVP waiting list (see III.N.1,</w:t>
      </w:r>
      <w:r w:rsidRPr="00C36D5E">
        <w:rPr>
          <w:rFonts w:ascii="Arial" w:hAnsi="Arial" w:cs="Arial"/>
          <w:spacing w:val="-16"/>
        </w:rPr>
        <w:t xml:space="preserve"> </w:t>
      </w:r>
      <w:r w:rsidRPr="00C36D5E">
        <w:rPr>
          <w:rFonts w:ascii="Arial" w:hAnsi="Arial" w:cs="Arial"/>
        </w:rPr>
        <w:t>“Special Tests and Provisions – Selection from the Waiting List”) (24 CFR sections 982.202 through</w:t>
      </w:r>
      <w:r w:rsidRPr="00C36D5E">
        <w:rPr>
          <w:rFonts w:ascii="Arial" w:hAnsi="Arial" w:cs="Arial"/>
          <w:spacing w:val="-3"/>
        </w:rPr>
        <w:t xml:space="preserve"> </w:t>
      </w:r>
      <w:r w:rsidRPr="00C36D5E">
        <w:rPr>
          <w:rFonts w:ascii="Arial" w:hAnsi="Arial" w:cs="Arial"/>
        </w:rPr>
        <w:t>982.207).</w:t>
      </w:r>
    </w:p>
    <w:p w14:paraId="3A743EB4" w14:textId="77777777" w:rsidR="009B7660" w:rsidRPr="009B7660" w:rsidRDefault="009B7660" w:rsidP="009B7660">
      <w:pPr>
        <w:widowControl w:val="0"/>
        <w:jc w:val="both"/>
        <w:rPr>
          <w:rFonts w:ascii="Arial" w:hAnsi="Arial" w:cs="Arial"/>
        </w:rPr>
      </w:pPr>
    </w:p>
    <w:p w14:paraId="4B35ADDB" w14:textId="3925778D" w:rsidR="009B7660" w:rsidRDefault="009B7660" w:rsidP="006F743F">
      <w:pPr>
        <w:pStyle w:val="ListParagraph"/>
        <w:widowControl w:val="0"/>
        <w:numPr>
          <w:ilvl w:val="3"/>
          <w:numId w:val="57"/>
        </w:numPr>
        <w:suppressAutoHyphens w:val="0"/>
        <w:adjustRightInd/>
        <w:ind w:left="1980" w:hanging="360"/>
        <w:jc w:val="both"/>
        <w:rPr>
          <w:rFonts w:ascii="Arial" w:hAnsi="Arial" w:cs="Arial"/>
        </w:rPr>
      </w:pPr>
      <w:r w:rsidRPr="00C36D5E">
        <w:rPr>
          <w:rFonts w:ascii="Arial" w:hAnsi="Arial" w:cs="Arial"/>
        </w:rPr>
        <w:lastRenderedPageBreak/>
        <w:t>Reexamine family income and composition at least once every</w:t>
      </w:r>
      <w:r w:rsidRPr="00C36D5E">
        <w:rPr>
          <w:rFonts w:ascii="Arial" w:hAnsi="Arial" w:cs="Arial"/>
          <w:spacing w:val="8"/>
        </w:rPr>
        <w:t xml:space="preserve"> </w:t>
      </w:r>
      <w:r w:rsidRPr="00C36D5E">
        <w:rPr>
          <w:rFonts w:ascii="Arial" w:hAnsi="Arial" w:cs="Arial"/>
        </w:rPr>
        <w:t>12 months and adjust the tenant rent and housing assistance payment as necessary using the documentation from third party verification (24 CFR section 982.516).</w:t>
      </w:r>
    </w:p>
    <w:p w14:paraId="0AB08B3A" w14:textId="77777777" w:rsidR="009B7660" w:rsidRPr="009B7660" w:rsidRDefault="009B7660" w:rsidP="009B7660">
      <w:pPr>
        <w:widowControl w:val="0"/>
        <w:jc w:val="both"/>
        <w:rPr>
          <w:rFonts w:ascii="Arial" w:hAnsi="Arial" w:cs="Arial"/>
        </w:rPr>
      </w:pPr>
    </w:p>
    <w:p w14:paraId="00B70877" w14:textId="17BC3F38" w:rsidR="009B7660" w:rsidRDefault="009B7660" w:rsidP="006F743F">
      <w:pPr>
        <w:pStyle w:val="ListParagraph"/>
        <w:widowControl w:val="0"/>
        <w:numPr>
          <w:ilvl w:val="1"/>
          <w:numId w:val="57"/>
        </w:numPr>
        <w:suppressAutoHyphens w:val="0"/>
        <w:adjustRightInd/>
        <w:ind w:left="90" w:hanging="90"/>
        <w:contextualSpacing/>
        <w:rPr>
          <w:rFonts w:ascii="Arial" w:hAnsi="Arial" w:cs="Arial"/>
        </w:rPr>
      </w:pPr>
      <w:r w:rsidRPr="00C36D5E">
        <w:rPr>
          <w:rFonts w:ascii="Arial" w:hAnsi="Arial" w:cs="Arial"/>
          <w:b/>
          <w:bCs/>
        </w:rPr>
        <w:t>Eligibility for Group of Individuals or Area of Service</w:t>
      </w:r>
      <w:r w:rsidRPr="00C36D5E">
        <w:rPr>
          <w:rFonts w:ascii="Arial" w:hAnsi="Arial" w:cs="Arial"/>
          <w:b/>
          <w:bCs/>
          <w:spacing w:val="-33"/>
        </w:rPr>
        <w:t xml:space="preserve"> </w:t>
      </w:r>
      <w:r w:rsidRPr="00C36D5E">
        <w:rPr>
          <w:rFonts w:ascii="Arial" w:hAnsi="Arial" w:cs="Arial"/>
          <w:b/>
          <w:bCs/>
          <w:spacing w:val="-3"/>
        </w:rPr>
        <w:t>Delivery</w:t>
      </w:r>
      <w:r w:rsidRPr="00C36D5E">
        <w:rPr>
          <w:rFonts w:ascii="Arial" w:hAnsi="Arial" w:cs="Arial"/>
          <w:spacing w:val="-3"/>
        </w:rPr>
        <w:t xml:space="preserve"> - </w:t>
      </w:r>
      <w:r w:rsidRPr="00C36D5E">
        <w:rPr>
          <w:rFonts w:ascii="Arial" w:hAnsi="Arial" w:cs="Arial"/>
        </w:rPr>
        <w:t>Not Applicable.</w:t>
      </w:r>
    </w:p>
    <w:p w14:paraId="2590774C" w14:textId="77777777" w:rsidR="009B7660" w:rsidRPr="009B7660" w:rsidRDefault="009B7660" w:rsidP="009B7660">
      <w:pPr>
        <w:pStyle w:val="ListParagraph"/>
        <w:widowControl w:val="0"/>
        <w:suppressAutoHyphens w:val="0"/>
        <w:adjustRightInd/>
        <w:ind w:left="90"/>
        <w:contextualSpacing/>
        <w:rPr>
          <w:rFonts w:ascii="Arial" w:hAnsi="Arial" w:cs="Arial"/>
        </w:rPr>
      </w:pPr>
    </w:p>
    <w:p w14:paraId="206E20D6" w14:textId="30B0B54A" w:rsidR="00D74E6A" w:rsidRDefault="009B7660" w:rsidP="006F743F">
      <w:pPr>
        <w:pStyle w:val="ListParagraph"/>
        <w:widowControl w:val="0"/>
        <w:numPr>
          <w:ilvl w:val="1"/>
          <w:numId w:val="57"/>
        </w:numPr>
        <w:suppressAutoHyphens w:val="0"/>
        <w:adjustRightInd/>
        <w:ind w:left="90" w:hanging="90"/>
        <w:contextualSpacing/>
        <w:rPr>
          <w:rFonts w:ascii="Arial" w:hAnsi="Arial" w:cs="Arial"/>
        </w:rPr>
      </w:pPr>
      <w:r w:rsidRPr="00C36D5E">
        <w:rPr>
          <w:rFonts w:ascii="Arial" w:hAnsi="Arial" w:cs="Arial"/>
          <w:b/>
          <w:bCs/>
        </w:rPr>
        <w:t>Eligibility for</w:t>
      </w:r>
      <w:r w:rsidRPr="00C36D5E">
        <w:rPr>
          <w:rFonts w:ascii="Arial" w:hAnsi="Arial" w:cs="Arial"/>
          <w:b/>
          <w:bCs/>
          <w:spacing w:val="-7"/>
        </w:rPr>
        <w:t xml:space="preserve"> </w:t>
      </w:r>
      <w:r w:rsidRPr="00C36D5E">
        <w:rPr>
          <w:rFonts w:ascii="Arial" w:hAnsi="Arial" w:cs="Arial"/>
          <w:b/>
          <w:bCs/>
          <w:spacing w:val="-3"/>
        </w:rPr>
        <w:t>Subrecipients</w:t>
      </w:r>
      <w:r w:rsidRPr="00C36D5E">
        <w:rPr>
          <w:rFonts w:ascii="Arial" w:hAnsi="Arial" w:cs="Arial"/>
          <w:spacing w:val="-3"/>
        </w:rPr>
        <w:t xml:space="preserve"> - </w:t>
      </w:r>
      <w:r w:rsidRPr="00C36D5E">
        <w:rPr>
          <w:rFonts w:ascii="Arial" w:hAnsi="Arial" w:cs="Arial"/>
        </w:rPr>
        <w:t>Not Applicable.</w:t>
      </w:r>
    </w:p>
    <w:p w14:paraId="13E992FF" w14:textId="77777777" w:rsidR="009B7660" w:rsidRPr="009B7660" w:rsidRDefault="009B7660" w:rsidP="009B7660">
      <w:pPr>
        <w:pStyle w:val="ListParagraph"/>
        <w:rPr>
          <w:rFonts w:ascii="Arial" w:hAnsi="Arial" w:cs="Arial"/>
        </w:rPr>
      </w:pPr>
    </w:p>
    <w:p w14:paraId="5C1F2593" w14:textId="57F5BA75" w:rsidR="009B7660" w:rsidRPr="009B7660" w:rsidRDefault="009B7660" w:rsidP="009B7660">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 xml:space="preserve">5 </w:t>
      </w:r>
      <w:r w:rsidRPr="00F64252">
        <w:rPr>
          <w:rFonts w:ascii="Arial" w:hAnsi="Arial" w:cs="Arial"/>
          <w:i/>
          <w:iCs/>
        </w:rPr>
        <w:t>OMB Compliance Supplement, Part 4, HUD, Housing Voucher Cluster)</w:t>
      </w:r>
    </w:p>
    <w:p w14:paraId="0BC66884" w14:textId="77777777" w:rsidR="00E039F3" w:rsidRPr="00220BD0" w:rsidRDefault="00E039F3" w:rsidP="006672EA">
      <w:pPr>
        <w:pStyle w:val="Heading3"/>
        <w:jc w:val="both"/>
        <w:rPr>
          <w:rFonts w:cs="Arial"/>
          <w:sz w:val="24"/>
          <w:szCs w:val="24"/>
        </w:rPr>
      </w:pPr>
      <w:bookmarkStart w:id="48" w:name="_Toc212533482"/>
      <w:r w:rsidRPr="00220BD0">
        <w:rPr>
          <w:rFonts w:cs="Arial"/>
          <w:sz w:val="24"/>
          <w:szCs w:val="24"/>
        </w:rPr>
        <w:t>Additional Program Specific Information</w:t>
      </w:r>
      <w:bookmarkEnd w:id="4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49" w:name="_Toc212533483"/>
      <w:r w:rsidRPr="00220BD0">
        <w:rPr>
          <w:rFonts w:cs="Arial"/>
          <w:sz w:val="24"/>
          <w:szCs w:val="24"/>
        </w:rPr>
        <w:t xml:space="preserve">Audit Objectives </w:t>
      </w:r>
      <w:r w:rsidR="001F23FF" w:rsidRPr="00220BD0">
        <w:rPr>
          <w:rFonts w:cs="Arial"/>
          <w:sz w:val="24"/>
          <w:szCs w:val="24"/>
        </w:rPr>
        <w:t>and Control Testing</w:t>
      </w:r>
      <w:bookmarkEnd w:id="4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1939C664" w:rsidR="008F7129" w:rsidRPr="00DA3D06" w:rsidRDefault="008F7129" w:rsidP="008F7129">
      <w:pPr>
        <w:spacing w:after="240"/>
        <w:ind w:left="360" w:right="-20" w:hanging="360"/>
        <w:jc w:val="both"/>
        <w:rPr>
          <w:rFonts w:ascii="Arial" w:eastAsia="Arial" w:hAnsi="Arial" w:cs="Arial"/>
          <w:i/>
          <w:iCs/>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Pr="00DA3D06">
        <w:rPr>
          <w:rFonts w:ascii="Arial" w:eastAsia="Arial" w:hAnsi="Arial" w:cs="Arial"/>
          <w:color w:val="002060"/>
        </w:rPr>
        <w:t>.</w:t>
      </w:r>
      <w:r w:rsidR="00DA3D06" w:rsidRPr="00DA3D06">
        <w:rPr>
          <w:rFonts w:ascii="Arial" w:eastAsia="Arial" w:hAnsi="Arial" w:cs="Arial"/>
          <w:color w:val="002060"/>
        </w:rPr>
        <w:t xml:space="preserve"> – </w:t>
      </w:r>
      <w:r w:rsidR="00DA3D06" w:rsidRPr="00DA3D06">
        <w:rPr>
          <w:rFonts w:ascii="Arial" w:eastAsia="Arial" w:hAnsi="Arial" w:cs="Arial"/>
          <w:i/>
          <w:iCs/>
          <w:color w:val="002060"/>
        </w:rPr>
        <w:t xml:space="preserve">Not Applicable </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0" w:name="_Toc21253348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w:t>
            </w:r>
            <w:r w:rsidRPr="00F00D94">
              <w:rPr>
                <w:rFonts w:ascii="Arial" w:hAnsi="Arial" w:cs="Arial"/>
                <w:sz w:val="20"/>
              </w:rPr>
              <w:lastRenderedPageBreak/>
              <w:t>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50107562"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DA3D06" w:rsidRPr="00DA3D06">
              <w:rPr>
                <w:rFonts w:ascii="Arial" w:hAnsi="Arial" w:cs="Arial"/>
                <w:i/>
                <w:color w:val="002060"/>
                <w:sz w:val="20"/>
              </w:rPr>
              <w:t>– Not Applicable</w:t>
            </w:r>
            <w:r w:rsidR="00DA3D06">
              <w:rPr>
                <w:rFonts w:ascii="Arial" w:hAnsi="Arial" w:cs="Arial"/>
                <w:i/>
                <w:sz w:val="20"/>
              </w:rPr>
              <w:t xml:space="preserve"> </w:t>
            </w:r>
          </w:p>
          <w:p w14:paraId="14990077" w14:textId="54BBC9B8"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DA3D06">
              <w:rPr>
                <w:rFonts w:ascii="Arial" w:hAnsi="Arial" w:cs="Arial"/>
                <w:i/>
                <w:sz w:val="20"/>
              </w:rPr>
              <w:t xml:space="preserve"> – </w:t>
            </w:r>
            <w:r w:rsidR="00DA3D06" w:rsidRPr="00DA3D06">
              <w:rPr>
                <w:rFonts w:ascii="Arial" w:hAnsi="Arial" w:cs="Arial"/>
                <w:i/>
                <w:color w:val="002060"/>
                <w:sz w:val="20"/>
              </w:rPr>
              <w:t xml:space="preserve">Not Applicable </w:t>
            </w:r>
          </w:p>
          <w:p w14:paraId="3C56E491" w14:textId="77777777" w:rsidR="0063267C" w:rsidRPr="00F00D94" w:rsidRDefault="0063267C" w:rsidP="00DA3D06">
            <w:pPr>
              <w:pBdr>
                <w:top w:val="single" w:sz="6" w:space="0" w:color="FFFFFF"/>
                <w:left w:val="single" w:sz="6" w:space="0" w:color="FFFFFF"/>
                <w:bottom w:val="single" w:sz="6" w:space="0" w:color="FFFFFF"/>
                <w:right w:val="single" w:sz="6" w:space="0" w:color="FFFFFF"/>
              </w:pBdr>
              <w:spacing w:after="240"/>
              <w:ind w:left="1440" w:hanging="720"/>
              <w:jc w:val="both"/>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1" w:name="_Toc212533485"/>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09A88BB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F743F">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F743F">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F743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F743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F743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3"/>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2" w:name="J___PROGRAM_INCOME"/>
      <w:bookmarkStart w:id="53" w:name="L___REPORTING"/>
      <w:bookmarkStart w:id="54" w:name="_Toc442267701"/>
      <w:bookmarkStart w:id="55" w:name="_Toc212533486"/>
      <w:bookmarkEnd w:id="52"/>
      <w:bookmarkEnd w:id="53"/>
      <w:r w:rsidRPr="000706D1">
        <w:rPr>
          <w:rFonts w:cs="Arial"/>
          <w:sz w:val="24"/>
        </w:rPr>
        <w:lastRenderedPageBreak/>
        <w:t>L.  REPORTING</w:t>
      </w:r>
      <w:bookmarkEnd w:id="54"/>
      <w:bookmarkEnd w:id="55"/>
    </w:p>
    <w:p w14:paraId="13BAAFFB" w14:textId="16BE9FED" w:rsidR="007E5B12" w:rsidRPr="000706D1" w:rsidRDefault="00261D87" w:rsidP="006672EA">
      <w:pPr>
        <w:pStyle w:val="Heading3"/>
        <w:jc w:val="both"/>
        <w:rPr>
          <w:rFonts w:cs="Arial"/>
          <w:sz w:val="24"/>
          <w:szCs w:val="24"/>
        </w:rPr>
      </w:pPr>
      <w:bookmarkStart w:id="56" w:name="_Toc212533487"/>
      <w:r w:rsidRPr="000706D1">
        <w:rPr>
          <w:rFonts w:cs="Arial"/>
          <w:sz w:val="24"/>
          <w:szCs w:val="24"/>
        </w:rPr>
        <w:t xml:space="preserve">OMB </w:t>
      </w:r>
      <w:r w:rsidR="007E5B12" w:rsidRPr="000706D1">
        <w:rPr>
          <w:rFonts w:cs="Arial"/>
          <w:sz w:val="24"/>
          <w:szCs w:val="24"/>
        </w:rPr>
        <w:t>Compliance Requirements</w:t>
      </w:r>
      <w:bookmarkEnd w:id="5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07C63DB"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54"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1D718FE1"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55"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132C3D2C"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56"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3D093F38"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57"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6F743F">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4AD648A" w14:textId="092E71BB" w:rsidR="000824D3" w:rsidRPr="00A3307C" w:rsidRDefault="000824D3" w:rsidP="006F743F">
      <w:pPr>
        <w:numPr>
          <w:ilvl w:val="1"/>
          <w:numId w:val="60"/>
        </w:numPr>
        <w:spacing w:after="160" w:line="278" w:lineRule="auto"/>
        <w:ind w:left="720"/>
        <w:jc w:val="both"/>
        <w:rPr>
          <w:rFonts w:ascii="Arial" w:hAnsi="Arial" w:cs="Arial"/>
          <w:b/>
        </w:rPr>
      </w:pPr>
      <w:r w:rsidRPr="00A3307C">
        <w:rPr>
          <w:rFonts w:ascii="Arial" w:hAnsi="Arial" w:cs="Arial"/>
          <w:b/>
        </w:rPr>
        <w:t>Financial Reporting</w:t>
      </w:r>
    </w:p>
    <w:p w14:paraId="6AF700C2" w14:textId="77777777" w:rsidR="000824D3" w:rsidRPr="00A3307C" w:rsidRDefault="000824D3" w:rsidP="006F743F">
      <w:pPr>
        <w:numPr>
          <w:ilvl w:val="2"/>
          <w:numId w:val="60"/>
        </w:numPr>
        <w:spacing w:after="160" w:line="278" w:lineRule="auto"/>
        <w:ind w:left="1440"/>
        <w:jc w:val="both"/>
        <w:rPr>
          <w:rFonts w:ascii="Arial" w:hAnsi="Arial" w:cs="Arial"/>
        </w:rPr>
      </w:pPr>
      <w:r w:rsidRPr="00A3307C">
        <w:rPr>
          <w:rFonts w:ascii="Arial" w:hAnsi="Arial" w:cs="Arial"/>
          <w:i/>
        </w:rPr>
        <w:t xml:space="preserve">SF-270, Request for Advance or Reimbursement </w:t>
      </w:r>
      <w:r w:rsidRPr="00A3307C">
        <w:rPr>
          <w:rFonts w:ascii="Arial" w:hAnsi="Arial" w:cs="Arial"/>
        </w:rPr>
        <w:t>– Not Applicable.</w:t>
      </w:r>
    </w:p>
    <w:p w14:paraId="20E511A2" w14:textId="77777777" w:rsidR="000824D3" w:rsidRPr="00A3307C" w:rsidRDefault="000824D3" w:rsidP="006F743F">
      <w:pPr>
        <w:numPr>
          <w:ilvl w:val="2"/>
          <w:numId w:val="60"/>
        </w:numPr>
        <w:spacing w:after="160" w:line="278" w:lineRule="auto"/>
        <w:ind w:left="1440"/>
        <w:jc w:val="both"/>
        <w:rPr>
          <w:rFonts w:ascii="Arial" w:hAnsi="Arial" w:cs="Arial"/>
        </w:rPr>
      </w:pPr>
      <w:r w:rsidRPr="00A3307C">
        <w:rPr>
          <w:rFonts w:ascii="Arial" w:hAnsi="Arial" w:cs="Arial"/>
          <w:i/>
        </w:rPr>
        <w:t xml:space="preserve">SF-271, Outlay Report and Request for Reimbursement for Construction Programs – </w:t>
      </w:r>
      <w:r w:rsidRPr="00A3307C">
        <w:rPr>
          <w:rFonts w:ascii="Arial" w:hAnsi="Arial" w:cs="Arial"/>
        </w:rPr>
        <w:t>Not Applicable.</w:t>
      </w:r>
    </w:p>
    <w:p w14:paraId="0EE230C6" w14:textId="77777777" w:rsidR="000824D3" w:rsidRPr="00A3307C" w:rsidRDefault="000824D3" w:rsidP="006F743F">
      <w:pPr>
        <w:numPr>
          <w:ilvl w:val="2"/>
          <w:numId w:val="60"/>
        </w:numPr>
        <w:spacing w:after="160" w:line="278" w:lineRule="auto"/>
        <w:ind w:left="1440"/>
        <w:jc w:val="both"/>
        <w:rPr>
          <w:rFonts w:ascii="Arial" w:hAnsi="Arial" w:cs="Arial"/>
        </w:rPr>
      </w:pPr>
      <w:r w:rsidRPr="00A3307C">
        <w:rPr>
          <w:rFonts w:ascii="Arial" w:hAnsi="Arial" w:cs="Arial"/>
          <w:i/>
        </w:rPr>
        <w:t xml:space="preserve">SF-425, Federal Financial Report </w:t>
      </w:r>
      <w:r w:rsidRPr="00A3307C">
        <w:rPr>
          <w:rFonts w:ascii="Arial" w:hAnsi="Arial" w:cs="Arial"/>
        </w:rPr>
        <w:t>– Not Applicable</w:t>
      </w:r>
    </w:p>
    <w:p w14:paraId="1675C2E5" w14:textId="77777777" w:rsidR="000824D3" w:rsidRPr="00A3307C" w:rsidRDefault="000824D3" w:rsidP="006F743F">
      <w:pPr>
        <w:numPr>
          <w:ilvl w:val="1"/>
          <w:numId w:val="60"/>
        </w:numPr>
        <w:spacing w:after="160" w:line="278" w:lineRule="auto"/>
        <w:ind w:left="720"/>
        <w:jc w:val="both"/>
        <w:rPr>
          <w:rFonts w:ascii="Arial" w:hAnsi="Arial" w:cs="Arial"/>
          <w:b/>
          <w:bCs/>
        </w:rPr>
      </w:pPr>
      <w:r w:rsidRPr="00A3307C">
        <w:rPr>
          <w:rFonts w:ascii="Arial" w:hAnsi="Arial" w:cs="Arial"/>
          <w:b/>
          <w:bCs/>
        </w:rPr>
        <w:t>Performance Reporting</w:t>
      </w:r>
    </w:p>
    <w:p w14:paraId="3EC2900D" w14:textId="77777777" w:rsidR="000824D3" w:rsidRPr="00A3307C" w:rsidRDefault="000824D3" w:rsidP="000824D3">
      <w:pPr>
        <w:spacing w:after="160" w:line="278" w:lineRule="auto"/>
        <w:ind w:left="720"/>
        <w:jc w:val="both"/>
        <w:rPr>
          <w:rFonts w:ascii="Arial" w:hAnsi="Arial" w:cs="Arial"/>
          <w:i/>
        </w:rPr>
      </w:pPr>
      <w:r w:rsidRPr="00A3307C">
        <w:rPr>
          <w:rFonts w:ascii="Arial" w:hAnsi="Arial" w:cs="Arial"/>
          <w:b/>
        </w:rPr>
        <w:t xml:space="preserve">Report Title: </w:t>
      </w:r>
      <w:r w:rsidRPr="00A3307C">
        <w:rPr>
          <w:rFonts w:ascii="Arial" w:hAnsi="Arial" w:cs="Arial"/>
        </w:rPr>
        <w:t xml:space="preserve">HUD-52648, </w:t>
      </w:r>
      <w:r w:rsidRPr="00A3307C">
        <w:rPr>
          <w:rFonts w:ascii="Arial" w:hAnsi="Arial" w:cs="Arial"/>
          <w:i/>
        </w:rPr>
        <w:t>SEMAP Certification – Addendum for Reporting Data for De-concentration Bonus Indicator</w:t>
      </w:r>
    </w:p>
    <w:p w14:paraId="491D19CA" w14:textId="77777777" w:rsidR="000824D3" w:rsidRPr="00A3307C" w:rsidRDefault="000824D3" w:rsidP="000824D3">
      <w:pPr>
        <w:spacing w:after="160" w:line="278" w:lineRule="auto"/>
        <w:ind w:left="720"/>
        <w:jc w:val="both"/>
        <w:rPr>
          <w:rFonts w:ascii="Arial" w:hAnsi="Arial" w:cs="Arial"/>
        </w:rPr>
      </w:pPr>
      <w:r w:rsidRPr="00A3307C">
        <w:rPr>
          <w:rFonts w:ascii="Arial" w:hAnsi="Arial" w:cs="Arial"/>
          <w:b/>
        </w:rPr>
        <w:t xml:space="preserve">OMB PRA Number: </w:t>
      </w:r>
      <w:hyperlink r:id="rId58">
        <w:r w:rsidRPr="00A3307C">
          <w:rPr>
            <w:rStyle w:val="Hyperlink"/>
            <w:rFonts w:cs="Arial"/>
          </w:rPr>
          <w:t>OMB No. 2577-0215</w:t>
        </w:r>
      </w:hyperlink>
    </w:p>
    <w:p w14:paraId="7C7336C4" w14:textId="77777777" w:rsidR="000824D3" w:rsidRPr="00A3307C" w:rsidRDefault="000824D3" w:rsidP="000824D3">
      <w:pPr>
        <w:spacing w:after="160" w:line="278" w:lineRule="auto"/>
        <w:ind w:left="720"/>
        <w:jc w:val="both"/>
        <w:rPr>
          <w:rFonts w:ascii="Arial" w:hAnsi="Arial" w:cs="Arial"/>
        </w:rPr>
      </w:pPr>
      <w:r w:rsidRPr="00A3307C">
        <w:rPr>
          <w:rFonts w:ascii="Arial" w:hAnsi="Arial" w:cs="Arial"/>
          <w:b/>
        </w:rPr>
        <w:t xml:space="preserve">Reporting Authority: </w:t>
      </w:r>
      <w:r w:rsidRPr="00A3307C">
        <w:rPr>
          <w:rFonts w:ascii="Arial" w:hAnsi="Arial" w:cs="Arial"/>
        </w:rPr>
        <w:t>24 CFR Part 985</w:t>
      </w:r>
    </w:p>
    <w:p w14:paraId="6B08FBFB" w14:textId="77777777" w:rsidR="000824D3" w:rsidRPr="000824D3" w:rsidRDefault="000824D3" w:rsidP="000824D3">
      <w:pPr>
        <w:ind w:left="720"/>
        <w:jc w:val="both"/>
        <w:rPr>
          <w:rFonts w:ascii="Arial" w:hAnsi="Arial" w:cs="Arial"/>
        </w:rPr>
      </w:pPr>
      <w:r w:rsidRPr="00A3307C">
        <w:rPr>
          <w:rFonts w:ascii="Arial" w:hAnsi="Arial" w:cs="Arial"/>
          <w:b/>
        </w:rPr>
        <w:t>Reporting period/submission date(s)</w:t>
      </w:r>
      <w:r w:rsidRPr="00A3307C">
        <w:rPr>
          <w:rFonts w:ascii="Arial" w:hAnsi="Arial" w:cs="Arial"/>
        </w:rPr>
        <w:t>: PHAs with jurisdiction in metropolitan Fair Market Rent areas have the option of submitting data to HUD with their annual SEMAP certifications on the percent of their tenant-based Section 8 families with children who live in and who have moved during the PHA fiscal year to low poverty census tracts in the PHA’s principal operating area. Submission of this information with the SEMAP certification makes the PHA eligible for bonus points under SEMAP (24 CFR section 985.3(h)).</w:t>
      </w:r>
    </w:p>
    <w:p w14:paraId="3D4198D6" w14:textId="77777777" w:rsidR="000824D3" w:rsidRDefault="000824D3" w:rsidP="000824D3">
      <w:pPr>
        <w:spacing w:line="278" w:lineRule="auto"/>
        <w:ind w:left="720"/>
        <w:jc w:val="both"/>
        <w:rPr>
          <w:rFonts w:ascii="Arial" w:hAnsi="Arial" w:cs="Arial"/>
        </w:rPr>
      </w:pPr>
    </w:p>
    <w:p w14:paraId="738EF900" w14:textId="4FCCA359" w:rsidR="000824D3" w:rsidRPr="000824D3" w:rsidRDefault="000824D3" w:rsidP="000824D3">
      <w:pPr>
        <w:spacing w:line="278" w:lineRule="auto"/>
        <w:ind w:left="720"/>
        <w:jc w:val="both"/>
        <w:rPr>
          <w:rFonts w:ascii="Arial" w:hAnsi="Arial" w:cs="Arial"/>
        </w:rPr>
      </w:pPr>
      <w:r>
        <w:rPr>
          <w:rFonts w:ascii="Arial" w:hAnsi="Arial" w:cs="Arial"/>
        </w:rPr>
        <w:t>T</w:t>
      </w:r>
      <w:r w:rsidRPr="00A3307C">
        <w:rPr>
          <w:rFonts w:ascii="Arial" w:hAnsi="Arial" w:cs="Arial"/>
        </w:rPr>
        <w:t xml:space="preserve">he auditor will review this information only if the PHA chooses to report on this bonus indicator. The auditor will request the PHA to provide a description of how they pulled the data, and the auditor will confirm that it properly represents the required information listed below under </w:t>
      </w:r>
      <w:r w:rsidRPr="00A3307C">
        <w:rPr>
          <w:rFonts w:ascii="Arial" w:hAnsi="Arial" w:cs="Arial"/>
          <w:i/>
        </w:rPr>
        <w:t>Key Line Item</w:t>
      </w:r>
      <w:r w:rsidRPr="00A3307C">
        <w:rPr>
          <w:rFonts w:ascii="Arial" w:hAnsi="Arial" w:cs="Arial"/>
        </w:rPr>
        <w:t>s.</w:t>
      </w:r>
      <w:r>
        <w:rPr>
          <w:rFonts w:ascii="Arial" w:hAnsi="Arial" w:cs="Arial"/>
        </w:rPr>
        <w:t xml:space="preserve"> </w:t>
      </w:r>
      <w:r w:rsidRPr="00A3307C">
        <w:rPr>
          <w:rFonts w:ascii="Arial" w:hAnsi="Arial" w:cs="Arial"/>
        </w:rPr>
        <w:t>Link to report and report instructions:</w:t>
      </w:r>
    </w:p>
    <w:p w14:paraId="6C576FAE" w14:textId="44D67D3A" w:rsidR="000824D3" w:rsidRPr="00A3307C" w:rsidRDefault="000824D3" w:rsidP="000824D3">
      <w:pPr>
        <w:spacing w:after="160" w:line="278" w:lineRule="auto"/>
        <w:ind w:left="720"/>
        <w:jc w:val="both"/>
        <w:rPr>
          <w:rFonts w:ascii="Arial" w:hAnsi="Arial" w:cs="Arial"/>
        </w:rPr>
      </w:pPr>
      <w:r w:rsidRPr="00A3307C">
        <w:rPr>
          <w:rFonts w:ascii="Arial" w:hAnsi="Arial" w:cs="Arial"/>
        </w:rPr>
        <w:t xml:space="preserve"> </w:t>
      </w:r>
      <w:hyperlink r:id="rId59" w:history="1">
        <w:r w:rsidRPr="00A3307C">
          <w:rPr>
            <w:rStyle w:val="Hyperlink"/>
            <w:rFonts w:cs="Arial"/>
          </w:rPr>
          <w:t>https://www.hud.gov/sites/dfiles/OCHCO/documents/52648.pdf</w:t>
        </w:r>
      </w:hyperlink>
    </w:p>
    <w:p w14:paraId="71645AA6" w14:textId="77777777" w:rsidR="000824D3" w:rsidRPr="00A3307C" w:rsidRDefault="000824D3" w:rsidP="000824D3">
      <w:pPr>
        <w:spacing w:after="160" w:line="278" w:lineRule="auto"/>
        <w:ind w:left="720"/>
        <w:jc w:val="both"/>
        <w:rPr>
          <w:rFonts w:ascii="Arial" w:hAnsi="Arial" w:cs="Arial"/>
        </w:rPr>
      </w:pPr>
      <w:r w:rsidRPr="00A3307C">
        <w:rPr>
          <w:rFonts w:ascii="Arial" w:hAnsi="Arial" w:cs="Arial"/>
          <w:i/>
        </w:rPr>
        <w:t xml:space="preserve">Key Line Items </w:t>
      </w:r>
      <w:r w:rsidRPr="00A3307C">
        <w:rPr>
          <w:rFonts w:ascii="Arial" w:hAnsi="Arial" w:cs="Arial"/>
        </w:rPr>
        <w:t>– The following report line items contain critical information and should be tested against the PHA’s system of record or a printout from HUD’s</w:t>
      </w:r>
      <w:r w:rsidRPr="000824D3">
        <w:rPr>
          <w:rFonts w:ascii="Arial" w:hAnsi="Arial" w:cs="Arial"/>
        </w:rPr>
        <w:t xml:space="preserve"> </w:t>
      </w:r>
      <w:r w:rsidRPr="00A3307C">
        <w:rPr>
          <w:rFonts w:ascii="Arial" w:hAnsi="Arial" w:cs="Arial"/>
        </w:rPr>
        <w:t>systems and matched with poverty data:</w:t>
      </w:r>
    </w:p>
    <w:p w14:paraId="31F676A3" w14:textId="77777777" w:rsidR="000824D3" w:rsidRPr="00A3307C" w:rsidRDefault="000824D3" w:rsidP="006F743F">
      <w:pPr>
        <w:numPr>
          <w:ilvl w:val="0"/>
          <w:numId w:val="59"/>
        </w:numPr>
        <w:tabs>
          <w:tab w:val="left" w:pos="1440"/>
        </w:tabs>
        <w:spacing w:line="278" w:lineRule="auto"/>
        <w:ind w:left="1440"/>
        <w:jc w:val="both"/>
        <w:rPr>
          <w:rFonts w:ascii="Arial" w:hAnsi="Arial" w:cs="Arial"/>
        </w:rPr>
      </w:pPr>
      <w:r w:rsidRPr="00A3307C">
        <w:rPr>
          <w:rFonts w:ascii="Arial" w:hAnsi="Arial" w:cs="Arial"/>
        </w:rPr>
        <w:t>Line 1a – Number of Section 8 families with children assisted by the PHA in its principal operating area at the end of the last PHA fiscal year (FY) who live in low poverty census tracts.</w:t>
      </w:r>
    </w:p>
    <w:p w14:paraId="57320715" w14:textId="77777777" w:rsidR="000824D3" w:rsidRPr="00A3307C" w:rsidRDefault="000824D3" w:rsidP="000824D3">
      <w:pPr>
        <w:tabs>
          <w:tab w:val="left" w:pos="1440"/>
        </w:tabs>
        <w:spacing w:line="278" w:lineRule="auto"/>
        <w:ind w:left="1440" w:hanging="720"/>
        <w:jc w:val="both"/>
        <w:rPr>
          <w:rFonts w:ascii="Arial" w:hAnsi="Arial" w:cs="Arial"/>
        </w:rPr>
      </w:pPr>
    </w:p>
    <w:p w14:paraId="35468F7D" w14:textId="77777777" w:rsidR="000824D3" w:rsidRPr="00A3307C"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t>Line 1b – Total Section 8 families with children assisted by the PHA in its principal operating area at the end of the last PHA FY.</w:t>
      </w:r>
    </w:p>
    <w:p w14:paraId="6EFB8699"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426793C4" w14:textId="77777777" w:rsidR="000824D3" w:rsidRPr="00A3307C"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lastRenderedPageBreak/>
        <w:t>Line 1c – Percent of all Section 8 families with children residing in low poverty census tracts in the PHA’s principal operating area at the end of the last PHA FY.</w:t>
      </w:r>
    </w:p>
    <w:p w14:paraId="1A9CAD88"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07BA0065" w14:textId="77777777" w:rsidR="000824D3" w:rsidRPr="00A3307C"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t>Line 2a – Percent of all Section 8 families with children residing in low poverty census tracts at the end of the last completed PHA FY.</w:t>
      </w:r>
    </w:p>
    <w:p w14:paraId="05ADC8D5"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76FE584F" w14:textId="77777777" w:rsidR="000824D3" w:rsidRPr="00A3307C"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t>Line 2b – Number of Section 8 families with children who moved to low poverty census tracts during the last completed PHA FY.</w:t>
      </w:r>
    </w:p>
    <w:p w14:paraId="168ED31A"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00453E6D" w14:textId="77777777" w:rsidR="000824D3" w:rsidRPr="00A3307C"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t>Line 2c – Number of Section 8 families with children who moved during the last completed PHA FY.</w:t>
      </w:r>
    </w:p>
    <w:p w14:paraId="7B7894FD"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5BF8B35C" w14:textId="77777777" w:rsidR="000824D3" w:rsidRPr="000824D3" w:rsidRDefault="000824D3" w:rsidP="006F743F">
      <w:pPr>
        <w:numPr>
          <w:ilvl w:val="0"/>
          <w:numId w:val="59"/>
        </w:numPr>
        <w:tabs>
          <w:tab w:val="left" w:pos="1440"/>
          <w:tab w:val="left" w:pos="2880"/>
        </w:tabs>
        <w:spacing w:line="278" w:lineRule="auto"/>
        <w:ind w:left="1440"/>
        <w:jc w:val="both"/>
        <w:rPr>
          <w:rFonts w:ascii="Arial" w:hAnsi="Arial" w:cs="Arial"/>
        </w:rPr>
      </w:pPr>
      <w:r w:rsidRPr="00A3307C">
        <w:rPr>
          <w:rFonts w:ascii="Arial" w:hAnsi="Arial" w:cs="Arial"/>
        </w:rPr>
        <w:t>Line 2d – Percent of all Section 8 mover families with children who moved to low poverty census tracts during the last PHA fiscal year (line b divided by line c).</w:t>
      </w:r>
    </w:p>
    <w:p w14:paraId="6F05A59D" w14:textId="77777777" w:rsidR="000824D3" w:rsidRPr="00A3307C" w:rsidRDefault="000824D3" w:rsidP="000824D3">
      <w:pPr>
        <w:tabs>
          <w:tab w:val="left" w:pos="1440"/>
          <w:tab w:val="left" w:pos="2880"/>
        </w:tabs>
        <w:spacing w:line="278" w:lineRule="auto"/>
        <w:ind w:left="1440" w:hanging="720"/>
        <w:jc w:val="both"/>
        <w:rPr>
          <w:rFonts w:ascii="Arial" w:hAnsi="Arial" w:cs="Arial"/>
        </w:rPr>
      </w:pPr>
    </w:p>
    <w:p w14:paraId="46AF6608" w14:textId="77777777" w:rsidR="000824D3" w:rsidRPr="00A3307C" w:rsidRDefault="000824D3" w:rsidP="006F743F">
      <w:pPr>
        <w:numPr>
          <w:ilvl w:val="0"/>
          <w:numId w:val="58"/>
        </w:numPr>
        <w:spacing w:after="160" w:line="278" w:lineRule="auto"/>
        <w:ind w:left="720"/>
        <w:jc w:val="both"/>
        <w:rPr>
          <w:rFonts w:ascii="Arial" w:hAnsi="Arial" w:cs="Arial"/>
          <w:b/>
          <w:bCs/>
        </w:rPr>
      </w:pPr>
      <w:r w:rsidRPr="00A3307C">
        <w:rPr>
          <w:rFonts w:ascii="Arial" w:hAnsi="Arial" w:cs="Arial"/>
          <w:b/>
          <w:bCs/>
        </w:rPr>
        <w:t>Special Reporting</w:t>
      </w:r>
    </w:p>
    <w:p w14:paraId="51EA0D42" w14:textId="77777777" w:rsidR="000824D3" w:rsidRPr="00A3307C" w:rsidRDefault="000824D3" w:rsidP="000824D3">
      <w:pPr>
        <w:spacing w:after="160" w:line="278" w:lineRule="auto"/>
        <w:ind w:left="1440" w:hanging="720"/>
        <w:jc w:val="both"/>
        <w:rPr>
          <w:rFonts w:ascii="Arial" w:hAnsi="Arial" w:cs="Arial"/>
          <w:i/>
        </w:rPr>
      </w:pPr>
      <w:r w:rsidRPr="00A3307C">
        <w:rPr>
          <w:rFonts w:ascii="Arial" w:hAnsi="Arial" w:cs="Arial"/>
          <w:b/>
        </w:rPr>
        <w:t xml:space="preserve">Report Title: </w:t>
      </w:r>
      <w:r w:rsidRPr="00A3307C">
        <w:rPr>
          <w:rFonts w:ascii="Arial" w:hAnsi="Arial" w:cs="Arial"/>
        </w:rPr>
        <w:t xml:space="preserve">HUD-50058, </w:t>
      </w:r>
      <w:r w:rsidRPr="00A3307C">
        <w:rPr>
          <w:rFonts w:ascii="Arial" w:hAnsi="Arial" w:cs="Arial"/>
          <w:i/>
        </w:rPr>
        <w:t>Family Report</w:t>
      </w:r>
    </w:p>
    <w:p w14:paraId="1B0B7A57" w14:textId="77777777" w:rsidR="000824D3" w:rsidRPr="00A3307C" w:rsidRDefault="000824D3" w:rsidP="000824D3">
      <w:pPr>
        <w:spacing w:after="160" w:line="278" w:lineRule="auto"/>
        <w:ind w:left="1440" w:hanging="720"/>
        <w:jc w:val="both"/>
        <w:rPr>
          <w:rFonts w:ascii="Arial" w:hAnsi="Arial" w:cs="Arial"/>
        </w:rPr>
      </w:pPr>
      <w:r w:rsidRPr="00A3307C">
        <w:rPr>
          <w:rFonts w:ascii="Arial" w:hAnsi="Arial" w:cs="Arial"/>
          <w:b/>
        </w:rPr>
        <w:t xml:space="preserve">OMB PRA Number: </w:t>
      </w:r>
      <w:hyperlink r:id="rId60">
        <w:r w:rsidRPr="00A3307C">
          <w:rPr>
            <w:rStyle w:val="Hyperlink"/>
            <w:rFonts w:cs="Arial"/>
          </w:rPr>
          <w:t>OMB No. 2577-0083</w:t>
        </w:r>
      </w:hyperlink>
    </w:p>
    <w:p w14:paraId="22611B85" w14:textId="77777777" w:rsidR="000824D3" w:rsidRPr="00A3307C" w:rsidRDefault="000824D3" w:rsidP="000824D3">
      <w:pPr>
        <w:tabs>
          <w:tab w:val="left" w:pos="720"/>
        </w:tabs>
        <w:spacing w:after="160" w:line="278" w:lineRule="auto"/>
        <w:ind w:left="720"/>
        <w:jc w:val="both"/>
        <w:rPr>
          <w:rFonts w:ascii="Arial" w:hAnsi="Arial" w:cs="Arial"/>
        </w:rPr>
      </w:pPr>
      <w:r w:rsidRPr="00A3307C">
        <w:rPr>
          <w:rFonts w:ascii="Arial" w:hAnsi="Arial" w:cs="Arial"/>
          <w:b/>
        </w:rPr>
        <w:t xml:space="preserve">Reporting Authority: </w:t>
      </w:r>
      <w:r w:rsidRPr="00A3307C">
        <w:rPr>
          <w:rFonts w:ascii="Arial" w:hAnsi="Arial" w:cs="Arial"/>
        </w:rPr>
        <w:t xml:space="preserve">24 CFR Part 908, 24 CFR Part 982, 24 CFR Part 960 </w:t>
      </w:r>
      <w:r w:rsidRPr="00A3307C">
        <w:rPr>
          <w:rFonts w:ascii="Arial" w:hAnsi="Arial" w:cs="Arial"/>
          <w:b/>
        </w:rPr>
        <w:t xml:space="preserve">Reporting Period/Submission date(s): </w:t>
      </w:r>
      <w:r w:rsidRPr="00A3307C">
        <w:rPr>
          <w:rFonts w:ascii="Arial" w:hAnsi="Arial" w:cs="Arial"/>
        </w:rPr>
        <w:t>The PHA is required to submit this form electronically to HUD each time the PHA completes an issuance, admission, annual reexamination, interim reexamination, portability move-in, expiration, or other change of unit for a family. The PHA must also submit the Family Report when a family ends participation in the program or moves out of the PHA’s jurisdiction under portability (24 CFR Part 908 and 24 CFR section 982.158).</w:t>
      </w:r>
    </w:p>
    <w:p w14:paraId="026994D6" w14:textId="77777777" w:rsidR="000824D3" w:rsidRPr="00A3307C" w:rsidRDefault="000824D3" w:rsidP="000824D3">
      <w:pPr>
        <w:spacing w:after="160" w:line="278" w:lineRule="auto"/>
        <w:ind w:left="1440" w:hanging="720"/>
        <w:jc w:val="both"/>
        <w:rPr>
          <w:rFonts w:ascii="Arial" w:hAnsi="Arial" w:cs="Arial"/>
        </w:rPr>
      </w:pPr>
      <w:r w:rsidRPr="00A3307C">
        <w:rPr>
          <w:rFonts w:ascii="Arial" w:hAnsi="Arial" w:cs="Arial"/>
          <w:b/>
        </w:rPr>
        <w:t xml:space="preserve">Link to report and report instructions: </w:t>
      </w:r>
      <w:hyperlink r:id="rId61">
        <w:r w:rsidRPr="00A3307C">
          <w:rPr>
            <w:rStyle w:val="Hyperlink"/>
            <w:rFonts w:cs="Arial"/>
          </w:rPr>
          <w:t>https://omb.report/omb/2577-0083</w:t>
        </w:r>
      </w:hyperlink>
    </w:p>
    <w:p w14:paraId="277F8F37" w14:textId="77777777" w:rsidR="000824D3" w:rsidRPr="00A3307C" w:rsidRDefault="000824D3" w:rsidP="000824D3">
      <w:pPr>
        <w:spacing w:after="160" w:line="278" w:lineRule="auto"/>
        <w:ind w:left="720"/>
        <w:jc w:val="both"/>
        <w:rPr>
          <w:rFonts w:ascii="Arial" w:hAnsi="Arial" w:cs="Arial"/>
        </w:rPr>
      </w:pPr>
      <w:r w:rsidRPr="00A3307C">
        <w:rPr>
          <w:rFonts w:ascii="Arial" w:hAnsi="Arial" w:cs="Arial"/>
          <w:i/>
        </w:rPr>
        <w:t xml:space="preserve">Key Line Items – </w:t>
      </w:r>
      <w:r w:rsidRPr="00A3307C">
        <w:rPr>
          <w:rFonts w:ascii="Arial" w:hAnsi="Arial" w:cs="Arial"/>
        </w:rPr>
        <w:t>The following line items contain critical information that the auditor tests by confirming the items for accuracy and completeness when submitted to HUD’s Public Housing Information Center (PIC). The auditor collects the information from the PHA.</w:t>
      </w:r>
    </w:p>
    <w:p w14:paraId="63A5F0AC" w14:textId="77777777" w:rsidR="000824D3" w:rsidRPr="00A3307C" w:rsidRDefault="000824D3" w:rsidP="000824D3">
      <w:pPr>
        <w:spacing w:after="160" w:line="278" w:lineRule="auto"/>
        <w:ind w:left="720"/>
        <w:jc w:val="both"/>
        <w:rPr>
          <w:rFonts w:ascii="Arial" w:hAnsi="Arial" w:cs="Arial"/>
        </w:rPr>
      </w:pPr>
      <w:r w:rsidRPr="00A3307C">
        <w:rPr>
          <w:rFonts w:ascii="Arial" w:hAnsi="Arial" w:cs="Arial"/>
        </w:rPr>
        <w:t>The auditor will verify that the information reported on the HUD-50058 is supported</w:t>
      </w:r>
      <w:r w:rsidRPr="000824D3">
        <w:rPr>
          <w:rFonts w:ascii="Arial" w:hAnsi="Arial" w:cs="Arial"/>
        </w:rPr>
        <w:t xml:space="preserve"> </w:t>
      </w:r>
      <w:r w:rsidRPr="00A3307C">
        <w:rPr>
          <w:rFonts w:ascii="Arial" w:hAnsi="Arial" w:cs="Arial"/>
        </w:rPr>
        <w:t>by documentation in the file.</w:t>
      </w:r>
    </w:p>
    <w:p w14:paraId="700ED019"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2a – </w:t>
      </w:r>
      <w:r w:rsidRPr="00A3307C">
        <w:rPr>
          <w:rFonts w:ascii="Arial" w:hAnsi="Arial" w:cs="Arial"/>
          <w:i/>
        </w:rPr>
        <w:t>Type of Action</w:t>
      </w:r>
    </w:p>
    <w:p w14:paraId="03523237" w14:textId="77777777" w:rsidR="000824D3" w:rsidRPr="00A3307C" w:rsidRDefault="000824D3" w:rsidP="000824D3">
      <w:pPr>
        <w:tabs>
          <w:tab w:val="left" w:pos="1440"/>
        </w:tabs>
        <w:spacing w:line="278" w:lineRule="auto"/>
        <w:ind w:left="1440" w:hanging="720"/>
        <w:jc w:val="both"/>
        <w:rPr>
          <w:rFonts w:ascii="Arial" w:hAnsi="Arial" w:cs="Arial"/>
          <w:i/>
        </w:rPr>
      </w:pPr>
    </w:p>
    <w:p w14:paraId="035D2773"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2b – </w:t>
      </w:r>
      <w:r w:rsidRPr="00A3307C">
        <w:rPr>
          <w:rFonts w:ascii="Arial" w:hAnsi="Arial" w:cs="Arial"/>
          <w:i/>
        </w:rPr>
        <w:t>Effective Date of Action</w:t>
      </w:r>
    </w:p>
    <w:p w14:paraId="27BF147D" w14:textId="77777777" w:rsidR="000824D3" w:rsidRPr="00A3307C" w:rsidRDefault="000824D3" w:rsidP="000824D3">
      <w:pPr>
        <w:tabs>
          <w:tab w:val="left" w:pos="1440"/>
        </w:tabs>
        <w:spacing w:line="278" w:lineRule="auto"/>
        <w:ind w:left="1440" w:hanging="720"/>
        <w:jc w:val="both"/>
        <w:rPr>
          <w:rFonts w:ascii="Arial" w:hAnsi="Arial" w:cs="Arial"/>
          <w:i/>
        </w:rPr>
      </w:pPr>
    </w:p>
    <w:p w14:paraId="6881C23C"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3b, 3c – </w:t>
      </w:r>
      <w:r w:rsidRPr="00A3307C">
        <w:rPr>
          <w:rFonts w:ascii="Arial" w:hAnsi="Arial" w:cs="Arial"/>
          <w:i/>
        </w:rPr>
        <w:t>Names</w:t>
      </w:r>
    </w:p>
    <w:p w14:paraId="550569A6" w14:textId="77777777" w:rsidR="000824D3" w:rsidRPr="00A3307C" w:rsidRDefault="000824D3" w:rsidP="000824D3">
      <w:pPr>
        <w:tabs>
          <w:tab w:val="left" w:pos="1440"/>
        </w:tabs>
        <w:spacing w:line="278" w:lineRule="auto"/>
        <w:ind w:left="1440" w:hanging="720"/>
        <w:jc w:val="both"/>
        <w:rPr>
          <w:rFonts w:ascii="Arial" w:hAnsi="Arial" w:cs="Arial"/>
          <w:i/>
        </w:rPr>
      </w:pPr>
    </w:p>
    <w:p w14:paraId="4BB2F266"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3e – </w:t>
      </w:r>
      <w:r w:rsidRPr="00A3307C">
        <w:rPr>
          <w:rFonts w:ascii="Arial" w:hAnsi="Arial" w:cs="Arial"/>
          <w:i/>
        </w:rPr>
        <w:t>Date of Birth</w:t>
      </w:r>
    </w:p>
    <w:p w14:paraId="2B0A1EE1" w14:textId="77777777" w:rsidR="000824D3" w:rsidRPr="00A3307C" w:rsidRDefault="000824D3" w:rsidP="000824D3">
      <w:pPr>
        <w:tabs>
          <w:tab w:val="left" w:pos="1440"/>
        </w:tabs>
        <w:spacing w:line="278" w:lineRule="auto"/>
        <w:ind w:left="1440" w:hanging="720"/>
        <w:jc w:val="both"/>
        <w:rPr>
          <w:rFonts w:ascii="Arial" w:hAnsi="Arial" w:cs="Arial"/>
          <w:i/>
        </w:rPr>
      </w:pPr>
    </w:p>
    <w:p w14:paraId="3E4F5FD3"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3n – </w:t>
      </w:r>
      <w:r w:rsidRPr="00A3307C">
        <w:rPr>
          <w:rFonts w:ascii="Arial" w:hAnsi="Arial" w:cs="Arial"/>
          <w:i/>
        </w:rPr>
        <w:t>Social Security Numbers</w:t>
      </w:r>
    </w:p>
    <w:p w14:paraId="061C0370" w14:textId="77777777" w:rsidR="000824D3" w:rsidRPr="00A3307C" w:rsidRDefault="000824D3" w:rsidP="000824D3">
      <w:pPr>
        <w:tabs>
          <w:tab w:val="left" w:pos="1440"/>
        </w:tabs>
        <w:spacing w:line="278" w:lineRule="auto"/>
        <w:ind w:left="1440" w:hanging="720"/>
        <w:jc w:val="both"/>
        <w:rPr>
          <w:rFonts w:ascii="Arial" w:hAnsi="Arial" w:cs="Arial"/>
          <w:i/>
        </w:rPr>
      </w:pPr>
    </w:p>
    <w:p w14:paraId="7BBC94BC"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5a – </w:t>
      </w:r>
      <w:r w:rsidRPr="00A3307C">
        <w:rPr>
          <w:rFonts w:ascii="Arial" w:hAnsi="Arial" w:cs="Arial"/>
          <w:i/>
        </w:rPr>
        <w:t>Unit Address</w:t>
      </w:r>
    </w:p>
    <w:p w14:paraId="0CA2E138" w14:textId="77777777" w:rsidR="000824D3" w:rsidRPr="00A3307C" w:rsidRDefault="000824D3" w:rsidP="000824D3">
      <w:pPr>
        <w:tabs>
          <w:tab w:val="left" w:pos="1440"/>
        </w:tabs>
        <w:spacing w:line="278" w:lineRule="auto"/>
        <w:ind w:left="1440" w:hanging="720"/>
        <w:jc w:val="both"/>
        <w:rPr>
          <w:rFonts w:ascii="Arial" w:hAnsi="Arial" w:cs="Arial"/>
          <w:i/>
        </w:rPr>
      </w:pPr>
    </w:p>
    <w:p w14:paraId="5FA6CAA1"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5h, 5i – </w:t>
      </w:r>
      <w:r w:rsidRPr="00A3307C">
        <w:rPr>
          <w:rFonts w:ascii="Arial" w:hAnsi="Arial" w:cs="Arial"/>
          <w:i/>
        </w:rPr>
        <w:t>Unit Inspection Dates</w:t>
      </w:r>
    </w:p>
    <w:p w14:paraId="1CB85F8D" w14:textId="77777777" w:rsidR="000824D3" w:rsidRPr="00A3307C" w:rsidRDefault="000824D3" w:rsidP="000824D3">
      <w:pPr>
        <w:tabs>
          <w:tab w:val="left" w:pos="1440"/>
        </w:tabs>
        <w:spacing w:line="278" w:lineRule="auto"/>
        <w:ind w:left="1440" w:hanging="720"/>
        <w:jc w:val="both"/>
        <w:rPr>
          <w:rFonts w:ascii="Arial" w:hAnsi="Arial" w:cs="Arial"/>
          <w:i/>
        </w:rPr>
      </w:pPr>
    </w:p>
    <w:p w14:paraId="68366EA0"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lastRenderedPageBreak/>
        <w:t xml:space="preserve">Line 7i – </w:t>
      </w:r>
      <w:r w:rsidRPr="00A3307C">
        <w:rPr>
          <w:rFonts w:ascii="Arial" w:hAnsi="Arial" w:cs="Arial"/>
          <w:i/>
        </w:rPr>
        <w:t>Total Annual Income</w:t>
      </w:r>
    </w:p>
    <w:p w14:paraId="0B3ED821" w14:textId="77777777" w:rsidR="000824D3" w:rsidRPr="00A3307C" w:rsidRDefault="000824D3" w:rsidP="000824D3">
      <w:pPr>
        <w:tabs>
          <w:tab w:val="left" w:pos="1440"/>
        </w:tabs>
        <w:spacing w:line="278" w:lineRule="auto"/>
        <w:ind w:left="1440" w:hanging="720"/>
        <w:jc w:val="both"/>
        <w:rPr>
          <w:rFonts w:ascii="Arial" w:hAnsi="Arial" w:cs="Arial"/>
          <w:i/>
        </w:rPr>
      </w:pPr>
    </w:p>
    <w:p w14:paraId="04F621F7"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Lines 2k and 17a – </w:t>
      </w:r>
      <w:r w:rsidRPr="00A3307C">
        <w:rPr>
          <w:rFonts w:ascii="Arial" w:hAnsi="Arial" w:cs="Arial"/>
          <w:i/>
        </w:rPr>
        <w:t>Family’s Participation in the Family Self Sufficiency (FSS) Program</w:t>
      </w:r>
    </w:p>
    <w:p w14:paraId="7181A824" w14:textId="77777777" w:rsidR="000824D3" w:rsidRPr="00A3307C" w:rsidRDefault="000824D3" w:rsidP="000824D3">
      <w:pPr>
        <w:tabs>
          <w:tab w:val="left" w:pos="1440"/>
        </w:tabs>
        <w:spacing w:line="278" w:lineRule="auto"/>
        <w:ind w:left="1440" w:hanging="720"/>
        <w:jc w:val="both"/>
        <w:rPr>
          <w:rFonts w:ascii="Arial" w:hAnsi="Arial" w:cs="Arial"/>
          <w:i/>
        </w:rPr>
      </w:pPr>
    </w:p>
    <w:p w14:paraId="161C5BC0" w14:textId="77777777" w:rsidR="000824D3" w:rsidRPr="00A3307C" w:rsidRDefault="000824D3" w:rsidP="006F743F">
      <w:pPr>
        <w:numPr>
          <w:ilvl w:val="1"/>
          <w:numId w:val="58"/>
        </w:numPr>
        <w:tabs>
          <w:tab w:val="left" w:pos="1440"/>
        </w:tabs>
        <w:spacing w:line="278" w:lineRule="auto"/>
        <w:ind w:left="1440"/>
        <w:jc w:val="both"/>
        <w:rPr>
          <w:rFonts w:ascii="Arial" w:hAnsi="Arial" w:cs="Arial"/>
          <w:i/>
        </w:rPr>
      </w:pPr>
      <w:r w:rsidRPr="00A3307C">
        <w:rPr>
          <w:rFonts w:ascii="Arial" w:hAnsi="Arial" w:cs="Arial"/>
        </w:rPr>
        <w:t xml:space="preserve">Line 17k (2) – </w:t>
      </w:r>
      <w:r w:rsidRPr="00A3307C">
        <w:rPr>
          <w:rFonts w:ascii="Arial" w:hAnsi="Arial" w:cs="Arial"/>
          <w:i/>
        </w:rPr>
        <w:t>FSS Account Balance</w:t>
      </w:r>
    </w:p>
    <w:p w14:paraId="58F8932A" w14:textId="77777777" w:rsidR="000824D3" w:rsidRPr="00A3307C" w:rsidRDefault="000824D3" w:rsidP="000824D3">
      <w:pPr>
        <w:spacing w:line="278" w:lineRule="auto"/>
        <w:ind w:left="1440"/>
        <w:jc w:val="both"/>
        <w:rPr>
          <w:rFonts w:ascii="Arial" w:hAnsi="Arial" w:cs="Arial"/>
          <w:i/>
        </w:rPr>
      </w:pPr>
    </w:p>
    <w:p w14:paraId="533297DC" w14:textId="77777777" w:rsidR="000824D3" w:rsidRPr="00A3307C" w:rsidRDefault="000824D3" w:rsidP="006F743F">
      <w:pPr>
        <w:numPr>
          <w:ilvl w:val="0"/>
          <w:numId w:val="58"/>
        </w:numPr>
        <w:spacing w:line="278" w:lineRule="auto"/>
        <w:ind w:left="720"/>
        <w:jc w:val="both"/>
        <w:rPr>
          <w:rFonts w:ascii="Arial" w:hAnsi="Arial" w:cs="Arial"/>
          <w:b/>
          <w:bCs/>
        </w:rPr>
      </w:pPr>
      <w:r w:rsidRPr="00A3307C">
        <w:rPr>
          <w:rFonts w:ascii="Arial" w:hAnsi="Arial" w:cs="Arial"/>
          <w:b/>
          <w:bCs/>
        </w:rPr>
        <w:t>Special Reporting for Federal Funding Accountability and Transparency Act</w:t>
      </w:r>
    </w:p>
    <w:p w14:paraId="56F8B873" w14:textId="77777777" w:rsidR="000824D3" w:rsidRPr="00A3307C" w:rsidRDefault="000824D3" w:rsidP="000824D3">
      <w:pPr>
        <w:spacing w:line="278" w:lineRule="auto"/>
        <w:ind w:left="1440"/>
        <w:jc w:val="both"/>
        <w:rPr>
          <w:rFonts w:ascii="Arial" w:hAnsi="Arial" w:cs="Arial"/>
          <w:b/>
        </w:rPr>
      </w:pPr>
    </w:p>
    <w:p w14:paraId="1EC8F257" w14:textId="77777777" w:rsidR="000824D3" w:rsidRPr="000824D3" w:rsidRDefault="000824D3" w:rsidP="000824D3">
      <w:pPr>
        <w:tabs>
          <w:tab w:val="left" w:pos="1440"/>
        </w:tabs>
        <w:ind w:left="1440" w:hanging="720"/>
        <w:jc w:val="both"/>
        <w:rPr>
          <w:rFonts w:ascii="Arial" w:hAnsi="Arial" w:cs="Arial"/>
          <w:bCs/>
        </w:rPr>
      </w:pPr>
      <w:r w:rsidRPr="000824D3">
        <w:rPr>
          <w:rFonts w:ascii="Arial" w:hAnsi="Arial" w:cs="Arial"/>
          <w:bCs/>
        </w:rPr>
        <w:t>See “OMB Compliance Requirements” section on prior pages for guidance.</w:t>
      </w:r>
    </w:p>
    <w:p w14:paraId="1E05AFED" w14:textId="77777777" w:rsidR="000824D3" w:rsidRPr="000824D3" w:rsidRDefault="000824D3" w:rsidP="000824D3">
      <w:pPr>
        <w:jc w:val="both"/>
        <w:rPr>
          <w:rFonts w:ascii="Arial" w:hAnsi="Arial" w:cs="Arial"/>
          <w:i/>
          <w:iCs/>
        </w:rPr>
      </w:pPr>
    </w:p>
    <w:p w14:paraId="4E6DBA68" w14:textId="04B061D1" w:rsidR="00D74E6A" w:rsidRPr="000824D3" w:rsidRDefault="000824D3" w:rsidP="000824D3">
      <w:pPr>
        <w:jc w:val="both"/>
        <w:rPr>
          <w:rFonts w:ascii="Arial" w:hAnsi="Arial" w:cs="Arial"/>
          <w:b/>
          <w:highlight w:val="yellow"/>
        </w:rPr>
      </w:pPr>
      <w:r w:rsidRPr="000824D3">
        <w:rPr>
          <w:rFonts w:ascii="Arial" w:hAnsi="Arial" w:cs="Arial"/>
          <w:i/>
          <w:iCs/>
        </w:rPr>
        <w:t>(Source: 2025 OMB Compliance Supplement, Part 4, HUD, Housing Voucher Cluster)</w:t>
      </w:r>
    </w:p>
    <w:p w14:paraId="05E61E03" w14:textId="77777777" w:rsidR="000824D3" w:rsidRPr="000824D3" w:rsidRDefault="000824D3" w:rsidP="000824D3">
      <w:pPr>
        <w:jc w:val="both"/>
        <w:rPr>
          <w:rFonts w:ascii="Arial" w:hAnsi="Arial" w:cs="Arial"/>
          <w:b/>
          <w:highlight w:val="yellow"/>
        </w:rPr>
      </w:pPr>
    </w:p>
    <w:p w14:paraId="5979A865" w14:textId="77777777" w:rsidR="00703F98" w:rsidRPr="000706D1" w:rsidRDefault="00703F98" w:rsidP="006672EA">
      <w:pPr>
        <w:pStyle w:val="Heading3"/>
        <w:jc w:val="both"/>
        <w:rPr>
          <w:rFonts w:cs="Arial"/>
          <w:sz w:val="24"/>
          <w:szCs w:val="24"/>
        </w:rPr>
      </w:pPr>
      <w:bookmarkStart w:id="57" w:name="_Toc212533488"/>
      <w:r w:rsidRPr="000706D1">
        <w:rPr>
          <w:rFonts w:cs="Arial"/>
          <w:sz w:val="24"/>
          <w:szCs w:val="24"/>
        </w:rPr>
        <w:t>Additional Program Specific Information</w:t>
      </w:r>
      <w:bookmarkEnd w:id="5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58" w:name="_Toc212533489"/>
      <w:r w:rsidRPr="000706D1">
        <w:rPr>
          <w:rFonts w:cs="Arial"/>
          <w:sz w:val="24"/>
          <w:szCs w:val="24"/>
        </w:rPr>
        <w:t>Audit Objectives</w:t>
      </w:r>
      <w:r w:rsidR="00F87F25" w:rsidRPr="000706D1">
        <w:rPr>
          <w:rFonts w:cs="Arial"/>
          <w:sz w:val="24"/>
          <w:szCs w:val="24"/>
        </w:rPr>
        <w:t xml:space="preserve"> and Control Testing</w:t>
      </w:r>
      <w:bookmarkEnd w:id="5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59" w:name="_Toc21253349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lastRenderedPageBreak/>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0" w:name="_Toc212533491"/>
      <w:r w:rsidRPr="000706D1">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4BD4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F743F">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F743F">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F743F">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F743F">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F743F">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63"/>
          <w:pgSz w:w="12240" w:h="15840" w:code="1"/>
          <w:pgMar w:top="1440" w:right="1440" w:bottom="1440" w:left="1440" w:header="720" w:footer="720" w:gutter="0"/>
          <w:cols w:space="720"/>
          <w:noEndnote/>
        </w:sectPr>
      </w:pPr>
    </w:p>
    <w:p w14:paraId="4D2A975C" w14:textId="19179784" w:rsidR="007E5B12" w:rsidRPr="000706D1" w:rsidRDefault="007E5B12" w:rsidP="006672EA">
      <w:pPr>
        <w:pStyle w:val="Heading2"/>
        <w:jc w:val="both"/>
        <w:rPr>
          <w:rFonts w:cs="Arial"/>
          <w:sz w:val="24"/>
        </w:rPr>
      </w:pPr>
      <w:bookmarkStart w:id="61" w:name="M___SUBRECIPIENT_MONITORING__"/>
      <w:bookmarkStart w:id="62" w:name="_Toc442267703"/>
      <w:bookmarkStart w:id="63" w:name="_Toc212533492"/>
      <w:bookmarkEnd w:id="61"/>
      <w:r w:rsidRPr="000706D1">
        <w:rPr>
          <w:rFonts w:cs="Arial"/>
          <w:sz w:val="24"/>
        </w:rPr>
        <w:lastRenderedPageBreak/>
        <w:t>N</w:t>
      </w:r>
      <w:r w:rsidR="00237960">
        <w:rPr>
          <w:rFonts w:cs="Arial"/>
          <w:sz w:val="24"/>
        </w:rPr>
        <w:t>1</w:t>
      </w:r>
      <w:r w:rsidRPr="000706D1">
        <w:rPr>
          <w:rFonts w:cs="Arial"/>
          <w:sz w:val="24"/>
        </w:rPr>
        <w:t>.  SPECIAL TESTS AND PROVISIONS</w:t>
      </w:r>
      <w:bookmarkEnd w:id="62"/>
      <w:r w:rsidR="00237960">
        <w:rPr>
          <w:rFonts w:cs="Arial"/>
          <w:sz w:val="24"/>
        </w:rPr>
        <w:t xml:space="preserve"> – SELECTION FROM THE WAITING LIST</w:t>
      </w:r>
      <w:bookmarkEnd w:id="63"/>
    </w:p>
    <w:p w14:paraId="75FD95EF" w14:textId="77777777" w:rsidR="007E5B12" w:rsidRPr="000706D1" w:rsidRDefault="00D15062" w:rsidP="006672EA">
      <w:pPr>
        <w:pStyle w:val="Heading3"/>
        <w:jc w:val="both"/>
        <w:rPr>
          <w:rFonts w:cs="Arial"/>
          <w:sz w:val="24"/>
          <w:szCs w:val="24"/>
        </w:rPr>
      </w:pPr>
      <w:bookmarkStart w:id="64" w:name="_Toc212533493"/>
      <w:r w:rsidRPr="000706D1">
        <w:rPr>
          <w:rFonts w:cs="Arial"/>
          <w:sz w:val="24"/>
          <w:szCs w:val="24"/>
        </w:rPr>
        <w:t xml:space="preserve">OMB </w:t>
      </w:r>
      <w:r w:rsidR="007E5B12" w:rsidRPr="000706D1">
        <w:rPr>
          <w:rFonts w:cs="Arial"/>
          <w:sz w:val="24"/>
          <w:szCs w:val="24"/>
        </w:rPr>
        <w:t>Compliance Requirements</w:t>
      </w:r>
      <w:bookmarkEnd w:id="64"/>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D7C901F" w14:textId="01699E7E" w:rsidR="00237960" w:rsidRPr="00237960" w:rsidRDefault="00237960" w:rsidP="00237960">
      <w:pPr>
        <w:pStyle w:val="BodyText"/>
        <w:ind w:right="166"/>
        <w:jc w:val="both"/>
        <w:rPr>
          <w:rFonts w:ascii="Arial" w:hAnsi="Arial" w:cs="Arial"/>
        </w:rPr>
      </w:pPr>
      <w:r w:rsidRPr="00237960">
        <w:rPr>
          <w:rFonts w:ascii="Arial" w:hAnsi="Arial" w:cs="Arial"/>
        </w:rPr>
        <w:t>The PHA must have written policies in its HCVP administrative plan for selecting applicants from the waiting list and PHA documentation must show that the PHA follows these policies when selecting applicants for admission from the waiting list. Except as provided in 24 CFR section 982.203 Special admission (non- waiting list), all families admitted to the program must be selected from the waiting list. “Selection” from the waiting list generally occurs when the PHA notifies a family whose name reaches the top of the waiting list to come in to verify eligibility for admission (24 CFR sections 5.410, 982.54(d), and 982.201 through</w:t>
      </w:r>
      <w:r w:rsidRPr="00237960">
        <w:rPr>
          <w:rFonts w:ascii="Arial" w:hAnsi="Arial" w:cs="Arial"/>
          <w:spacing w:val="-3"/>
        </w:rPr>
        <w:t xml:space="preserve"> </w:t>
      </w:r>
      <w:r w:rsidRPr="00237960">
        <w:rPr>
          <w:rFonts w:ascii="Arial" w:hAnsi="Arial" w:cs="Arial"/>
        </w:rPr>
        <w:t>982.207).</w:t>
      </w:r>
    </w:p>
    <w:p w14:paraId="7B2043F2" w14:textId="7D3F76FA" w:rsidR="008B2043" w:rsidRPr="00237960" w:rsidRDefault="00237960" w:rsidP="00237960">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1FDB8C35" w14:textId="77777777" w:rsidR="00670F5F" w:rsidRPr="000706D1" w:rsidRDefault="00670F5F" w:rsidP="006672EA">
      <w:pPr>
        <w:pStyle w:val="Heading3"/>
        <w:jc w:val="both"/>
        <w:rPr>
          <w:rFonts w:cs="Arial"/>
          <w:sz w:val="24"/>
          <w:szCs w:val="24"/>
        </w:rPr>
      </w:pPr>
      <w:bookmarkStart w:id="65" w:name="_Toc212533494"/>
      <w:r w:rsidRPr="000706D1">
        <w:rPr>
          <w:rFonts w:cs="Arial"/>
          <w:sz w:val="24"/>
          <w:szCs w:val="24"/>
        </w:rPr>
        <w:t>Additional Program Specific Information</w:t>
      </w:r>
      <w:bookmarkEnd w:id="6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66" w:name="_Toc212533495"/>
      <w:r w:rsidRPr="000706D1">
        <w:rPr>
          <w:rFonts w:cs="Arial"/>
          <w:sz w:val="24"/>
          <w:szCs w:val="24"/>
        </w:rPr>
        <w:lastRenderedPageBreak/>
        <w:t xml:space="preserve">Audit </w:t>
      </w:r>
      <w:r w:rsidR="00972081" w:rsidRPr="000706D1">
        <w:rPr>
          <w:rFonts w:cs="Arial"/>
          <w:sz w:val="24"/>
          <w:szCs w:val="24"/>
        </w:rPr>
        <w:t>Objectives and</w:t>
      </w:r>
      <w:r w:rsidRPr="000706D1">
        <w:rPr>
          <w:rFonts w:cs="Arial"/>
          <w:sz w:val="24"/>
          <w:szCs w:val="24"/>
        </w:rPr>
        <w:t xml:space="preserve"> Control Testing</w:t>
      </w:r>
      <w:bookmarkEnd w:id="6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1AD9739A" w:rsidR="00634FA3" w:rsidRDefault="00237960" w:rsidP="006F743F">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37960">
        <w:rPr>
          <w:rFonts w:ascii="Arial" w:hAnsi="Arial" w:cs="Arial"/>
          <w:iCs/>
        </w:rPr>
        <w:t>Determine whether the PHA is following its own selection policies in selecting applicants from the waiting list to become participants.</w:t>
      </w:r>
    </w:p>
    <w:p w14:paraId="6D60519A" w14:textId="1DEA88F9" w:rsidR="00237960" w:rsidRPr="00237960" w:rsidRDefault="00237960" w:rsidP="00237960">
      <w:pPr>
        <w:spacing w:after="240"/>
        <w:jc w:val="both"/>
        <w:rPr>
          <w:rFonts w:ascii="Arial" w:hAnsi="Arial" w:cs="Arial"/>
          <w:b/>
          <w:highlight w:val="yellow"/>
        </w:rPr>
      </w:pPr>
      <w:r w:rsidRPr="00237960">
        <w:rPr>
          <w:rFonts w:ascii="Arial" w:hAnsi="Arial" w:cs="Arial"/>
          <w:i/>
          <w:iCs/>
        </w:rPr>
        <w:t>(Source: 202</w:t>
      </w:r>
      <w:r>
        <w:rPr>
          <w:rFonts w:ascii="Arial" w:hAnsi="Arial" w:cs="Arial"/>
          <w:i/>
          <w:iCs/>
        </w:rPr>
        <w:t>5</w:t>
      </w:r>
      <w:r w:rsidRPr="00237960">
        <w:rPr>
          <w:rFonts w:ascii="Arial" w:hAnsi="Arial" w:cs="Arial"/>
          <w:i/>
          <w:iCs/>
        </w:rPr>
        <w:t xml:space="preserve"> OMB Compliance Supplement, Part 4, HUD, Housing Voucher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67" w:name="_Toc21253349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6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4EA01A95" w14:textId="68E29690" w:rsidR="00237960" w:rsidRPr="00237960" w:rsidRDefault="00237960" w:rsidP="00237960">
            <w:pPr>
              <w:spacing w:after="240"/>
              <w:ind w:left="690" w:hanging="690"/>
              <w:jc w:val="both"/>
              <w:rPr>
                <w:rFonts w:ascii="Arial" w:hAnsi="Arial" w:cs="Arial"/>
                <w:sz w:val="20"/>
              </w:rPr>
            </w:pPr>
            <w:r w:rsidRPr="00237960">
              <w:rPr>
                <w:rFonts w:ascii="Arial" w:hAnsi="Arial" w:cs="Arial"/>
                <w:sz w:val="20"/>
              </w:rPr>
              <w:t>a.</w:t>
            </w:r>
            <w:r w:rsidRPr="00237960">
              <w:rPr>
                <w:rFonts w:ascii="Arial" w:hAnsi="Arial" w:cs="Arial"/>
                <w:sz w:val="20"/>
              </w:rPr>
              <w:tab/>
              <w:t>Review the PHA’s applicant selection policies.</w:t>
            </w:r>
          </w:p>
          <w:p w14:paraId="64120CE4" w14:textId="77777777" w:rsidR="00237960" w:rsidRDefault="00237960" w:rsidP="00237960">
            <w:pPr>
              <w:spacing w:after="240"/>
              <w:ind w:left="690" w:hanging="690"/>
              <w:jc w:val="both"/>
              <w:rPr>
                <w:rFonts w:ascii="Arial" w:hAnsi="Arial" w:cs="Arial"/>
                <w:sz w:val="20"/>
              </w:rPr>
            </w:pPr>
            <w:r w:rsidRPr="00237960">
              <w:rPr>
                <w:rFonts w:ascii="Arial" w:hAnsi="Arial" w:cs="Arial"/>
                <w:sz w:val="20"/>
              </w:rPr>
              <w:t>b.</w:t>
            </w:r>
            <w:r w:rsidRPr="00237960">
              <w:rPr>
                <w:rFonts w:ascii="Arial" w:hAnsi="Arial" w:cs="Arial"/>
                <w:sz w:val="20"/>
              </w:rPr>
              <w:tab/>
              <w:t>Test a sample of new participants admitted to the program to ascertain if they were selected from the waiting list in accordance with the PHA’s applicant selection policies.</w:t>
            </w:r>
          </w:p>
          <w:p w14:paraId="6904E87E" w14:textId="1871E2AF" w:rsidR="004B71BD" w:rsidRPr="00237960" w:rsidRDefault="00237960" w:rsidP="00237960">
            <w:pPr>
              <w:spacing w:after="240"/>
              <w:ind w:left="690" w:hanging="690"/>
              <w:jc w:val="both"/>
              <w:rPr>
                <w:rFonts w:ascii="Arial" w:hAnsi="Arial" w:cs="Arial"/>
                <w:sz w:val="20"/>
              </w:rPr>
            </w:pPr>
            <w:r w:rsidRPr="00237960">
              <w:rPr>
                <w:rFonts w:ascii="Arial" w:hAnsi="Arial" w:cs="Arial"/>
                <w:sz w:val="20"/>
              </w:rPr>
              <w:lastRenderedPageBreak/>
              <w:t>c.</w:t>
            </w:r>
            <w:r w:rsidRPr="00237960">
              <w:rPr>
                <w:rFonts w:ascii="Arial" w:hAnsi="Arial" w:cs="Arial"/>
                <w:sz w:val="20"/>
              </w:rPr>
              <w:tab/>
              <w:t>Test a sample of applicant names that reached the top of the waiting list to ascertain if they were admitted to the program or provided the opportunity to be admitted to the program in accordance with the PHA’s applicant selection policies.</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68" w:name="_Toc212533497"/>
      <w:r w:rsidRPr="000706D1">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1DB5FDE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F743F">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F743F">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F743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F743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F743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37F7C37E" w14:textId="77777777" w:rsidR="00237960" w:rsidRDefault="00237960" w:rsidP="00237960">
      <w:pPr>
        <w:pStyle w:val="Heading2"/>
        <w:jc w:val="both"/>
        <w:rPr>
          <w:rFonts w:cs="Arial"/>
          <w:sz w:val="24"/>
        </w:rPr>
        <w:sectPr w:rsidR="00237960" w:rsidSect="00237960">
          <w:headerReference w:type="default" r:id="rId65"/>
          <w:pgSz w:w="12240" w:h="15840" w:code="1"/>
          <w:pgMar w:top="1440" w:right="1440" w:bottom="1440" w:left="1440" w:header="720" w:footer="720" w:gutter="0"/>
          <w:cols w:space="720"/>
          <w:docGrid w:linePitch="360"/>
        </w:sectPr>
      </w:pPr>
    </w:p>
    <w:p w14:paraId="4517B1C6" w14:textId="53409183" w:rsidR="00237960" w:rsidRPr="000706D1" w:rsidRDefault="00237960" w:rsidP="00237960">
      <w:pPr>
        <w:pStyle w:val="Heading2"/>
        <w:jc w:val="both"/>
        <w:rPr>
          <w:rFonts w:cs="Arial"/>
          <w:sz w:val="24"/>
        </w:rPr>
      </w:pPr>
      <w:bookmarkStart w:id="69" w:name="_Toc212533498"/>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REASONABLE RENT</w:t>
      </w:r>
      <w:bookmarkEnd w:id="69"/>
    </w:p>
    <w:p w14:paraId="390BCD13" w14:textId="77777777" w:rsidR="00237960" w:rsidRPr="000706D1" w:rsidRDefault="00237960" w:rsidP="00237960">
      <w:pPr>
        <w:pStyle w:val="Heading3"/>
        <w:jc w:val="both"/>
        <w:rPr>
          <w:rFonts w:cs="Arial"/>
          <w:sz w:val="24"/>
          <w:szCs w:val="24"/>
        </w:rPr>
      </w:pPr>
      <w:bookmarkStart w:id="70" w:name="_Toc212533499"/>
      <w:r w:rsidRPr="000706D1">
        <w:rPr>
          <w:rFonts w:cs="Arial"/>
          <w:sz w:val="24"/>
          <w:szCs w:val="24"/>
        </w:rPr>
        <w:t>OMB Compliance Requirements</w:t>
      </w:r>
      <w:bookmarkEnd w:id="70"/>
    </w:p>
    <w:p w14:paraId="14C72B12" w14:textId="77777777" w:rsidR="00237960" w:rsidRPr="005C1EBC"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7CC0ADC"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9C9720A" w14:textId="77777777" w:rsidR="00237960" w:rsidRPr="00F00D94" w:rsidRDefault="00237960" w:rsidP="0023796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028B47D" w14:textId="77777777" w:rsidR="00237960" w:rsidRPr="000706D1" w:rsidRDefault="00237960" w:rsidP="0023796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DC05095" w14:textId="173F747C" w:rsidR="00237960" w:rsidRP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37960">
        <w:rPr>
          <w:rFonts w:ascii="Arial" w:hAnsi="Arial" w:cs="Arial"/>
          <w:bCs/>
        </w:rPr>
        <w:t>The PHA administrative plan must state the method used by the PHA to determine that the rent to owner is reasonable in comparison to rent for other comparable unassisted units. The PHA determination must consider unit attributes such as the location, quality, size, unit type, and age of the unit, and any amenities, housing services, maintenance, and utilities provided by the owner.</w:t>
      </w:r>
    </w:p>
    <w:p w14:paraId="4B6AA1BF" w14:textId="45E026AA" w:rsid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37960">
        <w:rPr>
          <w:rFonts w:ascii="Arial" w:hAnsi="Arial" w:cs="Arial"/>
          <w:bCs/>
        </w:rPr>
        <w:t>The PHA must determine that the rent to the owner is reasonable at the time of initial leasing. Also, the PHA must determine reasonable rent during the term of the contract (a) before any increase in the rent to owner, and (b) at the HAP contract anniversary if there is a 10 percent decrease in the published Fair Market Rent in effect 60 days before the HAP contract anniversary. The PHA must maintain records to document the basis for the determination that rent to owner is a reasonable rent (initially and during the term of the HAP contract) (24 CFR sections 982.4, 982.54(d)(15), 982.158(f)(7), and 982.507).</w:t>
      </w:r>
    </w:p>
    <w:p w14:paraId="774A33F1" w14:textId="76606D12" w:rsidR="00237960" w:rsidRPr="00237960" w:rsidRDefault="00237960" w:rsidP="00237960">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54CBEC69" w14:textId="77777777" w:rsidR="00237960" w:rsidRPr="000706D1" w:rsidRDefault="00237960" w:rsidP="00237960">
      <w:pPr>
        <w:pStyle w:val="Heading3"/>
        <w:jc w:val="both"/>
        <w:rPr>
          <w:rFonts w:cs="Arial"/>
          <w:sz w:val="24"/>
          <w:szCs w:val="24"/>
        </w:rPr>
      </w:pPr>
      <w:bookmarkStart w:id="71" w:name="_Toc212533500"/>
      <w:r w:rsidRPr="000706D1">
        <w:rPr>
          <w:rFonts w:cs="Arial"/>
          <w:sz w:val="24"/>
          <w:szCs w:val="24"/>
        </w:rPr>
        <w:t>Additional Program Specific Information</w:t>
      </w:r>
      <w:bookmarkEnd w:id="71"/>
    </w:p>
    <w:p w14:paraId="2E3951AF" w14:textId="77777777" w:rsidR="00237960" w:rsidRPr="00AA5B05" w:rsidRDefault="00237960" w:rsidP="00237960">
      <w:pPr>
        <w:spacing w:after="240"/>
        <w:jc w:val="both"/>
        <w:rPr>
          <w:rFonts w:ascii="Arial" w:hAnsi="Arial" w:cs="Arial"/>
          <w:b/>
          <w:highlight w:val="yellow"/>
        </w:rPr>
      </w:pPr>
      <w:r w:rsidRPr="00AA5B05">
        <w:rPr>
          <w:rFonts w:ascii="Arial" w:hAnsi="Arial" w:cs="Arial"/>
          <w:b/>
          <w:highlight w:val="yellow"/>
        </w:rPr>
        <w:t>Add program specific requirements from:</w:t>
      </w:r>
    </w:p>
    <w:p w14:paraId="67FF82BC"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047502B" w14:textId="77777777" w:rsidR="00237960" w:rsidRPr="00AA5B05" w:rsidRDefault="00237960"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ADB74B6"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01943F5" w14:textId="77777777" w:rsidR="00237960" w:rsidRPr="00AA5B05" w:rsidRDefault="00237960" w:rsidP="0023796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450DFAD" w14:textId="77777777" w:rsidR="00237960" w:rsidRPr="000706D1" w:rsidRDefault="00237960" w:rsidP="00237960">
      <w:pPr>
        <w:pStyle w:val="Heading3"/>
        <w:jc w:val="both"/>
        <w:rPr>
          <w:rFonts w:cs="Arial"/>
          <w:sz w:val="24"/>
          <w:szCs w:val="24"/>
        </w:rPr>
      </w:pPr>
      <w:bookmarkStart w:id="72" w:name="_Toc212533501"/>
      <w:r w:rsidRPr="000706D1">
        <w:rPr>
          <w:rFonts w:cs="Arial"/>
          <w:sz w:val="24"/>
          <w:szCs w:val="24"/>
        </w:rPr>
        <w:lastRenderedPageBreak/>
        <w:t>Audit Objectives and Control Testing</w:t>
      </w:r>
      <w:bookmarkEnd w:id="72"/>
    </w:p>
    <w:p w14:paraId="3DA1C93D" w14:textId="77777777" w:rsidR="00237960" w:rsidRPr="00F00D94" w:rsidRDefault="00237960" w:rsidP="0023796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2B1F764" w14:textId="77777777" w:rsidR="00237960" w:rsidRPr="00F00D94" w:rsidRDefault="00237960" w:rsidP="0023796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06C5CB9" w14:textId="77777777" w:rsid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82DCAD2" w14:textId="54A9A5CD" w:rsidR="00237960" w:rsidRDefault="00237960" w:rsidP="006F743F">
      <w:pPr>
        <w:pStyle w:val="ListParagraph"/>
        <w:numPr>
          <w:ilvl w:val="0"/>
          <w:numId w:val="6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37960">
        <w:rPr>
          <w:rFonts w:ascii="Arial" w:hAnsi="Arial" w:cs="Arial"/>
          <w:iCs/>
        </w:rPr>
        <w:t>Determine whether the PHA is documenting the determination that the rent to owner is reasonable in accordance with the PHA’s administrative plan at initial leasing and during the term of the contract.</w:t>
      </w:r>
    </w:p>
    <w:p w14:paraId="5EACF518" w14:textId="387A161D" w:rsidR="00237960" w:rsidRPr="00237960" w:rsidRDefault="00237960" w:rsidP="00237960">
      <w:pPr>
        <w:spacing w:after="240"/>
        <w:jc w:val="both"/>
        <w:rPr>
          <w:rFonts w:ascii="Arial" w:hAnsi="Arial" w:cs="Arial"/>
          <w:b/>
          <w:highlight w:val="yellow"/>
        </w:rPr>
      </w:pPr>
      <w:r w:rsidRPr="00237960">
        <w:rPr>
          <w:rFonts w:ascii="Arial" w:hAnsi="Arial" w:cs="Arial"/>
          <w:i/>
          <w:iCs/>
        </w:rPr>
        <w:t>(Source: 202</w:t>
      </w:r>
      <w:r>
        <w:rPr>
          <w:rFonts w:ascii="Arial" w:hAnsi="Arial" w:cs="Arial"/>
          <w:i/>
          <w:iCs/>
        </w:rPr>
        <w:t>5</w:t>
      </w:r>
      <w:r w:rsidRPr="00237960">
        <w:rPr>
          <w:rFonts w:ascii="Arial" w:hAnsi="Arial" w:cs="Arial"/>
          <w:i/>
          <w:iCs/>
        </w:rPr>
        <w:t xml:space="preserve"> OMB Compliance Supplement, Part 4, HUD, Housing Voucher Cluster)</w:t>
      </w:r>
    </w:p>
    <w:p w14:paraId="6FCAD22A" w14:textId="77777777" w:rsidR="00237960" w:rsidRPr="00634FA3" w:rsidRDefault="00237960" w:rsidP="0023796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37960" w:rsidRPr="00F00D94" w14:paraId="6EF45819" w14:textId="77777777" w:rsidTr="00BA784C">
        <w:tc>
          <w:tcPr>
            <w:tcW w:w="5000" w:type="pct"/>
          </w:tcPr>
          <w:p w14:paraId="52ED9A54" w14:textId="77777777" w:rsidR="00237960" w:rsidRPr="006F5FFA" w:rsidRDefault="00237960" w:rsidP="00BA784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0467923"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AA1E76B" w14:textId="77777777" w:rsidR="00237960" w:rsidRPr="00F00D94" w:rsidRDefault="00237960" w:rsidP="00BA784C">
            <w:pPr>
              <w:pStyle w:val="AuditProcedureHeading"/>
              <w:spacing w:after="240"/>
              <w:jc w:val="both"/>
              <w:rPr>
                <w:rFonts w:cs="Arial"/>
                <w:b/>
                <w:bCs/>
                <w:szCs w:val="20"/>
                <w:u w:val="single"/>
              </w:rPr>
            </w:pPr>
          </w:p>
          <w:p w14:paraId="2037B417" w14:textId="77777777" w:rsidR="00237960" w:rsidRPr="00F00D94" w:rsidRDefault="00237960" w:rsidP="00BA784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4048B68" w14:textId="77777777" w:rsidR="00237960" w:rsidRPr="00F00D94" w:rsidRDefault="00237960" w:rsidP="00BA784C">
            <w:pPr>
              <w:pStyle w:val="AuditProcedureHeading"/>
              <w:spacing w:after="240"/>
              <w:jc w:val="both"/>
              <w:rPr>
                <w:rFonts w:cs="Arial"/>
                <w:b/>
                <w:bCs/>
                <w:szCs w:val="20"/>
                <w:u w:val="single"/>
              </w:rPr>
            </w:pPr>
          </w:p>
          <w:p w14:paraId="0D64DF57"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1D8B5D0" w14:textId="77777777" w:rsidR="00237960" w:rsidRPr="00F00D94" w:rsidRDefault="00237960" w:rsidP="00BA784C">
            <w:pPr>
              <w:spacing w:after="240"/>
              <w:jc w:val="both"/>
              <w:rPr>
                <w:rFonts w:ascii="Arial" w:hAnsi="Arial" w:cs="Arial"/>
                <w:b/>
                <w:sz w:val="20"/>
                <w:u w:val="single"/>
              </w:rPr>
            </w:pPr>
          </w:p>
          <w:p w14:paraId="21C3E905" w14:textId="77777777" w:rsidR="00237960" w:rsidRPr="00F00D94" w:rsidRDefault="00237960" w:rsidP="00BA784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3CF336A" w14:textId="77777777" w:rsidR="00237960" w:rsidRPr="00C35E5F" w:rsidRDefault="00237960" w:rsidP="00BA784C">
            <w:pPr>
              <w:spacing w:after="240"/>
              <w:jc w:val="both"/>
              <w:rPr>
                <w:rFonts w:ascii="Arial" w:eastAsiaTheme="minorHAnsi" w:hAnsi="Arial" w:cs="Arial"/>
                <w:sz w:val="20"/>
                <w:szCs w:val="20"/>
              </w:rPr>
            </w:pPr>
          </w:p>
        </w:tc>
      </w:tr>
    </w:tbl>
    <w:p w14:paraId="2EE4BB2F"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7EDB68B" w14:textId="77777777" w:rsidR="00237960" w:rsidRPr="000706D1" w:rsidRDefault="00237960" w:rsidP="00237960">
      <w:pPr>
        <w:pStyle w:val="Heading3"/>
        <w:jc w:val="both"/>
        <w:rPr>
          <w:rFonts w:cs="Arial"/>
          <w:sz w:val="24"/>
          <w:szCs w:val="24"/>
        </w:rPr>
      </w:pPr>
      <w:bookmarkStart w:id="73" w:name="_Toc21253350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3"/>
    </w:p>
    <w:tbl>
      <w:tblPr>
        <w:tblStyle w:val="TableGrid"/>
        <w:tblW w:w="9558" w:type="dxa"/>
        <w:tblLayout w:type="fixed"/>
        <w:tblLook w:val="04A0" w:firstRow="1" w:lastRow="0" w:firstColumn="1" w:lastColumn="0" w:noHBand="0" w:noVBand="1"/>
      </w:tblPr>
      <w:tblGrid>
        <w:gridCol w:w="9558"/>
      </w:tblGrid>
      <w:tr w:rsidR="00237960" w:rsidRPr="00F00D94" w14:paraId="15B7AE18" w14:textId="77777777" w:rsidTr="00BA784C">
        <w:tc>
          <w:tcPr>
            <w:tcW w:w="9558" w:type="dxa"/>
          </w:tcPr>
          <w:p w14:paraId="1580BC61" w14:textId="77777777" w:rsidR="00237960" w:rsidRDefault="00237960" w:rsidP="00BA784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6C78C77" w14:textId="77777777" w:rsidR="00237960" w:rsidRPr="00AC7B25" w:rsidRDefault="00237960" w:rsidP="00BA784C">
            <w:pPr>
              <w:spacing w:after="240"/>
              <w:jc w:val="both"/>
              <w:rPr>
                <w:rFonts w:ascii="Arial" w:hAnsi="Arial" w:cs="Arial"/>
                <w:i/>
                <w:sz w:val="20"/>
                <w:szCs w:val="20"/>
              </w:rPr>
            </w:pPr>
            <w:r>
              <w:rPr>
                <w:rFonts w:ascii="Arial" w:hAnsi="Arial" w:cs="Arial"/>
                <w:i/>
                <w:sz w:val="20"/>
                <w:szCs w:val="20"/>
              </w:rPr>
              <w:t>(Source: 2025 OMB Compliance Supplement Part 3.2)</w:t>
            </w:r>
          </w:p>
          <w:p w14:paraId="70A1860D" w14:textId="2A88DD20" w:rsidR="00237960" w:rsidRPr="00237960" w:rsidRDefault="00237960" w:rsidP="00237960">
            <w:pPr>
              <w:spacing w:after="240"/>
              <w:ind w:left="690" w:hanging="690"/>
              <w:jc w:val="both"/>
              <w:rPr>
                <w:rFonts w:ascii="Arial" w:hAnsi="Arial" w:cs="Arial"/>
                <w:sz w:val="20"/>
              </w:rPr>
            </w:pPr>
            <w:r w:rsidRPr="00237960">
              <w:rPr>
                <w:rFonts w:ascii="Arial" w:hAnsi="Arial" w:cs="Arial"/>
                <w:sz w:val="20"/>
              </w:rPr>
              <w:t>a.</w:t>
            </w:r>
            <w:r w:rsidRPr="00237960">
              <w:rPr>
                <w:rFonts w:ascii="Arial" w:hAnsi="Arial" w:cs="Arial"/>
                <w:sz w:val="20"/>
              </w:rPr>
              <w:tab/>
              <w:t>Review the PHA’s method in its administrative plan for determining reasonable rent.</w:t>
            </w:r>
          </w:p>
          <w:p w14:paraId="78B21485" w14:textId="77777777" w:rsidR="00237960" w:rsidRDefault="00237960" w:rsidP="00237960">
            <w:pPr>
              <w:spacing w:after="240"/>
              <w:ind w:left="690" w:hanging="690"/>
              <w:jc w:val="both"/>
              <w:rPr>
                <w:rFonts w:ascii="Arial" w:hAnsi="Arial" w:cs="Arial"/>
                <w:sz w:val="20"/>
              </w:rPr>
            </w:pPr>
            <w:r w:rsidRPr="00237960">
              <w:rPr>
                <w:rFonts w:ascii="Arial" w:hAnsi="Arial" w:cs="Arial"/>
                <w:sz w:val="20"/>
              </w:rPr>
              <w:t>b.</w:t>
            </w:r>
            <w:r w:rsidRPr="00237960">
              <w:rPr>
                <w:rFonts w:ascii="Arial" w:hAnsi="Arial" w:cs="Arial"/>
                <w:sz w:val="20"/>
              </w:rPr>
              <w:tab/>
              <w:t>Test a sample of leases for newly leased units and ascertain if the PHA has documented the determination of reasonable rent in accordance with the PHA’s administrative plan.</w:t>
            </w:r>
          </w:p>
          <w:p w14:paraId="30645FB0" w14:textId="6C2F969E" w:rsidR="00237960" w:rsidRPr="00237960" w:rsidRDefault="00237960" w:rsidP="00237960">
            <w:pPr>
              <w:spacing w:after="240"/>
              <w:ind w:left="690" w:hanging="690"/>
              <w:jc w:val="both"/>
              <w:rPr>
                <w:rFonts w:ascii="Arial" w:hAnsi="Arial" w:cs="Arial"/>
                <w:sz w:val="20"/>
              </w:rPr>
            </w:pPr>
            <w:r w:rsidRPr="00237960">
              <w:rPr>
                <w:rFonts w:ascii="Arial" w:hAnsi="Arial" w:cs="Arial"/>
                <w:sz w:val="20"/>
              </w:rPr>
              <w:lastRenderedPageBreak/>
              <w:t>c.</w:t>
            </w:r>
            <w:r w:rsidRPr="00237960">
              <w:rPr>
                <w:rFonts w:ascii="Arial" w:hAnsi="Arial" w:cs="Arial"/>
                <w:sz w:val="20"/>
              </w:rPr>
              <w:tab/>
              <w:t>Test a sample of leases for which the PHA is required to determine reasonable rent during the term of the HAP contract and ascertain if the PHA has documented the determination of reasonable rent in accordance with the PHA’s administrative plan.</w:t>
            </w:r>
          </w:p>
        </w:tc>
      </w:tr>
    </w:tbl>
    <w:p w14:paraId="429E8950"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7069D8D" w14:textId="77777777" w:rsidR="00237960" w:rsidRPr="000706D1" w:rsidRDefault="00237960" w:rsidP="00237960">
      <w:pPr>
        <w:pStyle w:val="Heading3"/>
        <w:jc w:val="both"/>
        <w:rPr>
          <w:rFonts w:cs="Arial"/>
          <w:b w:val="0"/>
          <w:sz w:val="24"/>
          <w:szCs w:val="24"/>
        </w:rPr>
      </w:pPr>
      <w:bookmarkStart w:id="74" w:name="_Toc212533503"/>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237960" w:rsidRPr="00F00D94" w14:paraId="5A7CF575" w14:textId="77777777" w:rsidTr="00BA784C">
        <w:tc>
          <w:tcPr>
            <w:tcW w:w="5000" w:type="pct"/>
          </w:tcPr>
          <w:p w14:paraId="33D6FBBF" w14:textId="77777777" w:rsidR="00237960" w:rsidRDefault="00237960" w:rsidP="00BA784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98499D7" w14:textId="77777777" w:rsidR="00237960" w:rsidRPr="006E46AD" w:rsidRDefault="00237960" w:rsidP="00BA784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F0EA392" w14:textId="77777777" w:rsidR="00237960" w:rsidRPr="006E46AD" w:rsidRDefault="00237960" w:rsidP="006F743F">
            <w:pPr>
              <w:pStyle w:val="ListParagraph"/>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FA60967" w14:textId="77777777" w:rsidR="00237960" w:rsidRPr="006E46AD" w:rsidRDefault="00237960" w:rsidP="00BA784C">
            <w:pPr>
              <w:widowControl w:val="0"/>
              <w:spacing w:after="240"/>
              <w:ind w:left="720"/>
              <w:jc w:val="both"/>
              <w:rPr>
                <w:rFonts w:ascii="Arial" w:hAnsi="Arial" w:cs="Arial"/>
                <w:b/>
                <w:sz w:val="20"/>
                <w:szCs w:val="20"/>
              </w:rPr>
            </w:pPr>
          </w:p>
          <w:p w14:paraId="1FC3ADCE" w14:textId="77777777" w:rsidR="00237960" w:rsidRPr="006E46AD" w:rsidRDefault="00237960" w:rsidP="006F743F">
            <w:pPr>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0EF7534" w14:textId="77777777" w:rsidR="00237960" w:rsidRPr="00F00D94" w:rsidRDefault="00237960" w:rsidP="00BA784C">
            <w:pPr>
              <w:pStyle w:val="ListParagraph"/>
              <w:spacing w:after="240"/>
              <w:jc w:val="both"/>
              <w:rPr>
                <w:rFonts w:ascii="Arial" w:hAnsi="Arial" w:cs="Arial"/>
                <w:b/>
              </w:rPr>
            </w:pPr>
          </w:p>
          <w:p w14:paraId="6D701CA9" w14:textId="77777777" w:rsidR="00237960" w:rsidRPr="00F00D94" w:rsidRDefault="00237960" w:rsidP="006F743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1087842" w14:textId="77777777" w:rsidR="00237960" w:rsidRPr="00F00D94" w:rsidRDefault="00237960" w:rsidP="00BA784C">
            <w:pPr>
              <w:pStyle w:val="ListParagraph"/>
              <w:spacing w:after="240"/>
              <w:jc w:val="both"/>
              <w:rPr>
                <w:rFonts w:ascii="Arial" w:hAnsi="Arial" w:cs="Arial"/>
                <w:b/>
              </w:rPr>
            </w:pPr>
          </w:p>
          <w:p w14:paraId="3CFA2F01" w14:textId="77777777" w:rsidR="00237960" w:rsidRPr="00F00D94" w:rsidRDefault="00237960" w:rsidP="006F743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4EA0796" w14:textId="77777777" w:rsidR="00237960" w:rsidRPr="00F00D94" w:rsidRDefault="00237960" w:rsidP="00BA784C">
            <w:pPr>
              <w:pStyle w:val="ListParagraph"/>
              <w:spacing w:after="240"/>
              <w:jc w:val="both"/>
              <w:rPr>
                <w:rFonts w:ascii="Arial" w:hAnsi="Arial" w:cs="Arial"/>
                <w:b/>
              </w:rPr>
            </w:pPr>
          </w:p>
          <w:p w14:paraId="01320313" w14:textId="77777777" w:rsidR="00237960" w:rsidRPr="00F00D94" w:rsidRDefault="00237960" w:rsidP="006F743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6ACB3DC" w14:textId="77777777" w:rsidR="00237960" w:rsidRPr="00F00D94" w:rsidRDefault="00237960" w:rsidP="00BA784C">
            <w:pPr>
              <w:pStyle w:val="APStepItem"/>
              <w:numPr>
                <w:ilvl w:val="0"/>
                <w:numId w:val="0"/>
              </w:numPr>
              <w:spacing w:after="240"/>
              <w:rPr>
                <w:rFonts w:cs="Arial"/>
                <w:b/>
              </w:rPr>
            </w:pPr>
          </w:p>
        </w:tc>
      </w:tr>
    </w:tbl>
    <w:p w14:paraId="507B631D" w14:textId="77777777" w:rsidR="00237960" w:rsidRDefault="00237960" w:rsidP="00237960">
      <w:pPr>
        <w:pStyle w:val="Heading2"/>
        <w:jc w:val="both"/>
        <w:rPr>
          <w:rFonts w:cs="Arial"/>
          <w:sz w:val="24"/>
        </w:rPr>
        <w:sectPr w:rsidR="00237960" w:rsidSect="00237960">
          <w:headerReference w:type="default" r:id="rId67"/>
          <w:pgSz w:w="12240" w:h="15840" w:code="1"/>
          <w:pgMar w:top="1440" w:right="1440" w:bottom="1440" w:left="1440" w:header="720" w:footer="720" w:gutter="0"/>
          <w:cols w:space="720"/>
          <w:docGrid w:linePitch="360"/>
        </w:sectPr>
      </w:pPr>
    </w:p>
    <w:p w14:paraId="5750538F" w14:textId="7482A114" w:rsidR="00237960" w:rsidRPr="000706D1" w:rsidRDefault="00237960" w:rsidP="00237960">
      <w:pPr>
        <w:pStyle w:val="Heading2"/>
        <w:jc w:val="both"/>
        <w:rPr>
          <w:rFonts w:cs="Arial"/>
          <w:sz w:val="24"/>
        </w:rPr>
      </w:pPr>
      <w:bookmarkStart w:id="75" w:name="_Toc212533504"/>
      <w:r w:rsidRPr="000706D1">
        <w:rPr>
          <w:rFonts w:cs="Arial"/>
          <w:sz w:val="24"/>
        </w:rPr>
        <w:lastRenderedPageBreak/>
        <w:t>N</w:t>
      </w:r>
      <w:r>
        <w:rPr>
          <w:rFonts w:cs="Arial"/>
          <w:sz w:val="24"/>
        </w:rPr>
        <w:t>3</w:t>
      </w:r>
      <w:r w:rsidRPr="000706D1">
        <w:rPr>
          <w:rFonts w:cs="Arial"/>
          <w:sz w:val="24"/>
        </w:rPr>
        <w:t>.  SPECIAL TESTS AND PROVISIONS</w:t>
      </w:r>
      <w:r>
        <w:rPr>
          <w:rFonts w:cs="Arial"/>
          <w:sz w:val="24"/>
        </w:rPr>
        <w:t xml:space="preserve"> – UTILITY ALLOWANCE SCHEDULE</w:t>
      </w:r>
      <w:bookmarkEnd w:id="75"/>
    </w:p>
    <w:p w14:paraId="3FA267D2" w14:textId="77777777" w:rsidR="00237960" w:rsidRPr="000706D1" w:rsidRDefault="00237960" w:rsidP="00237960">
      <w:pPr>
        <w:pStyle w:val="Heading3"/>
        <w:jc w:val="both"/>
        <w:rPr>
          <w:rFonts w:cs="Arial"/>
          <w:sz w:val="24"/>
          <w:szCs w:val="24"/>
        </w:rPr>
      </w:pPr>
      <w:bookmarkStart w:id="76" w:name="_Toc212533505"/>
      <w:r w:rsidRPr="000706D1">
        <w:rPr>
          <w:rFonts w:cs="Arial"/>
          <w:sz w:val="24"/>
          <w:szCs w:val="24"/>
        </w:rPr>
        <w:t>OMB Compliance Requirements</w:t>
      </w:r>
      <w:bookmarkEnd w:id="76"/>
    </w:p>
    <w:p w14:paraId="5475B915" w14:textId="77777777" w:rsidR="00237960" w:rsidRPr="005C1EBC"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34A33A5"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0AC12B1" w14:textId="77777777" w:rsidR="00237960" w:rsidRPr="00F00D94" w:rsidRDefault="00237960" w:rsidP="0023796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96EBE16" w14:textId="77777777" w:rsidR="00475043" w:rsidRPr="000706D1" w:rsidRDefault="00475043" w:rsidP="0047504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2762045" w14:textId="2C1027FF" w:rsidR="00237960" w:rsidRP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237960">
        <w:rPr>
          <w:rFonts w:ascii="Arial" w:hAnsi="Arial" w:cs="Arial"/>
          <w:bCs/>
        </w:rPr>
        <w:t>The PHA must maintain an up-to-date utility allowance schedule. The PHA must review utility rate data for each utility category each year and must adjust its utility allowance schedule if there has been a rate change of 10 percent or more for</w:t>
      </w:r>
      <w:r>
        <w:rPr>
          <w:rFonts w:ascii="Arial" w:hAnsi="Arial" w:cs="Arial"/>
          <w:bCs/>
        </w:rPr>
        <w:t xml:space="preserve"> </w:t>
      </w:r>
      <w:r w:rsidRPr="00237960">
        <w:rPr>
          <w:rFonts w:ascii="Arial" w:hAnsi="Arial" w:cs="Arial"/>
          <w:bCs/>
        </w:rPr>
        <w:t>a utility category or fuel type since the last time the utility allowance schedule was revised (24 CFR section 982.517).</w:t>
      </w:r>
    </w:p>
    <w:p w14:paraId="2D1C2B9C" w14:textId="65025435" w:rsidR="00237960" w:rsidRPr="00237960" w:rsidRDefault="00237960" w:rsidP="00237960">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2CC1C821" w14:textId="77777777" w:rsidR="00237960" w:rsidRPr="000706D1" w:rsidRDefault="00237960" w:rsidP="00237960">
      <w:pPr>
        <w:pStyle w:val="Heading3"/>
        <w:jc w:val="both"/>
        <w:rPr>
          <w:rFonts w:cs="Arial"/>
          <w:sz w:val="24"/>
          <w:szCs w:val="24"/>
        </w:rPr>
      </w:pPr>
      <w:bookmarkStart w:id="77" w:name="_Toc212533506"/>
      <w:r w:rsidRPr="000706D1">
        <w:rPr>
          <w:rFonts w:cs="Arial"/>
          <w:sz w:val="24"/>
          <w:szCs w:val="24"/>
        </w:rPr>
        <w:t>Additional Program Specific Information</w:t>
      </w:r>
      <w:bookmarkEnd w:id="77"/>
    </w:p>
    <w:p w14:paraId="21276644" w14:textId="77777777" w:rsidR="00237960" w:rsidRPr="00AA5B05" w:rsidRDefault="00237960" w:rsidP="00237960">
      <w:pPr>
        <w:spacing w:after="240"/>
        <w:jc w:val="both"/>
        <w:rPr>
          <w:rFonts w:ascii="Arial" w:hAnsi="Arial" w:cs="Arial"/>
          <w:b/>
          <w:highlight w:val="yellow"/>
        </w:rPr>
      </w:pPr>
      <w:r w:rsidRPr="00AA5B05">
        <w:rPr>
          <w:rFonts w:ascii="Arial" w:hAnsi="Arial" w:cs="Arial"/>
          <w:b/>
          <w:highlight w:val="yellow"/>
        </w:rPr>
        <w:t>Add program specific requirements from:</w:t>
      </w:r>
    </w:p>
    <w:p w14:paraId="7F8B1518"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15B5241F" w14:textId="77777777" w:rsidR="00237960" w:rsidRPr="00AA5B05" w:rsidRDefault="00237960"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1376A0A"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5EBE4FD" w14:textId="77777777" w:rsidR="00237960" w:rsidRPr="00AA5B05" w:rsidRDefault="00237960" w:rsidP="0023796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5BC9234" w14:textId="77777777" w:rsidR="00237960" w:rsidRPr="000706D1" w:rsidRDefault="00237960" w:rsidP="00237960">
      <w:pPr>
        <w:pStyle w:val="Heading3"/>
        <w:jc w:val="both"/>
        <w:rPr>
          <w:rFonts w:cs="Arial"/>
          <w:sz w:val="24"/>
          <w:szCs w:val="24"/>
        </w:rPr>
      </w:pPr>
      <w:bookmarkStart w:id="78" w:name="_Toc212533507"/>
      <w:r w:rsidRPr="000706D1">
        <w:rPr>
          <w:rFonts w:cs="Arial"/>
          <w:sz w:val="24"/>
          <w:szCs w:val="24"/>
        </w:rPr>
        <w:t>Audit Objectives and Control Testing</w:t>
      </w:r>
      <w:bookmarkEnd w:id="78"/>
    </w:p>
    <w:p w14:paraId="0E41BBFF" w14:textId="77777777" w:rsidR="00237960" w:rsidRPr="00F00D94" w:rsidRDefault="00237960" w:rsidP="0023796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AD5D6B8" w14:textId="77777777" w:rsidR="00237960" w:rsidRPr="00F00D94" w:rsidRDefault="00237960" w:rsidP="00237960">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489B0358" w14:textId="77777777" w:rsid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DDC3124" w14:textId="058E6D2E" w:rsidR="00237960" w:rsidRDefault="00204AFF" w:rsidP="006F743F">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04AFF">
        <w:rPr>
          <w:rFonts w:ascii="Arial" w:hAnsi="Arial" w:cs="Arial"/>
          <w:iCs/>
        </w:rPr>
        <w:t>Determine whether the PHA has reviewed utility rate data within the last 12 months and has adjusted its utility allowance schedule if there has been a rate change of 10 percent or more in a utility category or fuel type since the last time the utility allowance schedule was revised.</w:t>
      </w:r>
    </w:p>
    <w:p w14:paraId="12639826" w14:textId="200B5271" w:rsidR="00204AFF" w:rsidRPr="00204AFF" w:rsidRDefault="00204AFF" w:rsidP="00204AFF">
      <w:pPr>
        <w:spacing w:after="240"/>
        <w:jc w:val="both"/>
        <w:rPr>
          <w:rFonts w:ascii="Arial" w:hAnsi="Arial" w:cs="Arial"/>
          <w:b/>
          <w:highlight w:val="yellow"/>
        </w:rPr>
      </w:pPr>
      <w:r w:rsidRPr="00204AFF">
        <w:rPr>
          <w:rFonts w:ascii="Arial" w:hAnsi="Arial" w:cs="Arial"/>
          <w:i/>
          <w:iCs/>
        </w:rPr>
        <w:t>(Source: 202</w:t>
      </w:r>
      <w:r>
        <w:rPr>
          <w:rFonts w:ascii="Arial" w:hAnsi="Arial" w:cs="Arial"/>
          <w:i/>
          <w:iCs/>
        </w:rPr>
        <w:t>5</w:t>
      </w:r>
      <w:r w:rsidRPr="00204AFF">
        <w:rPr>
          <w:rFonts w:ascii="Arial" w:hAnsi="Arial" w:cs="Arial"/>
          <w:i/>
          <w:iCs/>
        </w:rPr>
        <w:t xml:space="preserve"> OMB Compliance Supplement, Part 4, HUD, Housing Voucher Cluster)</w:t>
      </w:r>
    </w:p>
    <w:p w14:paraId="03561AAF" w14:textId="77777777" w:rsidR="00237960" w:rsidRPr="00634FA3" w:rsidRDefault="00237960" w:rsidP="0023796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37960" w:rsidRPr="00F00D94" w14:paraId="1CBAE094" w14:textId="77777777" w:rsidTr="00BA784C">
        <w:tc>
          <w:tcPr>
            <w:tcW w:w="5000" w:type="pct"/>
          </w:tcPr>
          <w:p w14:paraId="194A4E92" w14:textId="77777777" w:rsidR="00237960" w:rsidRPr="006F5FFA" w:rsidRDefault="00237960" w:rsidP="00BA784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2B4E3D8"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095C724" w14:textId="77777777" w:rsidR="00237960" w:rsidRPr="00F00D94" w:rsidRDefault="00237960" w:rsidP="00BA784C">
            <w:pPr>
              <w:pStyle w:val="AuditProcedureHeading"/>
              <w:spacing w:after="240"/>
              <w:jc w:val="both"/>
              <w:rPr>
                <w:rFonts w:cs="Arial"/>
                <w:b/>
                <w:bCs/>
                <w:szCs w:val="20"/>
                <w:u w:val="single"/>
              </w:rPr>
            </w:pPr>
          </w:p>
          <w:p w14:paraId="0D055240" w14:textId="77777777" w:rsidR="00237960" w:rsidRPr="00F00D94" w:rsidRDefault="00237960" w:rsidP="00BA784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0310E23" w14:textId="77777777" w:rsidR="00237960" w:rsidRPr="00F00D94" w:rsidRDefault="00237960" w:rsidP="00BA784C">
            <w:pPr>
              <w:pStyle w:val="AuditProcedureHeading"/>
              <w:spacing w:after="240"/>
              <w:jc w:val="both"/>
              <w:rPr>
                <w:rFonts w:cs="Arial"/>
                <w:b/>
                <w:bCs/>
                <w:szCs w:val="20"/>
                <w:u w:val="single"/>
              </w:rPr>
            </w:pPr>
          </w:p>
          <w:p w14:paraId="14F80C21"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AF5FAB0" w14:textId="77777777" w:rsidR="00237960" w:rsidRPr="00F00D94" w:rsidRDefault="00237960" w:rsidP="00BA784C">
            <w:pPr>
              <w:spacing w:after="240"/>
              <w:jc w:val="both"/>
              <w:rPr>
                <w:rFonts w:ascii="Arial" w:hAnsi="Arial" w:cs="Arial"/>
                <w:b/>
                <w:sz w:val="20"/>
                <w:u w:val="single"/>
              </w:rPr>
            </w:pPr>
          </w:p>
          <w:p w14:paraId="199EDF9C" w14:textId="77777777" w:rsidR="00237960" w:rsidRPr="00F00D94" w:rsidRDefault="00237960" w:rsidP="00BA784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EF51F33" w14:textId="77777777" w:rsidR="00237960" w:rsidRPr="00C35E5F" w:rsidRDefault="00237960" w:rsidP="00BA784C">
            <w:pPr>
              <w:spacing w:after="240"/>
              <w:jc w:val="both"/>
              <w:rPr>
                <w:rFonts w:ascii="Arial" w:eastAsiaTheme="minorHAnsi" w:hAnsi="Arial" w:cs="Arial"/>
                <w:sz w:val="20"/>
                <w:szCs w:val="20"/>
              </w:rPr>
            </w:pPr>
          </w:p>
        </w:tc>
      </w:tr>
    </w:tbl>
    <w:p w14:paraId="48463EFE"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9EB7D13" w14:textId="77777777" w:rsidR="00237960" w:rsidRPr="000706D1" w:rsidRDefault="00237960" w:rsidP="00237960">
      <w:pPr>
        <w:pStyle w:val="Heading3"/>
        <w:jc w:val="both"/>
        <w:rPr>
          <w:rFonts w:cs="Arial"/>
          <w:sz w:val="24"/>
          <w:szCs w:val="24"/>
        </w:rPr>
      </w:pPr>
      <w:bookmarkStart w:id="79" w:name="_Toc21253350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237960" w:rsidRPr="00F00D94" w14:paraId="78780C48" w14:textId="77777777" w:rsidTr="00BA784C">
        <w:tc>
          <w:tcPr>
            <w:tcW w:w="9558" w:type="dxa"/>
          </w:tcPr>
          <w:p w14:paraId="6A2A23D5" w14:textId="77777777" w:rsidR="00237960" w:rsidRDefault="00237960" w:rsidP="00BA784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DAD8BBA" w14:textId="77777777" w:rsidR="00237960" w:rsidRPr="00AC7B25" w:rsidRDefault="00237960" w:rsidP="00BA784C">
            <w:pPr>
              <w:spacing w:after="240"/>
              <w:jc w:val="both"/>
              <w:rPr>
                <w:rFonts w:ascii="Arial" w:hAnsi="Arial" w:cs="Arial"/>
                <w:i/>
                <w:sz w:val="20"/>
                <w:szCs w:val="20"/>
              </w:rPr>
            </w:pPr>
            <w:r>
              <w:rPr>
                <w:rFonts w:ascii="Arial" w:hAnsi="Arial" w:cs="Arial"/>
                <w:i/>
                <w:sz w:val="20"/>
                <w:szCs w:val="20"/>
              </w:rPr>
              <w:t>(Source: 2025 OMB Compliance Supplement Part 3.2)</w:t>
            </w:r>
          </w:p>
          <w:p w14:paraId="49D9FD63" w14:textId="33B239B8"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a.</w:t>
            </w:r>
            <w:r w:rsidRPr="00204AFF">
              <w:rPr>
                <w:rFonts w:ascii="Arial" w:hAnsi="Arial" w:cs="Arial"/>
                <w:sz w:val="20"/>
              </w:rPr>
              <w:tab/>
              <w:t>Review PHA procedures for obtaining and reviewing utility rate data each year.</w:t>
            </w:r>
          </w:p>
          <w:p w14:paraId="35D6473F" w14:textId="4ADAA132" w:rsidR="00237960" w:rsidRPr="00204AFF" w:rsidRDefault="00204AFF" w:rsidP="00204AFF">
            <w:pPr>
              <w:spacing w:after="240"/>
              <w:ind w:left="690" w:hanging="690"/>
              <w:jc w:val="both"/>
              <w:rPr>
                <w:rFonts w:ascii="Arial" w:hAnsi="Arial" w:cs="Arial"/>
                <w:sz w:val="20"/>
              </w:rPr>
            </w:pPr>
            <w:r w:rsidRPr="00204AFF">
              <w:rPr>
                <w:rFonts w:ascii="Arial" w:hAnsi="Arial" w:cs="Arial"/>
                <w:sz w:val="20"/>
              </w:rPr>
              <w:t>b.</w:t>
            </w:r>
            <w:r w:rsidRPr="00204AFF">
              <w:rPr>
                <w:rFonts w:ascii="Arial" w:hAnsi="Arial" w:cs="Arial"/>
                <w:sz w:val="20"/>
              </w:rPr>
              <w:tab/>
              <w:t>Review data on utility rates that the PHA obtained during the last 12 months and ascertain, based on data available at the PHA, if there has been a change of 10 percent or more in a utility rate since the last time the utility allowance schedule was revised, and if so, verify that the PHA revised its utility allowance schedule to reflect the rate increase.</w:t>
            </w:r>
          </w:p>
        </w:tc>
      </w:tr>
    </w:tbl>
    <w:p w14:paraId="307C228A"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545CFB1" w14:textId="77777777" w:rsidR="00237960" w:rsidRPr="000706D1" w:rsidRDefault="00237960" w:rsidP="00237960">
      <w:pPr>
        <w:pStyle w:val="Heading3"/>
        <w:jc w:val="both"/>
        <w:rPr>
          <w:rFonts w:cs="Arial"/>
          <w:b w:val="0"/>
          <w:sz w:val="24"/>
          <w:szCs w:val="24"/>
        </w:rPr>
      </w:pPr>
      <w:bookmarkStart w:id="80" w:name="_Toc212533509"/>
      <w:r w:rsidRPr="000706D1">
        <w:rPr>
          <w:rFonts w:cs="Arial"/>
          <w:sz w:val="24"/>
          <w:szCs w:val="24"/>
        </w:rPr>
        <w:lastRenderedPageBreak/>
        <w:t>Audit Implications Summary</w:t>
      </w:r>
      <w:bookmarkEnd w:id="80"/>
    </w:p>
    <w:tbl>
      <w:tblPr>
        <w:tblStyle w:val="TableGrid"/>
        <w:tblW w:w="5000" w:type="pct"/>
        <w:tblLook w:val="04A0" w:firstRow="1" w:lastRow="0" w:firstColumn="1" w:lastColumn="0" w:noHBand="0" w:noVBand="1"/>
      </w:tblPr>
      <w:tblGrid>
        <w:gridCol w:w="9350"/>
      </w:tblGrid>
      <w:tr w:rsidR="00237960" w:rsidRPr="00F00D94" w14:paraId="0E2AB2B4" w14:textId="77777777" w:rsidTr="00BA784C">
        <w:tc>
          <w:tcPr>
            <w:tcW w:w="5000" w:type="pct"/>
          </w:tcPr>
          <w:p w14:paraId="023D7EB0" w14:textId="77777777" w:rsidR="00237960" w:rsidRDefault="00237960" w:rsidP="00BA784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C31E10F" w14:textId="77777777" w:rsidR="00237960" w:rsidRPr="006E46AD" w:rsidRDefault="00237960" w:rsidP="00BA784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093BBFD" w14:textId="77777777" w:rsidR="00237960" w:rsidRPr="006E46AD" w:rsidRDefault="00237960" w:rsidP="006F743F">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E9FCAF0" w14:textId="77777777" w:rsidR="00237960" w:rsidRPr="006E46AD" w:rsidRDefault="00237960" w:rsidP="00BA784C">
            <w:pPr>
              <w:widowControl w:val="0"/>
              <w:spacing w:after="240"/>
              <w:ind w:left="720"/>
              <w:jc w:val="both"/>
              <w:rPr>
                <w:rFonts w:ascii="Arial" w:hAnsi="Arial" w:cs="Arial"/>
                <w:b/>
                <w:sz w:val="20"/>
                <w:szCs w:val="20"/>
              </w:rPr>
            </w:pPr>
          </w:p>
          <w:p w14:paraId="03395BCB" w14:textId="77777777" w:rsidR="00237960" w:rsidRPr="006E46AD" w:rsidRDefault="00237960" w:rsidP="006F743F">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A831EF0" w14:textId="77777777" w:rsidR="00237960" w:rsidRPr="00F00D94" w:rsidRDefault="00237960" w:rsidP="00BA784C">
            <w:pPr>
              <w:pStyle w:val="ListParagraph"/>
              <w:spacing w:after="240"/>
              <w:jc w:val="both"/>
              <w:rPr>
                <w:rFonts w:ascii="Arial" w:hAnsi="Arial" w:cs="Arial"/>
                <w:b/>
              </w:rPr>
            </w:pPr>
          </w:p>
          <w:p w14:paraId="2346ACC4" w14:textId="77777777" w:rsidR="00237960" w:rsidRPr="00F00D94" w:rsidRDefault="00237960" w:rsidP="006F743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95EA1EF" w14:textId="77777777" w:rsidR="00237960" w:rsidRPr="00F00D94" w:rsidRDefault="00237960" w:rsidP="00BA784C">
            <w:pPr>
              <w:pStyle w:val="ListParagraph"/>
              <w:spacing w:after="240"/>
              <w:jc w:val="both"/>
              <w:rPr>
                <w:rFonts w:ascii="Arial" w:hAnsi="Arial" w:cs="Arial"/>
                <w:b/>
              </w:rPr>
            </w:pPr>
          </w:p>
          <w:p w14:paraId="6E7739A5" w14:textId="77777777" w:rsidR="00237960" w:rsidRPr="00F00D94" w:rsidRDefault="00237960" w:rsidP="006F743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EB5764" w14:textId="77777777" w:rsidR="00237960" w:rsidRPr="00F00D94" w:rsidRDefault="00237960" w:rsidP="00BA784C">
            <w:pPr>
              <w:pStyle w:val="ListParagraph"/>
              <w:spacing w:after="240"/>
              <w:jc w:val="both"/>
              <w:rPr>
                <w:rFonts w:ascii="Arial" w:hAnsi="Arial" w:cs="Arial"/>
                <w:b/>
              </w:rPr>
            </w:pPr>
          </w:p>
          <w:p w14:paraId="55847942" w14:textId="77777777" w:rsidR="00237960" w:rsidRPr="00F00D94" w:rsidRDefault="00237960" w:rsidP="006F743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62CC266" w14:textId="77777777" w:rsidR="00237960" w:rsidRPr="00F00D94" w:rsidRDefault="00237960" w:rsidP="00BA784C">
            <w:pPr>
              <w:pStyle w:val="APStepItem"/>
              <w:numPr>
                <w:ilvl w:val="0"/>
                <w:numId w:val="0"/>
              </w:numPr>
              <w:spacing w:after="240"/>
              <w:rPr>
                <w:rFonts w:cs="Arial"/>
                <w:b/>
              </w:rPr>
            </w:pPr>
          </w:p>
        </w:tc>
      </w:tr>
    </w:tbl>
    <w:p w14:paraId="47FD7CDF" w14:textId="77777777" w:rsidR="00237960" w:rsidRDefault="00237960" w:rsidP="00237960">
      <w:pPr>
        <w:pStyle w:val="Heading2"/>
        <w:jc w:val="both"/>
        <w:rPr>
          <w:rFonts w:cs="Arial"/>
          <w:sz w:val="24"/>
        </w:rPr>
        <w:sectPr w:rsidR="00237960" w:rsidSect="00237960">
          <w:headerReference w:type="default" r:id="rId69"/>
          <w:pgSz w:w="12240" w:h="15840" w:code="1"/>
          <w:pgMar w:top="1440" w:right="1440" w:bottom="1440" w:left="1440" w:header="720" w:footer="720" w:gutter="0"/>
          <w:cols w:space="720"/>
          <w:docGrid w:linePitch="360"/>
        </w:sectPr>
      </w:pPr>
    </w:p>
    <w:p w14:paraId="29D880A9" w14:textId="6E75EF6F" w:rsidR="00237960" w:rsidRPr="000706D1" w:rsidRDefault="00237960" w:rsidP="00237960">
      <w:pPr>
        <w:pStyle w:val="Heading2"/>
        <w:jc w:val="both"/>
        <w:rPr>
          <w:rFonts w:cs="Arial"/>
          <w:sz w:val="24"/>
        </w:rPr>
      </w:pPr>
      <w:bookmarkStart w:id="81" w:name="_Toc212533510"/>
      <w:r w:rsidRPr="000706D1">
        <w:rPr>
          <w:rFonts w:cs="Arial"/>
          <w:sz w:val="24"/>
        </w:rPr>
        <w:lastRenderedPageBreak/>
        <w:t>N</w:t>
      </w:r>
      <w:r w:rsidR="006D519E">
        <w:rPr>
          <w:rFonts w:cs="Arial"/>
          <w:sz w:val="24"/>
        </w:rPr>
        <w:t>4</w:t>
      </w:r>
      <w:r w:rsidRPr="000706D1">
        <w:rPr>
          <w:rFonts w:cs="Arial"/>
          <w:sz w:val="24"/>
        </w:rPr>
        <w:t>.  SPECIAL TESTS AND PROVISIONS</w:t>
      </w:r>
      <w:r w:rsidR="00204AFF">
        <w:rPr>
          <w:rFonts w:cs="Arial"/>
          <w:sz w:val="24"/>
        </w:rPr>
        <w:t xml:space="preserve"> – NATIONAL STANDARDS FOR THE PHYSICAL INSPECTION OF REAL ESTATE (NSPIRE) / HOUSING QUALITY STANDARDS INSPECTIONS</w:t>
      </w:r>
      <w:bookmarkEnd w:id="81"/>
    </w:p>
    <w:p w14:paraId="71CC8F09" w14:textId="77777777" w:rsidR="00237960" w:rsidRPr="000706D1" w:rsidRDefault="00237960" w:rsidP="00237960">
      <w:pPr>
        <w:pStyle w:val="Heading3"/>
        <w:jc w:val="both"/>
        <w:rPr>
          <w:rFonts w:cs="Arial"/>
          <w:sz w:val="24"/>
          <w:szCs w:val="24"/>
        </w:rPr>
      </w:pPr>
      <w:bookmarkStart w:id="82" w:name="_Toc212533511"/>
      <w:r w:rsidRPr="000706D1">
        <w:rPr>
          <w:rFonts w:cs="Arial"/>
          <w:sz w:val="24"/>
          <w:szCs w:val="24"/>
        </w:rPr>
        <w:t>OMB Compliance Requirements</w:t>
      </w:r>
      <w:bookmarkEnd w:id="82"/>
    </w:p>
    <w:p w14:paraId="4F983C96" w14:textId="77777777" w:rsidR="00237960" w:rsidRPr="005C1EBC"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E592B20"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DD81BED" w14:textId="77777777" w:rsidR="00237960" w:rsidRPr="00F00D94" w:rsidRDefault="00237960" w:rsidP="0023796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6B440DE" w14:textId="77777777" w:rsidR="00237960" w:rsidRPr="000706D1" w:rsidRDefault="00237960" w:rsidP="0023796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311615C" w14:textId="12B25F95" w:rsidR="00204AFF" w:rsidRPr="00204AFF" w:rsidRDefault="00204AFF" w:rsidP="00204AFF">
      <w:pPr>
        <w:ind w:right="207"/>
        <w:jc w:val="both"/>
        <w:rPr>
          <w:rFonts w:ascii="Arial" w:hAnsi="Arial" w:cs="Arial"/>
        </w:rPr>
      </w:pPr>
      <w:r w:rsidRPr="00204AFF">
        <w:rPr>
          <w:rFonts w:ascii="Arial" w:hAnsi="Arial" w:cs="Arial"/>
        </w:rPr>
        <w:t>The PHA must inspect the unit leased to a family at least biennially to determine if the unit meets Housing Quality Standards (HQS) and the PHA must conduct quality control re-inspections. The PHA must prepare a unit inspection report (24 CFR sections 982.158(d) and 982.405(b)). However, NSPIRE for HCV and Project Based Vouchers (PBV) programs, referred to as NSPIRE-V during HUD’s demonstration, was effective October 1, 2023, and replaced HQS, as previously defined in 24 CFR 982.401, as the inspection standards for these programs. As announced in the Federal Register, “Economic Growth Regulatory Relief and Consumer Protection Act: Implementation of National Standards for the Physical Inspection of Real Estate (NSPIRE); Extension of NSPIRE Compliance Date for HCV Programs,” HUD extended the compliance date for HCV and PBV programs until October 1, 2024. This applies to all Public Housing Agencies (PHAs), including MTW PHAs, administering Section 8 Housing Choice Voucher programs.</w:t>
      </w:r>
    </w:p>
    <w:p w14:paraId="2CD0E56F" w14:textId="77777777" w:rsidR="00204AFF" w:rsidRPr="00204AFF" w:rsidRDefault="00204AFF" w:rsidP="00204AFF">
      <w:pPr>
        <w:pStyle w:val="BodyText"/>
        <w:spacing w:after="0"/>
        <w:jc w:val="both"/>
        <w:rPr>
          <w:rFonts w:ascii="Arial" w:hAnsi="Arial" w:cs="Arial"/>
          <w:szCs w:val="20"/>
        </w:rPr>
      </w:pPr>
    </w:p>
    <w:p w14:paraId="2AB30C3B" w14:textId="61733D86" w:rsidR="00237960" w:rsidRDefault="00204AFF" w:rsidP="00204AFF">
      <w:pPr>
        <w:pStyle w:val="BodyText"/>
        <w:ind w:right="156"/>
        <w:jc w:val="both"/>
        <w:rPr>
          <w:rFonts w:ascii="Arial" w:hAnsi="Arial" w:cs="Arial"/>
          <w:szCs w:val="20"/>
        </w:rPr>
      </w:pPr>
      <w:r w:rsidRPr="00204AFF">
        <w:rPr>
          <w:rFonts w:ascii="Arial" w:hAnsi="Arial" w:cs="Arial"/>
          <w:szCs w:val="20"/>
        </w:rPr>
        <w:t xml:space="preserve">NSPIRE official notices PIH 2023-16 and PIH 2023-23, and proposed rules can be found here: </w:t>
      </w:r>
      <w:hyperlink r:id="rId70">
        <w:r w:rsidRPr="00204AFF">
          <w:rPr>
            <w:rFonts w:ascii="Arial" w:hAnsi="Arial" w:cs="Arial"/>
            <w:color w:val="0000FF"/>
            <w:szCs w:val="20"/>
            <w:u w:val="single" w:color="0000FF"/>
          </w:rPr>
          <w:t>Federal Register :: Economic Growth Regulatory Relief and Consumer Protection Act:</w:t>
        </w:r>
      </w:hyperlink>
      <w:r w:rsidRPr="00204AFF">
        <w:rPr>
          <w:rFonts w:ascii="Arial" w:hAnsi="Arial" w:cs="Arial"/>
          <w:color w:val="0000FF"/>
          <w:szCs w:val="20"/>
        </w:rPr>
        <w:t xml:space="preserve"> </w:t>
      </w:r>
      <w:hyperlink r:id="rId71">
        <w:r w:rsidRPr="00204AFF">
          <w:rPr>
            <w:rFonts w:ascii="Arial" w:hAnsi="Arial" w:cs="Arial"/>
            <w:color w:val="0000FF"/>
            <w:szCs w:val="20"/>
            <w:u w:val="single" w:color="0000FF"/>
          </w:rPr>
          <w:t>Implementation of National Standards for the Physical Inspection of Real Estate (NSPIRE);</w:t>
        </w:r>
      </w:hyperlink>
      <w:r w:rsidRPr="00204AFF">
        <w:rPr>
          <w:rFonts w:ascii="Arial" w:hAnsi="Arial" w:cs="Arial"/>
          <w:color w:val="0000FF"/>
          <w:szCs w:val="20"/>
        </w:rPr>
        <w:t xml:space="preserve"> </w:t>
      </w:r>
      <w:hyperlink r:id="rId72">
        <w:r w:rsidRPr="00204AFF">
          <w:rPr>
            <w:rFonts w:ascii="Arial" w:hAnsi="Arial" w:cs="Arial"/>
            <w:color w:val="0000FF"/>
            <w:szCs w:val="20"/>
            <w:u w:val="single" w:color="0000FF"/>
          </w:rPr>
          <w:t>Extension of NSPIRE Compliance Date for HCV Programs (hud.gov)</w:t>
        </w:r>
      </w:hyperlink>
    </w:p>
    <w:p w14:paraId="60D3AFFF" w14:textId="0150FF15" w:rsidR="00204AFF" w:rsidRPr="00204AFF" w:rsidRDefault="00204AFF" w:rsidP="00204AFF">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31E8F23A" w14:textId="77777777" w:rsidR="00237960" w:rsidRPr="000706D1" w:rsidRDefault="00237960" w:rsidP="00237960">
      <w:pPr>
        <w:pStyle w:val="Heading3"/>
        <w:jc w:val="both"/>
        <w:rPr>
          <w:rFonts w:cs="Arial"/>
          <w:sz w:val="24"/>
          <w:szCs w:val="24"/>
        </w:rPr>
      </w:pPr>
      <w:bookmarkStart w:id="83" w:name="_Toc212533512"/>
      <w:r w:rsidRPr="000706D1">
        <w:rPr>
          <w:rFonts w:cs="Arial"/>
          <w:sz w:val="24"/>
          <w:szCs w:val="24"/>
        </w:rPr>
        <w:t>Additional Program Specific Information</w:t>
      </w:r>
      <w:bookmarkEnd w:id="83"/>
    </w:p>
    <w:p w14:paraId="50A156CA" w14:textId="77777777" w:rsidR="00237960" w:rsidRPr="00AA5B05" w:rsidRDefault="00237960" w:rsidP="00237960">
      <w:pPr>
        <w:spacing w:after="240"/>
        <w:jc w:val="both"/>
        <w:rPr>
          <w:rFonts w:ascii="Arial" w:hAnsi="Arial" w:cs="Arial"/>
          <w:b/>
          <w:highlight w:val="yellow"/>
        </w:rPr>
      </w:pPr>
      <w:r w:rsidRPr="00AA5B05">
        <w:rPr>
          <w:rFonts w:ascii="Arial" w:hAnsi="Arial" w:cs="Arial"/>
          <w:b/>
          <w:highlight w:val="yellow"/>
        </w:rPr>
        <w:t>Add program specific requirements from:</w:t>
      </w:r>
    </w:p>
    <w:p w14:paraId="588B544E"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p>
    <w:p w14:paraId="742E14C4" w14:textId="77777777" w:rsidR="00237960" w:rsidRPr="00AA5B05" w:rsidRDefault="00237960"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6DF9AA4" w14:textId="77777777" w:rsidR="00237960" w:rsidRPr="00AA5B05" w:rsidRDefault="00237960"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B3C4DBB" w14:textId="77777777" w:rsidR="00237960" w:rsidRPr="00AA5B05" w:rsidRDefault="00237960" w:rsidP="0023796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37EFC11" w14:textId="77777777" w:rsidR="00237960" w:rsidRPr="000706D1" w:rsidRDefault="00237960" w:rsidP="00237960">
      <w:pPr>
        <w:pStyle w:val="Heading3"/>
        <w:jc w:val="both"/>
        <w:rPr>
          <w:rFonts w:cs="Arial"/>
          <w:sz w:val="24"/>
          <w:szCs w:val="24"/>
        </w:rPr>
      </w:pPr>
      <w:bookmarkStart w:id="84" w:name="_Toc212533513"/>
      <w:r w:rsidRPr="000706D1">
        <w:rPr>
          <w:rFonts w:cs="Arial"/>
          <w:sz w:val="24"/>
          <w:szCs w:val="24"/>
        </w:rPr>
        <w:t>Audit Objectives and Control Testing</w:t>
      </w:r>
      <w:bookmarkEnd w:id="84"/>
    </w:p>
    <w:p w14:paraId="3998D8D7" w14:textId="77777777" w:rsidR="00237960" w:rsidRPr="00F00D94" w:rsidRDefault="00237960" w:rsidP="0023796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7C38094" w14:textId="77777777" w:rsidR="00237960" w:rsidRPr="00F00D94" w:rsidRDefault="00237960" w:rsidP="0023796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2288AC0" w14:textId="77777777" w:rsidR="00237960"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85FD18C" w14:textId="58EC1DA0" w:rsidR="00237960" w:rsidRDefault="00204AFF" w:rsidP="006F743F">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04AFF">
        <w:rPr>
          <w:rFonts w:ascii="Arial" w:hAnsi="Arial" w:cs="Arial"/>
          <w:iCs/>
        </w:rPr>
        <w:t>Determine whether the PHA documented the required annual HQS inspections and quality control re-inspections.</w:t>
      </w:r>
    </w:p>
    <w:p w14:paraId="2B46D4E0" w14:textId="70BDC7D3" w:rsidR="00204AFF" w:rsidRPr="00204AFF" w:rsidRDefault="00204AFF" w:rsidP="00204AFF">
      <w:pPr>
        <w:spacing w:after="240"/>
        <w:jc w:val="both"/>
        <w:rPr>
          <w:rFonts w:ascii="Arial" w:hAnsi="Arial" w:cs="Arial"/>
          <w:b/>
          <w:highlight w:val="yellow"/>
        </w:rPr>
      </w:pPr>
      <w:r w:rsidRPr="00204AFF">
        <w:rPr>
          <w:rFonts w:ascii="Arial" w:hAnsi="Arial" w:cs="Arial"/>
          <w:i/>
          <w:iCs/>
        </w:rPr>
        <w:t>(Source: 202</w:t>
      </w:r>
      <w:r>
        <w:rPr>
          <w:rFonts w:ascii="Arial" w:hAnsi="Arial" w:cs="Arial"/>
          <w:i/>
          <w:iCs/>
        </w:rPr>
        <w:t>5</w:t>
      </w:r>
      <w:r w:rsidRPr="00204AFF">
        <w:rPr>
          <w:rFonts w:ascii="Arial" w:hAnsi="Arial" w:cs="Arial"/>
          <w:i/>
          <w:iCs/>
        </w:rPr>
        <w:t xml:space="preserve"> OMB Compliance Supplement, Part 4, HUD, Housing Voucher Cluster)</w:t>
      </w:r>
    </w:p>
    <w:p w14:paraId="1EF6D3FC" w14:textId="77777777" w:rsidR="00237960" w:rsidRPr="00634FA3" w:rsidRDefault="00237960" w:rsidP="0023796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37960" w:rsidRPr="00F00D94" w14:paraId="6412E8D4" w14:textId="77777777" w:rsidTr="00BA784C">
        <w:tc>
          <w:tcPr>
            <w:tcW w:w="5000" w:type="pct"/>
          </w:tcPr>
          <w:p w14:paraId="7E2F2224" w14:textId="77777777" w:rsidR="00237960" w:rsidRPr="006F5FFA" w:rsidRDefault="00237960" w:rsidP="00BA784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3DB6BC"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7984DA5" w14:textId="77777777" w:rsidR="00237960" w:rsidRPr="00F00D94" w:rsidRDefault="00237960" w:rsidP="00BA784C">
            <w:pPr>
              <w:pStyle w:val="AuditProcedureHeading"/>
              <w:spacing w:after="240"/>
              <w:jc w:val="both"/>
              <w:rPr>
                <w:rFonts w:cs="Arial"/>
                <w:b/>
                <w:bCs/>
                <w:szCs w:val="20"/>
                <w:u w:val="single"/>
              </w:rPr>
            </w:pPr>
          </w:p>
          <w:p w14:paraId="58E79CD0" w14:textId="77777777" w:rsidR="00237960" w:rsidRPr="00F00D94" w:rsidRDefault="00237960" w:rsidP="00BA784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877CAA7" w14:textId="77777777" w:rsidR="00237960" w:rsidRPr="00F00D94" w:rsidRDefault="00237960" w:rsidP="00BA784C">
            <w:pPr>
              <w:pStyle w:val="AuditProcedureHeading"/>
              <w:spacing w:after="240"/>
              <w:jc w:val="both"/>
              <w:rPr>
                <w:rFonts w:cs="Arial"/>
                <w:b/>
                <w:bCs/>
                <w:szCs w:val="20"/>
                <w:u w:val="single"/>
              </w:rPr>
            </w:pPr>
          </w:p>
          <w:p w14:paraId="36A64282" w14:textId="77777777" w:rsidR="00237960" w:rsidRPr="00F00D94" w:rsidRDefault="00237960" w:rsidP="00BA784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35246E7" w14:textId="77777777" w:rsidR="00237960" w:rsidRPr="00F00D94" w:rsidRDefault="00237960" w:rsidP="00BA784C">
            <w:pPr>
              <w:spacing w:after="240"/>
              <w:jc w:val="both"/>
              <w:rPr>
                <w:rFonts w:ascii="Arial" w:hAnsi="Arial" w:cs="Arial"/>
                <w:b/>
                <w:sz w:val="20"/>
                <w:u w:val="single"/>
              </w:rPr>
            </w:pPr>
          </w:p>
          <w:p w14:paraId="2676BEF2" w14:textId="77777777" w:rsidR="00237960" w:rsidRPr="00F00D94" w:rsidRDefault="00237960" w:rsidP="00BA784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4881824" w14:textId="77777777" w:rsidR="00237960" w:rsidRPr="00C35E5F" w:rsidRDefault="00237960" w:rsidP="00BA784C">
            <w:pPr>
              <w:spacing w:after="240"/>
              <w:jc w:val="both"/>
              <w:rPr>
                <w:rFonts w:ascii="Arial" w:eastAsiaTheme="minorHAnsi" w:hAnsi="Arial" w:cs="Arial"/>
                <w:sz w:val="20"/>
                <w:szCs w:val="20"/>
              </w:rPr>
            </w:pPr>
          </w:p>
        </w:tc>
      </w:tr>
    </w:tbl>
    <w:p w14:paraId="447AFF5B"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DA326F1" w14:textId="77777777" w:rsidR="00237960" w:rsidRPr="000706D1" w:rsidRDefault="00237960" w:rsidP="00237960">
      <w:pPr>
        <w:pStyle w:val="Heading3"/>
        <w:jc w:val="both"/>
        <w:rPr>
          <w:rFonts w:cs="Arial"/>
          <w:sz w:val="24"/>
          <w:szCs w:val="24"/>
        </w:rPr>
      </w:pPr>
      <w:bookmarkStart w:id="85" w:name="_Toc212533514"/>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5"/>
    </w:p>
    <w:tbl>
      <w:tblPr>
        <w:tblStyle w:val="TableGrid"/>
        <w:tblW w:w="9558" w:type="dxa"/>
        <w:tblLayout w:type="fixed"/>
        <w:tblLook w:val="04A0" w:firstRow="1" w:lastRow="0" w:firstColumn="1" w:lastColumn="0" w:noHBand="0" w:noVBand="1"/>
      </w:tblPr>
      <w:tblGrid>
        <w:gridCol w:w="9558"/>
      </w:tblGrid>
      <w:tr w:rsidR="00237960" w:rsidRPr="00F00D94" w14:paraId="0325F850" w14:textId="77777777" w:rsidTr="00BA784C">
        <w:tc>
          <w:tcPr>
            <w:tcW w:w="9558" w:type="dxa"/>
          </w:tcPr>
          <w:p w14:paraId="3719C012" w14:textId="77777777" w:rsidR="00237960" w:rsidRDefault="00237960" w:rsidP="00BA784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1EA482E" w14:textId="77777777" w:rsidR="00237960" w:rsidRPr="00AC7B25" w:rsidRDefault="00237960" w:rsidP="00BA784C">
            <w:pPr>
              <w:spacing w:after="240"/>
              <w:jc w:val="both"/>
              <w:rPr>
                <w:rFonts w:ascii="Arial" w:hAnsi="Arial" w:cs="Arial"/>
                <w:i/>
                <w:sz w:val="20"/>
                <w:szCs w:val="20"/>
              </w:rPr>
            </w:pPr>
            <w:r>
              <w:rPr>
                <w:rFonts w:ascii="Arial" w:hAnsi="Arial" w:cs="Arial"/>
                <w:i/>
                <w:sz w:val="20"/>
                <w:szCs w:val="20"/>
              </w:rPr>
              <w:t>(Source: 2025 OMB Compliance Supplement Part 3.2)</w:t>
            </w:r>
          </w:p>
          <w:p w14:paraId="6D4C0440" w14:textId="06D7D229"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a.</w:t>
            </w:r>
            <w:r w:rsidRPr="00204AFF">
              <w:rPr>
                <w:rFonts w:ascii="Arial" w:hAnsi="Arial" w:cs="Arial"/>
                <w:sz w:val="20"/>
              </w:rPr>
              <w:tab/>
              <w:t>Review the PHA’s procedures for performing HQS inspections and quality control re-inspections.</w:t>
            </w:r>
          </w:p>
          <w:p w14:paraId="358BD37A" w14:textId="47309ED0"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b.</w:t>
            </w:r>
            <w:r w:rsidRPr="00204AFF">
              <w:rPr>
                <w:rFonts w:ascii="Arial" w:hAnsi="Arial" w:cs="Arial"/>
                <w:sz w:val="20"/>
              </w:rPr>
              <w:tab/>
              <w:t>Test a sample of units for which rental assistance was paid during the fiscal year and review inspection reports to ascertain if the unit was inspected.</w:t>
            </w:r>
          </w:p>
          <w:p w14:paraId="43DFFE27" w14:textId="503CD260"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c.</w:t>
            </w:r>
            <w:r w:rsidRPr="00204AFF">
              <w:rPr>
                <w:rFonts w:ascii="Arial" w:hAnsi="Arial" w:cs="Arial"/>
                <w:sz w:val="20"/>
              </w:rPr>
              <w:tab/>
              <w:t>Review the PHA’s reports of re-inspections to ascertain if quality control re- inspections were performed.</w:t>
            </w:r>
          </w:p>
        </w:tc>
      </w:tr>
    </w:tbl>
    <w:p w14:paraId="62B3B5E1" w14:textId="77777777" w:rsidR="00237960" w:rsidRPr="00F00D94" w:rsidRDefault="00237960" w:rsidP="0023796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3556803" w14:textId="77777777" w:rsidR="00237960" w:rsidRPr="000706D1" w:rsidRDefault="00237960" w:rsidP="00237960">
      <w:pPr>
        <w:pStyle w:val="Heading3"/>
        <w:jc w:val="both"/>
        <w:rPr>
          <w:rFonts w:cs="Arial"/>
          <w:b w:val="0"/>
          <w:sz w:val="24"/>
          <w:szCs w:val="24"/>
        </w:rPr>
      </w:pPr>
      <w:bookmarkStart w:id="86" w:name="_Toc212533515"/>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237960" w:rsidRPr="00F00D94" w14:paraId="2841C767" w14:textId="77777777" w:rsidTr="00BA784C">
        <w:tc>
          <w:tcPr>
            <w:tcW w:w="5000" w:type="pct"/>
          </w:tcPr>
          <w:p w14:paraId="1E83FB75" w14:textId="77777777" w:rsidR="00237960" w:rsidRDefault="00237960" w:rsidP="00BA784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526C1A" w14:textId="77777777" w:rsidR="00237960" w:rsidRPr="006E46AD" w:rsidRDefault="00237960" w:rsidP="00BA784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D0A0EEB" w14:textId="77777777" w:rsidR="00237960" w:rsidRPr="006E46AD" w:rsidRDefault="00237960" w:rsidP="006F743F">
            <w:pPr>
              <w:pStyle w:val="ListParagraph"/>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5EB0F4F" w14:textId="77777777" w:rsidR="00237960" w:rsidRPr="006E46AD" w:rsidRDefault="00237960" w:rsidP="00BA784C">
            <w:pPr>
              <w:widowControl w:val="0"/>
              <w:spacing w:after="240"/>
              <w:ind w:left="720"/>
              <w:jc w:val="both"/>
              <w:rPr>
                <w:rFonts w:ascii="Arial" w:hAnsi="Arial" w:cs="Arial"/>
                <w:b/>
                <w:sz w:val="20"/>
                <w:szCs w:val="20"/>
              </w:rPr>
            </w:pPr>
          </w:p>
          <w:p w14:paraId="45B71D8B" w14:textId="77777777" w:rsidR="00237960" w:rsidRPr="006E46AD" w:rsidRDefault="00237960" w:rsidP="006F743F">
            <w:pPr>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CF54127" w14:textId="77777777" w:rsidR="00237960" w:rsidRPr="00F00D94" w:rsidRDefault="00237960" w:rsidP="00BA784C">
            <w:pPr>
              <w:pStyle w:val="ListParagraph"/>
              <w:spacing w:after="240"/>
              <w:jc w:val="both"/>
              <w:rPr>
                <w:rFonts w:ascii="Arial" w:hAnsi="Arial" w:cs="Arial"/>
                <w:b/>
              </w:rPr>
            </w:pPr>
          </w:p>
          <w:p w14:paraId="07D13EFA" w14:textId="77777777" w:rsidR="00237960" w:rsidRPr="00F00D94" w:rsidRDefault="00237960" w:rsidP="006F743F">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169AD14" w14:textId="77777777" w:rsidR="00237960" w:rsidRPr="00F00D94" w:rsidRDefault="00237960" w:rsidP="00BA784C">
            <w:pPr>
              <w:pStyle w:val="ListParagraph"/>
              <w:spacing w:after="240"/>
              <w:jc w:val="both"/>
              <w:rPr>
                <w:rFonts w:ascii="Arial" w:hAnsi="Arial" w:cs="Arial"/>
                <w:b/>
              </w:rPr>
            </w:pPr>
          </w:p>
          <w:p w14:paraId="4E218AD7" w14:textId="77777777" w:rsidR="00237960" w:rsidRPr="00F00D94" w:rsidRDefault="00237960" w:rsidP="006F743F">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D84B3F" w14:textId="77777777" w:rsidR="00237960" w:rsidRPr="00F00D94" w:rsidRDefault="00237960" w:rsidP="00BA784C">
            <w:pPr>
              <w:pStyle w:val="ListParagraph"/>
              <w:spacing w:after="240"/>
              <w:jc w:val="both"/>
              <w:rPr>
                <w:rFonts w:ascii="Arial" w:hAnsi="Arial" w:cs="Arial"/>
                <w:b/>
              </w:rPr>
            </w:pPr>
          </w:p>
          <w:p w14:paraId="3FCB9FD4" w14:textId="77777777" w:rsidR="00237960" w:rsidRPr="00F00D94" w:rsidRDefault="00237960" w:rsidP="006F743F">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1BF703F" w14:textId="77777777" w:rsidR="00237960" w:rsidRPr="00F00D94" w:rsidRDefault="00237960" w:rsidP="00BA784C">
            <w:pPr>
              <w:pStyle w:val="APStepItem"/>
              <w:numPr>
                <w:ilvl w:val="0"/>
                <w:numId w:val="0"/>
              </w:numPr>
              <w:spacing w:after="240"/>
              <w:rPr>
                <w:rFonts w:cs="Arial"/>
                <w:b/>
              </w:rPr>
            </w:pPr>
          </w:p>
        </w:tc>
      </w:tr>
    </w:tbl>
    <w:p w14:paraId="547B3395"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A2E3A90"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204AFF" w:rsidRPr="00F00D94" w:rsidSect="00257772">
          <w:headerReference w:type="default" r:id="rId74"/>
          <w:pgSz w:w="12240" w:h="15840" w:code="1"/>
          <w:pgMar w:top="1440" w:right="1440" w:bottom="1440" w:left="1440" w:header="720" w:footer="720" w:gutter="0"/>
          <w:cols w:space="720"/>
          <w:docGrid w:linePitch="360"/>
        </w:sectPr>
      </w:pPr>
    </w:p>
    <w:p w14:paraId="31F835A9" w14:textId="3EABBF39" w:rsidR="00204AFF" w:rsidRPr="000706D1" w:rsidRDefault="00204AFF" w:rsidP="00204AFF">
      <w:pPr>
        <w:pStyle w:val="Heading2"/>
        <w:jc w:val="both"/>
        <w:rPr>
          <w:rFonts w:cs="Arial"/>
          <w:sz w:val="24"/>
        </w:rPr>
      </w:pPr>
      <w:bookmarkStart w:id="87" w:name="_Toc212533516"/>
      <w:bookmarkStart w:id="88" w:name="_Toc442267704"/>
      <w:r w:rsidRPr="000706D1">
        <w:rPr>
          <w:rFonts w:cs="Arial"/>
          <w:sz w:val="24"/>
        </w:rPr>
        <w:lastRenderedPageBreak/>
        <w:t>N</w:t>
      </w:r>
      <w:r>
        <w:rPr>
          <w:rFonts w:cs="Arial"/>
          <w:sz w:val="24"/>
        </w:rPr>
        <w:t>5</w:t>
      </w:r>
      <w:r w:rsidRPr="000706D1">
        <w:rPr>
          <w:rFonts w:cs="Arial"/>
          <w:sz w:val="24"/>
        </w:rPr>
        <w:t>.</w:t>
      </w:r>
      <w:r>
        <w:rPr>
          <w:rFonts w:cs="Arial"/>
          <w:sz w:val="24"/>
        </w:rPr>
        <w:t xml:space="preserve"> </w:t>
      </w:r>
      <w:r w:rsidRPr="000706D1">
        <w:rPr>
          <w:rFonts w:cs="Arial"/>
          <w:sz w:val="24"/>
        </w:rPr>
        <w:t>SPECIAL TESTS AND PROVISIONS</w:t>
      </w:r>
      <w:r>
        <w:rPr>
          <w:rFonts w:cs="Arial"/>
          <w:sz w:val="24"/>
        </w:rPr>
        <w:t xml:space="preserve"> – HQS ENFORCEMENT</w:t>
      </w:r>
      <w:bookmarkEnd w:id="87"/>
    </w:p>
    <w:p w14:paraId="1A2F719C" w14:textId="77777777" w:rsidR="00204AFF" w:rsidRPr="000706D1" w:rsidRDefault="00204AFF" w:rsidP="00204AFF">
      <w:pPr>
        <w:pStyle w:val="Heading3"/>
        <w:jc w:val="both"/>
        <w:rPr>
          <w:rFonts w:cs="Arial"/>
          <w:sz w:val="24"/>
          <w:szCs w:val="24"/>
        </w:rPr>
      </w:pPr>
      <w:bookmarkStart w:id="89" w:name="_Toc212533517"/>
      <w:r w:rsidRPr="000706D1">
        <w:rPr>
          <w:rFonts w:cs="Arial"/>
          <w:sz w:val="24"/>
          <w:szCs w:val="24"/>
        </w:rPr>
        <w:t>OMB Compliance Requirements</w:t>
      </w:r>
      <w:bookmarkEnd w:id="89"/>
    </w:p>
    <w:p w14:paraId="29261FA7" w14:textId="77777777" w:rsidR="00204AFF" w:rsidRPr="005C1EBC"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6990310"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7175BE6" w14:textId="77777777" w:rsidR="00204AFF" w:rsidRPr="00F00D94" w:rsidRDefault="00204AFF" w:rsidP="00204AFF">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62D4D49" w14:textId="77777777" w:rsidR="00204AFF" w:rsidRPr="000706D1" w:rsidRDefault="00204AFF" w:rsidP="00204AFF">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D3529C7" w14:textId="405C1595" w:rsidR="00204AFF" w:rsidRDefault="00204AFF" w:rsidP="00204AFF">
      <w:pPr>
        <w:pStyle w:val="BodyText"/>
        <w:ind w:right="156"/>
        <w:jc w:val="both"/>
        <w:rPr>
          <w:rFonts w:ascii="Arial" w:hAnsi="Arial" w:cs="Arial"/>
          <w:szCs w:val="20"/>
        </w:rPr>
      </w:pPr>
      <w:r w:rsidRPr="00204AFF">
        <w:rPr>
          <w:rFonts w:ascii="Arial" w:hAnsi="Arial" w:cs="Arial"/>
          <w:szCs w:val="20"/>
        </w:rPr>
        <w:t>For units under HAP contract that fail to meet HQS, if the reported deficiency is life-threatening, the PHA must, within 24 hours of notification, both inspect the housing unit and notify the owner if the life-threatening deficiency is confirmed. The owner must then make the repairs within 24 hours of PHA notification. If the reported deficiency is non-life-threatening, the PHA must, within 15 days of notification, both inspect the unit and notify the owner if the deficiency is confirmed. The owner must then make the repairs within 30 days of notification from the PHA or within any PHA-approved extension. (24 CFR section 982.405(d)). If the owner does not correct the cited HQS deficiencies within the specified correction period, the PHA must stop (abate) HAPs beginning no later than the first of the month following the specified correction period or must terminate the HAP contract. The owner is not responsible for a breach of HQS as a result of the family’s failure to pay for utilities for which the family is responsible under the lease or for tenant damage. For family-caused defects, if the family does not correct the cited HQS deficiencies within the specified correction period, the PHA must take prompt and vigorous action to enforce the family obligations (24 CFR sections 982.158(d) and 982.404).</w:t>
      </w:r>
    </w:p>
    <w:p w14:paraId="4A121D23" w14:textId="77777777" w:rsidR="00204AFF" w:rsidRPr="00204AFF" w:rsidRDefault="00204AFF" w:rsidP="00204AFF">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33F4993D" w14:textId="77777777" w:rsidR="00204AFF" w:rsidRPr="000706D1" w:rsidRDefault="00204AFF" w:rsidP="00204AFF">
      <w:pPr>
        <w:pStyle w:val="Heading3"/>
        <w:jc w:val="both"/>
        <w:rPr>
          <w:rFonts w:cs="Arial"/>
          <w:sz w:val="24"/>
          <w:szCs w:val="24"/>
        </w:rPr>
      </w:pPr>
      <w:bookmarkStart w:id="90" w:name="_Toc212533518"/>
      <w:r w:rsidRPr="000706D1">
        <w:rPr>
          <w:rFonts w:cs="Arial"/>
          <w:sz w:val="24"/>
          <w:szCs w:val="24"/>
        </w:rPr>
        <w:t>Additional Program Specific Information</w:t>
      </w:r>
      <w:bookmarkEnd w:id="90"/>
    </w:p>
    <w:p w14:paraId="49A7849D" w14:textId="77777777" w:rsidR="00204AFF" w:rsidRPr="00AA5B05" w:rsidRDefault="00204AFF" w:rsidP="00204AFF">
      <w:pPr>
        <w:spacing w:after="240"/>
        <w:jc w:val="both"/>
        <w:rPr>
          <w:rFonts w:ascii="Arial" w:hAnsi="Arial" w:cs="Arial"/>
          <w:b/>
          <w:highlight w:val="yellow"/>
        </w:rPr>
      </w:pPr>
      <w:r w:rsidRPr="00AA5B05">
        <w:rPr>
          <w:rFonts w:ascii="Arial" w:hAnsi="Arial" w:cs="Arial"/>
          <w:b/>
          <w:highlight w:val="yellow"/>
        </w:rPr>
        <w:t>Add program specific requirements from:</w:t>
      </w:r>
    </w:p>
    <w:p w14:paraId="3A975181" w14:textId="77777777" w:rsidR="00204AFF" w:rsidRPr="00AA5B05" w:rsidRDefault="00204AFF"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A1E8CDE" w14:textId="77777777" w:rsidR="00204AFF" w:rsidRPr="00AA5B05" w:rsidRDefault="00204AFF"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10EF3AB" w14:textId="77777777" w:rsidR="00204AFF" w:rsidRPr="00AA5B05" w:rsidRDefault="00204AFF"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5A6CADB" w14:textId="77777777" w:rsidR="00204AFF" w:rsidRPr="00AA5B05" w:rsidRDefault="00204AFF" w:rsidP="00204AFF">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3AC0DDF8" w14:textId="77777777" w:rsidR="00204AFF" w:rsidRPr="000706D1" w:rsidRDefault="00204AFF" w:rsidP="00204AFF">
      <w:pPr>
        <w:pStyle w:val="Heading3"/>
        <w:jc w:val="both"/>
        <w:rPr>
          <w:rFonts w:cs="Arial"/>
          <w:sz w:val="24"/>
          <w:szCs w:val="24"/>
        </w:rPr>
      </w:pPr>
      <w:bookmarkStart w:id="91" w:name="_Toc212533519"/>
      <w:r w:rsidRPr="000706D1">
        <w:rPr>
          <w:rFonts w:cs="Arial"/>
          <w:sz w:val="24"/>
          <w:szCs w:val="24"/>
        </w:rPr>
        <w:t>Audit Objectives and Control Testing</w:t>
      </w:r>
      <w:bookmarkEnd w:id="91"/>
    </w:p>
    <w:p w14:paraId="14104598" w14:textId="77777777" w:rsidR="00204AFF" w:rsidRPr="00F00D94" w:rsidRDefault="00204AFF" w:rsidP="00204AF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F4A8B2B" w14:textId="77777777" w:rsidR="00204AFF" w:rsidRPr="00F00D94" w:rsidRDefault="00204AFF" w:rsidP="00204AF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9C9DE3D" w14:textId="77777777" w:rsidR="00204AFF"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05FC065" w14:textId="2E388F34" w:rsidR="00204AFF" w:rsidRDefault="00204AFF" w:rsidP="006F743F">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04AFF">
        <w:rPr>
          <w:rFonts w:ascii="Arial" w:hAnsi="Arial" w:cs="Arial"/>
          <w:iCs/>
        </w:rPr>
        <w:t>Determine whether the PHA documented enforcement of the HQS.</w:t>
      </w:r>
    </w:p>
    <w:p w14:paraId="0464D4D0" w14:textId="77777777" w:rsidR="00204AFF" w:rsidRPr="00204AFF" w:rsidRDefault="00204AFF" w:rsidP="00204AFF">
      <w:pPr>
        <w:spacing w:after="240"/>
        <w:jc w:val="both"/>
        <w:rPr>
          <w:rFonts w:ascii="Arial" w:hAnsi="Arial" w:cs="Arial"/>
          <w:b/>
          <w:highlight w:val="yellow"/>
        </w:rPr>
      </w:pPr>
      <w:r w:rsidRPr="00204AFF">
        <w:rPr>
          <w:rFonts w:ascii="Arial" w:hAnsi="Arial" w:cs="Arial"/>
          <w:i/>
          <w:iCs/>
        </w:rPr>
        <w:t>(Source: 202</w:t>
      </w:r>
      <w:r>
        <w:rPr>
          <w:rFonts w:ascii="Arial" w:hAnsi="Arial" w:cs="Arial"/>
          <w:i/>
          <w:iCs/>
        </w:rPr>
        <w:t>5</w:t>
      </w:r>
      <w:r w:rsidRPr="00204AFF">
        <w:rPr>
          <w:rFonts w:ascii="Arial" w:hAnsi="Arial" w:cs="Arial"/>
          <w:i/>
          <w:iCs/>
        </w:rPr>
        <w:t xml:space="preserve"> OMB Compliance Supplement, Part 4, HUD, Housing Voucher Cluster)</w:t>
      </w:r>
    </w:p>
    <w:p w14:paraId="2B44D52E" w14:textId="77777777" w:rsidR="00204AFF" w:rsidRPr="00634FA3" w:rsidRDefault="00204AFF" w:rsidP="00204AFF">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04AFF" w:rsidRPr="00F00D94" w14:paraId="1F3B95CE" w14:textId="77777777" w:rsidTr="00BA784C">
        <w:tc>
          <w:tcPr>
            <w:tcW w:w="5000" w:type="pct"/>
          </w:tcPr>
          <w:p w14:paraId="0AB3003C" w14:textId="77777777" w:rsidR="00204AFF" w:rsidRPr="006F5FFA" w:rsidRDefault="00204AFF" w:rsidP="00BA784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01CABF5" w14:textId="77777777" w:rsidR="00204AFF" w:rsidRPr="00F00D94" w:rsidRDefault="00204AFF" w:rsidP="00BA784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6FD8549" w14:textId="77777777" w:rsidR="00204AFF" w:rsidRPr="00F00D94" w:rsidRDefault="00204AFF" w:rsidP="00BA784C">
            <w:pPr>
              <w:pStyle w:val="AuditProcedureHeading"/>
              <w:spacing w:after="240"/>
              <w:jc w:val="both"/>
              <w:rPr>
                <w:rFonts w:cs="Arial"/>
                <w:b/>
                <w:bCs/>
                <w:szCs w:val="20"/>
                <w:u w:val="single"/>
              </w:rPr>
            </w:pPr>
          </w:p>
          <w:p w14:paraId="36EF0C99" w14:textId="77777777" w:rsidR="00204AFF" w:rsidRPr="00F00D94" w:rsidRDefault="00204AFF" w:rsidP="00BA784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BC32393" w14:textId="77777777" w:rsidR="00204AFF" w:rsidRPr="00F00D94" w:rsidRDefault="00204AFF" w:rsidP="00BA784C">
            <w:pPr>
              <w:pStyle w:val="AuditProcedureHeading"/>
              <w:spacing w:after="240"/>
              <w:jc w:val="both"/>
              <w:rPr>
                <w:rFonts w:cs="Arial"/>
                <w:b/>
                <w:bCs/>
                <w:szCs w:val="20"/>
                <w:u w:val="single"/>
              </w:rPr>
            </w:pPr>
          </w:p>
          <w:p w14:paraId="583877A5" w14:textId="77777777" w:rsidR="00204AFF" w:rsidRPr="00F00D94" w:rsidRDefault="00204AFF" w:rsidP="00BA784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952EC75" w14:textId="77777777" w:rsidR="00204AFF" w:rsidRPr="00F00D94" w:rsidRDefault="00204AFF" w:rsidP="00BA784C">
            <w:pPr>
              <w:spacing w:after="240"/>
              <w:jc w:val="both"/>
              <w:rPr>
                <w:rFonts w:ascii="Arial" w:hAnsi="Arial" w:cs="Arial"/>
                <w:b/>
                <w:sz w:val="20"/>
                <w:u w:val="single"/>
              </w:rPr>
            </w:pPr>
          </w:p>
          <w:p w14:paraId="4D45ED1D" w14:textId="77777777" w:rsidR="00204AFF" w:rsidRPr="00F00D94" w:rsidRDefault="00204AFF" w:rsidP="00BA784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EA65C9C" w14:textId="77777777" w:rsidR="00204AFF" w:rsidRPr="00C35E5F" w:rsidRDefault="00204AFF" w:rsidP="00BA784C">
            <w:pPr>
              <w:spacing w:after="240"/>
              <w:jc w:val="both"/>
              <w:rPr>
                <w:rFonts w:ascii="Arial" w:eastAsiaTheme="minorHAnsi" w:hAnsi="Arial" w:cs="Arial"/>
                <w:sz w:val="20"/>
                <w:szCs w:val="20"/>
              </w:rPr>
            </w:pPr>
          </w:p>
        </w:tc>
      </w:tr>
    </w:tbl>
    <w:p w14:paraId="4BEEBE1A"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0FFC31D" w14:textId="77777777" w:rsidR="00204AFF" w:rsidRPr="000706D1" w:rsidRDefault="00204AFF" w:rsidP="00204AFF">
      <w:pPr>
        <w:pStyle w:val="Heading3"/>
        <w:jc w:val="both"/>
        <w:rPr>
          <w:rFonts w:cs="Arial"/>
          <w:sz w:val="24"/>
          <w:szCs w:val="24"/>
        </w:rPr>
      </w:pPr>
      <w:bookmarkStart w:id="92" w:name="_Toc21253352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2"/>
    </w:p>
    <w:tbl>
      <w:tblPr>
        <w:tblStyle w:val="TableGrid"/>
        <w:tblW w:w="9558" w:type="dxa"/>
        <w:tblLayout w:type="fixed"/>
        <w:tblLook w:val="04A0" w:firstRow="1" w:lastRow="0" w:firstColumn="1" w:lastColumn="0" w:noHBand="0" w:noVBand="1"/>
      </w:tblPr>
      <w:tblGrid>
        <w:gridCol w:w="9558"/>
      </w:tblGrid>
      <w:tr w:rsidR="00204AFF" w:rsidRPr="00F00D94" w14:paraId="6EB197A2" w14:textId="77777777" w:rsidTr="00BA784C">
        <w:tc>
          <w:tcPr>
            <w:tcW w:w="9558" w:type="dxa"/>
          </w:tcPr>
          <w:p w14:paraId="0EECF6F2" w14:textId="77777777" w:rsidR="00204AFF" w:rsidRDefault="00204AFF" w:rsidP="00BA784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3CA595D" w14:textId="77777777" w:rsidR="00204AFF" w:rsidRPr="00AC7B25" w:rsidRDefault="00204AFF" w:rsidP="00BA784C">
            <w:pPr>
              <w:spacing w:after="240"/>
              <w:jc w:val="both"/>
              <w:rPr>
                <w:rFonts w:ascii="Arial" w:hAnsi="Arial" w:cs="Arial"/>
                <w:i/>
                <w:sz w:val="20"/>
                <w:szCs w:val="20"/>
              </w:rPr>
            </w:pPr>
            <w:r>
              <w:rPr>
                <w:rFonts w:ascii="Arial" w:hAnsi="Arial" w:cs="Arial"/>
                <w:i/>
                <w:sz w:val="20"/>
                <w:szCs w:val="20"/>
              </w:rPr>
              <w:t>(Source: 2025 OMB Compliance Supplement Part 3.2)</w:t>
            </w:r>
          </w:p>
          <w:p w14:paraId="788B6324" w14:textId="77777777" w:rsidR="00204AFF" w:rsidRPr="00204AFF" w:rsidRDefault="00204AFF" w:rsidP="00475043">
            <w:pPr>
              <w:spacing w:after="240"/>
              <w:ind w:left="60"/>
              <w:jc w:val="both"/>
              <w:rPr>
                <w:rFonts w:ascii="Arial" w:hAnsi="Arial" w:cs="Arial"/>
                <w:sz w:val="20"/>
              </w:rPr>
            </w:pPr>
            <w:r w:rsidRPr="00204AFF">
              <w:rPr>
                <w:rFonts w:ascii="Arial" w:hAnsi="Arial" w:cs="Arial"/>
                <w:sz w:val="20"/>
              </w:rPr>
              <w:t>Select a sample of units with failed HQS inspections during the audit period from the PHA’s logs or records of failed HQS inspections.</w:t>
            </w:r>
          </w:p>
          <w:p w14:paraId="14A85ACA" w14:textId="77777777"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lastRenderedPageBreak/>
              <w:t>a.</w:t>
            </w:r>
            <w:r w:rsidRPr="00204AFF">
              <w:rPr>
                <w:rFonts w:ascii="Arial" w:hAnsi="Arial" w:cs="Arial"/>
                <w:sz w:val="20"/>
              </w:rPr>
              <w:tab/>
              <w:t>Verify that the files document that the PHA required correction of any cited life threatening HQS deficiencies within 24 hours of the inspection and of all other HQS deficiencies within 30 calendar days of the inspection or within a PHA-approved extension. If the reported deficiency is non-life-threatening, the PHA must, within 15 days of notification, both inspect the unit and notify the owner if the deficiency is confirmed.</w:t>
            </w:r>
          </w:p>
          <w:p w14:paraId="0262F54C" w14:textId="77777777"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b.</w:t>
            </w:r>
            <w:r w:rsidRPr="00204AFF">
              <w:rPr>
                <w:rFonts w:ascii="Arial" w:hAnsi="Arial" w:cs="Arial"/>
                <w:sz w:val="20"/>
              </w:rPr>
              <w:tab/>
              <w:t>If the correction period has ended, verify that the files contain a unit inspection report or evidence of other verification documenting that any PHA-required repairs were completed.</w:t>
            </w:r>
          </w:p>
          <w:p w14:paraId="400FF2B1" w14:textId="77777777"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c.</w:t>
            </w:r>
            <w:r w:rsidRPr="00204AFF">
              <w:rPr>
                <w:rFonts w:ascii="Arial" w:hAnsi="Arial" w:cs="Arial"/>
                <w:sz w:val="20"/>
              </w:rPr>
              <w:tab/>
              <w:t>Where the file shows that the owner failed to correct the cited HQS deficiencies within the specified time frame, verify that documents in the file show that the PHA properly stopped (abated) HAPs or terminated the HAP contract.</w:t>
            </w:r>
          </w:p>
          <w:p w14:paraId="2C0FA174" w14:textId="5C21541F" w:rsidR="00204AFF" w:rsidRPr="00204AFF" w:rsidRDefault="00204AFF" w:rsidP="00204AFF">
            <w:pPr>
              <w:spacing w:after="240"/>
              <w:ind w:left="690" w:hanging="690"/>
              <w:jc w:val="both"/>
              <w:rPr>
                <w:rFonts w:ascii="Arial" w:hAnsi="Arial" w:cs="Arial"/>
                <w:sz w:val="20"/>
              </w:rPr>
            </w:pPr>
            <w:r w:rsidRPr="00204AFF">
              <w:rPr>
                <w:rFonts w:ascii="Arial" w:hAnsi="Arial" w:cs="Arial"/>
                <w:sz w:val="20"/>
              </w:rPr>
              <w:t>d.</w:t>
            </w:r>
            <w:r w:rsidRPr="00204AFF">
              <w:rPr>
                <w:rFonts w:ascii="Arial" w:hAnsi="Arial" w:cs="Arial"/>
                <w:sz w:val="20"/>
              </w:rPr>
              <w:tab/>
              <w:t>Where the file shows that the family failed to correct the cited HQS deficiencies within the specified time frame, verify that documents in the file show that the PHA took action to enforce the family obligations.</w:t>
            </w:r>
          </w:p>
        </w:tc>
      </w:tr>
    </w:tbl>
    <w:p w14:paraId="2E132068"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ECF07AE" w14:textId="77777777" w:rsidR="00204AFF" w:rsidRPr="000706D1" w:rsidRDefault="00204AFF" w:rsidP="00204AFF">
      <w:pPr>
        <w:pStyle w:val="Heading3"/>
        <w:jc w:val="both"/>
        <w:rPr>
          <w:rFonts w:cs="Arial"/>
          <w:b w:val="0"/>
          <w:sz w:val="24"/>
          <w:szCs w:val="24"/>
        </w:rPr>
      </w:pPr>
      <w:bookmarkStart w:id="93" w:name="_Toc212533521"/>
      <w:r w:rsidRPr="000706D1">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204AFF" w:rsidRPr="00F00D94" w14:paraId="2C89952E" w14:textId="77777777" w:rsidTr="00BA784C">
        <w:tc>
          <w:tcPr>
            <w:tcW w:w="5000" w:type="pct"/>
          </w:tcPr>
          <w:p w14:paraId="57666624" w14:textId="77777777" w:rsidR="00204AFF" w:rsidRDefault="00204AFF" w:rsidP="00BA784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E695B4F" w14:textId="77777777" w:rsidR="00204AFF" w:rsidRPr="006E46AD" w:rsidRDefault="00204AFF" w:rsidP="00BA784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AE08C36" w14:textId="77777777" w:rsidR="00204AFF" w:rsidRPr="006E46AD" w:rsidRDefault="00204AFF" w:rsidP="006F743F">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36FDB65" w14:textId="77777777" w:rsidR="00204AFF" w:rsidRPr="006E46AD" w:rsidRDefault="00204AFF" w:rsidP="00BA784C">
            <w:pPr>
              <w:widowControl w:val="0"/>
              <w:spacing w:after="240"/>
              <w:ind w:left="720"/>
              <w:jc w:val="both"/>
              <w:rPr>
                <w:rFonts w:ascii="Arial" w:hAnsi="Arial" w:cs="Arial"/>
                <w:b/>
                <w:sz w:val="20"/>
                <w:szCs w:val="20"/>
              </w:rPr>
            </w:pPr>
          </w:p>
          <w:p w14:paraId="45407B32" w14:textId="77777777" w:rsidR="00204AFF" w:rsidRPr="006E46AD" w:rsidRDefault="00204AFF" w:rsidP="006F743F">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5C30E45" w14:textId="77777777" w:rsidR="00204AFF" w:rsidRPr="00F00D94" w:rsidRDefault="00204AFF" w:rsidP="00BA784C">
            <w:pPr>
              <w:pStyle w:val="ListParagraph"/>
              <w:spacing w:after="240"/>
              <w:jc w:val="both"/>
              <w:rPr>
                <w:rFonts w:ascii="Arial" w:hAnsi="Arial" w:cs="Arial"/>
                <w:b/>
              </w:rPr>
            </w:pPr>
          </w:p>
          <w:p w14:paraId="3707567E" w14:textId="77777777" w:rsidR="00204AFF" w:rsidRPr="00F00D94" w:rsidRDefault="00204AFF" w:rsidP="006F743F">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F8DE90E" w14:textId="77777777" w:rsidR="00204AFF" w:rsidRPr="00F00D94" w:rsidRDefault="00204AFF" w:rsidP="00BA784C">
            <w:pPr>
              <w:pStyle w:val="ListParagraph"/>
              <w:spacing w:after="240"/>
              <w:jc w:val="both"/>
              <w:rPr>
                <w:rFonts w:ascii="Arial" w:hAnsi="Arial" w:cs="Arial"/>
                <w:b/>
              </w:rPr>
            </w:pPr>
          </w:p>
          <w:p w14:paraId="72328A49" w14:textId="77777777" w:rsidR="00204AFF" w:rsidRPr="00F00D94" w:rsidRDefault="00204AFF" w:rsidP="006F743F">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7F0084F" w14:textId="77777777" w:rsidR="00204AFF" w:rsidRPr="00F00D94" w:rsidRDefault="00204AFF" w:rsidP="00BA784C">
            <w:pPr>
              <w:pStyle w:val="ListParagraph"/>
              <w:spacing w:after="240"/>
              <w:jc w:val="both"/>
              <w:rPr>
                <w:rFonts w:ascii="Arial" w:hAnsi="Arial" w:cs="Arial"/>
                <w:b/>
              </w:rPr>
            </w:pPr>
          </w:p>
          <w:p w14:paraId="2CFB1758" w14:textId="77777777" w:rsidR="00204AFF" w:rsidRPr="006F743F" w:rsidRDefault="00204AFF" w:rsidP="006F743F">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BB67E1" w14:textId="77777777" w:rsidR="006F743F" w:rsidRDefault="006F743F" w:rsidP="006F743F">
            <w:pPr>
              <w:pStyle w:val="ListParagraph"/>
              <w:rPr>
                <w:rFonts w:ascii="Arial" w:eastAsiaTheme="minorHAnsi" w:hAnsi="Arial" w:cs="Arial"/>
                <w:b/>
                <w:sz w:val="20"/>
              </w:rPr>
            </w:pPr>
          </w:p>
          <w:p w14:paraId="13F15654" w14:textId="2E746BBC" w:rsidR="006F743F" w:rsidRPr="006F743F" w:rsidRDefault="006F743F" w:rsidP="006F743F">
            <w:pPr>
              <w:widowControl w:val="0"/>
              <w:spacing w:after="240"/>
              <w:jc w:val="both"/>
              <w:rPr>
                <w:rFonts w:ascii="Arial" w:eastAsiaTheme="minorHAnsi" w:hAnsi="Arial" w:cs="Arial"/>
                <w:b/>
                <w:sz w:val="20"/>
              </w:rPr>
            </w:pPr>
          </w:p>
        </w:tc>
      </w:tr>
    </w:tbl>
    <w:p w14:paraId="146503A4" w14:textId="77777777" w:rsidR="006F743F" w:rsidRDefault="006F743F" w:rsidP="00204AFF">
      <w:pPr>
        <w:pStyle w:val="Heading2"/>
        <w:jc w:val="both"/>
        <w:rPr>
          <w:rFonts w:cs="Arial"/>
          <w:sz w:val="24"/>
        </w:rPr>
        <w:sectPr w:rsidR="006F743F" w:rsidSect="00257772">
          <w:headerReference w:type="default" r:id="rId76"/>
          <w:pgSz w:w="12240" w:h="15840" w:code="1"/>
          <w:pgMar w:top="1440" w:right="1440" w:bottom="1440" w:left="1440" w:header="720" w:footer="720" w:gutter="0"/>
          <w:cols w:space="720"/>
          <w:docGrid w:linePitch="360"/>
        </w:sectPr>
      </w:pPr>
    </w:p>
    <w:p w14:paraId="2C7C133A" w14:textId="0F226F9B" w:rsidR="00204AFF" w:rsidRPr="000706D1" w:rsidRDefault="00204AFF" w:rsidP="00204AFF">
      <w:pPr>
        <w:pStyle w:val="Heading2"/>
        <w:jc w:val="both"/>
        <w:rPr>
          <w:rFonts w:cs="Arial"/>
          <w:sz w:val="24"/>
        </w:rPr>
      </w:pPr>
      <w:bookmarkStart w:id="94" w:name="_Toc212533522"/>
      <w:r w:rsidRPr="000706D1">
        <w:rPr>
          <w:rFonts w:cs="Arial"/>
          <w:sz w:val="24"/>
        </w:rPr>
        <w:lastRenderedPageBreak/>
        <w:t>N</w:t>
      </w:r>
      <w:r w:rsidR="006F743F">
        <w:rPr>
          <w:rFonts w:cs="Arial"/>
          <w:sz w:val="24"/>
        </w:rPr>
        <w:t>6</w:t>
      </w:r>
      <w:r w:rsidRPr="000706D1">
        <w:rPr>
          <w:rFonts w:cs="Arial"/>
          <w:sz w:val="24"/>
        </w:rPr>
        <w:t>.</w:t>
      </w:r>
      <w:r>
        <w:rPr>
          <w:rFonts w:cs="Arial"/>
          <w:sz w:val="24"/>
        </w:rPr>
        <w:t xml:space="preserve"> </w:t>
      </w:r>
      <w:r w:rsidRPr="000706D1">
        <w:rPr>
          <w:rFonts w:cs="Arial"/>
          <w:sz w:val="24"/>
        </w:rPr>
        <w:t>SPECIAL TESTS AND PROVISIONS</w:t>
      </w:r>
      <w:r>
        <w:rPr>
          <w:rFonts w:cs="Arial"/>
          <w:sz w:val="24"/>
        </w:rPr>
        <w:t xml:space="preserve"> – </w:t>
      </w:r>
      <w:r w:rsidR="006F743F">
        <w:rPr>
          <w:rFonts w:cs="Arial"/>
          <w:sz w:val="24"/>
        </w:rPr>
        <w:t>HOUSING ASSISTANCE PAYMENT</w:t>
      </w:r>
      <w:bookmarkEnd w:id="94"/>
    </w:p>
    <w:p w14:paraId="2EFA75BB" w14:textId="77777777" w:rsidR="00204AFF" w:rsidRPr="000706D1" w:rsidRDefault="00204AFF" w:rsidP="00204AFF">
      <w:pPr>
        <w:pStyle w:val="Heading3"/>
        <w:jc w:val="both"/>
        <w:rPr>
          <w:rFonts w:cs="Arial"/>
          <w:sz w:val="24"/>
          <w:szCs w:val="24"/>
        </w:rPr>
      </w:pPr>
      <w:bookmarkStart w:id="95" w:name="_Toc212533523"/>
      <w:r w:rsidRPr="000706D1">
        <w:rPr>
          <w:rFonts w:cs="Arial"/>
          <w:sz w:val="24"/>
          <w:szCs w:val="24"/>
        </w:rPr>
        <w:t>OMB Compliance Requirements</w:t>
      </w:r>
      <w:bookmarkEnd w:id="95"/>
    </w:p>
    <w:p w14:paraId="598362B8" w14:textId="77777777" w:rsidR="00204AFF" w:rsidRPr="005C1EBC"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06F1A3E"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14E777E" w14:textId="77777777" w:rsidR="00204AFF" w:rsidRPr="00F00D94" w:rsidRDefault="00204AFF" w:rsidP="00204AFF">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A4AF4BE" w14:textId="77777777" w:rsidR="00204AFF" w:rsidRPr="000706D1" w:rsidRDefault="00204AFF" w:rsidP="00204AFF">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C199604" w14:textId="3687D3FD" w:rsidR="006F743F" w:rsidRPr="006F743F" w:rsidRDefault="006F743F" w:rsidP="006F743F">
      <w:pPr>
        <w:pStyle w:val="BodyText"/>
        <w:ind w:right="186"/>
        <w:jc w:val="both"/>
        <w:rPr>
          <w:rFonts w:ascii="Arial" w:hAnsi="Arial" w:cs="Arial"/>
        </w:rPr>
      </w:pPr>
      <w:r w:rsidRPr="006F743F">
        <w:rPr>
          <w:rFonts w:ascii="Arial" w:hAnsi="Arial" w:cs="Arial"/>
        </w:rPr>
        <w:t>The PHA must pay a monthly HAP on behalf of the family that corresponds with the amount on line 12u of the HUD-50058. This HAP amount must be reflected on the HAP contract and HAP register (24 CFR section 982.158 and 24 CFR Part 982, Subpart K).</w:t>
      </w:r>
    </w:p>
    <w:p w14:paraId="387D82FA" w14:textId="77777777" w:rsidR="006F743F" w:rsidRPr="006F743F" w:rsidRDefault="006F743F" w:rsidP="006F743F">
      <w:pPr>
        <w:pStyle w:val="BodyText"/>
        <w:ind w:right="200"/>
        <w:jc w:val="both"/>
        <w:rPr>
          <w:rFonts w:ascii="Arial" w:hAnsi="Arial" w:cs="Arial"/>
        </w:rPr>
      </w:pPr>
      <w:r w:rsidRPr="006F743F">
        <w:rPr>
          <w:rFonts w:ascii="Arial" w:hAnsi="Arial" w:cs="Arial"/>
        </w:rPr>
        <w:t>A payment standard is used to calculate the monthly housing assistance payment for a family. The “payment standard” is the maximum monthly subsidy payment. The PHA shall pay a monthly housing assistance payment on behalf of the family that is equal to the lower of: (1) The payment standard for the family minus the total tenant payment; or (2) The gross rent minus the total tenant payment. The payment standard for the family is the lower of: (i) The payment standard amount for the family unit size; or (ii) The payment standard amount for the size of the dwelling unit rented by the family. 24 CFR 982.505</w:t>
      </w:r>
    </w:p>
    <w:p w14:paraId="728AECD4" w14:textId="77777777" w:rsidR="006F743F" w:rsidRPr="006F743F" w:rsidRDefault="006F743F" w:rsidP="006F743F">
      <w:pPr>
        <w:pStyle w:val="BodyText"/>
        <w:ind w:right="294"/>
        <w:jc w:val="both"/>
        <w:rPr>
          <w:rFonts w:ascii="Arial" w:hAnsi="Arial" w:cs="Arial"/>
        </w:rPr>
      </w:pPr>
      <w:r w:rsidRPr="006F743F">
        <w:rPr>
          <w:rFonts w:ascii="Arial" w:hAnsi="Arial" w:cs="Arial"/>
        </w:rPr>
        <w:t>PHAs must adopt a payment standard schedule that establishes voucher payment standard amounts for each area in the PHA jurisdiction. PHAs must establish a payment standard amount for each unit size, measured by number of bedrooms (zero-bedroom, one-bedroom, and so on). These payment standard amounts comprise the PHA's payment standard schedule. Generally, PHAs may set payment standards within the basic range, which is 90 percent to 110 percent, of the HUD published Fair Market Rents (FMR) or Small Area FMRs (SAFMRs), whichever is applicable, without HUD notification or approval. PHAs may set payment standards outside of the basic range with HUD notification or HUD approval (24 CFR 982.503(d)).</w:t>
      </w:r>
    </w:p>
    <w:p w14:paraId="2F317DC5" w14:textId="77777777" w:rsidR="006F743F" w:rsidRPr="006F743F" w:rsidRDefault="006F743F" w:rsidP="006F743F">
      <w:pPr>
        <w:pStyle w:val="BodyText"/>
        <w:spacing w:before="1"/>
        <w:ind w:right="626"/>
        <w:jc w:val="both"/>
        <w:rPr>
          <w:rFonts w:ascii="Arial" w:hAnsi="Arial" w:cs="Arial"/>
        </w:rPr>
      </w:pPr>
      <w:r w:rsidRPr="006F743F">
        <w:rPr>
          <w:rFonts w:ascii="Arial" w:hAnsi="Arial" w:cs="Arial"/>
        </w:rPr>
        <w:t>FMRs/SAFMRs represent the cost to rent a moderately-priced dwelling unit in the local housing market and defined as the 40th percentile of rents paid by recent movers in the given FMR area.</w:t>
      </w:r>
    </w:p>
    <w:p w14:paraId="2D67B6A7" w14:textId="5167C3B5" w:rsidR="006F743F" w:rsidRPr="006F743F" w:rsidRDefault="006F743F" w:rsidP="006F743F">
      <w:pPr>
        <w:pStyle w:val="BodyText"/>
        <w:ind w:right="230"/>
        <w:jc w:val="both"/>
        <w:rPr>
          <w:rFonts w:ascii="Arial" w:hAnsi="Arial" w:cs="Arial"/>
        </w:rPr>
      </w:pPr>
      <w:r w:rsidRPr="006F743F">
        <w:rPr>
          <w:rFonts w:ascii="Arial" w:hAnsi="Arial" w:cs="Arial"/>
        </w:rPr>
        <w:t xml:space="preserve">HUD will designate SAFMR areas at the beginning of a Federal fiscal year, and such designations will be permanent. HUD will make new area designations every 5 years thereafter as new data becomes </w:t>
      </w:r>
      <w:r w:rsidRPr="006F743F">
        <w:rPr>
          <w:rFonts w:ascii="Arial" w:hAnsi="Arial" w:cs="Arial"/>
        </w:rPr>
        <w:lastRenderedPageBreak/>
        <w:t xml:space="preserve">available. Recently, on October 25, 2023, HUD designated new mandatory SAFMR areas in Federal Register notice entitled “Small Area Fair Market Rents in the Housing Choice Voucher Program Metropolitan Areas Subject to Small Area Fair Market Rents” (88 FR 73352 </w:t>
      </w:r>
      <w:hyperlink r:id="rId77">
        <w:r w:rsidRPr="006F743F">
          <w:rPr>
            <w:rFonts w:ascii="Arial" w:hAnsi="Arial" w:cs="Arial"/>
            <w:color w:val="0000FF"/>
            <w:u w:val="single" w:color="0000FF"/>
          </w:rPr>
          <w:t>https://www.federalregister.gov/documents/2023/10/25/2023-23685/small-area-fair-market-</w:t>
        </w:r>
      </w:hyperlink>
      <w:hyperlink r:id="rId78">
        <w:r w:rsidRPr="006F743F">
          <w:rPr>
            <w:rFonts w:ascii="Arial" w:hAnsi="Arial" w:cs="Arial"/>
            <w:color w:val="0000FF"/>
            <w:u w:val="single" w:color="0000FF"/>
          </w:rPr>
          <w:t>rents-in-the-housing-choice-voucher-program-metropolitan-areas-subject-to</w:t>
        </w:r>
        <w:r w:rsidRPr="006F743F">
          <w:rPr>
            <w:rFonts w:ascii="Arial" w:hAnsi="Arial" w:cs="Arial"/>
            <w:color w:val="0000FF"/>
          </w:rPr>
          <w:t xml:space="preserve"> </w:t>
        </w:r>
      </w:hyperlink>
      <w:r w:rsidRPr="006F743F">
        <w:rPr>
          <w:rFonts w:ascii="Arial" w:hAnsi="Arial" w:cs="Arial"/>
        </w:rPr>
        <w:t>). All PHAs administering HCV programs in designated SAFMR areas are required to use Small Area FMRs. A PHA administering an HCV program in either a metropolitan area not subject to the application of SAFMRs or in a non-metropolitan area for which HUD publishes SAFMRs may choose to use SAFMRs after notification to HUD. See Notice PIH 2023-32 for guidance on SAFMRs and a list of all mandatory SAFMR areas. The goal for setting</w:t>
      </w:r>
      <w:r>
        <w:rPr>
          <w:rFonts w:ascii="Arial" w:hAnsi="Arial" w:cs="Arial"/>
        </w:rPr>
        <w:t xml:space="preserve"> </w:t>
      </w:r>
      <w:r w:rsidRPr="006F743F">
        <w:rPr>
          <w:rFonts w:ascii="Arial" w:hAnsi="Arial" w:cs="Arial"/>
        </w:rPr>
        <w:t>adequate payment standards is to strike a balance between maximizing the number of families assisted while minimizing family rent burden. It also has the goal of providing sufficient subsidy that allows families to be competitive in the open rental market.</w:t>
      </w:r>
    </w:p>
    <w:p w14:paraId="1556BC49" w14:textId="77777777" w:rsidR="006F743F" w:rsidRPr="006F743F" w:rsidRDefault="006F743F" w:rsidP="006F743F">
      <w:pPr>
        <w:pStyle w:val="BodyText"/>
        <w:ind w:right="272"/>
        <w:jc w:val="both"/>
        <w:rPr>
          <w:rFonts w:ascii="Arial" w:hAnsi="Arial" w:cs="Arial"/>
        </w:rPr>
      </w:pPr>
      <w:r w:rsidRPr="006F743F">
        <w:rPr>
          <w:rFonts w:ascii="Arial" w:hAnsi="Arial" w:cs="Arial"/>
        </w:rPr>
        <w:t>HUD publishes new FMRs around August every year and the FMRs are generally effective for October 1st. PHAs must revise its payment standard amounts and schedule no later than 3 months following the effective date of the published FMR if revisions are necessary to stay within the basic range (24 CFR 982.503(c)(3). HUD requires PHAs to perform annual reviews of the adequacy of payment standard schedules and to amend them as needed.</w:t>
      </w:r>
    </w:p>
    <w:p w14:paraId="04FD4300" w14:textId="77777777" w:rsidR="006F743F" w:rsidRPr="006F743F" w:rsidRDefault="006F743F" w:rsidP="006F743F">
      <w:pPr>
        <w:pStyle w:val="BodyText"/>
        <w:ind w:right="227"/>
        <w:jc w:val="both"/>
        <w:rPr>
          <w:rFonts w:ascii="Arial" w:hAnsi="Arial" w:cs="Arial"/>
        </w:rPr>
      </w:pPr>
      <w:r w:rsidRPr="006F743F">
        <w:rPr>
          <w:rFonts w:ascii="Arial" w:hAnsi="Arial" w:cs="Arial"/>
        </w:rPr>
        <w:t>For new HAP contracts, the PHA applies the payment standard in effect at the time of HAP contract execution. For existing HAP contracts, when the PHA’s payment standard increases, the PHA must use the increased payment standard amount to calculate the monthly housing assistance payment for each program participant beginning no later than the earliest of: The effective date of an increase in the gross rent that would result in an increase in the family share; The family’s first regular or interim reexamination; or one year following the effective date of the increase in the payment standard amount. PHAs may apply a payment standard increase at any earlier date, so long as that policy is included in the PHA Administrative Plan, and the policy is applied consistently to all families. 24 CFR 982.505(c)(4)</w:t>
      </w:r>
    </w:p>
    <w:p w14:paraId="326E09B4" w14:textId="77777777" w:rsidR="006F743F" w:rsidRPr="006F743F" w:rsidRDefault="006F743F" w:rsidP="006F743F">
      <w:pPr>
        <w:pStyle w:val="BodyText"/>
        <w:ind w:right="177"/>
        <w:jc w:val="both"/>
        <w:rPr>
          <w:rFonts w:ascii="Arial" w:hAnsi="Arial" w:cs="Arial"/>
        </w:rPr>
      </w:pPr>
      <w:r w:rsidRPr="006F743F">
        <w:rPr>
          <w:rFonts w:ascii="Arial" w:hAnsi="Arial" w:cs="Arial"/>
        </w:rPr>
        <w:t>When the PHA’s payment standard decreases while the family continues to reside in the unit for which the family is receiving assistance, the PHA has three options: hold harmless: The PHA may choose not to reduce the payment standard amount used to calculate the subsidy for a family for as long as the family continues to reside in the unit for which the family is receiving assistance; gradual reduction: Upon proper notification (as described below) to the family, the PHA may gradually reduce the payment standard amount used to calculate the family’s subsidy, phasing in the reduction. The initial reduction in payment standard cannot take place earlier than two years following the effective date of the decrease in the payment standard; two years after effective date: Upon proper notification to the family, the PHA may choose to reduce the payment standard amount used to calculate such a family’s subsidy no earlier than two years following the effective date of the decrease in the payment standard. 24 CFR</w:t>
      </w:r>
      <w:r w:rsidRPr="006F743F">
        <w:rPr>
          <w:rFonts w:ascii="Arial" w:hAnsi="Arial" w:cs="Arial"/>
          <w:spacing w:val="-4"/>
        </w:rPr>
        <w:t xml:space="preserve"> </w:t>
      </w:r>
      <w:r w:rsidRPr="006F743F">
        <w:rPr>
          <w:rFonts w:ascii="Arial" w:hAnsi="Arial" w:cs="Arial"/>
        </w:rPr>
        <w:t>982.505(c)(3)</w:t>
      </w:r>
    </w:p>
    <w:p w14:paraId="772E37F5" w14:textId="40575FBE" w:rsidR="006F743F" w:rsidRPr="006F743F" w:rsidRDefault="006F743F" w:rsidP="006F743F">
      <w:pPr>
        <w:pStyle w:val="BodyText"/>
        <w:ind w:right="320"/>
        <w:jc w:val="both"/>
        <w:rPr>
          <w:rFonts w:ascii="Arial" w:hAnsi="Arial" w:cs="Arial"/>
        </w:rPr>
      </w:pPr>
      <w:r w:rsidRPr="006F743F">
        <w:rPr>
          <w:rFonts w:ascii="Arial" w:hAnsi="Arial" w:cs="Arial"/>
        </w:rPr>
        <w:t>If the family unit size either increases or decreases during the HAP contract term, the new family unit size may be used to determine the payment standard amount for the family immediately but no later than the family’s first regular reexamination following the change in family unit size. 24 CFR 982.505(c)(6)</w:t>
      </w:r>
    </w:p>
    <w:p w14:paraId="1E04BFE1" w14:textId="77777777" w:rsidR="00204AFF" w:rsidRPr="00204AFF" w:rsidRDefault="00204AFF" w:rsidP="00204AFF">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5</w:t>
      </w:r>
      <w:r w:rsidRPr="00F64252">
        <w:rPr>
          <w:rFonts w:ascii="Arial" w:hAnsi="Arial" w:cs="Arial"/>
          <w:i/>
          <w:iCs/>
        </w:rPr>
        <w:t xml:space="preserve"> OMB Compliance Supplement, Part 4, HUD, Housing Voucher Cluster)</w:t>
      </w:r>
    </w:p>
    <w:p w14:paraId="3741DF99" w14:textId="77777777" w:rsidR="00204AFF" w:rsidRPr="000706D1" w:rsidRDefault="00204AFF" w:rsidP="00204AFF">
      <w:pPr>
        <w:pStyle w:val="Heading3"/>
        <w:jc w:val="both"/>
        <w:rPr>
          <w:rFonts w:cs="Arial"/>
          <w:sz w:val="24"/>
          <w:szCs w:val="24"/>
        </w:rPr>
      </w:pPr>
      <w:bookmarkStart w:id="96" w:name="_Toc212533524"/>
      <w:r w:rsidRPr="000706D1">
        <w:rPr>
          <w:rFonts w:cs="Arial"/>
          <w:sz w:val="24"/>
          <w:szCs w:val="24"/>
        </w:rPr>
        <w:t>Additional Program Specific Information</w:t>
      </w:r>
      <w:bookmarkEnd w:id="96"/>
    </w:p>
    <w:p w14:paraId="752BC7A5" w14:textId="77777777" w:rsidR="00204AFF" w:rsidRPr="00AA5B05" w:rsidRDefault="00204AFF" w:rsidP="00204AFF">
      <w:pPr>
        <w:spacing w:after="240"/>
        <w:jc w:val="both"/>
        <w:rPr>
          <w:rFonts w:ascii="Arial" w:hAnsi="Arial" w:cs="Arial"/>
          <w:b/>
          <w:highlight w:val="yellow"/>
        </w:rPr>
      </w:pPr>
      <w:r w:rsidRPr="00AA5B05">
        <w:rPr>
          <w:rFonts w:ascii="Arial" w:hAnsi="Arial" w:cs="Arial"/>
          <w:b/>
          <w:highlight w:val="yellow"/>
        </w:rPr>
        <w:t>Add program specific requirements from:</w:t>
      </w:r>
    </w:p>
    <w:p w14:paraId="2B9707B1" w14:textId="77777777" w:rsidR="00204AFF" w:rsidRPr="00AA5B05" w:rsidRDefault="00204AFF"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C0EE9CA" w14:textId="77777777" w:rsidR="00204AFF" w:rsidRPr="00AA5B05" w:rsidRDefault="00204AFF" w:rsidP="006F743F">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32BD814" w14:textId="77777777" w:rsidR="00204AFF" w:rsidRPr="00AA5B05" w:rsidRDefault="00204AFF" w:rsidP="006F743F">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p>
    <w:p w14:paraId="040D4E1D" w14:textId="77777777" w:rsidR="00204AFF" w:rsidRPr="00AA5B05" w:rsidRDefault="00204AFF" w:rsidP="00204AFF">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D7A4FA8" w14:textId="77777777" w:rsidR="00204AFF" w:rsidRPr="000706D1" w:rsidRDefault="00204AFF" w:rsidP="00204AFF">
      <w:pPr>
        <w:pStyle w:val="Heading3"/>
        <w:jc w:val="both"/>
        <w:rPr>
          <w:rFonts w:cs="Arial"/>
          <w:sz w:val="24"/>
          <w:szCs w:val="24"/>
        </w:rPr>
      </w:pPr>
      <w:bookmarkStart w:id="97" w:name="_Toc212533525"/>
      <w:r w:rsidRPr="000706D1">
        <w:rPr>
          <w:rFonts w:cs="Arial"/>
          <w:sz w:val="24"/>
          <w:szCs w:val="24"/>
        </w:rPr>
        <w:t>Audit Objectives and Control Testing</w:t>
      </w:r>
      <w:bookmarkEnd w:id="97"/>
    </w:p>
    <w:p w14:paraId="284E9E73" w14:textId="77777777" w:rsidR="00204AFF" w:rsidRPr="00F00D94" w:rsidRDefault="00204AFF" w:rsidP="00204AF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B216104" w14:textId="77777777" w:rsidR="00204AFF" w:rsidRPr="00F00D94" w:rsidRDefault="00204AFF" w:rsidP="00204AF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A93BBFA" w14:textId="77777777" w:rsidR="00204AFF"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09F6AD2" w14:textId="1A4BFCA0" w:rsidR="00204AFF" w:rsidRDefault="006F743F" w:rsidP="006F743F">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Pr>
          <w:rFonts w:ascii="Arial" w:hAnsi="Arial" w:cs="Arial"/>
          <w:iCs/>
        </w:rPr>
        <w:t xml:space="preserve">Determine </w:t>
      </w:r>
      <w:r w:rsidRPr="006F743F">
        <w:rPr>
          <w:rFonts w:ascii="Arial" w:hAnsi="Arial" w:cs="Arial"/>
          <w:iCs/>
        </w:rPr>
        <w:t>whether owners are receiving, and HUD is billed for, correct HAPs.</w:t>
      </w:r>
    </w:p>
    <w:p w14:paraId="4ED1BDA6" w14:textId="77777777" w:rsidR="00204AFF" w:rsidRPr="00204AFF" w:rsidRDefault="00204AFF" w:rsidP="00204AFF">
      <w:pPr>
        <w:spacing w:after="240"/>
        <w:jc w:val="both"/>
        <w:rPr>
          <w:rFonts w:ascii="Arial" w:hAnsi="Arial" w:cs="Arial"/>
          <w:b/>
          <w:highlight w:val="yellow"/>
        </w:rPr>
      </w:pPr>
      <w:r w:rsidRPr="00204AFF">
        <w:rPr>
          <w:rFonts w:ascii="Arial" w:hAnsi="Arial" w:cs="Arial"/>
          <w:i/>
          <w:iCs/>
        </w:rPr>
        <w:t>(Source: 202</w:t>
      </w:r>
      <w:r>
        <w:rPr>
          <w:rFonts w:ascii="Arial" w:hAnsi="Arial" w:cs="Arial"/>
          <w:i/>
          <w:iCs/>
        </w:rPr>
        <w:t>5</w:t>
      </w:r>
      <w:r w:rsidRPr="00204AFF">
        <w:rPr>
          <w:rFonts w:ascii="Arial" w:hAnsi="Arial" w:cs="Arial"/>
          <w:i/>
          <w:iCs/>
        </w:rPr>
        <w:t xml:space="preserve"> OMB Compliance Supplement, Part 4, HUD, Housing Voucher Cluster)</w:t>
      </w:r>
    </w:p>
    <w:p w14:paraId="5F656E75" w14:textId="77777777" w:rsidR="00204AFF" w:rsidRPr="00634FA3" w:rsidRDefault="00204AFF" w:rsidP="00204AFF">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04AFF" w:rsidRPr="00F00D94" w14:paraId="18DCFDD5" w14:textId="77777777" w:rsidTr="00BA784C">
        <w:tc>
          <w:tcPr>
            <w:tcW w:w="5000" w:type="pct"/>
          </w:tcPr>
          <w:p w14:paraId="514B6096" w14:textId="77777777" w:rsidR="00204AFF" w:rsidRPr="006F5FFA" w:rsidRDefault="00204AFF" w:rsidP="00BA784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3C52B6A" w14:textId="77777777" w:rsidR="00204AFF" w:rsidRPr="00F00D94" w:rsidRDefault="00204AFF" w:rsidP="00BA784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E1F61F1" w14:textId="77777777" w:rsidR="00204AFF" w:rsidRPr="00F00D94" w:rsidRDefault="00204AFF" w:rsidP="00BA784C">
            <w:pPr>
              <w:pStyle w:val="AuditProcedureHeading"/>
              <w:spacing w:after="240"/>
              <w:jc w:val="both"/>
              <w:rPr>
                <w:rFonts w:cs="Arial"/>
                <w:b/>
                <w:bCs/>
                <w:szCs w:val="20"/>
                <w:u w:val="single"/>
              </w:rPr>
            </w:pPr>
          </w:p>
          <w:p w14:paraId="24FD2BA0" w14:textId="77777777" w:rsidR="00204AFF" w:rsidRPr="00F00D94" w:rsidRDefault="00204AFF" w:rsidP="00BA784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F7F6122" w14:textId="77777777" w:rsidR="00204AFF" w:rsidRPr="00F00D94" w:rsidRDefault="00204AFF" w:rsidP="00BA784C">
            <w:pPr>
              <w:pStyle w:val="AuditProcedureHeading"/>
              <w:spacing w:after="240"/>
              <w:jc w:val="both"/>
              <w:rPr>
                <w:rFonts w:cs="Arial"/>
                <w:b/>
                <w:bCs/>
                <w:szCs w:val="20"/>
                <w:u w:val="single"/>
              </w:rPr>
            </w:pPr>
          </w:p>
          <w:p w14:paraId="74BE1E2E" w14:textId="77777777" w:rsidR="00204AFF" w:rsidRPr="00F00D94" w:rsidRDefault="00204AFF" w:rsidP="00BA784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C98B9D5" w14:textId="77777777" w:rsidR="00204AFF" w:rsidRPr="00F00D94" w:rsidRDefault="00204AFF" w:rsidP="00BA784C">
            <w:pPr>
              <w:spacing w:after="240"/>
              <w:jc w:val="both"/>
              <w:rPr>
                <w:rFonts w:ascii="Arial" w:hAnsi="Arial" w:cs="Arial"/>
                <w:b/>
                <w:sz w:val="20"/>
                <w:u w:val="single"/>
              </w:rPr>
            </w:pPr>
          </w:p>
          <w:p w14:paraId="4A1DE23E" w14:textId="77777777" w:rsidR="00204AFF" w:rsidRPr="00F00D94" w:rsidRDefault="00204AFF" w:rsidP="00BA784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77D3166" w14:textId="77777777" w:rsidR="00204AFF" w:rsidRPr="00C35E5F" w:rsidRDefault="00204AFF" w:rsidP="00BA784C">
            <w:pPr>
              <w:spacing w:after="240"/>
              <w:jc w:val="both"/>
              <w:rPr>
                <w:rFonts w:ascii="Arial" w:eastAsiaTheme="minorHAnsi" w:hAnsi="Arial" w:cs="Arial"/>
                <w:sz w:val="20"/>
                <w:szCs w:val="20"/>
              </w:rPr>
            </w:pPr>
          </w:p>
        </w:tc>
      </w:tr>
    </w:tbl>
    <w:p w14:paraId="71029DE2"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C6FC836" w14:textId="77777777" w:rsidR="00204AFF" w:rsidRPr="000706D1" w:rsidRDefault="00204AFF" w:rsidP="00204AFF">
      <w:pPr>
        <w:pStyle w:val="Heading3"/>
        <w:jc w:val="both"/>
        <w:rPr>
          <w:rFonts w:cs="Arial"/>
          <w:sz w:val="24"/>
          <w:szCs w:val="24"/>
        </w:rPr>
      </w:pPr>
      <w:bookmarkStart w:id="98" w:name="_Toc21253352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8"/>
    </w:p>
    <w:tbl>
      <w:tblPr>
        <w:tblStyle w:val="TableGrid"/>
        <w:tblW w:w="9558" w:type="dxa"/>
        <w:tblLayout w:type="fixed"/>
        <w:tblLook w:val="04A0" w:firstRow="1" w:lastRow="0" w:firstColumn="1" w:lastColumn="0" w:noHBand="0" w:noVBand="1"/>
      </w:tblPr>
      <w:tblGrid>
        <w:gridCol w:w="9558"/>
      </w:tblGrid>
      <w:tr w:rsidR="00204AFF" w:rsidRPr="00F00D94" w14:paraId="7760F045" w14:textId="77777777" w:rsidTr="00BA784C">
        <w:tc>
          <w:tcPr>
            <w:tcW w:w="9558" w:type="dxa"/>
          </w:tcPr>
          <w:p w14:paraId="376082AE" w14:textId="77777777" w:rsidR="00204AFF" w:rsidRDefault="00204AFF" w:rsidP="00BA784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C82167F" w14:textId="77777777" w:rsidR="00204AFF" w:rsidRPr="00AC7B25" w:rsidRDefault="00204AFF" w:rsidP="00BA784C">
            <w:pPr>
              <w:spacing w:after="240"/>
              <w:jc w:val="both"/>
              <w:rPr>
                <w:rFonts w:ascii="Arial" w:hAnsi="Arial" w:cs="Arial"/>
                <w:i/>
                <w:sz w:val="20"/>
                <w:szCs w:val="20"/>
              </w:rPr>
            </w:pPr>
            <w:r>
              <w:rPr>
                <w:rFonts w:ascii="Arial" w:hAnsi="Arial" w:cs="Arial"/>
                <w:i/>
                <w:sz w:val="20"/>
                <w:szCs w:val="20"/>
              </w:rPr>
              <w:lastRenderedPageBreak/>
              <w:t>(Source: 2025 OMB Compliance Supplement Part 3.2)</w:t>
            </w:r>
          </w:p>
          <w:p w14:paraId="42E21239" w14:textId="77777777"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a.</w:t>
            </w:r>
            <w:r w:rsidRPr="006F743F">
              <w:rPr>
                <w:rFonts w:ascii="Arial" w:hAnsi="Arial" w:cs="Arial"/>
                <w:sz w:val="20"/>
              </w:rPr>
              <w:tab/>
              <w:t>Review PHAs’ quality control procedures for maintaining the HAP register.</w:t>
            </w:r>
          </w:p>
          <w:p w14:paraId="34461C65" w14:textId="46BE14AD"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b.</w:t>
            </w:r>
            <w:r w:rsidRPr="006F743F">
              <w:rPr>
                <w:rFonts w:ascii="Arial" w:hAnsi="Arial" w:cs="Arial"/>
                <w:sz w:val="20"/>
              </w:rPr>
              <w:tab/>
              <w:t>Obtain supporting schedules and documents evidencing HAP disbursement as made to proper payee and on behalf of the corresponding participating family.</w:t>
            </w:r>
          </w:p>
          <w:p w14:paraId="56F181E5" w14:textId="732204C7"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c.</w:t>
            </w:r>
            <w:r w:rsidRPr="006F743F">
              <w:rPr>
                <w:rFonts w:ascii="Arial" w:hAnsi="Arial" w:cs="Arial"/>
                <w:sz w:val="20"/>
              </w:rPr>
              <w:tab/>
              <w:t>Obtain documentation and confirm the payee is entitled to HAP payment.</w:t>
            </w:r>
          </w:p>
          <w:p w14:paraId="4E2E0162" w14:textId="1BF69C22"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d.</w:t>
            </w:r>
            <w:r w:rsidRPr="006F743F">
              <w:rPr>
                <w:rFonts w:ascii="Arial" w:hAnsi="Arial" w:cs="Arial"/>
                <w:sz w:val="20"/>
              </w:rPr>
              <w:tab/>
              <w:t>Perform recalculation of supporting schedules and documents evidencing HAP disbursement was made in the proper amount. Effective January 1, 2024, the PHA will not be considered out of compliance solely due to de minimis errors in calculating family income but is still obligated to correct errors once the PHA becomes aware of the errors. A de minimis error is an error where the PHA determination of family income deviates from the correct income determination by no more than $30 per month in monthly adjusted income ($360 in annual adjusted income). As PHAs become aware of the existence of an income calculation error, they are obligated to correct the error(s) retroactive to the effective date of the action the error was made regardless of the dollar amount associated with the error. PHAs must take corrective action to credit or repay a family if the family was overcharged tenant rent, including when PHAs make de minimis errors in the income determination. Families will not be required to repay the PHA in instances where the PHA miscalculated income resulting in a family being undercharged for rent.</w:t>
            </w:r>
          </w:p>
          <w:p w14:paraId="22F1477C" w14:textId="403920F6"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e.</w:t>
            </w:r>
            <w:r w:rsidRPr="006F743F">
              <w:rPr>
                <w:rFonts w:ascii="Arial" w:hAnsi="Arial" w:cs="Arial"/>
                <w:sz w:val="20"/>
              </w:rPr>
              <w:tab/>
              <w:t>Verify that HAP contracts or contract amendments agree with the amount recorded on the HAP register and the amount on 12u of the HUD-50058.</w:t>
            </w:r>
          </w:p>
          <w:p w14:paraId="23E18F2A" w14:textId="39F0FE1F" w:rsidR="006F743F" w:rsidRPr="006F743F" w:rsidRDefault="006F743F" w:rsidP="006F743F">
            <w:pPr>
              <w:spacing w:after="240"/>
              <w:ind w:left="690" w:hanging="690"/>
              <w:jc w:val="both"/>
              <w:rPr>
                <w:rFonts w:ascii="Arial" w:hAnsi="Arial" w:cs="Arial"/>
                <w:sz w:val="20"/>
              </w:rPr>
            </w:pPr>
            <w:r w:rsidRPr="006F743F">
              <w:rPr>
                <w:rFonts w:ascii="Arial" w:hAnsi="Arial" w:cs="Arial"/>
                <w:sz w:val="20"/>
              </w:rPr>
              <w:t>f.</w:t>
            </w:r>
            <w:r w:rsidRPr="006F743F">
              <w:rPr>
                <w:rFonts w:ascii="Arial" w:hAnsi="Arial" w:cs="Arial"/>
                <w:sz w:val="20"/>
              </w:rPr>
              <w:tab/>
              <w:t>Obtain documentation and test whether the correct payment standard was utilized.</w:t>
            </w:r>
          </w:p>
          <w:p w14:paraId="5E18C596" w14:textId="2406AC22" w:rsidR="006F743F" w:rsidRPr="00204AFF" w:rsidRDefault="006F743F" w:rsidP="006F743F">
            <w:pPr>
              <w:spacing w:after="240"/>
              <w:ind w:left="690" w:hanging="690"/>
              <w:jc w:val="both"/>
              <w:rPr>
                <w:rFonts w:ascii="Arial" w:hAnsi="Arial" w:cs="Arial"/>
                <w:sz w:val="20"/>
              </w:rPr>
            </w:pPr>
            <w:r>
              <w:rPr>
                <w:rFonts w:ascii="Arial" w:hAnsi="Arial" w:cs="Arial"/>
                <w:sz w:val="20"/>
              </w:rPr>
              <w:t>g</w:t>
            </w:r>
            <w:r w:rsidRPr="006F743F">
              <w:rPr>
                <w:rFonts w:ascii="Arial" w:hAnsi="Arial" w:cs="Arial"/>
                <w:sz w:val="20"/>
              </w:rPr>
              <w:t>.</w:t>
            </w:r>
            <w:r w:rsidRPr="006F743F">
              <w:rPr>
                <w:rFonts w:ascii="Arial" w:hAnsi="Arial" w:cs="Arial"/>
                <w:sz w:val="20"/>
              </w:rPr>
              <w:tab/>
              <w:t>Verify a HAP contract and tenancy addendum has been fully executed. A "fully executed HAP" for the HCV Program means that the Housing Assistance Payments contract between the landlord (owner) and the Public Housing Agency (PHA) has been signed by both parties, signifying that the landlord has agreed to lease a unit to a voucher holder and the PHA has approved the unit and will provide housing assistance payments to the landlord on behalf of the tenant, with all necessary documents and conditions met according to HUD regulations. Similarly, a "tenancy addendum" is considered fully executed when both the landlord and tenant have signed the document, signifying their agreement to the additional terms and conditions outlined within it, which are now legally binding and part of the overall lease agreement; essentially, all parties involved have completed their required actions by signing the addendum.</w:t>
            </w:r>
          </w:p>
        </w:tc>
      </w:tr>
    </w:tbl>
    <w:p w14:paraId="5CEE6CAB" w14:textId="77777777" w:rsidR="00204AFF" w:rsidRPr="00F00D94" w:rsidRDefault="00204AFF" w:rsidP="00204AF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1CBC1A6" w14:textId="77777777" w:rsidR="00204AFF" w:rsidRPr="000706D1" w:rsidRDefault="00204AFF" w:rsidP="00204AFF">
      <w:pPr>
        <w:pStyle w:val="Heading3"/>
        <w:jc w:val="both"/>
        <w:rPr>
          <w:rFonts w:cs="Arial"/>
          <w:b w:val="0"/>
          <w:sz w:val="24"/>
          <w:szCs w:val="24"/>
        </w:rPr>
      </w:pPr>
      <w:bookmarkStart w:id="99" w:name="_Toc212533527"/>
      <w:r w:rsidRPr="000706D1">
        <w:rPr>
          <w:rFonts w:cs="Arial"/>
          <w:sz w:val="24"/>
          <w:szCs w:val="24"/>
        </w:rPr>
        <w:t>Audit Implications Summary</w:t>
      </w:r>
      <w:bookmarkEnd w:id="99"/>
    </w:p>
    <w:tbl>
      <w:tblPr>
        <w:tblStyle w:val="TableGrid"/>
        <w:tblW w:w="5000" w:type="pct"/>
        <w:tblLook w:val="04A0" w:firstRow="1" w:lastRow="0" w:firstColumn="1" w:lastColumn="0" w:noHBand="0" w:noVBand="1"/>
      </w:tblPr>
      <w:tblGrid>
        <w:gridCol w:w="9350"/>
      </w:tblGrid>
      <w:tr w:rsidR="00204AFF" w:rsidRPr="00F00D94" w14:paraId="682FB669" w14:textId="77777777" w:rsidTr="00BA784C">
        <w:tc>
          <w:tcPr>
            <w:tcW w:w="5000" w:type="pct"/>
          </w:tcPr>
          <w:p w14:paraId="40D0DBDD" w14:textId="77777777" w:rsidR="00204AFF" w:rsidRDefault="00204AFF" w:rsidP="00BA784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78F8FF8" w14:textId="77777777" w:rsidR="00204AFF" w:rsidRPr="006E46AD" w:rsidRDefault="00204AFF" w:rsidP="00BA784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992D909" w14:textId="77777777" w:rsidR="00204AFF" w:rsidRPr="006E46AD" w:rsidRDefault="00204AFF" w:rsidP="006F743F">
            <w:pPr>
              <w:pStyle w:val="ListParagraph"/>
              <w:widowControl w:val="0"/>
              <w:numPr>
                <w:ilvl w:val="0"/>
                <w:numId w:val="7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19D1419" w14:textId="77777777" w:rsidR="00204AFF" w:rsidRPr="006E46AD" w:rsidRDefault="00204AFF" w:rsidP="00BA784C">
            <w:pPr>
              <w:widowControl w:val="0"/>
              <w:spacing w:after="240"/>
              <w:ind w:left="720"/>
              <w:jc w:val="both"/>
              <w:rPr>
                <w:rFonts w:ascii="Arial" w:hAnsi="Arial" w:cs="Arial"/>
                <w:b/>
                <w:sz w:val="20"/>
                <w:szCs w:val="20"/>
              </w:rPr>
            </w:pPr>
          </w:p>
          <w:p w14:paraId="2218D727" w14:textId="77777777" w:rsidR="00204AFF" w:rsidRPr="006E46AD" w:rsidRDefault="00204AFF" w:rsidP="006F743F">
            <w:pPr>
              <w:widowControl w:val="0"/>
              <w:numPr>
                <w:ilvl w:val="0"/>
                <w:numId w:val="7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E02C55E" w14:textId="77777777" w:rsidR="00204AFF" w:rsidRPr="00F00D94" w:rsidRDefault="00204AFF" w:rsidP="00BA784C">
            <w:pPr>
              <w:pStyle w:val="ListParagraph"/>
              <w:spacing w:after="240"/>
              <w:jc w:val="both"/>
              <w:rPr>
                <w:rFonts w:ascii="Arial" w:hAnsi="Arial" w:cs="Arial"/>
                <w:b/>
              </w:rPr>
            </w:pPr>
          </w:p>
          <w:p w14:paraId="3B5A6497" w14:textId="77777777" w:rsidR="00204AFF" w:rsidRPr="00F00D94" w:rsidRDefault="00204AFF" w:rsidP="006F743F">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5D1CC99" w14:textId="77777777" w:rsidR="00204AFF" w:rsidRPr="00F00D94" w:rsidRDefault="00204AFF" w:rsidP="00BA784C">
            <w:pPr>
              <w:pStyle w:val="ListParagraph"/>
              <w:spacing w:after="240"/>
              <w:jc w:val="both"/>
              <w:rPr>
                <w:rFonts w:ascii="Arial" w:hAnsi="Arial" w:cs="Arial"/>
                <w:b/>
              </w:rPr>
            </w:pPr>
          </w:p>
          <w:p w14:paraId="2CA2D7F5" w14:textId="77777777" w:rsidR="00204AFF" w:rsidRPr="00F00D94" w:rsidRDefault="00204AFF" w:rsidP="006F743F">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E43ABB1" w14:textId="77777777" w:rsidR="00204AFF" w:rsidRPr="00F00D94" w:rsidRDefault="00204AFF" w:rsidP="00BA784C">
            <w:pPr>
              <w:pStyle w:val="ListParagraph"/>
              <w:spacing w:after="240"/>
              <w:jc w:val="both"/>
              <w:rPr>
                <w:rFonts w:ascii="Arial" w:hAnsi="Arial" w:cs="Arial"/>
                <w:b/>
              </w:rPr>
            </w:pPr>
          </w:p>
          <w:p w14:paraId="00701DB1" w14:textId="600103FB" w:rsidR="00204AFF" w:rsidRPr="006F743F" w:rsidRDefault="00204AFF" w:rsidP="006F743F">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tc>
      </w:tr>
    </w:tbl>
    <w:p w14:paraId="18515046" w14:textId="77777777" w:rsidR="00204AFF" w:rsidRDefault="00204AFF" w:rsidP="006672EA">
      <w:pPr>
        <w:pStyle w:val="Heading2"/>
        <w:jc w:val="both"/>
        <w:rPr>
          <w:rStyle w:val="PageNumber"/>
          <w:rFonts w:cs="Arial"/>
          <w:sz w:val="24"/>
        </w:rPr>
        <w:sectPr w:rsidR="00204AFF" w:rsidSect="00257772">
          <w:headerReference w:type="default" r:id="rId80"/>
          <w:pgSz w:w="12240" w:h="15840" w:code="1"/>
          <w:pgMar w:top="1440" w:right="1440" w:bottom="1440" w:left="1440" w:header="720" w:footer="720" w:gutter="0"/>
          <w:cols w:space="720"/>
          <w:docGrid w:linePitch="360"/>
        </w:sectPr>
      </w:pPr>
    </w:p>
    <w:p w14:paraId="0546F6C5" w14:textId="77777777" w:rsidR="00204AFF" w:rsidRPr="000706D1" w:rsidRDefault="00204AFF" w:rsidP="00204AFF">
      <w:pPr>
        <w:pStyle w:val="Heading2"/>
        <w:jc w:val="both"/>
        <w:rPr>
          <w:rStyle w:val="PageNumber"/>
          <w:rFonts w:cs="Arial"/>
          <w:sz w:val="24"/>
        </w:rPr>
      </w:pPr>
      <w:bookmarkStart w:id="100" w:name="_Toc212533528"/>
      <w:r w:rsidRPr="000706D1">
        <w:rPr>
          <w:rStyle w:val="PageNumber"/>
          <w:rFonts w:cs="Arial"/>
          <w:sz w:val="24"/>
        </w:rPr>
        <w:lastRenderedPageBreak/>
        <w:t>Program Testing Conclusion</w:t>
      </w:r>
      <w:bookmarkEnd w:id="100"/>
    </w:p>
    <w:p w14:paraId="0E759B3E" w14:textId="77777777" w:rsidR="00204AFF" w:rsidRPr="00F00D94" w:rsidRDefault="00204AFF" w:rsidP="00204AFF">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204AFF" w:rsidRPr="00F00D94" w14:paraId="08476D64" w14:textId="77777777" w:rsidTr="00BA784C">
        <w:trPr>
          <w:jc w:val="center"/>
        </w:trPr>
        <w:tc>
          <w:tcPr>
            <w:tcW w:w="9225" w:type="dxa"/>
            <w:gridSpan w:val="3"/>
            <w:shd w:val="clear" w:color="auto" w:fill="DBE5F1"/>
          </w:tcPr>
          <w:p w14:paraId="50D14B6D" w14:textId="77777777" w:rsidR="00204AFF" w:rsidRPr="00F00D94" w:rsidRDefault="00204AFF" w:rsidP="00BA784C">
            <w:pPr>
              <w:jc w:val="both"/>
              <w:rPr>
                <w:rFonts w:ascii="Arial" w:hAnsi="Arial" w:cs="Arial"/>
                <w:b/>
              </w:rPr>
            </w:pPr>
            <w:r w:rsidRPr="00F00D94">
              <w:rPr>
                <w:rFonts w:ascii="Arial" w:hAnsi="Arial" w:cs="Arial"/>
                <w:b/>
              </w:rPr>
              <w:t>Conclusion</w:t>
            </w:r>
          </w:p>
        </w:tc>
      </w:tr>
      <w:tr w:rsidR="00204AFF" w:rsidRPr="00F00D94" w14:paraId="65FD80F2" w14:textId="77777777" w:rsidTr="00BA784C">
        <w:trPr>
          <w:jc w:val="center"/>
        </w:trPr>
        <w:tc>
          <w:tcPr>
            <w:tcW w:w="4680" w:type="dxa"/>
            <w:gridSpan w:val="2"/>
            <w:shd w:val="clear" w:color="auto" w:fill="DBE5F1"/>
          </w:tcPr>
          <w:p w14:paraId="373C522C" w14:textId="77777777" w:rsidR="00204AFF" w:rsidRPr="00F00D94" w:rsidRDefault="00204AFF" w:rsidP="00BA784C">
            <w:pPr>
              <w:jc w:val="both"/>
              <w:rPr>
                <w:rFonts w:ascii="Arial" w:hAnsi="Arial" w:cs="Arial"/>
                <w:b/>
              </w:rPr>
            </w:pPr>
            <w:r w:rsidRPr="00F00D94">
              <w:rPr>
                <w:rFonts w:ascii="Arial" w:hAnsi="Arial" w:cs="Arial"/>
                <w:b/>
              </w:rPr>
              <w:t>The opinion on this major program should be:</w:t>
            </w:r>
          </w:p>
        </w:tc>
        <w:tc>
          <w:tcPr>
            <w:tcW w:w="4545" w:type="dxa"/>
          </w:tcPr>
          <w:p w14:paraId="20292858" w14:textId="77777777" w:rsidR="00204AFF" w:rsidRPr="00F00D94" w:rsidRDefault="00204AFF" w:rsidP="00BA784C">
            <w:pPr>
              <w:jc w:val="both"/>
              <w:rPr>
                <w:rFonts w:ascii="Arial" w:hAnsi="Arial" w:cs="Arial"/>
                <w:b/>
              </w:rPr>
            </w:pPr>
          </w:p>
        </w:tc>
      </w:tr>
      <w:tr w:rsidR="00204AFF" w:rsidRPr="00F00D94" w14:paraId="69954F05" w14:textId="77777777" w:rsidTr="00BA784C">
        <w:trPr>
          <w:jc w:val="center"/>
        </w:trPr>
        <w:tc>
          <w:tcPr>
            <w:tcW w:w="3000" w:type="dxa"/>
            <w:shd w:val="clear" w:color="auto" w:fill="DBE5F1"/>
          </w:tcPr>
          <w:p w14:paraId="4948C0F8" w14:textId="77777777" w:rsidR="00204AFF" w:rsidRPr="00F00D94" w:rsidRDefault="00204AFF" w:rsidP="00BA784C">
            <w:pPr>
              <w:jc w:val="both"/>
              <w:rPr>
                <w:rFonts w:ascii="Arial" w:hAnsi="Arial" w:cs="Arial"/>
                <w:b/>
              </w:rPr>
            </w:pPr>
            <w:r w:rsidRPr="00F00D94">
              <w:rPr>
                <w:rFonts w:ascii="Arial" w:hAnsi="Arial" w:cs="Arial"/>
                <w:b/>
              </w:rPr>
              <w:t>Unmodified:</w:t>
            </w:r>
          </w:p>
        </w:tc>
        <w:tc>
          <w:tcPr>
            <w:tcW w:w="6225" w:type="dxa"/>
            <w:gridSpan w:val="2"/>
          </w:tcPr>
          <w:p w14:paraId="071FCA01" w14:textId="77777777" w:rsidR="00204AFF" w:rsidRPr="00F00D94" w:rsidRDefault="00204AFF" w:rsidP="00BA784C">
            <w:pPr>
              <w:jc w:val="both"/>
              <w:rPr>
                <w:rFonts w:ascii="Arial" w:hAnsi="Arial" w:cs="Arial"/>
              </w:rPr>
            </w:pPr>
          </w:p>
        </w:tc>
      </w:tr>
      <w:tr w:rsidR="00204AFF" w:rsidRPr="00F00D94" w14:paraId="2F5C92B5" w14:textId="77777777" w:rsidTr="00BA784C">
        <w:trPr>
          <w:jc w:val="center"/>
        </w:trPr>
        <w:tc>
          <w:tcPr>
            <w:tcW w:w="3000" w:type="dxa"/>
            <w:shd w:val="clear" w:color="auto" w:fill="DBE5F1"/>
          </w:tcPr>
          <w:p w14:paraId="200557AC" w14:textId="77777777" w:rsidR="00204AFF" w:rsidRPr="00F00D94" w:rsidRDefault="00204AFF" w:rsidP="00BA784C">
            <w:pPr>
              <w:jc w:val="both"/>
              <w:rPr>
                <w:rFonts w:ascii="Arial" w:hAnsi="Arial" w:cs="Arial"/>
                <w:b/>
              </w:rPr>
            </w:pPr>
            <w:r w:rsidRPr="00F00D94">
              <w:rPr>
                <w:rFonts w:ascii="Arial" w:hAnsi="Arial" w:cs="Arial"/>
                <w:b/>
              </w:rPr>
              <w:t>Qualified (describe):</w:t>
            </w:r>
          </w:p>
        </w:tc>
        <w:tc>
          <w:tcPr>
            <w:tcW w:w="6225" w:type="dxa"/>
            <w:gridSpan w:val="2"/>
          </w:tcPr>
          <w:p w14:paraId="080127B2" w14:textId="77777777" w:rsidR="00204AFF" w:rsidRPr="00F00D94" w:rsidRDefault="00204AFF" w:rsidP="00BA784C">
            <w:pPr>
              <w:jc w:val="both"/>
              <w:rPr>
                <w:rFonts w:ascii="Arial" w:hAnsi="Arial" w:cs="Arial"/>
              </w:rPr>
            </w:pPr>
          </w:p>
        </w:tc>
      </w:tr>
      <w:tr w:rsidR="00204AFF" w:rsidRPr="00F00D94" w14:paraId="3B77B7C9" w14:textId="77777777" w:rsidTr="00BA784C">
        <w:trPr>
          <w:jc w:val="center"/>
        </w:trPr>
        <w:tc>
          <w:tcPr>
            <w:tcW w:w="3000" w:type="dxa"/>
            <w:shd w:val="clear" w:color="auto" w:fill="DBE5F1"/>
          </w:tcPr>
          <w:p w14:paraId="0D7508B1" w14:textId="77777777" w:rsidR="00204AFF" w:rsidRPr="00F00D94" w:rsidRDefault="00204AFF" w:rsidP="00BA784C">
            <w:pPr>
              <w:jc w:val="both"/>
              <w:rPr>
                <w:rFonts w:ascii="Arial" w:hAnsi="Arial" w:cs="Arial"/>
                <w:b/>
              </w:rPr>
            </w:pPr>
            <w:r w:rsidRPr="00F00D94">
              <w:rPr>
                <w:rFonts w:ascii="Arial" w:hAnsi="Arial" w:cs="Arial"/>
                <w:b/>
              </w:rPr>
              <w:t>Adverse (describe):</w:t>
            </w:r>
          </w:p>
        </w:tc>
        <w:tc>
          <w:tcPr>
            <w:tcW w:w="6225" w:type="dxa"/>
            <w:gridSpan w:val="2"/>
          </w:tcPr>
          <w:p w14:paraId="5DDB2718" w14:textId="77777777" w:rsidR="00204AFF" w:rsidRPr="00F00D94" w:rsidRDefault="00204AFF" w:rsidP="00BA784C">
            <w:pPr>
              <w:jc w:val="both"/>
              <w:rPr>
                <w:rFonts w:ascii="Arial" w:hAnsi="Arial" w:cs="Arial"/>
              </w:rPr>
            </w:pPr>
          </w:p>
        </w:tc>
      </w:tr>
      <w:tr w:rsidR="00204AFF" w:rsidRPr="00F00D94" w14:paraId="05CDAE71" w14:textId="77777777" w:rsidTr="00BA784C">
        <w:trPr>
          <w:jc w:val="center"/>
        </w:trPr>
        <w:tc>
          <w:tcPr>
            <w:tcW w:w="3000" w:type="dxa"/>
            <w:shd w:val="clear" w:color="auto" w:fill="DBE5F1"/>
          </w:tcPr>
          <w:p w14:paraId="7AD25B5B" w14:textId="77777777" w:rsidR="00204AFF" w:rsidRPr="00F00D94" w:rsidRDefault="00204AFF" w:rsidP="00BA784C">
            <w:pPr>
              <w:jc w:val="both"/>
              <w:rPr>
                <w:rFonts w:ascii="Arial" w:hAnsi="Arial" w:cs="Arial"/>
                <w:b/>
              </w:rPr>
            </w:pPr>
            <w:r w:rsidRPr="00F00D94">
              <w:rPr>
                <w:rFonts w:ascii="Arial" w:hAnsi="Arial" w:cs="Arial"/>
                <w:b/>
              </w:rPr>
              <w:t>Disclaimer (describe):</w:t>
            </w:r>
          </w:p>
        </w:tc>
        <w:tc>
          <w:tcPr>
            <w:tcW w:w="6225" w:type="dxa"/>
            <w:gridSpan w:val="2"/>
          </w:tcPr>
          <w:p w14:paraId="73079AE1" w14:textId="77777777" w:rsidR="00204AFF" w:rsidRPr="00F00D94" w:rsidRDefault="00204AFF" w:rsidP="00BA784C">
            <w:pPr>
              <w:jc w:val="both"/>
              <w:rPr>
                <w:rFonts w:ascii="Arial" w:hAnsi="Arial" w:cs="Arial"/>
              </w:rPr>
            </w:pPr>
          </w:p>
        </w:tc>
      </w:tr>
    </w:tbl>
    <w:p w14:paraId="3EA9CC8A" w14:textId="77777777" w:rsidR="00204AFF" w:rsidRPr="00F00D94" w:rsidRDefault="00204AFF" w:rsidP="00204AFF">
      <w:pPr>
        <w:spacing w:after="240"/>
        <w:jc w:val="both"/>
        <w:rPr>
          <w:rFonts w:ascii="Arial" w:hAnsi="Arial" w:cs="Arial"/>
          <w:b/>
        </w:rPr>
      </w:pPr>
    </w:p>
    <w:p w14:paraId="13189969" w14:textId="77777777" w:rsidR="00204AFF" w:rsidRPr="00F00D94" w:rsidRDefault="00204AFF" w:rsidP="00204AFF">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w:t>
      </w:r>
    </w:p>
    <w:p w14:paraId="31C20B5D"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Pr>
          <w:rFonts w:ascii="Arial" w:hAnsi="Arial" w:cs="Arial"/>
        </w:rPr>
        <w:t>.</w:t>
      </w:r>
    </w:p>
    <w:p w14:paraId="7C3ACDCA"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rPr>
        <w:t xml:space="preserve">Material noncompliance with the </w:t>
      </w:r>
      <w:r>
        <w:rPr>
          <w:rFonts w:ascii="Arial" w:hAnsi="Arial" w:cs="Arial"/>
        </w:rPr>
        <w:t xml:space="preserve">provisions of </w:t>
      </w:r>
      <w:r w:rsidRPr="00F00D94">
        <w:rPr>
          <w:rFonts w:ascii="Arial" w:hAnsi="Arial" w:cs="Arial"/>
        </w:rPr>
        <w:t xml:space="preserve">federal statues, regulations, or the terms and conditions of federal awards related to </w:t>
      </w:r>
      <w:r>
        <w:rPr>
          <w:rFonts w:ascii="Arial" w:hAnsi="Arial" w:cs="Arial"/>
        </w:rPr>
        <w:t xml:space="preserve">a </w:t>
      </w:r>
      <w:r w:rsidRPr="00F00D94">
        <w:rPr>
          <w:rFonts w:ascii="Arial" w:hAnsi="Arial" w:cs="Arial"/>
        </w:rPr>
        <w:t>major program</w:t>
      </w:r>
      <w:r>
        <w:rPr>
          <w:rFonts w:ascii="Arial" w:hAnsi="Arial" w:cs="Arial"/>
        </w:rPr>
        <w:t>.</w:t>
      </w:r>
    </w:p>
    <w:p w14:paraId="76F5CADF"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Pr>
          <w:rFonts w:ascii="Arial" w:hAnsi="Arial" w:cs="Arial"/>
        </w:rPr>
        <w:t>when either known or likely questioned costs</w:t>
      </w:r>
      <w:r w:rsidRPr="00F00D94">
        <w:rPr>
          <w:rFonts w:ascii="Arial" w:hAnsi="Arial" w:cs="Arial"/>
        </w:rPr>
        <w:t xml:space="preserve"> are greater than $25,000 for a type of compliance requirement for a major program.   </w:t>
      </w:r>
    </w:p>
    <w:p w14:paraId="4E74BD07"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Known questioned costs greater than $25,000 for </w:t>
      </w:r>
      <w:r>
        <w:rPr>
          <w:rFonts w:ascii="Arial" w:hAnsi="Arial" w:cs="Arial"/>
          <w:color w:val="252525"/>
        </w:rPr>
        <w:t xml:space="preserve">a federal </w:t>
      </w:r>
      <w:r w:rsidRPr="00F00D94">
        <w:rPr>
          <w:rFonts w:ascii="Arial" w:hAnsi="Arial" w:cs="Arial"/>
          <w:color w:val="252525"/>
        </w:rPr>
        <w:t xml:space="preserve">program that </w:t>
      </w:r>
      <w:r>
        <w:rPr>
          <w:rFonts w:ascii="Arial" w:hAnsi="Arial" w:cs="Arial"/>
          <w:color w:val="252525"/>
        </w:rPr>
        <w:t>is</w:t>
      </w:r>
      <w:r w:rsidRPr="00F00D94">
        <w:rPr>
          <w:rFonts w:ascii="Arial" w:hAnsi="Arial" w:cs="Arial"/>
          <w:color w:val="252525"/>
        </w:rPr>
        <w:t xml:space="preserve"> not audited as </w:t>
      </w:r>
      <w:r>
        <w:rPr>
          <w:rFonts w:ascii="Arial" w:hAnsi="Arial" w:cs="Arial"/>
          <w:color w:val="252525"/>
        </w:rPr>
        <w:t xml:space="preserve">a </w:t>
      </w:r>
      <w:r w:rsidRPr="00F00D94">
        <w:rPr>
          <w:rFonts w:ascii="Arial" w:hAnsi="Arial" w:cs="Arial"/>
          <w:color w:val="252525"/>
        </w:rPr>
        <w:t>major</w:t>
      </w:r>
      <w:r>
        <w:rPr>
          <w:rFonts w:ascii="Arial" w:hAnsi="Arial" w:cs="Arial"/>
          <w:color w:val="252525"/>
        </w:rPr>
        <w:t xml:space="preserve"> program</w:t>
      </w:r>
      <w:r w:rsidRPr="00F00D94">
        <w:rPr>
          <w:rFonts w:ascii="Arial" w:hAnsi="Arial" w:cs="Arial"/>
          <w:color w:val="252525"/>
        </w:rPr>
        <w:t>.</w:t>
      </w:r>
    </w:p>
    <w:p w14:paraId="6F84A4A9"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4EADCF8B" w14:textId="77777777" w:rsidR="00204AFF" w:rsidRPr="00F00D94" w:rsidRDefault="00204AFF" w:rsidP="006F743F">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FF3EA" w14:textId="77777777" w:rsidR="00204AFF" w:rsidRPr="00F00D94" w:rsidRDefault="00204AFF" w:rsidP="006F743F">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p>
    <w:p w14:paraId="023D51D8" w14:textId="77777777" w:rsidR="00204AFF" w:rsidRPr="00650482" w:rsidRDefault="00204AFF" w:rsidP="00204AFF">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05798C6F" w14:textId="77777777" w:rsidR="00204AFF" w:rsidRPr="00F00D94" w:rsidRDefault="00204AFF" w:rsidP="00204AFF">
      <w:pPr>
        <w:spacing w:after="240"/>
        <w:jc w:val="both"/>
        <w:rPr>
          <w:rFonts w:ascii="Arial" w:hAnsi="Arial" w:cs="Arial"/>
        </w:rPr>
      </w:pPr>
      <w:hyperlink r:id="rId81" w:history="1">
        <w:r w:rsidRPr="00F00D94">
          <w:rPr>
            <w:rStyle w:val="Hyperlink"/>
            <w:rFonts w:cs="Arial"/>
          </w:rPr>
          <w:t xml:space="preserve">Appendix I </w:t>
        </w:r>
      </w:hyperlink>
      <w:r w:rsidRPr="00F00D94">
        <w:rPr>
          <w:rFonts w:ascii="Arial" w:hAnsi="Arial" w:cs="Arial"/>
        </w:rPr>
        <w:t>lists block grants and other programs excluded from the requirements of specified portions of 2 CFR Part 200.</w:t>
      </w:r>
    </w:p>
    <w:p w14:paraId="230D4450" w14:textId="77777777" w:rsidR="00204AFF" w:rsidRDefault="00204AFF" w:rsidP="00204AFF">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4F026E32" w14:textId="77777777" w:rsidR="00204AFF" w:rsidRPr="00F00D94" w:rsidRDefault="00204AFF" w:rsidP="00204AFF">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4AFF" w:rsidRPr="00F00D94" w14:paraId="5B9849D4" w14:textId="77777777" w:rsidTr="00BA784C">
        <w:trPr>
          <w:jc w:val="center"/>
        </w:trPr>
        <w:tc>
          <w:tcPr>
            <w:tcW w:w="5000" w:type="pct"/>
            <w:shd w:val="clear" w:color="auto" w:fill="DBE5F1"/>
          </w:tcPr>
          <w:p w14:paraId="2B4A4726" w14:textId="77777777" w:rsidR="00204AFF" w:rsidRPr="00F00D94" w:rsidRDefault="00204AFF" w:rsidP="00BA784C">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204AFF" w:rsidRPr="00F00D94" w14:paraId="15DD424D" w14:textId="77777777" w:rsidTr="00BA784C">
        <w:trPr>
          <w:jc w:val="center"/>
        </w:trPr>
        <w:tc>
          <w:tcPr>
            <w:tcW w:w="5000" w:type="pct"/>
          </w:tcPr>
          <w:p w14:paraId="7C553FBA" w14:textId="77777777" w:rsidR="00204AFF" w:rsidRPr="00F00D94" w:rsidRDefault="00204AFF" w:rsidP="00BA784C">
            <w:pPr>
              <w:spacing w:after="240"/>
              <w:jc w:val="both"/>
              <w:rPr>
                <w:rFonts w:ascii="Arial" w:hAnsi="Arial" w:cs="Arial"/>
              </w:rPr>
            </w:pPr>
          </w:p>
          <w:p w14:paraId="6D7AAA1E" w14:textId="77777777" w:rsidR="00204AFF" w:rsidRPr="00F00D94" w:rsidRDefault="00204AFF" w:rsidP="00BA784C">
            <w:pPr>
              <w:spacing w:after="240"/>
              <w:jc w:val="both"/>
              <w:rPr>
                <w:rFonts w:ascii="Arial" w:hAnsi="Arial" w:cs="Arial"/>
              </w:rPr>
            </w:pPr>
          </w:p>
        </w:tc>
      </w:tr>
    </w:tbl>
    <w:p w14:paraId="6445521F" w14:textId="77777777" w:rsidR="00204AFF" w:rsidRPr="00F00D94" w:rsidRDefault="00204AFF" w:rsidP="00204AFF">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204AFF" w:rsidRPr="00F00D94" w14:paraId="21D53E3F" w14:textId="77777777" w:rsidTr="00BA784C">
        <w:trPr>
          <w:jc w:val="center"/>
        </w:trPr>
        <w:tc>
          <w:tcPr>
            <w:tcW w:w="9450" w:type="dxa"/>
            <w:shd w:val="clear" w:color="auto" w:fill="DBE5F1"/>
          </w:tcPr>
          <w:p w14:paraId="526C5A69" w14:textId="77777777" w:rsidR="00204AFF" w:rsidRPr="00F00D94" w:rsidRDefault="00204AFF" w:rsidP="00BA784C">
            <w:pPr>
              <w:jc w:val="both"/>
              <w:rPr>
                <w:rFonts w:ascii="Arial" w:hAnsi="Arial" w:cs="Arial"/>
                <w:b/>
              </w:rPr>
            </w:pPr>
            <w:r w:rsidRPr="00F00D94">
              <w:rPr>
                <w:rFonts w:ascii="Arial" w:hAnsi="Arial" w:cs="Arial"/>
                <w:b/>
              </w:rPr>
              <w:t>Cross-reference to questioned costs and matter of noncompliance, if any, documented in this FACCR:</w:t>
            </w:r>
          </w:p>
        </w:tc>
      </w:tr>
      <w:tr w:rsidR="00204AFF" w:rsidRPr="00F00D94" w14:paraId="1787C92A" w14:textId="77777777" w:rsidTr="00BA784C">
        <w:trPr>
          <w:jc w:val="center"/>
        </w:trPr>
        <w:tc>
          <w:tcPr>
            <w:tcW w:w="9450" w:type="dxa"/>
          </w:tcPr>
          <w:p w14:paraId="0CC1B109" w14:textId="77777777" w:rsidR="00204AFF" w:rsidRPr="00F00D94" w:rsidRDefault="00204AFF" w:rsidP="00BA784C">
            <w:pPr>
              <w:spacing w:after="240"/>
              <w:jc w:val="both"/>
              <w:rPr>
                <w:rFonts w:ascii="Arial" w:hAnsi="Arial" w:cs="Arial"/>
              </w:rPr>
            </w:pPr>
          </w:p>
          <w:p w14:paraId="7DB157F2" w14:textId="77777777" w:rsidR="00204AFF" w:rsidRPr="00F00D94" w:rsidRDefault="00204AFF" w:rsidP="00BA784C">
            <w:pPr>
              <w:spacing w:after="240"/>
              <w:jc w:val="both"/>
              <w:rPr>
                <w:rFonts w:ascii="Arial" w:hAnsi="Arial" w:cs="Arial"/>
              </w:rPr>
            </w:pPr>
          </w:p>
        </w:tc>
      </w:tr>
    </w:tbl>
    <w:p w14:paraId="4F3D199D" w14:textId="77777777" w:rsidR="00204AFF" w:rsidRPr="00F00D94" w:rsidRDefault="00204AFF" w:rsidP="00204AFF">
      <w:pPr>
        <w:spacing w:after="240"/>
        <w:jc w:val="both"/>
        <w:rPr>
          <w:rFonts w:ascii="Arial" w:hAnsi="Arial" w:cs="Arial"/>
          <w:color w:val="000000"/>
        </w:rPr>
      </w:pPr>
    </w:p>
    <w:p w14:paraId="760C6F34" w14:textId="77777777" w:rsidR="00204AFF" w:rsidRPr="00F00D94" w:rsidRDefault="00204AFF" w:rsidP="00204AFF">
      <w:pPr>
        <w:spacing w:after="240"/>
        <w:jc w:val="both"/>
        <w:rPr>
          <w:rFonts w:ascii="Arial" w:hAnsi="Arial" w:cs="Arial"/>
          <w:b/>
          <w:color w:val="000000"/>
        </w:rPr>
      </w:pPr>
      <w:r w:rsidRPr="0019492E">
        <w:rPr>
          <w:rFonts w:ascii="Arial" w:hAnsi="Arial" w:cs="Arial"/>
          <w:bCs/>
          <w:color w:val="000000"/>
        </w:rPr>
        <w:t xml:space="preserve">Per paragraph 13.50 of the AICPA </w:t>
      </w:r>
      <w:r w:rsidRPr="0019492E">
        <w:rPr>
          <w:rFonts w:ascii="Arial" w:hAnsi="Arial" w:cs="Arial"/>
          <w:bCs/>
          <w:i/>
          <w:iCs/>
          <w:color w:val="000000"/>
        </w:rPr>
        <w:t>Single Audit</w:t>
      </w:r>
      <w:r w:rsidRPr="0019492E">
        <w:rPr>
          <w:rFonts w:ascii="Arial" w:hAnsi="Arial" w:cs="Arial"/>
          <w:bCs/>
          <w:color w:val="000000"/>
        </w:rPr>
        <w:t xml:space="preserve"> Guide, </w:t>
      </w:r>
      <w:r w:rsidRPr="0019492E">
        <w:rPr>
          <w:rFonts w:ascii="Arial" w:hAnsi="Arial" w:cs="Arial"/>
          <w:bCs/>
          <w:color w:val="252525"/>
        </w:rPr>
        <w:t>the</w:t>
      </w:r>
      <w:r w:rsidRPr="00F00D94">
        <w:rPr>
          <w:rFonts w:ascii="Arial" w:hAnsi="Arial" w:cs="Arial"/>
          <w:color w:val="252525"/>
        </w:rPr>
        <w:t xml:space="preserve"> schedule of findings and questioned costs must include all audit findings required to be reported under the Uniform Guidance. A separate written communication (such as a communication sometimes referred to as a management letter) may not be used to communicate such matters to the auditee in lieu of reporting them as audit findings in accordance with the Uniform Guidance. See the discussion beginning at paragraph 13.34 for information on Uniform Guidance requirements for the schedule of findings and questioned </w:t>
      </w:r>
      <w:r w:rsidRPr="00641291">
        <w:rPr>
          <w:rFonts w:ascii="Arial" w:hAnsi="Arial" w:cs="Arial"/>
        </w:rPr>
        <w:t xml:space="preserve">costs. If there are other matters that do not meet the Uniform Guidance requirements for reporting but, in the auditor's judgment, warrant the attention those charged with governance, they should be communicated in writing or verbally. If </w:t>
      </w:r>
      <w:r w:rsidRPr="00F00D94">
        <w:rPr>
          <w:rFonts w:ascii="Arial" w:hAnsi="Arial" w:cs="Arial"/>
          <w:color w:val="252525"/>
        </w:rPr>
        <w:t xml:space="preserve">such a communication is provided in writing to the auditee, there is no requirement for that communication to be referenced in the Uniform Guidance compliance report. Per table 13-2 </w:t>
      </w:r>
      <w:r w:rsidRPr="0019492E">
        <w:rPr>
          <w:rFonts w:ascii="Arial" w:hAnsi="Arial" w:cs="Arial"/>
          <w:bCs/>
          <w:color w:val="000000"/>
        </w:rPr>
        <w:t xml:space="preserve">a matter must meet the following in order to be communicated in the management letter: </w:t>
      </w:r>
    </w:p>
    <w:p w14:paraId="56130F8E" w14:textId="77777777" w:rsidR="00204AFF" w:rsidRPr="00F00D94" w:rsidRDefault="00204AFF" w:rsidP="006F743F">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3448A98E" w14:textId="77777777" w:rsidR="00204AFF" w:rsidRPr="00F00D94" w:rsidRDefault="00204AFF" w:rsidP="006F743F">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Noncompliance with federal statutes, regulations or terms and conditions of federal awards related to a major program that does not meet the criteria for reporting under the Uniform Guidance but, in the auditor's judgment, is of sufficient importance to communicate to management or those charged with governance.</w:t>
      </w:r>
    </w:p>
    <w:p w14:paraId="629D86CC" w14:textId="77777777" w:rsidR="00204AFF" w:rsidRPr="00F00D94" w:rsidRDefault="00204AFF" w:rsidP="006F743F">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204AFF" w:rsidRPr="00F00D94" w14:paraId="2374A2E9" w14:textId="77777777" w:rsidTr="00BA784C">
        <w:trPr>
          <w:jc w:val="center"/>
        </w:trPr>
        <w:tc>
          <w:tcPr>
            <w:tcW w:w="9585" w:type="dxa"/>
            <w:shd w:val="clear" w:color="auto" w:fill="DBE5F1"/>
          </w:tcPr>
          <w:p w14:paraId="5049349F" w14:textId="77777777" w:rsidR="00204AFF" w:rsidRPr="00F00D94" w:rsidRDefault="00204AFF" w:rsidP="00BA784C">
            <w:pPr>
              <w:jc w:val="both"/>
              <w:rPr>
                <w:rFonts w:ascii="Arial" w:hAnsi="Arial" w:cs="Arial"/>
                <w:b/>
              </w:rPr>
            </w:pPr>
            <w:r w:rsidRPr="00F00D94">
              <w:rPr>
                <w:rFonts w:ascii="Arial" w:hAnsi="Arial" w:cs="Arial"/>
                <w:b/>
              </w:rPr>
              <w:t>Cross-reference to any Management Letter items and explain why not included in the Single Audit Compliance Report:</w:t>
            </w:r>
          </w:p>
        </w:tc>
      </w:tr>
      <w:tr w:rsidR="00204AFF" w:rsidRPr="00F00D94" w14:paraId="4CFEC272" w14:textId="77777777" w:rsidTr="00BA784C">
        <w:trPr>
          <w:jc w:val="center"/>
        </w:trPr>
        <w:tc>
          <w:tcPr>
            <w:tcW w:w="9585" w:type="dxa"/>
          </w:tcPr>
          <w:p w14:paraId="4C9A94BE" w14:textId="77777777" w:rsidR="00204AFF" w:rsidRPr="00F00D94" w:rsidRDefault="00204AFF" w:rsidP="00BA784C">
            <w:pPr>
              <w:spacing w:after="240"/>
              <w:ind w:left="360"/>
              <w:jc w:val="both"/>
              <w:rPr>
                <w:rFonts w:ascii="Arial" w:hAnsi="Arial" w:cs="Arial"/>
              </w:rPr>
            </w:pPr>
          </w:p>
          <w:p w14:paraId="61491D88" w14:textId="77777777" w:rsidR="00204AFF" w:rsidRPr="00F00D94" w:rsidRDefault="00204AFF" w:rsidP="00BA784C">
            <w:pPr>
              <w:spacing w:after="240"/>
              <w:ind w:left="360"/>
              <w:jc w:val="both"/>
              <w:rPr>
                <w:rFonts w:ascii="Arial" w:hAnsi="Arial" w:cs="Arial"/>
              </w:rPr>
            </w:pPr>
          </w:p>
        </w:tc>
      </w:tr>
      <w:bookmarkEnd w:id="88"/>
    </w:tbl>
    <w:p w14:paraId="07EEA598" w14:textId="5A6944B4" w:rsidR="00784098" w:rsidRPr="00D94F69" w:rsidRDefault="00784098" w:rsidP="00204AFF">
      <w:pPr>
        <w:pStyle w:val="Heading2"/>
        <w:jc w:val="both"/>
        <w:rPr>
          <w:rFonts w:cs="Arial"/>
          <w:szCs w:val="20"/>
        </w:rPr>
      </w:pPr>
    </w:p>
    <w:sectPr w:rsidR="00784098" w:rsidRPr="00D94F69" w:rsidSect="00257772">
      <w:headerReference w:type="default" r:id="rId8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EE8BCD5" w:rsidR="000C7D0B" w:rsidRDefault="009D190B">
    <w:pPr>
      <w:pBdr>
        <w:top w:val="single" w:sz="4" w:space="1" w:color="auto"/>
      </w:pBdr>
      <w:tabs>
        <w:tab w:val="center" w:pos="4680"/>
      </w:tabs>
      <w:spacing w:line="240" w:lineRule="exact"/>
      <w:rPr>
        <w:sz w:val="18"/>
      </w:rPr>
    </w:pPr>
    <w:r>
      <w:rPr>
        <w:sz w:val="18"/>
      </w:rPr>
      <w:t xml:space="preserve">2025 </w:t>
    </w:r>
    <w:r w:rsidR="005E6C13">
      <w:rPr>
        <w:sz w:val="18"/>
      </w:rPr>
      <w:t xml:space="preserve">FACCR, Housing Voucher Cluster </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CD31" w14:textId="69A7E26B" w:rsidR="00237960" w:rsidRPr="002616A3" w:rsidRDefault="0023796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 – Selection from the Waiting List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2BDB" w14:textId="10D3CBFF" w:rsidR="00237960" w:rsidRPr="002616A3" w:rsidRDefault="0023796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Reasonable Rent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AD0" w14:textId="7F224C39" w:rsidR="00237960" w:rsidRPr="002616A3" w:rsidRDefault="00237960"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Utility Allowance Schedule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5C2EDFE6"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204AFF">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204AFF">
      <w:rPr>
        <w:rFonts w:ascii="Arial" w:hAnsi="Arial" w:cs="Arial"/>
        <w:b/>
        <w:sz w:val="36"/>
        <w:szCs w:val="36"/>
      </w:rPr>
      <w:t xml:space="preserve"> – National Standards for the Physical Inspection of Real Estate (NSPIRE) / Housing Quality Standards Inspections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1BD2" w14:textId="790C2FA9" w:rsidR="00204AFF" w:rsidRPr="002616A3" w:rsidRDefault="00204AFF" w:rsidP="00204AFF">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HQS Enforcement</w:t>
    </w:r>
  </w:p>
  <w:p w14:paraId="755A8B1E" w14:textId="71A11EED" w:rsidR="000C7D0B" w:rsidRPr="00784098" w:rsidRDefault="000C7D0B" w:rsidP="00784098">
    <w:pPr>
      <w:pStyle w:val="Header"/>
      <w:jc w:val="center"/>
      <w:rPr>
        <w:rFonts w:ascii="Arial" w:hAnsi="Arial" w:cs="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5AA3" w14:textId="5D81C123" w:rsidR="006F743F" w:rsidRPr="002616A3" w:rsidRDefault="006F743F" w:rsidP="00204AFF">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Housing Assistance Payment</w:t>
    </w:r>
  </w:p>
  <w:p w14:paraId="44430591" w14:textId="4D2C6B80" w:rsidR="006F743F" w:rsidRPr="00784098" w:rsidRDefault="006F743F" w:rsidP="00784098">
    <w:pPr>
      <w:pStyle w:val="Header"/>
      <w:jc w:val="center"/>
      <w:rPr>
        <w:rFonts w:ascii="Arial" w:hAnsi="Arial" w:cs="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EF2A" w14:textId="77777777" w:rsidR="00204AFF" w:rsidRPr="00204AFF" w:rsidRDefault="00204AFF" w:rsidP="00204AFF">
    <w:pPr>
      <w:pStyle w:val="Heading2"/>
      <w:jc w:val="center"/>
      <w:rPr>
        <w:rStyle w:val="PageNumber"/>
        <w:rFonts w:cs="Arial"/>
        <w:sz w:val="36"/>
        <w:szCs w:val="36"/>
      </w:rPr>
    </w:pPr>
    <w:r w:rsidRPr="00204AFF">
      <w:rPr>
        <w:rStyle w:val="PageNumber"/>
        <w:rFonts w:cs="Arial"/>
        <w:sz w:val="36"/>
        <w:szCs w:val="36"/>
      </w:rPr>
      <w:t>Program Testing Conclusion</w:t>
    </w:r>
  </w:p>
  <w:p w14:paraId="6B6EDB90" w14:textId="3C24DBA7" w:rsidR="00204AFF" w:rsidRPr="00784098" w:rsidRDefault="00204AFF" w:rsidP="00784098">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3E65C1"/>
    <w:multiLevelType w:val="hybridMultilevel"/>
    <w:tmpl w:val="BFE8AAC6"/>
    <w:lvl w:ilvl="0" w:tplc="5B9A96D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301E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6884A2E"/>
    <w:multiLevelType w:val="hybridMultilevel"/>
    <w:tmpl w:val="BFE8AAC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23334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4F4BBD"/>
    <w:multiLevelType w:val="hybridMultilevel"/>
    <w:tmpl w:val="BFE8AAC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02788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E841799"/>
    <w:multiLevelType w:val="hybridMultilevel"/>
    <w:tmpl w:val="21D0804C"/>
    <w:lvl w:ilvl="0" w:tplc="51D4A6AE">
      <w:start w:val="1"/>
      <w:numFmt w:val="decimal"/>
      <w:lvlText w:val="%1."/>
      <w:lvlJc w:val="left"/>
      <w:pPr>
        <w:ind w:left="2836" w:hanging="720"/>
      </w:pPr>
      <w:rPr>
        <w:rFonts w:ascii="Arial" w:eastAsia="Times New Roman" w:hAnsi="Arial" w:cs="Arial" w:hint="default"/>
        <w:spacing w:val="-2"/>
        <w:w w:val="100"/>
        <w:sz w:val="20"/>
        <w:szCs w:val="20"/>
      </w:rPr>
    </w:lvl>
    <w:lvl w:ilvl="1" w:tplc="56602682">
      <w:numFmt w:val="bullet"/>
      <w:lvlText w:val="•"/>
      <w:lvlJc w:val="left"/>
      <w:pPr>
        <w:ind w:left="3604" w:hanging="720"/>
      </w:pPr>
      <w:rPr>
        <w:rFonts w:hint="default"/>
      </w:rPr>
    </w:lvl>
    <w:lvl w:ilvl="2" w:tplc="94F2B0A4">
      <w:numFmt w:val="bullet"/>
      <w:lvlText w:val="•"/>
      <w:lvlJc w:val="left"/>
      <w:pPr>
        <w:ind w:left="4368" w:hanging="720"/>
      </w:pPr>
      <w:rPr>
        <w:rFonts w:hint="default"/>
      </w:rPr>
    </w:lvl>
    <w:lvl w:ilvl="3" w:tplc="F95E17B2">
      <w:numFmt w:val="bullet"/>
      <w:lvlText w:val="•"/>
      <w:lvlJc w:val="left"/>
      <w:pPr>
        <w:ind w:left="5132" w:hanging="720"/>
      </w:pPr>
      <w:rPr>
        <w:rFonts w:hint="default"/>
      </w:rPr>
    </w:lvl>
    <w:lvl w:ilvl="4" w:tplc="75B880E4">
      <w:numFmt w:val="bullet"/>
      <w:lvlText w:val="•"/>
      <w:lvlJc w:val="left"/>
      <w:pPr>
        <w:ind w:left="5896" w:hanging="720"/>
      </w:pPr>
      <w:rPr>
        <w:rFonts w:hint="default"/>
      </w:rPr>
    </w:lvl>
    <w:lvl w:ilvl="5" w:tplc="1E2CFBD0">
      <w:numFmt w:val="bullet"/>
      <w:lvlText w:val="•"/>
      <w:lvlJc w:val="left"/>
      <w:pPr>
        <w:ind w:left="6660" w:hanging="720"/>
      </w:pPr>
      <w:rPr>
        <w:rFonts w:hint="default"/>
      </w:rPr>
    </w:lvl>
    <w:lvl w:ilvl="6" w:tplc="10EEE948">
      <w:numFmt w:val="bullet"/>
      <w:lvlText w:val="•"/>
      <w:lvlJc w:val="left"/>
      <w:pPr>
        <w:ind w:left="7424" w:hanging="720"/>
      </w:pPr>
      <w:rPr>
        <w:rFonts w:hint="default"/>
      </w:rPr>
    </w:lvl>
    <w:lvl w:ilvl="7" w:tplc="14321648">
      <w:numFmt w:val="bullet"/>
      <w:lvlText w:val="•"/>
      <w:lvlJc w:val="left"/>
      <w:pPr>
        <w:ind w:left="8188" w:hanging="720"/>
      </w:pPr>
      <w:rPr>
        <w:rFonts w:hint="default"/>
      </w:rPr>
    </w:lvl>
    <w:lvl w:ilvl="8" w:tplc="1F3831A0">
      <w:numFmt w:val="bullet"/>
      <w:lvlText w:val="•"/>
      <w:lvlJc w:val="left"/>
      <w:pPr>
        <w:ind w:left="8952" w:hanging="720"/>
      </w:pPr>
      <w:rPr>
        <w:rFonts w:hint="default"/>
      </w:rPr>
    </w:lvl>
  </w:abstractNum>
  <w:abstractNum w:abstractNumId="3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D12C4"/>
    <w:multiLevelType w:val="hybridMultilevel"/>
    <w:tmpl w:val="15944E50"/>
    <w:lvl w:ilvl="0" w:tplc="47285366">
      <w:start w:val="12"/>
      <w:numFmt w:val="upperLetter"/>
      <w:lvlText w:val="%1."/>
      <w:lvlJc w:val="left"/>
      <w:pPr>
        <w:ind w:left="1396" w:hanging="720"/>
      </w:pPr>
      <w:rPr>
        <w:rFonts w:ascii="Times New Roman" w:eastAsia="Times New Roman" w:hAnsi="Times New Roman" w:cs="Times New Roman" w:hint="default"/>
        <w:b/>
        <w:bCs/>
        <w:spacing w:val="-3"/>
        <w:w w:val="100"/>
        <w:sz w:val="24"/>
        <w:szCs w:val="24"/>
      </w:rPr>
    </w:lvl>
    <w:lvl w:ilvl="1" w:tplc="A0C4ED00">
      <w:start w:val="1"/>
      <w:numFmt w:val="decimal"/>
      <w:lvlText w:val="%2."/>
      <w:lvlJc w:val="left"/>
      <w:pPr>
        <w:ind w:left="2116" w:hanging="720"/>
      </w:pPr>
      <w:rPr>
        <w:rFonts w:ascii="Arial" w:eastAsia="Times New Roman" w:hAnsi="Arial" w:cs="Arial" w:hint="default"/>
        <w:b/>
        <w:bCs/>
        <w:spacing w:val="-6"/>
        <w:w w:val="100"/>
        <w:sz w:val="20"/>
        <w:szCs w:val="20"/>
      </w:rPr>
    </w:lvl>
    <w:lvl w:ilvl="2" w:tplc="D31A1848">
      <w:start w:val="1"/>
      <w:numFmt w:val="lowerLetter"/>
      <w:lvlText w:val="%3."/>
      <w:lvlJc w:val="left"/>
      <w:pPr>
        <w:ind w:left="2836" w:hanging="720"/>
      </w:pPr>
      <w:rPr>
        <w:rFonts w:ascii="Arial" w:eastAsia="Times New Roman" w:hAnsi="Arial" w:cs="Arial" w:hint="default"/>
        <w:spacing w:val="-4"/>
        <w:w w:val="100"/>
        <w:sz w:val="20"/>
        <w:szCs w:val="20"/>
      </w:rPr>
    </w:lvl>
    <w:lvl w:ilvl="3" w:tplc="9202011A">
      <w:numFmt w:val="bullet"/>
      <w:lvlText w:val="•"/>
      <w:lvlJc w:val="left"/>
      <w:pPr>
        <w:ind w:left="3795" w:hanging="720"/>
      </w:pPr>
      <w:rPr>
        <w:rFonts w:hint="default"/>
      </w:rPr>
    </w:lvl>
    <w:lvl w:ilvl="4" w:tplc="7DA8F338">
      <w:numFmt w:val="bullet"/>
      <w:lvlText w:val="•"/>
      <w:lvlJc w:val="left"/>
      <w:pPr>
        <w:ind w:left="4750" w:hanging="720"/>
      </w:pPr>
      <w:rPr>
        <w:rFonts w:hint="default"/>
      </w:rPr>
    </w:lvl>
    <w:lvl w:ilvl="5" w:tplc="58F050A2">
      <w:numFmt w:val="bullet"/>
      <w:lvlText w:val="•"/>
      <w:lvlJc w:val="left"/>
      <w:pPr>
        <w:ind w:left="5705" w:hanging="720"/>
      </w:pPr>
      <w:rPr>
        <w:rFonts w:hint="default"/>
      </w:rPr>
    </w:lvl>
    <w:lvl w:ilvl="6" w:tplc="C988F6E0">
      <w:numFmt w:val="bullet"/>
      <w:lvlText w:val="•"/>
      <w:lvlJc w:val="left"/>
      <w:pPr>
        <w:ind w:left="6660" w:hanging="720"/>
      </w:pPr>
      <w:rPr>
        <w:rFonts w:hint="default"/>
      </w:rPr>
    </w:lvl>
    <w:lvl w:ilvl="7" w:tplc="9F3E7FE8">
      <w:numFmt w:val="bullet"/>
      <w:lvlText w:val="•"/>
      <w:lvlJc w:val="left"/>
      <w:pPr>
        <w:ind w:left="7615" w:hanging="720"/>
      </w:pPr>
      <w:rPr>
        <w:rFonts w:hint="default"/>
      </w:rPr>
    </w:lvl>
    <w:lvl w:ilvl="8" w:tplc="6B949540">
      <w:numFmt w:val="bullet"/>
      <w:lvlText w:val="•"/>
      <w:lvlJc w:val="left"/>
      <w:pPr>
        <w:ind w:left="8570" w:hanging="720"/>
      </w:pPr>
      <w:rPr>
        <w:rFonts w:hint="default"/>
      </w:r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7D6F05"/>
    <w:multiLevelType w:val="hybridMultilevel"/>
    <w:tmpl w:val="05A26D92"/>
    <w:lvl w:ilvl="0" w:tplc="7C3CA1D8">
      <w:start w:val="1"/>
      <w:numFmt w:val="upperRoman"/>
      <w:lvlText w:val="%1."/>
      <w:lvlJc w:val="left"/>
      <w:pPr>
        <w:ind w:left="1396" w:hanging="720"/>
      </w:pPr>
      <w:rPr>
        <w:rFonts w:ascii="Times New Roman" w:eastAsia="Times New Roman" w:hAnsi="Times New Roman" w:cs="Times New Roman" w:hint="default"/>
        <w:b/>
        <w:bCs/>
        <w:spacing w:val="-1"/>
        <w:w w:val="100"/>
        <w:sz w:val="24"/>
        <w:szCs w:val="24"/>
      </w:rPr>
    </w:lvl>
    <w:lvl w:ilvl="1" w:tplc="A3989C18">
      <w:start w:val="1"/>
      <w:numFmt w:val="upperLetter"/>
      <w:lvlText w:val="%2."/>
      <w:lvlJc w:val="left"/>
      <w:pPr>
        <w:ind w:left="2116" w:hanging="720"/>
      </w:pPr>
      <w:rPr>
        <w:rFonts w:ascii="Arial" w:eastAsia="Times New Roman" w:hAnsi="Arial" w:cs="Arial" w:hint="default"/>
        <w:b/>
        <w:bCs/>
        <w:spacing w:val="-3"/>
        <w:w w:val="100"/>
        <w:sz w:val="20"/>
        <w:szCs w:val="20"/>
      </w:rPr>
    </w:lvl>
    <w:lvl w:ilvl="2" w:tplc="D3086462">
      <w:start w:val="1"/>
      <w:numFmt w:val="decimal"/>
      <w:lvlText w:val="%3."/>
      <w:lvlJc w:val="left"/>
      <w:pPr>
        <w:ind w:left="2116" w:hanging="720"/>
      </w:pPr>
      <w:rPr>
        <w:rFonts w:ascii="Arial" w:eastAsia="Times New Roman" w:hAnsi="Arial" w:cs="Arial" w:hint="default"/>
        <w:spacing w:val="-6"/>
        <w:w w:val="100"/>
        <w:sz w:val="20"/>
        <w:szCs w:val="20"/>
      </w:rPr>
    </w:lvl>
    <w:lvl w:ilvl="3" w:tplc="EE8ACC78">
      <w:numFmt w:val="bullet"/>
      <w:lvlText w:val="•"/>
      <w:lvlJc w:val="left"/>
      <w:pPr>
        <w:ind w:left="3977" w:hanging="720"/>
      </w:pPr>
      <w:rPr>
        <w:rFonts w:hint="default"/>
      </w:rPr>
    </w:lvl>
    <w:lvl w:ilvl="4" w:tplc="B2AA9A2A">
      <w:numFmt w:val="bullet"/>
      <w:lvlText w:val="•"/>
      <w:lvlJc w:val="left"/>
      <w:pPr>
        <w:ind w:left="4906" w:hanging="720"/>
      </w:pPr>
      <w:rPr>
        <w:rFonts w:hint="default"/>
      </w:rPr>
    </w:lvl>
    <w:lvl w:ilvl="5" w:tplc="B89CE2CE">
      <w:numFmt w:val="bullet"/>
      <w:lvlText w:val="•"/>
      <w:lvlJc w:val="left"/>
      <w:pPr>
        <w:ind w:left="5835" w:hanging="720"/>
      </w:pPr>
      <w:rPr>
        <w:rFonts w:hint="default"/>
      </w:rPr>
    </w:lvl>
    <w:lvl w:ilvl="6" w:tplc="7DF6DAA6">
      <w:numFmt w:val="bullet"/>
      <w:lvlText w:val="•"/>
      <w:lvlJc w:val="left"/>
      <w:pPr>
        <w:ind w:left="6764" w:hanging="720"/>
      </w:pPr>
      <w:rPr>
        <w:rFonts w:hint="default"/>
      </w:rPr>
    </w:lvl>
    <w:lvl w:ilvl="7" w:tplc="9918D112">
      <w:numFmt w:val="bullet"/>
      <w:lvlText w:val="•"/>
      <w:lvlJc w:val="left"/>
      <w:pPr>
        <w:ind w:left="7693" w:hanging="720"/>
      </w:pPr>
      <w:rPr>
        <w:rFonts w:hint="default"/>
      </w:rPr>
    </w:lvl>
    <w:lvl w:ilvl="8" w:tplc="31CA5978">
      <w:numFmt w:val="bullet"/>
      <w:lvlText w:val="•"/>
      <w:lvlJc w:val="left"/>
      <w:pPr>
        <w:ind w:left="8622" w:hanging="720"/>
      </w:pPr>
      <w:rPr>
        <w:rFonts w:hint="default"/>
      </w:rPr>
    </w:lvl>
  </w:abstractNum>
  <w:abstractNum w:abstractNumId="4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5"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6" w15:restartNumberingAfterBreak="0">
    <w:nsid w:val="558B09B0"/>
    <w:multiLevelType w:val="hybridMultilevel"/>
    <w:tmpl w:val="BFE8AAC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FD2ED2"/>
    <w:multiLevelType w:val="hybridMultilevel"/>
    <w:tmpl w:val="7988DCA4"/>
    <w:lvl w:ilvl="0" w:tplc="11CAEC20">
      <w:start w:val="1"/>
      <w:numFmt w:val="decimal"/>
      <w:lvlText w:val="(%1)"/>
      <w:lvlJc w:val="left"/>
      <w:pPr>
        <w:ind w:left="2836" w:hanging="720"/>
      </w:pPr>
      <w:rPr>
        <w:rFonts w:ascii="Arial" w:eastAsia="Times New Roman" w:hAnsi="Arial" w:cs="Arial" w:hint="default"/>
        <w:spacing w:val="-4"/>
        <w:w w:val="100"/>
        <w:sz w:val="20"/>
        <w:szCs w:val="20"/>
      </w:rPr>
    </w:lvl>
    <w:lvl w:ilvl="1" w:tplc="8C60D00A">
      <w:numFmt w:val="bullet"/>
      <w:lvlText w:val="•"/>
      <w:lvlJc w:val="left"/>
      <w:pPr>
        <w:ind w:left="3604" w:hanging="720"/>
      </w:pPr>
      <w:rPr>
        <w:rFonts w:hint="default"/>
      </w:rPr>
    </w:lvl>
    <w:lvl w:ilvl="2" w:tplc="A7C00368">
      <w:numFmt w:val="bullet"/>
      <w:lvlText w:val="•"/>
      <w:lvlJc w:val="left"/>
      <w:pPr>
        <w:ind w:left="4368" w:hanging="720"/>
      </w:pPr>
      <w:rPr>
        <w:rFonts w:hint="default"/>
      </w:rPr>
    </w:lvl>
    <w:lvl w:ilvl="3" w:tplc="21AC4CBA">
      <w:numFmt w:val="bullet"/>
      <w:lvlText w:val="•"/>
      <w:lvlJc w:val="left"/>
      <w:pPr>
        <w:ind w:left="5132" w:hanging="720"/>
      </w:pPr>
      <w:rPr>
        <w:rFonts w:hint="default"/>
      </w:rPr>
    </w:lvl>
    <w:lvl w:ilvl="4" w:tplc="14E052BC">
      <w:numFmt w:val="bullet"/>
      <w:lvlText w:val="•"/>
      <w:lvlJc w:val="left"/>
      <w:pPr>
        <w:ind w:left="5896" w:hanging="720"/>
      </w:pPr>
      <w:rPr>
        <w:rFonts w:hint="default"/>
      </w:rPr>
    </w:lvl>
    <w:lvl w:ilvl="5" w:tplc="7E949058">
      <w:numFmt w:val="bullet"/>
      <w:lvlText w:val="•"/>
      <w:lvlJc w:val="left"/>
      <w:pPr>
        <w:ind w:left="6660" w:hanging="720"/>
      </w:pPr>
      <w:rPr>
        <w:rFonts w:hint="default"/>
      </w:rPr>
    </w:lvl>
    <w:lvl w:ilvl="6" w:tplc="079A238A">
      <w:numFmt w:val="bullet"/>
      <w:lvlText w:val="•"/>
      <w:lvlJc w:val="left"/>
      <w:pPr>
        <w:ind w:left="7424" w:hanging="720"/>
      </w:pPr>
      <w:rPr>
        <w:rFonts w:hint="default"/>
      </w:rPr>
    </w:lvl>
    <w:lvl w:ilvl="7" w:tplc="CA06E6A2">
      <w:numFmt w:val="bullet"/>
      <w:lvlText w:val="•"/>
      <w:lvlJc w:val="left"/>
      <w:pPr>
        <w:ind w:left="8188" w:hanging="720"/>
      </w:pPr>
      <w:rPr>
        <w:rFonts w:hint="default"/>
      </w:rPr>
    </w:lvl>
    <w:lvl w:ilvl="8" w:tplc="6D1AFA64">
      <w:numFmt w:val="bullet"/>
      <w:lvlText w:val="•"/>
      <w:lvlJc w:val="left"/>
      <w:pPr>
        <w:ind w:left="8952" w:hanging="720"/>
      </w:pPr>
      <w:rPr>
        <w:rFonts w:hint="default"/>
      </w:rPr>
    </w:lvl>
  </w:abstractNum>
  <w:abstractNum w:abstractNumId="50"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0F726C"/>
    <w:multiLevelType w:val="hybridMultilevel"/>
    <w:tmpl w:val="BFE8AAC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870DC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297BA4"/>
    <w:multiLevelType w:val="hybridMultilevel"/>
    <w:tmpl w:val="86607330"/>
    <w:lvl w:ilvl="0" w:tplc="37704D0C">
      <w:start w:val="3"/>
      <w:numFmt w:val="decimal"/>
      <w:lvlText w:val="%1."/>
      <w:lvlJc w:val="left"/>
      <w:pPr>
        <w:ind w:left="2116" w:hanging="720"/>
      </w:pPr>
      <w:rPr>
        <w:rFonts w:ascii="Arial" w:eastAsia="Times New Roman" w:hAnsi="Arial" w:cs="Arial" w:hint="default"/>
        <w:b/>
        <w:bCs/>
        <w:spacing w:val="-3"/>
        <w:w w:val="100"/>
        <w:sz w:val="20"/>
        <w:szCs w:val="20"/>
      </w:rPr>
    </w:lvl>
    <w:lvl w:ilvl="1" w:tplc="8DA467A2">
      <w:start w:val="1"/>
      <w:numFmt w:val="decimal"/>
      <w:lvlText w:val="%2."/>
      <w:lvlJc w:val="left"/>
      <w:pPr>
        <w:ind w:left="2836" w:hanging="720"/>
      </w:pPr>
      <w:rPr>
        <w:rFonts w:ascii="Arial" w:eastAsia="Times New Roman" w:hAnsi="Arial" w:cs="Arial" w:hint="default"/>
        <w:spacing w:val="-3"/>
        <w:w w:val="100"/>
        <w:sz w:val="20"/>
        <w:szCs w:val="20"/>
      </w:rPr>
    </w:lvl>
    <w:lvl w:ilvl="2" w:tplc="8634F042">
      <w:numFmt w:val="bullet"/>
      <w:lvlText w:val="•"/>
      <w:lvlJc w:val="left"/>
      <w:pPr>
        <w:ind w:left="3688" w:hanging="720"/>
      </w:pPr>
      <w:rPr>
        <w:rFonts w:hint="default"/>
      </w:rPr>
    </w:lvl>
    <w:lvl w:ilvl="3" w:tplc="BB1495FA">
      <w:numFmt w:val="bullet"/>
      <w:lvlText w:val="•"/>
      <w:lvlJc w:val="left"/>
      <w:pPr>
        <w:ind w:left="4537" w:hanging="720"/>
      </w:pPr>
      <w:rPr>
        <w:rFonts w:hint="default"/>
      </w:rPr>
    </w:lvl>
    <w:lvl w:ilvl="4" w:tplc="08505E52">
      <w:numFmt w:val="bullet"/>
      <w:lvlText w:val="•"/>
      <w:lvlJc w:val="left"/>
      <w:pPr>
        <w:ind w:left="5386" w:hanging="720"/>
      </w:pPr>
      <w:rPr>
        <w:rFonts w:hint="default"/>
      </w:rPr>
    </w:lvl>
    <w:lvl w:ilvl="5" w:tplc="D6D6810C">
      <w:numFmt w:val="bullet"/>
      <w:lvlText w:val="•"/>
      <w:lvlJc w:val="left"/>
      <w:pPr>
        <w:ind w:left="6235" w:hanging="720"/>
      </w:pPr>
      <w:rPr>
        <w:rFonts w:hint="default"/>
      </w:rPr>
    </w:lvl>
    <w:lvl w:ilvl="6" w:tplc="211A4D82">
      <w:numFmt w:val="bullet"/>
      <w:lvlText w:val="•"/>
      <w:lvlJc w:val="left"/>
      <w:pPr>
        <w:ind w:left="7084" w:hanging="720"/>
      </w:pPr>
      <w:rPr>
        <w:rFonts w:hint="default"/>
      </w:rPr>
    </w:lvl>
    <w:lvl w:ilvl="7" w:tplc="D9067104">
      <w:numFmt w:val="bullet"/>
      <w:lvlText w:val="•"/>
      <w:lvlJc w:val="left"/>
      <w:pPr>
        <w:ind w:left="7933" w:hanging="720"/>
      </w:pPr>
      <w:rPr>
        <w:rFonts w:hint="default"/>
      </w:rPr>
    </w:lvl>
    <w:lvl w:ilvl="8" w:tplc="39CA7300">
      <w:numFmt w:val="bullet"/>
      <w:lvlText w:val="•"/>
      <w:lvlJc w:val="left"/>
      <w:pPr>
        <w:ind w:left="8782" w:hanging="720"/>
      </w:pPr>
      <w:rPr>
        <w:rFonts w:hint="default"/>
      </w:rPr>
    </w:lvl>
  </w:abstractNum>
  <w:abstractNum w:abstractNumId="60" w15:restartNumberingAfterBreak="0">
    <w:nsid w:val="6D8969EE"/>
    <w:multiLevelType w:val="hybridMultilevel"/>
    <w:tmpl w:val="BFE8AAC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8E126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474D29"/>
    <w:multiLevelType w:val="hybridMultilevel"/>
    <w:tmpl w:val="1E5E40D4"/>
    <w:lvl w:ilvl="0" w:tplc="927E8EE4">
      <w:start w:val="5"/>
      <w:numFmt w:val="upperLetter"/>
      <w:lvlText w:val="%1."/>
      <w:lvlJc w:val="left"/>
      <w:pPr>
        <w:ind w:left="1396" w:hanging="720"/>
      </w:pPr>
      <w:rPr>
        <w:rFonts w:ascii="Times New Roman" w:eastAsia="Times New Roman" w:hAnsi="Times New Roman" w:cs="Times New Roman" w:hint="default"/>
        <w:b/>
        <w:bCs/>
        <w:spacing w:val="-3"/>
        <w:w w:val="100"/>
        <w:sz w:val="24"/>
        <w:szCs w:val="24"/>
      </w:rPr>
    </w:lvl>
    <w:lvl w:ilvl="1" w:tplc="BF443662">
      <w:start w:val="1"/>
      <w:numFmt w:val="decimal"/>
      <w:lvlText w:val="%2."/>
      <w:lvlJc w:val="left"/>
      <w:pPr>
        <w:ind w:left="2116" w:hanging="720"/>
      </w:pPr>
      <w:rPr>
        <w:rFonts w:ascii="Arial" w:eastAsia="Times New Roman" w:hAnsi="Arial" w:cs="Arial" w:hint="default"/>
        <w:b/>
        <w:bCs/>
        <w:spacing w:val="-4"/>
        <w:w w:val="100"/>
        <w:sz w:val="20"/>
        <w:szCs w:val="20"/>
      </w:rPr>
    </w:lvl>
    <w:lvl w:ilvl="2" w:tplc="F2B23D94">
      <w:start w:val="1"/>
      <w:numFmt w:val="lowerLetter"/>
      <w:lvlText w:val="%3."/>
      <w:lvlJc w:val="left"/>
      <w:pPr>
        <w:ind w:left="2836" w:hanging="720"/>
      </w:pPr>
      <w:rPr>
        <w:rFonts w:ascii="Arial" w:eastAsia="Times New Roman" w:hAnsi="Arial" w:cs="Arial" w:hint="default"/>
        <w:spacing w:val="-5"/>
        <w:w w:val="100"/>
        <w:sz w:val="20"/>
        <w:szCs w:val="20"/>
      </w:rPr>
    </w:lvl>
    <w:lvl w:ilvl="3" w:tplc="630C46BC">
      <w:start w:val="1"/>
      <w:numFmt w:val="decimal"/>
      <w:lvlText w:val="(%4)"/>
      <w:lvlJc w:val="left"/>
      <w:pPr>
        <w:ind w:left="3556" w:hanging="720"/>
        <w:jc w:val="right"/>
      </w:pPr>
      <w:rPr>
        <w:rFonts w:ascii="Arial" w:eastAsia="Times New Roman" w:hAnsi="Arial" w:cs="Arial" w:hint="default"/>
        <w:spacing w:val="-8"/>
        <w:w w:val="100"/>
        <w:sz w:val="20"/>
        <w:szCs w:val="20"/>
      </w:rPr>
    </w:lvl>
    <w:lvl w:ilvl="4" w:tplc="07F229D4">
      <w:numFmt w:val="bullet"/>
      <w:lvlText w:val="•"/>
      <w:lvlJc w:val="left"/>
      <w:pPr>
        <w:ind w:left="4548" w:hanging="720"/>
      </w:pPr>
      <w:rPr>
        <w:rFonts w:hint="default"/>
      </w:rPr>
    </w:lvl>
    <w:lvl w:ilvl="5" w:tplc="0EBA7296">
      <w:numFmt w:val="bullet"/>
      <w:lvlText w:val="•"/>
      <w:lvlJc w:val="left"/>
      <w:pPr>
        <w:ind w:left="5537" w:hanging="720"/>
      </w:pPr>
      <w:rPr>
        <w:rFonts w:hint="default"/>
      </w:rPr>
    </w:lvl>
    <w:lvl w:ilvl="6" w:tplc="48F8BEAA">
      <w:numFmt w:val="bullet"/>
      <w:lvlText w:val="•"/>
      <w:lvlJc w:val="left"/>
      <w:pPr>
        <w:ind w:left="6525" w:hanging="720"/>
      </w:pPr>
      <w:rPr>
        <w:rFonts w:hint="default"/>
      </w:rPr>
    </w:lvl>
    <w:lvl w:ilvl="7" w:tplc="29425594">
      <w:numFmt w:val="bullet"/>
      <w:lvlText w:val="•"/>
      <w:lvlJc w:val="left"/>
      <w:pPr>
        <w:ind w:left="7514" w:hanging="720"/>
      </w:pPr>
      <w:rPr>
        <w:rFonts w:hint="default"/>
      </w:rPr>
    </w:lvl>
    <w:lvl w:ilvl="8" w:tplc="60E00856">
      <w:numFmt w:val="bullet"/>
      <w:lvlText w:val="•"/>
      <w:lvlJc w:val="left"/>
      <w:pPr>
        <w:ind w:left="8502" w:hanging="720"/>
      </w:pPr>
      <w:rPr>
        <w:rFonts w:hint="default"/>
      </w:rPr>
    </w:lvl>
  </w:abstractNum>
  <w:abstractNum w:abstractNumId="6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8" w15:restartNumberingAfterBreak="0">
    <w:nsid w:val="7E054C76"/>
    <w:multiLevelType w:val="hybridMultilevel"/>
    <w:tmpl w:val="13C60B58"/>
    <w:lvl w:ilvl="0" w:tplc="78BE6CFA">
      <w:start w:val="1"/>
      <w:numFmt w:val="upperLetter"/>
      <w:lvlText w:val="%1."/>
      <w:lvlJc w:val="left"/>
      <w:pPr>
        <w:ind w:left="1396" w:hanging="720"/>
      </w:pPr>
      <w:rPr>
        <w:rFonts w:ascii="Times New Roman" w:eastAsia="Times New Roman" w:hAnsi="Times New Roman" w:cs="Times New Roman" w:hint="default"/>
        <w:b/>
        <w:bCs/>
        <w:spacing w:val="-4"/>
        <w:w w:val="100"/>
        <w:sz w:val="24"/>
        <w:szCs w:val="24"/>
      </w:rPr>
    </w:lvl>
    <w:lvl w:ilvl="1" w:tplc="726C20FA">
      <w:start w:val="1"/>
      <w:numFmt w:val="decimal"/>
      <w:lvlText w:val="%2."/>
      <w:lvlJc w:val="left"/>
      <w:pPr>
        <w:ind w:left="2116" w:hanging="720"/>
      </w:pPr>
      <w:rPr>
        <w:rFonts w:ascii="Arial" w:eastAsia="Times New Roman" w:hAnsi="Arial" w:cs="Arial" w:hint="default"/>
        <w:spacing w:val="-5"/>
        <w:w w:val="100"/>
        <w:sz w:val="20"/>
        <w:szCs w:val="20"/>
      </w:rPr>
    </w:lvl>
    <w:lvl w:ilvl="2" w:tplc="F9CA7366">
      <w:start w:val="1"/>
      <w:numFmt w:val="lowerLetter"/>
      <w:lvlText w:val="%3."/>
      <w:lvlJc w:val="left"/>
      <w:pPr>
        <w:ind w:left="2836" w:hanging="720"/>
      </w:pPr>
      <w:rPr>
        <w:rFonts w:ascii="Arial" w:eastAsia="Times New Roman" w:hAnsi="Arial" w:cs="Arial" w:hint="default"/>
        <w:spacing w:val="-21"/>
        <w:w w:val="100"/>
        <w:sz w:val="20"/>
        <w:szCs w:val="20"/>
      </w:rPr>
    </w:lvl>
    <w:lvl w:ilvl="3" w:tplc="48EAA650">
      <w:start w:val="1"/>
      <w:numFmt w:val="decimal"/>
      <w:lvlText w:val="(%4)"/>
      <w:lvlJc w:val="left"/>
      <w:pPr>
        <w:ind w:left="3556" w:hanging="720"/>
      </w:pPr>
      <w:rPr>
        <w:rFonts w:ascii="Arial" w:eastAsia="Times New Roman" w:hAnsi="Arial" w:cs="Arial" w:hint="default"/>
        <w:spacing w:val="-6"/>
        <w:w w:val="100"/>
        <w:sz w:val="20"/>
        <w:szCs w:val="20"/>
      </w:rPr>
    </w:lvl>
    <w:lvl w:ilvl="4" w:tplc="CE2273B6">
      <w:numFmt w:val="bullet"/>
      <w:lvlText w:val="•"/>
      <w:lvlJc w:val="left"/>
      <w:pPr>
        <w:ind w:left="4548" w:hanging="720"/>
      </w:pPr>
      <w:rPr>
        <w:rFonts w:hint="default"/>
      </w:rPr>
    </w:lvl>
    <w:lvl w:ilvl="5" w:tplc="7CC62550">
      <w:numFmt w:val="bullet"/>
      <w:lvlText w:val="•"/>
      <w:lvlJc w:val="left"/>
      <w:pPr>
        <w:ind w:left="5537" w:hanging="720"/>
      </w:pPr>
      <w:rPr>
        <w:rFonts w:hint="default"/>
      </w:rPr>
    </w:lvl>
    <w:lvl w:ilvl="6" w:tplc="DAC2F69C">
      <w:numFmt w:val="bullet"/>
      <w:lvlText w:val="•"/>
      <w:lvlJc w:val="left"/>
      <w:pPr>
        <w:ind w:left="6525" w:hanging="720"/>
      </w:pPr>
      <w:rPr>
        <w:rFonts w:hint="default"/>
      </w:rPr>
    </w:lvl>
    <w:lvl w:ilvl="7" w:tplc="46A81D72">
      <w:numFmt w:val="bullet"/>
      <w:lvlText w:val="•"/>
      <w:lvlJc w:val="left"/>
      <w:pPr>
        <w:ind w:left="7514" w:hanging="720"/>
      </w:pPr>
      <w:rPr>
        <w:rFonts w:hint="default"/>
      </w:rPr>
    </w:lvl>
    <w:lvl w:ilvl="8" w:tplc="0D409E76">
      <w:numFmt w:val="bullet"/>
      <w:lvlText w:val="•"/>
      <w:lvlJc w:val="left"/>
      <w:pPr>
        <w:ind w:left="8502" w:hanging="720"/>
      </w:pPr>
      <w:rPr>
        <w:rFonts w:hint="default"/>
      </w:rPr>
    </w:lvl>
  </w:abstractNum>
  <w:abstractNum w:abstractNumId="6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2"/>
  </w:num>
  <w:num w:numId="3" w16cid:durableId="845168209">
    <w:abstractNumId w:val="22"/>
  </w:num>
  <w:num w:numId="4" w16cid:durableId="495266702">
    <w:abstractNumId w:val="31"/>
  </w:num>
  <w:num w:numId="5" w16cid:durableId="1496074526">
    <w:abstractNumId w:val="57"/>
  </w:num>
  <w:num w:numId="6" w16cid:durableId="1894850701">
    <w:abstractNumId w:val="28"/>
  </w:num>
  <w:num w:numId="7" w16cid:durableId="1851287688">
    <w:abstractNumId w:val="69"/>
  </w:num>
  <w:num w:numId="8" w16cid:durableId="169563015">
    <w:abstractNumId w:val="52"/>
  </w:num>
  <w:num w:numId="9" w16cid:durableId="829565744">
    <w:abstractNumId w:val="18"/>
  </w:num>
  <w:num w:numId="10" w16cid:durableId="1649020827">
    <w:abstractNumId w:val="6"/>
  </w:num>
  <w:num w:numId="11" w16cid:durableId="812450053">
    <w:abstractNumId w:val="66"/>
  </w:num>
  <w:num w:numId="12" w16cid:durableId="208225967">
    <w:abstractNumId w:val="44"/>
  </w:num>
  <w:num w:numId="13" w16cid:durableId="1348169212">
    <w:abstractNumId w:val="38"/>
  </w:num>
  <w:num w:numId="14" w16cid:durableId="1337074581">
    <w:abstractNumId w:val="65"/>
  </w:num>
  <w:num w:numId="15" w16cid:durableId="1151486989">
    <w:abstractNumId w:val="19"/>
  </w:num>
  <w:num w:numId="16" w16cid:durableId="137292458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45"/>
  </w:num>
  <w:num w:numId="19" w16cid:durableId="1726903200">
    <w:abstractNumId w:val="15"/>
  </w:num>
  <w:num w:numId="20" w16cid:durableId="884410781">
    <w:abstractNumId w:val="10"/>
  </w:num>
  <w:num w:numId="21" w16cid:durableId="810370577">
    <w:abstractNumId w:val="40"/>
  </w:num>
  <w:num w:numId="22" w16cid:durableId="1178009640">
    <w:abstractNumId w:val="5"/>
  </w:num>
  <w:num w:numId="23" w16cid:durableId="1151754974">
    <w:abstractNumId w:val="70"/>
  </w:num>
  <w:num w:numId="24" w16cid:durableId="554588920">
    <w:abstractNumId w:val="58"/>
  </w:num>
  <w:num w:numId="25" w16cid:durableId="2056466201">
    <w:abstractNumId w:val="20"/>
  </w:num>
  <w:num w:numId="26" w16cid:durableId="81878645">
    <w:abstractNumId w:val="33"/>
  </w:num>
  <w:num w:numId="27" w16cid:durableId="754401759">
    <w:abstractNumId w:val="35"/>
  </w:num>
  <w:num w:numId="28" w16cid:durableId="697851989">
    <w:abstractNumId w:val="61"/>
  </w:num>
  <w:num w:numId="29" w16cid:durableId="368649401">
    <w:abstractNumId w:val="3"/>
  </w:num>
  <w:num w:numId="30" w16cid:durableId="1478910963">
    <w:abstractNumId w:val="62"/>
  </w:num>
  <w:num w:numId="31" w16cid:durableId="1939830332">
    <w:abstractNumId w:val="16"/>
  </w:num>
  <w:num w:numId="32" w16cid:durableId="516505364">
    <w:abstractNumId w:val="47"/>
  </w:num>
  <w:num w:numId="33" w16cid:durableId="1352143524">
    <w:abstractNumId w:val="25"/>
  </w:num>
  <w:num w:numId="34" w16cid:durableId="2034109230">
    <w:abstractNumId w:val="39"/>
  </w:num>
  <w:num w:numId="35" w16cid:durableId="752432378">
    <w:abstractNumId w:val="34"/>
  </w:num>
  <w:num w:numId="36" w16cid:durableId="1766726706">
    <w:abstractNumId w:val="14"/>
  </w:num>
  <w:num w:numId="37" w16cid:durableId="1123234674">
    <w:abstractNumId w:val="8"/>
  </w:num>
  <w:num w:numId="38" w16cid:durableId="1056511850">
    <w:abstractNumId w:val="55"/>
  </w:num>
  <w:num w:numId="39" w16cid:durableId="1317146710">
    <w:abstractNumId w:val="50"/>
  </w:num>
  <w:num w:numId="40" w16cid:durableId="1101756761">
    <w:abstractNumId w:val="41"/>
  </w:num>
  <w:num w:numId="41" w16cid:durableId="1244534831">
    <w:abstractNumId w:val="48"/>
  </w:num>
  <w:num w:numId="42" w16cid:durableId="120655483">
    <w:abstractNumId w:val="24"/>
  </w:num>
  <w:num w:numId="43" w16cid:durableId="894855469">
    <w:abstractNumId w:val="17"/>
  </w:num>
  <w:num w:numId="44" w16cid:durableId="667756309">
    <w:abstractNumId w:val="9"/>
  </w:num>
  <w:num w:numId="45" w16cid:durableId="142236087">
    <w:abstractNumId w:val="29"/>
  </w:num>
  <w:num w:numId="46" w16cid:durableId="2005356031">
    <w:abstractNumId w:val="12"/>
  </w:num>
  <w:num w:numId="47" w16cid:durableId="196281328">
    <w:abstractNumId w:val="51"/>
  </w:num>
  <w:num w:numId="48" w16cid:durableId="2066832860">
    <w:abstractNumId w:val="4"/>
  </w:num>
  <w:num w:numId="49" w16cid:durableId="870455721">
    <w:abstractNumId w:val="23"/>
  </w:num>
  <w:num w:numId="50" w16cid:durableId="633680411">
    <w:abstractNumId w:val="56"/>
  </w:num>
  <w:num w:numId="51" w16cid:durableId="1902322810">
    <w:abstractNumId w:val="13"/>
  </w:num>
  <w:num w:numId="52" w16cid:durableId="1314218672">
    <w:abstractNumId w:val="37"/>
  </w:num>
  <w:num w:numId="53" w16cid:durableId="1163159298">
    <w:abstractNumId w:val="27"/>
  </w:num>
  <w:num w:numId="54" w16cid:durableId="1894341300">
    <w:abstractNumId w:val="43"/>
  </w:num>
  <w:num w:numId="55" w16cid:durableId="1618635476">
    <w:abstractNumId w:val="49"/>
  </w:num>
  <w:num w:numId="56" w16cid:durableId="930697056">
    <w:abstractNumId w:val="68"/>
  </w:num>
  <w:num w:numId="57" w16cid:durableId="264122096">
    <w:abstractNumId w:val="64"/>
  </w:num>
  <w:num w:numId="58" w16cid:durableId="1320772069">
    <w:abstractNumId w:val="59"/>
  </w:num>
  <w:num w:numId="59" w16cid:durableId="830021311">
    <w:abstractNumId w:val="32"/>
  </w:num>
  <w:num w:numId="60" w16cid:durableId="274097962">
    <w:abstractNumId w:val="36"/>
  </w:num>
  <w:num w:numId="61" w16cid:durableId="755058228">
    <w:abstractNumId w:val="1"/>
  </w:num>
  <w:num w:numId="62" w16cid:durableId="1633092580">
    <w:abstractNumId w:val="26"/>
  </w:num>
  <w:num w:numId="63" w16cid:durableId="650257789">
    <w:abstractNumId w:val="21"/>
  </w:num>
  <w:num w:numId="64" w16cid:durableId="282230199">
    <w:abstractNumId w:val="7"/>
  </w:num>
  <w:num w:numId="65" w16cid:durableId="1124690113">
    <w:abstractNumId w:val="63"/>
  </w:num>
  <w:num w:numId="66" w16cid:durableId="1593003283">
    <w:abstractNumId w:val="53"/>
  </w:num>
  <w:num w:numId="67" w16cid:durableId="2075925455">
    <w:abstractNumId w:val="2"/>
  </w:num>
  <w:num w:numId="68" w16cid:durableId="1660649332">
    <w:abstractNumId w:val="46"/>
  </w:num>
  <w:num w:numId="69" w16cid:durableId="1032807419">
    <w:abstractNumId w:val="54"/>
  </w:num>
  <w:num w:numId="70" w16cid:durableId="588737653">
    <w:abstractNumId w:val="60"/>
  </w:num>
  <w:num w:numId="71" w16cid:durableId="401949833">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14CC"/>
    <w:rsid w:val="00082203"/>
    <w:rsid w:val="00082373"/>
    <w:rsid w:val="000824D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AFF"/>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960"/>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524D"/>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790"/>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43"/>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C6CA8"/>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C13"/>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519E"/>
    <w:rsid w:val="006D6C32"/>
    <w:rsid w:val="006D7C5C"/>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43F"/>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0711"/>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5F"/>
    <w:rsid w:val="008E66DF"/>
    <w:rsid w:val="008E71C9"/>
    <w:rsid w:val="008E726F"/>
    <w:rsid w:val="008F0D49"/>
    <w:rsid w:val="008F14CB"/>
    <w:rsid w:val="008F17D1"/>
    <w:rsid w:val="008F18E7"/>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6355"/>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B7660"/>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9A2"/>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2BC"/>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01"/>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09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420"/>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3D06"/>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578"/>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0A48"/>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1982"/>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2B9"/>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67A9"/>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345">
      <w:bodyDiv w:val="1"/>
      <w:marLeft w:val="0"/>
      <w:marRight w:val="0"/>
      <w:marTop w:val="0"/>
      <w:marBottom w:val="0"/>
      <w:divBdr>
        <w:top w:val="none" w:sz="0" w:space="0" w:color="auto"/>
        <w:left w:val="none" w:sz="0" w:space="0" w:color="auto"/>
        <w:bottom w:val="none" w:sz="0" w:space="0" w:color="auto"/>
        <w:right w:val="none" w:sz="0" w:space="0" w:color="auto"/>
      </w:divBdr>
    </w:div>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976184480">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www.hud.gov/sites/dfiles/PIH/documents/PIH2022-18.pdf"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www.hud.gov/program_offices/public_indian_housing/reac/products/fass/pha_briefs" TargetMode="External"/><Relationship Id="rId42" Type="http://schemas.openxmlformats.org/officeDocument/2006/relationships/header" Target="header7.xml"/><Relationship Id="rId47" Type="http://schemas.openxmlformats.org/officeDocument/2006/relationships/hyperlink" Target="https://www.hud.gov/sites/dfiles/OCHCO/documents/2024-16pihn.pdf"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www.usaspending.gov/search" TargetMode="External"/><Relationship Id="rId63" Type="http://schemas.openxmlformats.org/officeDocument/2006/relationships/header" Target="header10.xml"/><Relationship Id="rId68" Type="http://schemas.openxmlformats.org/officeDocument/2006/relationships/hyperlink" Target="Agency_Adoption_of_the_UG_and_Example_Citations.pdf" TargetMode="External"/><Relationship Id="rId76" Type="http://schemas.openxmlformats.org/officeDocument/2006/relationships/header" Target="header15.xm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hud.gov/program_offices/public_indian_housing/reac/nspire/notices"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hud.gov/sites/dfiles/PIH/documents/PIH2021-15.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sites/dfiles/OCHCO/documents/2023-35pihn.pdf" TargetMode="External"/><Relationship Id="rId37" Type="http://schemas.openxmlformats.org/officeDocument/2006/relationships/header" Target="header6.xml"/><Relationship Id="rId40" Type="http://schemas.openxmlformats.org/officeDocument/2006/relationships/hyperlink" Target="https://www.hud.gov/sites/documents/15-17pihn.pdf" TargetMode="External"/><Relationship Id="rId45" Type="http://schemas.openxmlformats.org/officeDocument/2006/relationships/hyperlink" Target="Selected_Items_of_Cost_Part_3.2_ComplianceSupplement.pdf" TargetMode="External"/><Relationship Id="rId53" Type="http://schemas.openxmlformats.org/officeDocument/2006/relationships/header" Target="header9.xml"/><Relationship Id="rId58" Type="http://schemas.openxmlformats.org/officeDocument/2006/relationships/hyperlink" Target="https://www.hud.gov/sites/dfiles/OCHCO/documents/52648.pdf" TargetMode="External"/><Relationship Id="rId66" Type="http://schemas.openxmlformats.org/officeDocument/2006/relationships/hyperlink" Target="Agency_Adoption_of_the_UG_and_Example_Citations.pdf" TargetMode="External"/><Relationship Id="rId74" Type="http://schemas.openxmlformats.org/officeDocument/2006/relationships/header" Target="header14.xml"/><Relationship Id="rId79"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s://omb.report/omb/2577-0083" TargetMode="External"/><Relationship Id="rId82" Type="http://schemas.openxmlformats.org/officeDocument/2006/relationships/hyperlink" Target="Agency_Adoption_of_the_UG_and_Example_Citations.pdf" TargetMode="External"/><Relationship Id="rId19" Type="http://schemas.openxmlformats.org/officeDocument/2006/relationships/hyperlink" Target="OMB_Appendix_I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hud.gov/sites/dfiles/PIH/documents/2023-14_HA_Notice.pdf" TargetMode="External"/><Relationship Id="rId35" Type="http://schemas.openxmlformats.org/officeDocument/2006/relationships/hyperlink" Target="http://portal.hud.gov/hudportal/HUD?src=/program_offices/administration/hudclips/notices/pih" TargetMode="External"/><Relationship Id="rId43"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8" Type="http://schemas.openxmlformats.org/officeDocument/2006/relationships/hyperlink" Target="https://www.hud.gov/program_offices/public_indian_housing/publications/notices" TargetMode="External"/><Relationship Id="rId56" Type="http://schemas.openxmlformats.org/officeDocument/2006/relationships/hyperlink" Target="https://www.acquisition.gov/far/52.204-10" TargetMode="External"/><Relationship Id="rId64" Type="http://schemas.openxmlformats.org/officeDocument/2006/relationships/hyperlink" Target="Agency_Adoption_of_the_UG_and_Example_Citations.pdf" TargetMode="External"/><Relationship Id="rId69" Type="http://schemas.openxmlformats.org/officeDocument/2006/relationships/header" Target="header13.xml"/><Relationship Id="rId77" Type="http://schemas.openxmlformats.org/officeDocument/2006/relationships/hyperlink" Target="https://www.federalregister.gov/documents/2023/10/25/2023-23685/small-area-fair-market-rents-in-the-housing-choice-voucher-program-metropolitan-areas-subject-to" TargetMode="Externa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https://www.hud.gov/program_offices/public_indian_housing/reac/nspire/notices" TargetMode="External"/><Relationship Id="rId80" Type="http://schemas.openxmlformats.org/officeDocument/2006/relationships/header" Target="header16.xm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gov/sites/dfiles/OCHCO/documents/2022-24pihn.pdf" TargetMode="External"/><Relationship Id="rId38" Type="http://schemas.openxmlformats.org/officeDocument/2006/relationships/hyperlink" Target="http://www.ohioauditor.gov/references/practiceaids.html" TargetMode="External"/><Relationship Id="rId46" Type="http://schemas.openxmlformats.org/officeDocument/2006/relationships/hyperlink" Target="https://www.opm.gov/policy-data-oversight/pay-leave/salaries-wages/salary-tables/24Tables/exec/html/EX.aspx" TargetMode="External"/><Relationship Id="rId59" Type="http://schemas.openxmlformats.org/officeDocument/2006/relationships/hyperlink" Target="https://www.hud.gov/sites/dfiles/OCHCO/documents/52648.pdf" TargetMode="External"/><Relationship Id="rId67" Type="http://schemas.openxmlformats.org/officeDocument/2006/relationships/header" Target="header12.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Agency_Adoption_of_the_UG_and_Example_Citations.pdf" TargetMode="External"/><Relationship Id="rId54" Type="http://schemas.openxmlformats.org/officeDocument/2006/relationships/hyperlink" Target="https://grants.gov/"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https://www.hud.gov/program_offices/public_indian_housing/reac/nspire/notices" TargetMode="External"/><Relationship Id="rId75" Type="http://schemas.openxmlformats.org/officeDocument/2006/relationships/hyperlink" Target="Agency_Adoption_of_the_UG_and_Example_Citations.pdf" TargetMode="External"/><Relationship Id="rId83"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5.xml"/><Relationship Id="rId49" Type="http://schemas.openxmlformats.org/officeDocument/2006/relationships/hyperlink" Target="Testing_the_ICRP_discussion.pdf" TargetMode="External"/><Relationship Id="rId57" Type="http://schemas.openxmlformats.org/officeDocument/2006/relationships/hyperlink" Target="https://www.usaspending.gov/search" TargetMode="External"/><Relationship Id="rId10" Type="http://schemas.openxmlformats.org/officeDocument/2006/relationships/endnotes" Target="endnotes.xml"/><Relationship Id="rId31" Type="http://schemas.openxmlformats.org/officeDocument/2006/relationships/hyperlink" Target="https://www.hud.gov/sites/dfiles/OCHCO/documents/2023-14pihn.pdf" TargetMode="External"/><Relationship Id="rId44" Type="http://schemas.openxmlformats.org/officeDocument/2006/relationships/hyperlink" Target="https://ohioauditor.gov/references/practiceaids/faccrs.html"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https://omb.report/omb/2577-0083" TargetMode="External"/><Relationship Id="rId65" Type="http://schemas.openxmlformats.org/officeDocument/2006/relationships/header" Target="header11.xml"/><Relationship Id="rId73" Type="http://schemas.openxmlformats.org/officeDocument/2006/relationships/hyperlink" Target="Agency_Adoption_of_the_UG_and_Example_Citations.pdf" TargetMode="External"/><Relationship Id="rId78" Type="http://schemas.openxmlformats.org/officeDocument/2006/relationships/hyperlink" Target="https://www.federalregister.gov/documents/2023/10/25/2023-23685/small-area-fair-market-rents-in-the-housing-choice-voucher-program-metropolitan-areas-subject-to" TargetMode="External"/><Relationship Id="rId81" Type="http://schemas.openxmlformats.org/officeDocument/2006/relationships/hyperlink" Target="OMB_Appendix_I.pdf" TargetMode="External"/><Relationship Id="rId8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814CC"/>
    <w:rsid w:val="000D2ED7"/>
    <w:rsid w:val="002E1B1A"/>
    <w:rsid w:val="00435631"/>
    <w:rsid w:val="00435AE4"/>
    <w:rsid w:val="00444C5F"/>
    <w:rsid w:val="00560B1D"/>
    <w:rsid w:val="0057650C"/>
    <w:rsid w:val="00755AD6"/>
    <w:rsid w:val="00776DDE"/>
    <w:rsid w:val="008E66DF"/>
    <w:rsid w:val="00974272"/>
    <w:rsid w:val="00A97B5A"/>
    <w:rsid w:val="00AC1185"/>
    <w:rsid w:val="00AD1612"/>
    <w:rsid w:val="00BB24E2"/>
    <w:rsid w:val="00C209E2"/>
    <w:rsid w:val="00C632B1"/>
    <w:rsid w:val="00E362F5"/>
    <w:rsid w:val="00E476A2"/>
    <w:rsid w:val="00E80A48"/>
    <w:rsid w:val="00E9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73</Pages>
  <Words>26189</Words>
  <Characters>155592</Characters>
  <Application>Microsoft Office Word</Application>
  <DocSecurity>0</DocSecurity>
  <Lines>1296</Lines>
  <Paragraphs>362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181419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18</cp:revision>
  <cp:lastPrinted>2015-07-01T17:39:00Z</cp:lastPrinted>
  <dcterms:created xsi:type="dcterms:W3CDTF">2025-10-08T12:16:00Z</dcterms:created>
  <dcterms:modified xsi:type="dcterms:W3CDTF">2025-11-26T17:24:00Z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