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B8" w:rsidRDefault="004F61B8" w:rsidP="006928C6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4F61B8" w:rsidRPr="00202999" w:rsidTr="00B22B12">
        <w:tc>
          <w:tcPr>
            <w:tcW w:w="8748" w:type="dxa"/>
          </w:tcPr>
          <w:p w:rsidR="004F61B8" w:rsidRPr="00202999" w:rsidRDefault="004F61B8" w:rsidP="006928C6">
            <w:pPr>
              <w:jc w:val="both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  <w:r w:rsidRPr="00B22B1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Note:</w:t>
            </w:r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 This disclosure applies to AOS basis entities, per Bulletin 2001-05.  </w:t>
            </w:r>
          </w:p>
          <w:p w:rsidR="004F61B8" w:rsidRPr="00202999" w:rsidRDefault="004F61B8" w:rsidP="006928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It is not intended to meet </w:t>
            </w:r>
            <w:proofErr w:type="spellStart"/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GAAP</w:t>
            </w:r>
            <w:proofErr w:type="spellEnd"/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disclosure requirements.  </w:t>
            </w:r>
            <w:proofErr w:type="spellStart"/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GAAP</w:t>
            </w:r>
            <w:proofErr w:type="spellEnd"/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entities should follow </w:t>
            </w:r>
            <w:proofErr w:type="spellStart"/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GASB</w:t>
            </w:r>
            <w:proofErr w:type="spellEnd"/>
            <w:r w:rsidRPr="0020299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requirements for disclosures.</w:t>
            </w:r>
          </w:p>
        </w:tc>
      </w:tr>
    </w:tbl>
    <w:p w:rsidR="004F61B8" w:rsidRDefault="004F61B8" w:rsidP="006928C6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F61B8" w:rsidRDefault="004F61B8" w:rsidP="006928C6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77D42" w:rsidRPr="00565E10" w:rsidRDefault="00777D42" w:rsidP="006928C6">
      <w:pPr>
        <w:jc w:val="both"/>
        <w:rPr>
          <w:rFonts w:cs="Arial"/>
          <w:b/>
          <w:sz w:val="20"/>
          <w:szCs w:val="20"/>
          <w:u w:val="single"/>
        </w:rPr>
      </w:pPr>
      <w:proofErr w:type="gramStart"/>
      <w:r w:rsidRPr="00565E10">
        <w:rPr>
          <w:rFonts w:cs="Arial"/>
          <w:b/>
          <w:sz w:val="20"/>
          <w:szCs w:val="20"/>
          <w:u w:val="single"/>
        </w:rPr>
        <w:t xml:space="preserve">Note </w:t>
      </w:r>
      <w:r w:rsidR="00365F7A" w:rsidRPr="00565E10">
        <w:rPr>
          <w:rFonts w:cs="Arial"/>
          <w:b/>
          <w:sz w:val="20"/>
          <w:szCs w:val="20"/>
          <w:u w:val="single"/>
        </w:rPr>
        <w:t>??</w:t>
      </w:r>
      <w:proofErr w:type="gramEnd"/>
      <w:r w:rsidRPr="00565E10">
        <w:rPr>
          <w:rFonts w:cs="Arial"/>
          <w:b/>
          <w:sz w:val="20"/>
          <w:szCs w:val="20"/>
          <w:u w:val="single"/>
        </w:rPr>
        <w:t xml:space="preserve"> – Risk Management</w:t>
      </w:r>
    </w:p>
    <w:p w:rsidR="00777D42" w:rsidRPr="00565E10" w:rsidRDefault="00777D42" w:rsidP="006928C6">
      <w:pPr>
        <w:jc w:val="both"/>
        <w:rPr>
          <w:rFonts w:cs="Arial"/>
          <w:sz w:val="20"/>
          <w:szCs w:val="20"/>
        </w:rPr>
      </w:pPr>
    </w:p>
    <w:p w:rsidR="008879BC" w:rsidRPr="00565E10" w:rsidRDefault="00777D42" w:rsidP="006928C6">
      <w:pPr>
        <w:jc w:val="both"/>
        <w:rPr>
          <w:rFonts w:cs="Arial"/>
          <w:sz w:val="20"/>
          <w:szCs w:val="20"/>
        </w:rPr>
      </w:pPr>
      <w:r w:rsidRPr="00565E10">
        <w:rPr>
          <w:rFonts w:cs="Arial"/>
          <w:sz w:val="20"/>
          <w:szCs w:val="20"/>
        </w:rPr>
        <w:t xml:space="preserve">The </w:t>
      </w:r>
      <w:r w:rsidR="00714F4B" w:rsidRPr="00565E10">
        <w:rPr>
          <w:rFonts w:cs="Arial"/>
          <w:sz w:val="20"/>
          <w:szCs w:val="20"/>
        </w:rPr>
        <w:t>Township</w:t>
      </w:r>
      <w:r w:rsidR="00180927" w:rsidRPr="00565E10">
        <w:rPr>
          <w:rFonts w:cs="Arial"/>
          <w:sz w:val="20"/>
          <w:szCs w:val="20"/>
        </w:rPr>
        <w:t xml:space="preserve"> </w:t>
      </w:r>
      <w:r w:rsidRPr="00565E10">
        <w:rPr>
          <w:rFonts w:cs="Arial"/>
          <w:sz w:val="20"/>
          <w:szCs w:val="20"/>
        </w:rPr>
        <w:t xml:space="preserve">is exposed to various risks of </w:t>
      </w:r>
      <w:r w:rsidR="008879BC" w:rsidRPr="00565E10">
        <w:rPr>
          <w:rFonts w:cs="Arial"/>
          <w:sz w:val="20"/>
          <w:szCs w:val="20"/>
        </w:rPr>
        <w:t xml:space="preserve">property and casualty </w:t>
      </w:r>
      <w:r w:rsidRPr="00565E10">
        <w:rPr>
          <w:rFonts w:cs="Arial"/>
          <w:sz w:val="20"/>
          <w:szCs w:val="20"/>
        </w:rPr>
        <w:t>loss</w:t>
      </w:r>
      <w:r w:rsidR="008879BC" w:rsidRPr="00565E10">
        <w:rPr>
          <w:rFonts w:cs="Arial"/>
          <w:sz w:val="20"/>
          <w:szCs w:val="20"/>
        </w:rPr>
        <w:t>es</w:t>
      </w:r>
      <w:r w:rsidR="00422150" w:rsidRPr="00565E10">
        <w:rPr>
          <w:rFonts w:cs="Arial"/>
          <w:sz w:val="20"/>
          <w:szCs w:val="20"/>
        </w:rPr>
        <w:t>,</w:t>
      </w:r>
      <w:r w:rsidRPr="00565E10">
        <w:rPr>
          <w:rFonts w:cs="Arial"/>
          <w:sz w:val="20"/>
          <w:szCs w:val="20"/>
        </w:rPr>
        <w:t xml:space="preserve"> </w:t>
      </w:r>
      <w:r w:rsidR="008879BC" w:rsidRPr="00565E10">
        <w:rPr>
          <w:rFonts w:cs="Arial"/>
          <w:sz w:val="20"/>
          <w:szCs w:val="20"/>
        </w:rPr>
        <w:t xml:space="preserve">and </w:t>
      </w:r>
      <w:r w:rsidRPr="00565E10">
        <w:rPr>
          <w:rFonts w:cs="Arial"/>
          <w:sz w:val="20"/>
          <w:szCs w:val="20"/>
        </w:rPr>
        <w:t>injuries to employees</w:t>
      </w:r>
      <w:r w:rsidR="008879BC" w:rsidRPr="00565E10">
        <w:rPr>
          <w:rFonts w:cs="Arial"/>
          <w:sz w:val="20"/>
          <w:szCs w:val="20"/>
        </w:rPr>
        <w:t>.</w:t>
      </w:r>
      <w:r w:rsidRPr="00565E10">
        <w:rPr>
          <w:rFonts w:cs="Arial"/>
          <w:sz w:val="20"/>
          <w:szCs w:val="20"/>
        </w:rPr>
        <w:t xml:space="preserve"> </w:t>
      </w:r>
    </w:p>
    <w:p w:rsidR="008879BC" w:rsidRPr="00565E10" w:rsidRDefault="008879BC" w:rsidP="006928C6">
      <w:pPr>
        <w:jc w:val="both"/>
        <w:rPr>
          <w:rFonts w:cs="Arial"/>
          <w:sz w:val="20"/>
          <w:szCs w:val="20"/>
        </w:rPr>
      </w:pPr>
    </w:p>
    <w:p w:rsidR="008879BC" w:rsidRPr="00565E10" w:rsidRDefault="008879BC" w:rsidP="006928C6">
      <w:pPr>
        <w:jc w:val="both"/>
        <w:rPr>
          <w:rFonts w:cs="Arial"/>
          <w:sz w:val="20"/>
          <w:szCs w:val="20"/>
        </w:rPr>
      </w:pPr>
      <w:r w:rsidRPr="00565E10">
        <w:rPr>
          <w:rFonts w:cs="Arial"/>
          <w:sz w:val="20"/>
          <w:szCs w:val="20"/>
        </w:rPr>
        <w:t xml:space="preserve">The </w:t>
      </w:r>
      <w:r w:rsidR="00714F4B" w:rsidRPr="00565E10">
        <w:rPr>
          <w:rFonts w:cs="Arial"/>
          <w:sz w:val="20"/>
          <w:szCs w:val="20"/>
        </w:rPr>
        <w:t>Township</w:t>
      </w:r>
      <w:r w:rsidR="00180927" w:rsidRPr="00565E10">
        <w:rPr>
          <w:rFonts w:cs="Arial"/>
          <w:sz w:val="20"/>
          <w:szCs w:val="20"/>
        </w:rPr>
        <w:t xml:space="preserve"> </w:t>
      </w:r>
      <w:r w:rsidRPr="00565E10">
        <w:rPr>
          <w:rFonts w:cs="Arial"/>
          <w:sz w:val="20"/>
          <w:szCs w:val="20"/>
        </w:rPr>
        <w:t>insures against injuries to employees through the Ohio Bureau of Worker’s Compensation.</w:t>
      </w:r>
    </w:p>
    <w:p w:rsidR="008879BC" w:rsidRPr="00565E10" w:rsidRDefault="008879BC" w:rsidP="006928C6">
      <w:pPr>
        <w:jc w:val="both"/>
        <w:rPr>
          <w:rFonts w:cs="Arial"/>
          <w:sz w:val="20"/>
          <w:szCs w:val="20"/>
        </w:rPr>
      </w:pPr>
    </w:p>
    <w:p w:rsidR="008879BC" w:rsidRPr="00565E10" w:rsidRDefault="008879BC" w:rsidP="006928C6">
      <w:pPr>
        <w:widowControl/>
        <w:jc w:val="both"/>
        <w:rPr>
          <w:rFonts w:cs="Arial"/>
          <w:sz w:val="20"/>
          <w:szCs w:val="20"/>
        </w:rPr>
      </w:pPr>
      <w:r w:rsidRPr="00565E10">
        <w:rPr>
          <w:rFonts w:cs="Arial"/>
          <w:sz w:val="20"/>
          <w:szCs w:val="20"/>
        </w:rPr>
        <w:t xml:space="preserve">The </w:t>
      </w:r>
      <w:r w:rsidR="00A97AD5" w:rsidRPr="00565E10">
        <w:rPr>
          <w:rFonts w:cs="Arial"/>
          <w:sz w:val="20"/>
          <w:szCs w:val="20"/>
        </w:rPr>
        <w:t>Township</w:t>
      </w:r>
      <w:r w:rsidRPr="00565E10">
        <w:rPr>
          <w:rFonts w:cs="Arial"/>
          <w:sz w:val="20"/>
          <w:szCs w:val="20"/>
        </w:rPr>
        <w:t xml:space="preserve"> belongs to the Ohio </w:t>
      </w:r>
      <w:r w:rsidR="00A97AD5" w:rsidRPr="00565E10">
        <w:rPr>
          <w:rFonts w:cs="Arial"/>
          <w:sz w:val="20"/>
          <w:szCs w:val="20"/>
        </w:rPr>
        <w:t xml:space="preserve">Township Association Risk Management Authority </w:t>
      </w:r>
      <w:r w:rsidR="00180927" w:rsidRPr="00565E10">
        <w:rPr>
          <w:rFonts w:cs="Arial"/>
          <w:sz w:val="20"/>
          <w:szCs w:val="20"/>
        </w:rPr>
        <w:t>(</w:t>
      </w:r>
      <w:proofErr w:type="spellStart"/>
      <w:r w:rsidR="00A97AD5" w:rsidRPr="00565E10">
        <w:rPr>
          <w:rFonts w:cs="Arial"/>
          <w:sz w:val="20"/>
          <w:szCs w:val="20"/>
        </w:rPr>
        <w:t>OTARMA</w:t>
      </w:r>
      <w:proofErr w:type="spellEnd"/>
      <w:r w:rsidR="00180927" w:rsidRPr="00565E10">
        <w:rPr>
          <w:rFonts w:cs="Arial"/>
          <w:sz w:val="20"/>
          <w:szCs w:val="20"/>
        </w:rPr>
        <w:t>)</w:t>
      </w:r>
      <w:r w:rsidRPr="00565E10">
        <w:rPr>
          <w:rFonts w:cs="Arial"/>
          <w:sz w:val="20"/>
          <w:szCs w:val="20"/>
        </w:rPr>
        <w:t xml:space="preserve">, a risk-sharing pool available to Ohio </w:t>
      </w:r>
      <w:r w:rsidR="00A97AD5" w:rsidRPr="00565E10">
        <w:rPr>
          <w:rFonts w:cs="Arial"/>
          <w:sz w:val="20"/>
          <w:szCs w:val="20"/>
        </w:rPr>
        <w:t>townships</w:t>
      </w:r>
      <w:r w:rsidRPr="00565E10">
        <w:rPr>
          <w:rFonts w:cs="Arial"/>
          <w:sz w:val="20"/>
          <w:szCs w:val="20"/>
        </w:rPr>
        <w:t xml:space="preserve">.  </w:t>
      </w:r>
      <w:proofErr w:type="spellStart"/>
      <w:r w:rsidR="00A97AD5" w:rsidRPr="002A10FC">
        <w:rPr>
          <w:rFonts w:cs="Arial"/>
          <w:sz w:val="20"/>
          <w:szCs w:val="20"/>
        </w:rPr>
        <w:t>OTARMA</w:t>
      </w:r>
      <w:proofErr w:type="spellEnd"/>
      <w:r w:rsidRPr="002A10FC">
        <w:rPr>
          <w:rFonts w:cs="Arial"/>
          <w:sz w:val="20"/>
          <w:szCs w:val="20"/>
        </w:rPr>
        <w:t xml:space="preserve"> provides property and casualty coverage for its members.  </w:t>
      </w:r>
      <w:proofErr w:type="gramStart"/>
      <w:r w:rsidR="00E2628E" w:rsidRPr="002A10FC">
        <w:rPr>
          <w:rFonts w:cs="Arial"/>
          <w:sz w:val="20"/>
          <w:szCs w:val="20"/>
        </w:rPr>
        <w:t>York Risk Pooling Services, Inc. (formally known as American Risk Pooling Consultants, Inc.)</w:t>
      </w:r>
      <w:proofErr w:type="gramEnd"/>
      <w:r w:rsidR="00E2628E" w:rsidRPr="002A10FC">
        <w:rPr>
          <w:rFonts w:cs="Arial"/>
          <w:sz w:val="20"/>
          <w:szCs w:val="20"/>
        </w:rPr>
        <w:t xml:space="preserve"> (York or Management), functions as the administrator of the Pool and provides underwriting</w:t>
      </w:r>
      <w:r w:rsidR="002A10FC">
        <w:rPr>
          <w:rFonts w:cs="Arial"/>
          <w:sz w:val="20"/>
          <w:szCs w:val="20"/>
        </w:rPr>
        <w:t xml:space="preserve"> </w:t>
      </w:r>
      <w:r w:rsidR="00E2628E" w:rsidRPr="002A10FC">
        <w:rPr>
          <w:rFonts w:cs="Arial"/>
          <w:sz w:val="20"/>
          <w:szCs w:val="20"/>
        </w:rPr>
        <w:t>claims, loss control, risk management, and reinsurance services for the Pool.</w:t>
      </w:r>
      <w:r w:rsidR="00936EA7" w:rsidRPr="002A10FC">
        <w:rPr>
          <w:rFonts w:cs="Arial"/>
          <w:sz w:val="20"/>
          <w:szCs w:val="20"/>
        </w:rPr>
        <w:t xml:space="preserve">  </w:t>
      </w:r>
      <w:r w:rsidRPr="002A10FC">
        <w:rPr>
          <w:rFonts w:cs="Arial"/>
          <w:sz w:val="20"/>
          <w:szCs w:val="20"/>
        </w:rPr>
        <w:t xml:space="preserve"> Member </w:t>
      </w:r>
      <w:r w:rsidR="00DD1C0B" w:rsidRPr="002A10FC">
        <w:rPr>
          <w:rFonts w:cs="Arial"/>
          <w:sz w:val="20"/>
          <w:szCs w:val="20"/>
        </w:rPr>
        <w:t>governments</w:t>
      </w:r>
      <w:r w:rsidRPr="002A10FC">
        <w:rPr>
          <w:rFonts w:cs="Arial"/>
          <w:sz w:val="20"/>
          <w:szCs w:val="20"/>
        </w:rPr>
        <w:t xml:space="preserve"> pay annual contributions to fund </w:t>
      </w:r>
      <w:proofErr w:type="spellStart"/>
      <w:r w:rsidR="00A97AD5" w:rsidRPr="002A10FC">
        <w:rPr>
          <w:rFonts w:cs="Arial"/>
          <w:sz w:val="20"/>
          <w:szCs w:val="20"/>
        </w:rPr>
        <w:t>OTARMA</w:t>
      </w:r>
      <w:proofErr w:type="spellEnd"/>
      <w:r w:rsidRPr="002A10FC">
        <w:rPr>
          <w:rFonts w:cs="Arial"/>
          <w:sz w:val="20"/>
          <w:szCs w:val="20"/>
        </w:rPr>
        <w:t xml:space="preserve">.  </w:t>
      </w:r>
      <w:proofErr w:type="spellStart"/>
      <w:r w:rsidR="00A97AD5" w:rsidRPr="002A10FC">
        <w:rPr>
          <w:rFonts w:cs="Arial"/>
          <w:sz w:val="20"/>
          <w:szCs w:val="20"/>
        </w:rPr>
        <w:t>OTARMA</w:t>
      </w:r>
      <w:proofErr w:type="spellEnd"/>
      <w:r w:rsidRPr="002A10FC">
        <w:rPr>
          <w:rFonts w:cs="Arial"/>
          <w:sz w:val="20"/>
          <w:szCs w:val="20"/>
        </w:rPr>
        <w:t xml:space="preserve"> pays judgments, settlements and other expenses resulting from covered claims that exceed the members’ deductibles.</w:t>
      </w:r>
      <w:r w:rsidRPr="00565E10">
        <w:rPr>
          <w:rFonts w:cs="Arial"/>
          <w:sz w:val="20"/>
          <w:szCs w:val="20"/>
        </w:rPr>
        <w:t xml:space="preserve"> </w:t>
      </w:r>
    </w:p>
    <w:p w:rsidR="008E0C49" w:rsidRPr="00565E10" w:rsidRDefault="008E0C49" w:rsidP="006928C6">
      <w:pPr>
        <w:suppressAutoHyphens/>
        <w:spacing w:line="240" w:lineRule="atLeast"/>
        <w:jc w:val="both"/>
        <w:rPr>
          <w:rFonts w:cs="Arial"/>
          <w:sz w:val="20"/>
          <w:szCs w:val="20"/>
        </w:rPr>
      </w:pPr>
    </w:p>
    <w:p w:rsidR="00936EA7" w:rsidRDefault="00936EA7" w:rsidP="006928C6">
      <w:pPr>
        <w:suppressAutoHyphens/>
        <w:spacing w:line="240" w:lineRule="atLeast"/>
        <w:jc w:val="both"/>
        <w:rPr>
          <w:rFonts w:cs="Arial"/>
          <w:sz w:val="20"/>
          <w:szCs w:val="20"/>
          <w:u w:val="single"/>
        </w:rPr>
      </w:pPr>
      <w:r w:rsidRPr="00565E10">
        <w:rPr>
          <w:rFonts w:cs="Arial"/>
          <w:sz w:val="20"/>
          <w:szCs w:val="20"/>
          <w:u w:val="single"/>
        </w:rPr>
        <w:t>Casualty and Property Coverage</w:t>
      </w:r>
    </w:p>
    <w:p w:rsidR="00CC6FF7" w:rsidRPr="00565E10" w:rsidRDefault="00CC6FF7" w:rsidP="006928C6">
      <w:pPr>
        <w:suppressAutoHyphens/>
        <w:spacing w:line="240" w:lineRule="atLeast"/>
        <w:jc w:val="both"/>
        <w:rPr>
          <w:rFonts w:cs="Arial"/>
          <w:sz w:val="20"/>
          <w:szCs w:val="20"/>
        </w:rPr>
      </w:pPr>
    </w:p>
    <w:p w:rsidR="00936EA7" w:rsidRPr="00CC6FF7" w:rsidRDefault="00CC6FF7" w:rsidP="006928C6">
      <w:pPr>
        <w:widowControl/>
        <w:jc w:val="both"/>
        <w:rPr>
          <w:rFonts w:cs="Arial"/>
          <w:strike/>
          <w:sz w:val="20"/>
          <w:szCs w:val="20"/>
        </w:rPr>
      </w:pPr>
      <w:r w:rsidRPr="00CC6FF7">
        <w:rPr>
          <w:rFonts w:cs="Arial"/>
          <w:sz w:val="20"/>
          <w:szCs w:val="20"/>
        </w:rPr>
        <w:t>The Pool is a member of American Public Entity Excess Pool (</w:t>
      </w:r>
      <w:proofErr w:type="spellStart"/>
      <w:r w:rsidRPr="00CC6FF7">
        <w:rPr>
          <w:rFonts w:cs="Arial"/>
          <w:sz w:val="20"/>
          <w:szCs w:val="20"/>
        </w:rPr>
        <w:t>APEEP</w:t>
      </w:r>
      <w:proofErr w:type="spellEnd"/>
      <w:r w:rsidRPr="00CC6FF7">
        <w:rPr>
          <w:rFonts w:cs="Arial"/>
          <w:sz w:val="20"/>
          <w:szCs w:val="20"/>
        </w:rPr>
        <w:t xml:space="preserve">), which is also administered by York. </w:t>
      </w:r>
      <w:proofErr w:type="spellStart"/>
      <w:r w:rsidRPr="00CC6FF7">
        <w:rPr>
          <w:rFonts w:cs="Arial"/>
          <w:sz w:val="20"/>
          <w:szCs w:val="20"/>
        </w:rPr>
        <w:t>APEEP</w:t>
      </w:r>
      <w:proofErr w:type="spellEnd"/>
      <w:r w:rsidRPr="00CC6FF7">
        <w:rPr>
          <w:rFonts w:cs="Arial"/>
          <w:sz w:val="20"/>
          <w:szCs w:val="20"/>
        </w:rPr>
        <w:t xml:space="preserve"> provides the Pool with an excess risk-sharing program</w:t>
      </w:r>
      <w:r>
        <w:rPr>
          <w:rFonts w:cs="Arial"/>
          <w:sz w:val="20"/>
          <w:szCs w:val="20"/>
        </w:rPr>
        <w:t>.</w:t>
      </w:r>
      <w:r w:rsidR="00936EA7" w:rsidRPr="00CC6FF7">
        <w:rPr>
          <w:rFonts w:cs="Arial"/>
          <w:sz w:val="20"/>
          <w:szCs w:val="20"/>
        </w:rPr>
        <w:t xml:space="preserve"> Under this arrangement, </w:t>
      </w:r>
      <w:proofErr w:type="spellStart"/>
      <w:r w:rsidR="00936EA7" w:rsidRPr="00CC6FF7">
        <w:rPr>
          <w:rFonts w:cs="Arial"/>
          <w:sz w:val="20"/>
          <w:szCs w:val="20"/>
        </w:rPr>
        <w:t>OTARMA</w:t>
      </w:r>
      <w:proofErr w:type="spellEnd"/>
      <w:r w:rsidR="00936EA7" w:rsidRPr="00CC6FF7">
        <w:rPr>
          <w:rFonts w:cs="Arial"/>
          <w:sz w:val="20"/>
          <w:szCs w:val="20"/>
        </w:rPr>
        <w:t xml:space="preserve"> retains insured risks up to an amount specified in the contracts. At December 31, 20</w:t>
      </w:r>
      <w:r w:rsidR="001E3476" w:rsidRPr="00CC6FF7">
        <w:rPr>
          <w:rFonts w:cs="Arial"/>
          <w:sz w:val="20"/>
          <w:szCs w:val="20"/>
        </w:rPr>
        <w:t>1</w:t>
      </w:r>
      <w:r w:rsidR="003053D5">
        <w:rPr>
          <w:rFonts w:cs="Arial"/>
          <w:sz w:val="20"/>
          <w:szCs w:val="20"/>
        </w:rPr>
        <w:t>6</w:t>
      </w:r>
      <w:r w:rsidR="00936EA7" w:rsidRPr="00CC6FF7">
        <w:rPr>
          <w:rFonts w:cs="Arial"/>
          <w:sz w:val="20"/>
          <w:szCs w:val="20"/>
        </w:rPr>
        <w:t xml:space="preserve">, </w:t>
      </w:r>
      <w:proofErr w:type="spellStart"/>
      <w:r w:rsidR="00936EA7" w:rsidRPr="00CC6FF7">
        <w:rPr>
          <w:rFonts w:cs="Arial"/>
          <w:sz w:val="20"/>
          <w:szCs w:val="20"/>
        </w:rPr>
        <w:t>OTARMA</w:t>
      </w:r>
      <w:proofErr w:type="spellEnd"/>
      <w:r w:rsidR="00936EA7" w:rsidRPr="00CC6FF7">
        <w:rPr>
          <w:rFonts w:cs="Arial"/>
          <w:sz w:val="20"/>
          <w:szCs w:val="20"/>
        </w:rPr>
        <w:t xml:space="preserve"> retained $350</w:t>
      </w:r>
      <w:r w:rsidR="00FF5271" w:rsidRPr="00CC6FF7">
        <w:rPr>
          <w:rFonts w:cs="Arial"/>
          <w:sz w:val="20"/>
          <w:szCs w:val="20"/>
        </w:rPr>
        <w:t>,000 for casualty claims and $</w:t>
      </w:r>
      <w:r w:rsidR="00A84751" w:rsidRPr="00CC6FF7">
        <w:rPr>
          <w:rFonts w:cs="Arial"/>
          <w:sz w:val="20"/>
          <w:szCs w:val="20"/>
        </w:rPr>
        <w:t>2</w:t>
      </w:r>
      <w:r w:rsidR="00FF5271" w:rsidRPr="00CC6FF7">
        <w:rPr>
          <w:rFonts w:cs="Arial"/>
          <w:sz w:val="20"/>
          <w:szCs w:val="20"/>
        </w:rPr>
        <w:t>5</w:t>
      </w:r>
      <w:r w:rsidR="00936EA7" w:rsidRPr="00CC6FF7">
        <w:rPr>
          <w:rFonts w:cs="Arial"/>
          <w:sz w:val="20"/>
          <w:szCs w:val="20"/>
        </w:rPr>
        <w:t>0,000 for property claims.</w:t>
      </w:r>
    </w:p>
    <w:p w:rsidR="00936EA7" w:rsidRPr="009F5652" w:rsidRDefault="00936EA7" w:rsidP="006928C6">
      <w:pPr>
        <w:suppressAutoHyphens/>
        <w:spacing w:line="240" w:lineRule="atLeast"/>
        <w:jc w:val="both"/>
        <w:rPr>
          <w:rFonts w:cs="Arial"/>
          <w:sz w:val="20"/>
          <w:szCs w:val="20"/>
        </w:rPr>
      </w:pPr>
    </w:p>
    <w:p w:rsidR="00936EA7" w:rsidRPr="009F5652" w:rsidRDefault="00936EA7" w:rsidP="006928C6">
      <w:pPr>
        <w:suppressAutoHyphens/>
        <w:spacing w:line="240" w:lineRule="atLeast"/>
        <w:jc w:val="both"/>
        <w:rPr>
          <w:rFonts w:cs="Arial"/>
          <w:sz w:val="20"/>
          <w:szCs w:val="20"/>
        </w:rPr>
      </w:pPr>
      <w:r w:rsidRPr="009F5652">
        <w:rPr>
          <w:rFonts w:cs="Arial"/>
          <w:sz w:val="20"/>
          <w:szCs w:val="20"/>
        </w:rPr>
        <w:t xml:space="preserve">The aforementioned casualty and property reinsurance agreement does not discharge </w:t>
      </w:r>
      <w:proofErr w:type="spellStart"/>
      <w:r w:rsidRPr="009F5652">
        <w:rPr>
          <w:rFonts w:cs="Arial"/>
          <w:sz w:val="20"/>
          <w:szCs w:val="20"/>
        </w:rPr>
        <w:t>OTARMA’s</w:t>
      </w:r>
      <w:proofErr w:type="spellEnd"/>
      <w:r w:rsidRPr="009F5652">
        <w:rPr>
          <w:rFonts w:cs="Arial"/>
          <w:sz w:val="20"/>
          <w:szCs w:val="20"/>
        </w:rPr>
        <w:t xml:space="preserve"> primary liability for claims payments on covered losses.  Claims exceeding coverage limits are the obligation of the respective government. </w:t>
      </w:r>
    </w:p>
    <w:p w:rsidR="00936EA7" w:rsidRPr="009F5652" w:rsidRDefault="00936EA7" w:rsidP="006928C6">
      <w:pPr>
        <w:suppressAutoHyphens/>
        <w:spacing w:line="240" w:lineRule="atLeast"/>
        <w:jc w:val="both"/>
        <w:rPr>
          <w:rFonts w:cs="Arial"/>
          <w:sz w:val="20"/>
          <w:szCs w:val="20"/>
        </w:rPr>
      </w:pPr>
    </w:p>
    <w:p w:rsidR="00365F7A" w:rsidRDefault="00365F7A" w:rsidP="006928C6">
      <w:pPr>
        <w:suppressAutoHyphens/>
        <w:spacing w:line="240" w:lineRule="atLeast"/>
        <w:jc w:val="both"/>
        <w:rPr>
          <w:rFonts w:cs="Arial"/>
          <w:sz w:val="20"/>
          <w:szCs w:val="20"/>
          <w:u w:val="single"/>
        </w:rPr>
      </w:pPr>
      <w:r w:rsidRPr="009F5652">
        <w:rPr>
          <w:rFonts w:cs="Arial"/>
          <w:sz w:val="20"/>
          <w:szCs w:val="20"/>
          <w:u w:val="single"/>
        </w:rPr>
        <w:t>Financial Position</w:t>
      </w:r>
    </w:p>
    <w:p w:rsidR="00CC6FF7" w:rsidRPr="009F5652" w:rsidRDefault="00CC6FF7" w:rsidP="006928C6">
      <w:pPr>
        <w:suppressAutoHyphens/>
        <w:spacing w:line="240" w:lineRule="atLeast"/>
        <w:jc w:val="both"/>
        <w:rPr>
          <w:rFonts w:cs="Arial"/>
          <w:sz w:val="20"/>
          <w:szCs w:val="20"/>
        </w:rPr>
      </w:pPr>
    </w:p>
    <w:p w:rsidR="00365F7A" w:rsidRPr="00565E10" w:rsidRDefault="00A97AD5" w:rsidP="006928C6">
      <w:pPr>
        <w:suppressAutoHyphens/>
        <w:spacing w:line="240" w:lineRule="atLeast"/>
        <w:jc w:val="both"/>
        <w:rPr>
          <w:rFonts w:cs="Arial"/>
          <w:b/>
          <w:sz w:val="20"/>
          <w:szCs w:val="20"/>
        </w:rPr>
      </w:pPr>
      <w:proofErr w:type="spellStart"/>
      <w:r w:rsidRPr="009F5652">
        <w:rPr>
          <w:rFonts w:cs="Arial"/>
          <w:sz w:val="20"/>
          <w:szCs w:val="20"/>
        </w:rPr>
        <w:t>OTARMA</w:t>
      </w:r>
      <w:r w:rsidR="00365F7A" w:rsidRPr="009F5652">
        <w:rPr>
          <w:rFonts w:cs="Arial"/>
          <w:sz w:val="20"/>
          <w:szCs w:val="20"/>
        </w:rPr>
        <w:t>’s</w:t>
      </w:r>
      <w:proofErr w:type="spellEnd"/>
      <w:r w:rsidR="00365F7A" w:rsidRPr="009F5652">
        <w:rPr>
          <w:rFonts w:cs="Arial"/>
          <w:sz w:val="20"/>
          <w:szCs w:val="20"/>
        </w:rPr>
        <w:t xml:space="preserve"> financial statements (audited by other accountants) conform </w:t>
      </w:r>
      <w:proofErr w:type="gramStart"/>
      <w:r w:rsidR="00365F7A" w:rsidRPr="009F5652">
        <w:rPr>
          <w:rFonts w:cs="Arial"/>
          <w:sz w:val="20"/>
          <w:szCs w:val="20"/>
        </w:rPr>
        <w:t>with</w:t>
      </w:r>
      <w:proofErr w:type="gramEnd"/>
      <w:r w:rsidR="00365F7A" w:rsidRPr="009F5652">
        <w:rPr>
          <w:rFonts w:cs="Arial"/>
          <w:sz w:val="20"/>
          <w:szCs w:val="20"/>
        </w:rPr>
        <w:t xml:space="preserve"> generally accepted accounting principles, and reported the following assets, liabilities and retained earnings at December 31, </w:t>
      </w:r>
      <w:r w:rsidR="00844A63" w:rsidRPr="009F5652">
        <w:rPr>
          <w:rFonts w:cs="Arial"/>
          <w:sz w:val="20"/>
          <w:szCs w:val="20"/>
        </w:rPr>
        <w:t>20</w:t>
      </w:r>
      <w:r w:rsidR="00CE6D8C">
        <w:rPr>
          <w:rFonts w:cs="Arial"/>
          <w:sz w:val="20"/>
          <w:szCs w:val="20"/>
        </w:rPr>
        <w:t>1</w:t>
      </w:r>
      <w:r w:rsidR="003053D5">
        <w:rPr>
          <w:rFonts w:cs="Arial"/>
          <w:sz w:val="20"/>
          <w:szCs w:val="20"/>
        </w:rPr>
        <w:t>6</w:t>
      </w:r>
      <w:r w:rsidR="00A64925">
        <w:rPr>
          <w:rFonts w:cs="Arial"/>
          <w:sz w:val="20"/>
          <w:szCs w:val="20"/>
        </w:rPr>
        <w:t>.</w:t>
      </w:r>
    </w:p>
    <w:p w:rsidR="00365F7A" w:rsidRPr="00565E10" w:rsidRDefault="00365F7A" w:rsidP="006928C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4343" w:type="dxa"/>
        <w:tblInd w:w="81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3"/>
        <w:gridCol w:w="1530"/>
      </w:tblGrid>
      <w:tr w:rsidR="00A64925" w:rsidRPr="00565E10" w:rsidTr="00A64925">
        <w:trPr>
          <w:trHeight w:hRule="exact" w:val="402"/>
        </w:trPr>
        <w:tc>
          <w:tcPr>
            <w:tcW w:w="281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A64925" w:rsidRPr="00565E10" w:rsidRDefault="00A64925" w:rsidP="006928C6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A64925" w:rsidRPr="00A64925" w:rsidRDefault="00A64925" w:rsidP="006928C6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</w:t>
            </w:r>
            <w:r w:rsidRPr="00A64925">
              <w:rPr>
                <w:rFonts w:cs="Arial"/>
                <w:b/>
                <w:sz w:val="20"/>
                <w:szCs w:val="20"/>
              </w:rPr>
              <w:t>2016</w:t>
            </w:r>
          </w:p>
        </w:tc>
      </w:tr>
      <w:tr w:rsidR="00A64925" w:rsidRPr="00565E10" w:rsidTr="00A64925">
        <w:trPr>
          <w:trHeight w:hRule="exact" w:val="402"/>
        </w:trPr>
        <w:tc>
          <w:tcPr>
            <w:tcW w:w="281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A64925" w:rsidRPr="00565E10" w:rsidRDefault="00A64925" w:rsidP="006928C6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</w:rPr>
            </w:pPr>
            <w:r w:rsidRPr="00565E10">
              <w:rPr>
                <w:rFonts w:cs="Arial"/>
                <w:sz w:val="20"/>
                <w:szCs w:val="20"/>
              </w:rPr>
              <w:t>Assets</w:t>
            </w: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A64925" w:rsidRPr="00B9186A" w:rsidRDefault="00A64925" w:rsidP="007176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Pr="00B014CB">
              <w:rPr>
                <w:rFonts w:cs="Arial"/>
                <w:bCs/>
                <w:sz w:val="20"/>
                <w:szCs w:val="20"/>
              </w:rPr>
              <w:t>3</w:t>
            </w:r>
            <w:r>
              <w:rPr>
                <w:rFonts w:cs="Arial"/>
                <w:bCs/>
                <w:sz w:val="20"/>
                <w:szCs w:val="20"/>
              </w:rPr>
              <w:t>8</w:t>
            </w:r>
            <w:r w:rsidRPr="00B014CB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473,283</w:t>
            </w:r>
          </w:p>
        </w:tc>
      </w:tr>
      <w:tr w:rsidR="00A64925" w:rsidRPr="00565E10" w:rsidTr="00A64925">
        <w:trPr>
          <w:trHeight w:hRule="exact" w:val="402"/>
        </w:trPr>
        <w:tc>
          <w:tcPr>
            <w:tcW w:w="281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A64925" w:rsidRPr="00565E10" w:rsidRDefault="00A64925" w:rsidP="006928C6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</w:rPr>
            </w:pPr>
            <w:r w:rsidRPr="00565E10">
              <w:rPr>
                <w:rFonts w:cs="Arial"/>
                <w:sz w:val="20"/>
                <w:szCs w:val="20"/>
              </w:rPr>
              <w:t>Liabilities</w:t>
            </w: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A64925" w:rsidRPr="00717607" w:rsidRDefault="00A64925" w:rsidP="00A64925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ascii="Humanst521BT" w:hAnsi="Humanst521BT" w:cs="Humanst521BT"/>
                <w:sz w:val="22"/>
                <w:szCs w:val="22"/>
              </w:rPr>
              <w:t xml:space="preserve">    </w:t>
            </w:r>
            <w:r w:rsidRPr="00B014CB">
              <w:rPr>
                <w:rFonts w:cs="Arial"/>
                <w:bCs/>
                <w:sz w:val="20"/>
                <w:szCs w:val="20"/>
              </w:rPr>
              <w:t>8,</w:t>
            </w:r>
            <w:r>
              <w:rPr>
                <w:rFonts w:cs="Arial"/>
                <w:bCs/>
                <w:sz w:val="20"/>
                <w:szCs w:val="20"/>
              </w:rPr>
              <w:t>244</w:t>
            </w:r>
            <w:r w:rsidRPr="00B014CB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140</w:t>
            </w:r>
          </w:p>
        </w:tc>
      </w:tr>
      <w:tr w:rsidR="00A64925" w:rsidRPr="00565E10" w:rsidTr="00A64925">
        <w:trPr>
          <w:trHeight w:hRule="exact" w:val="366"/>
        </w:trPr>
        <w:tc>
          <w:tcPr>
            <w:tcW w:w="281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A64925" w:rsidRPr="00565E10" w:rsidRDefault="00A64925" w:rsidP="006928C6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</w:rPr>
            </w:pPr>
            <w:r w:rsidRPr="00565E10">
              <w:rPr>
                <w:rFonts w:cs="Arial"/>
                <w:sz w:val="20"/>
                <w:szCs w:val="20"/>
              </w:rPr>
              <w:t xml:space="preserve">Net </w:t>
            </w:r>
            <w:r>
              <w:rPr>
                <w:rFonts w:cs="Arial"/>
                <w:sz w:val="20"/>
                <w:szCs w:val="20"/>
              </w:rPr>
              <w:t>Position</w:t>
            </w: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A64925" w:rsidRPr="00F04D2C" w:rsidRDefault="00A64925" w:rsidP="00A64925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F04D2C">
              <w:rPr>
                <w:rFonts w:cs="Arial"/>
                <w:color w:val="000000"/>
                <w:sz w:val="20"/>
                <w:szCs w:val="20"/>
              </w:rPr>
              <w:t>$</w:t>
            </w:r>
            <w:r>
              <w:rPr>
                <w:rFonts w:cs="Arial"/>
                <w:color w:val="000000"/>
                <w:sz w:val="20"/>
                <w:szCs w:val="20"/>
              </w:rPr>
              <w:t>30</w:t>
            </w:r>
            <w:r w:rsidRPr="00B014CB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229</w:t>
            </w:r>
            <w:r w:rsidRPr="00B014CB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143</w:t>
            </w:r>
          </w:p>
          <w:p w:rsidR="00A64925" w:rsidRPr="00F04D2C" w:rsidRDefault="00A64925" w:rsidP="006928C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64925" w:rsidRDefault="00A64925" w:rsidP="006928C6">
            <w:pPr>
              <w:jc w:val="both"/>
              <w:rPr>
                <w:rFonts w:cs="Arial"/>
                <w:color w:val="000000"/>
                <w:sz w:val="20"/>
                <w:szCs w:val="20"/>
                <w:u w:val="double"/>
              </w:rPr>
            </w:pPr>
          </w:p>
          <w:p w:rsidR="00A64925" w:rsidRPr="003C6096" w:rsidRDefault="00A64925" w:rsidP="006928C6">
            <w:pPr>
              <w:jc w:val="both"/>
              <w:rPr>
                <w:rFonts w:cs="Arial"/>
                <w:color w:val="000000"/>
                <w:sz w:val="20"/>
                <w:szCs w:val="20"/>
                <w:u w:val="double"/>
              </w:rPr>
            </w:pPr>
          </w:p>
        </w:tc>
      </w:tr>
    </w:tbl>
    <w:p w:rsidR="00522693" w:rsidRPr="00565E10" w:rsidRDefault="00522693" w:rsidP="006928C6">
      <w:pPr>
        <w:jc w:val="both"/>
        <w:rPr>
          <w:rFonts w:cs="Arial"/>
          <w:sz w:val="20"/>
          <w:szCs w:val="20"/>
        </w:rPr>
      </w:pPr>
    </w:p>
    <w:p w:rsidR="003E461D" w:rsidRPr="00B22B12" w:rsidRDefault="00E4665A" w:rsidP="006928C6">
      <w:pPr>
        <w:pStyle w:val="FootnoteText"/>
        <w:jc w:val="both"/>
        <w:rPr>
          <w:b/>
          <w:i/>
          <w:color w:val="FF0000"/>
        </w:rPr>
      </w:pPr>
      <w:r w:rsidRPr="002B53BC">
        <w:rPr>
          <w:rFonts w:cs="Arial"/>
        </w:rPr>
        <w:t>At December 31, 20</w:t>
      </w:r>
      <w:r w:rsidR="00CE6D8C">
        <w:rPr>
          <w:rFonts w:cs="Arial"/>
        </w:rPr>
        <w:t>1</w:t>
      </w:r>
      <w:r w:rsidR="003053D5">
        <w:rPr>
          <w:rFonts w:cs="Arial"/>
        </w:rPr>
        <w:t>6</w:t>
      </w:r>
      <w:r w:rsidRPr="002B53BC">
        <w:rPr>
          <w:rFonts w:cs="Arial"/>
        </w:rPr>
        <w:t xml:space="preserve"> </w:t>
      </w:r>
      <w:bookmarkStart w:id="0" w:name="_GoBack"/>
      <w:bookmarkEnd w:id="0"/>
      <w:r w:rsidR="00DA1349" w:rsidRPr="002B53BC">
        <w:rPr>
          <w:rFonts w:cs="Arial"/>
        </w:rPr>
        <w:t xml:space="preserve">the </w:t>
      </w:r>
      <w:r w:rsidR="00F1558E" w:rsidRPr="002B53BC">
        <w:rPr>
          <w:rFonts w:cs="Arial"/>
        </w:rPr>
        <w:t>liabilities</w:t>
      </w:r>
      <w:r w:rsidRPr="002B53BC">
        <w:rPr>
          <w:rFonts w:cs="Arial"/>
        </w:rPr>
        <w:t xml:space="preserve"> above include approximately $</w:t>
      </w:r>
      <w:r w:rsidR="003053D5">
        <w:rPr>
          <w:rFonts w:cs="Arial"/>
        </w:rPr>
        <w:t>7</w:t>
      </w:r>
      <w:r w:rsidR="00316133">
        <w:rPr>
          <w:rFonts w:cs="Arial"/>
        </w:rPr>
        <w:t>.</w:t>
      </w:r>
      <w:r w:rsidR="003053D5">
        <w:rPr>
          <w:rFonts w:cs="Arial"/>
        </w:rPr>
        <w:t>4</w:t>
      </w:r>
      <w:r w:rsidRPr="002B53BC">
        <w:rPr>
          <w:rFonts w:cs="Arial"/>
        </w:rPr>
        <w:t xml:space="preserve"> million of estimated incurred </w:t>
      </w:r>
      <w:r w:rsidR="00B33D20" w:rsidRPr="002B53BC">
        <w:rPr>
          <w:rFonts w:cs="Arial"/>
        </w:rPr>
        <w:t xml:space="preserve">claims </w:t>
      </w:r>
      <w:r w:rsidRPr="002B53BC">
        <w:rPr>
          <w:rFonts w:cs="Arial"/>
        </w:rPr>
        <w:t>pa</w:t>
      </w:r>
      <w:r w:rsidR="00382378" w:rsidRPr="002B53BC">
        <w:rPr>
          <w:rFonts w:cs="Arial"/>
        </w:rPr>
        <w:t>yable</w:t>
      </w:r>
      <w:r w:rsidR="00DF6C6D" w:rsidRPr="002B53BC">
        <w:rPr>
          <w:rFonts w:cs="Arial"/>
        </w:rPr>
        <w:t>.</w:t>
      </w:r>
      <w:r w:rsidRPr="002B53BC">
        <w:rPr>
          <w:rFonts w:cs="Arial"/>
        </w:rPr>
        <w:t xml:space="preserve"> </w:t>
      </w:r>
      <w:r w:rsidR="00F1558E" w:rsidRPr="002B53BC">
        <w:rPr>
          <w:rFonts w:cs="Arial"/>
        </w:rPr>
        <w:t xml:space="preserve"> The assets above also include approximately </w:t>
      </w:r>
      <w:r w:rsidR="00F1558E" w:rsidRPr="00316133">
        <w:rPr>
          <w:rFonts w:cs="Arial"/>
        </w:rPr>
        <w:t>$</w:t>
      </w:r>
      <w:r w:rsidR="003053D5">
        <w:rPr>
          <w:rFonts w:cs="Arial"/>
        </w:rPr>
        <w:t>6</w:t>
      </w:r>
      <w:r w:rsidR="00B014CB" w:rsidRPr="00316133">
        <w:rPr>
          <w:rFonts w:cs="Arial"/>
        </w:rPr>
        <w:t>.</w:t>
      </w:r>
      <w:r w:rsidR="003053D5">
        <w:rPr>
          <w:rFonts w:cs="Arial"/>
        </w:rPr>
        <w:t>9</w:t>
      </w:r>
      <w:r w:rsidR="00F1558E" w:rsidRPr="002B53BC">
        <w:rPr>
          <w:rFonts w:cs="Arial"/>
        </w:rPr>
        <w:t xml:space="preserve"> million of unpaid claims to be billed to approximately</w:t>
      </w:r>
      <w:r w:rsidR="00A64925">
        <w:rPr>
          <w:rFonts w:cs="Arial"/>
        </w:rPr>
        <w:t xml:space="preserve"> 1</w:t>
      </w:r>
      <w:r w:rsidR="003053D5">
        <w:rPr>
          <w:rFonts w:cs="Arial"/>
        </w:rPr>
        <w:t>,010</w:t>
      </w:r>
      <w:r w:rsidR="00316133">
        <w:rPr>
          <w:rFonts w:cs="Arial"/>
        </w:rPr>
        <w:t xml:space="preserve"> member </w:t>
      </w:r>
      <w:r w:rsidR="009C001F" w:rsidRPr="002B53BC">
        <w:rPr>
          <w:rFonts w:cs="Arial"/>
        </w:rPr>
        <w:t>g</w:t>
      </w:r>
      <w:r w:rsidR="00DD1C0B" w:rsidRPr="002B53BC">
        <w:rPr>
          <w:rFonts w:cs="Arial"/>
        </w:rPr>
        <w:t>overnments</w:t>
      </w:r>
      <w:r w:rsidR="00F1558E" w:rsidRPr="002B53BC">
        <w:rPr>
          <w:rFonts w:cs="Arial"/>
        </w:rPr>
        <w:t xml:space="preserve"> in the future, as of December 31, </w:t>
      </w:r>
      <w:r w:rsidR="0069676E" w:rsidRPr="002B53BC">
        <w:rPr>
          <w:rFonts w:cs="Arial"/>
        </w:rPr>
        <w:t>20</w:t>
      </w:r>
      <w:r w:rsidR="00CE6D8C">
        <w:rPr>
          <w:rFonts w:cs="Arial"/>
        </w:rPr>
        <w:t>1</w:t>
      </w:r>
      <w:r w:rsidR="003053D5">
        <w:rPr>
          <w:rFonts w:cs="Arial"/>
        </w:rPr>
        <w:t>6</w:t>
      </w:r>
      <w:r w:rsidR="00F1558E" w:rsidRPr="002B53BC">
        <w:rPr>
          <w:rFonts w:cs="Arial"/>
        </w:rPr>
        <w:t xml:space="preserve">. </w:t>
      </w:r>
      <w:r w:rsidRPr="002B53BC">
        <w:rPr>
          <w:rFonts w:cs="Arial"/>
        </w:rPr>
        <w:t xml:space="preserve">These amounts will be </w:t>
      </w:r>
      <w:r w:rsidR="00F1558E" w:rsidRPr="002B53BC">
        <w:rPr>
          <w:rFonts w:cs="Arial"/>
        </w:rPr>
        <w:t xml:space="preserve">included in future contributions </w:t>
      </w:r>
      <w:r w:rsidR="00B33D20" w:rsidRPr="002B53BC">
        <w:rPr>
          <w:rFonts w:cs="Arial"/>
        </w:rPr>
        <w:t xml:space="preserve">from members </w:t>
      </w:r>
      <w:r w:rsidRPr="002B53BC">
        <w:rPr>
          <w:rFonts w:cs="Arial"/>
        </w:rPr>
        <w:t xml:space="preserve">when the related claims are due for payment.  </w:t>
      </w:r>
      <w:r w:rsidR="00DA1349" w:rsidRPr="002B53BC">
        <w:rPr>
          <w:rFonts w:cs="Arial"/>
        </w:rPr>
        <w:t>As of December 31, 20</w:t>
      </w:r>
      <w:r w:rsidR="00CE6D8C">
        <w:rPr>
          <w:rFonts w:cs="Arial"/>
        </w:rPr>
        <w:t>1</w:t>
      </w:r>
      <w:r w:rsidR="003053D5">
        <w:rPr>
          <w:rFonts w:cs="Arial"/>
        </w:rPr>
        <w:t>6</w:t>
      </w:r>
      <w:r w:rsidR="00DA1349" w:rsidRPr="002B53BC">
        <w:rPr>
          <w:rFonts w:cs="Arial"/>
        </w:rPr>
        <w:t>, t</w:t>
      </w:r>
      <w:r w:rsidR="00833FDF" w:rsidRPr="002B53BC">
        <w:rPr>
          <w:rFonts w:cs="Arial"/>
        </w:rPr>
        <w:t xml:space="preserve">he </w:t>
      </w:r>
      <w:r w:rsidR="00A97AD5" w:rsidRPr="002B53BC">
        <w:rPr>
          <w:rFonts w:cs="Arial"/>
        </w:rPr>
        <w:t>Township</w:t>
      </w:r>
      <w:r w:rsidR="00833FDF" w:rsidRPr="002B53BC">
        <w:rPr>
          <w:rFonts w:cs="Arial"/>
        </w:rPr>
        <w:t>’s</w:t>
      </w:r>
      <w:r w:rsidR="00833FDF" w:rsidRPr="00565E10">
        <w:rPr>
          <w:rFonts w:cs="Arial"/>
        </w:rPr>
        <w:t xml:space="preserve"> share of these unpaid claims</w:t>
      </w:r>
      <w:r w:rsidR="000A2DFF" w:rsidRPr="00565E10">
        <w:rPr>
          <w:rFonts w:cs="Arial"/>
        </w:rPr>
        <w:t xml:space="preserve"> </w:t>
      </w:r>
      <w:r w:rsidR="00F45506" w:rsidRPr="00565E10">
        <w:rPr>
          <w:rFonts w:cs="Arial"/>
        </w:rPr>
        <w:t xml:space="preserve">collectible </w:t>
      </w:r>
      <w:r w:rsidR="000A2DFF" w:rsidRPr="00565E10">
        <w:rPr>
          <w:rFonts w:cs="Arial"/>
        </w:rPr>
        <w:t xml:space="preserve">in future years </w:t>
      </w:r>
      <w:r w:rsidR="00833FDF" w:rsidRPr="00565E10">
        <w:rPr>
          <w:rFonts w:cs="Arial"/>
        </w:rPr>
        <w:t>is approximately $</w:t>
      </w:r>
      <w:r w:rsidR="00833FDF" w:rsidRPr="00565E10">
        <w:rPr>
          <w:rFonts w:cs="Arial"/>
          <w:b/>
        </w:rPr>
        <w:t>[</w:t>
      </w:r>
      <w:r w:rsidR="00833FDF" w:rsidRPr="00316133">
        <w:rPr>
          <w:rFonts w:cs="Arial"/>
          <w:b/>
        </w:rPr>
        <w:t xml:space="preserve">insert </w:t>
      </w:r>
      <w:r w:rsidR="003053D5">
        <w:rPr>
          <w:rFonts w:cs="Arial"/>
          <w:b/>
        </w:rPr>
        <w:t>45</w:t>
      </w:r>
      <w:r w:rsidR="00316133" w:rsidRPr="00316133">
        <w:rPr>
          <w:rFonts w:cs="Arial"/>
          <w:b/>
        </w:rPr>
        <w:t>.0</w:t>
      </w:r>
      <w:r w:rsidR="009E078C" w:rsidRPr="00316133">
        <w:rPr>
          <w:rFonts w:cs="Arial"/>
          <w:b/>
        </w:rPr>
        <w:t>%</w:t>
      </w:r>
      <w:r w:rsidR="00833FDF" w:rsidRPr="00565E10">
        <w:rPr>
          <w:rFonts w:cs="Arial"/>
          <w:b/>
        </w:rPr>
        <w:t xml:space="preserve"> x </w:t>
      </w:r>
      <w:r w:rsidR="000B1053">
        <w:rPr>
          <w:rFonts w:cs="Arial"/>
          <w:b/>
        </w:rPr>
        <w:t>201</w:t>
      </w:r>
      <w:r w:rsidR="003053D5">
        <w:rPr>
          <w:rFonts w:cs="Arial"/>
          <w:b/>
        </w:rPr>
        <w:t>6</w:t>
      </w:r>
      <w:r w:rsidR="00450A5C" w:rsidRPr="00565E10">
        <w:rPr>
          <w:rFonts w:cs="Arial"/>
          <w:b/>
        </w:rPr>
        <w:t xml:space="preserve"> </w:t>
      </w:r>
      <w:r w:rsidR="00613FEA" w:rsidRPr="00565E10">
        <w:rPr>
          <w:rFonts w:cs="Arial"/>
          <w:b/>
        </w:rPr>
        <w:t>(</w:t>
      </w:r>
      <w:r w:rsidR="00450A5C" w:rsidRPr="00565E10">
        <w:rPr>
          <w:rFonts w:cs="Arial"/>
          <w:b/>
        </w:rPr>
        <w:t>casualty + liability</w:t>
      </w:r>
      <w:r w:rsidR="00613FEA" w:rsidRPr="00565E10">
        <w:rPr>
          <w:rFonts w:cs="Arial"/>
          <w:b/>
        </w:rPr>
        <w:t>)</w:t>
      </w:r>
      <w:r w:rsidR="00450A5C" w:rsidRPr="00565E10">
        <w:rPr>
          <w:rFonts w:cs="Arial"/>
          <w:b/>
        </w:rPr>
        <w:t xml:space="preserve"> </w:t>
      </w:r>
      <w:r w:rsidR="00833FDF" w:rsidRPr="00565E10">
        <w:rPr>
          <w:rFonts w:cs="Arial"/>
          <w:b/>
        </w:rPr>
        <w:lastRenderedPageBreak/>
        <w:t>premium</w:t>
      </w:r>
      <w:r w:rsidR="00833FDF" w:rsidRPr="00565E10">
        <w:rPr>
          <w:rFonts w:cs="Arial"/>
        </w:rPr>
        <w:t>]</w:t>
      </w:r>
      <w:r w:rsidR="00F45506" w:rsidRPr="00565E10">
        <w:rPr>
          <w:rFonts w:cs="Arial"/>
        </w:rPr>
        <w:t xml:space="preserve">.  </w:t>
      </w:r>
      <w:r w:rsidR="004C6F52" w:rsidRPr="00565E10">
        <w:rPr>
          <w:rFonts w:cs="Arial"/>
        </w:rPr>
        <w:t xml:space="preserve"> </w:t>
      </w:r>
      <w:r w:rsidR="003E461D">
        <w:rPr>
          <w:rFonts w:cs="Arial"/>
        </w:rPr>
        <w:t xml:space="preserve">&lt;&lt;&lt; </w:t>
      </w:r>
      <w:r w:rsidR="003E461D" w:rsidRPr="00B22B12">
        <w:rPr>
          <w:b/>
          <w:i/>
          <w:color w:val="FF0000"/>
        </w:rPr>
        <w:t>Because th</w:t>
      </w:r>
      <w:r w:rsidR="003E461D">
        <w:rPr>
          <w:b/>
          <w:i/>
          <w:color w:val="FF0000"/>
        </w:rPr>
        <w:t>is</w:t>
      </w:r>
      <w:r w:rsidR="003E461D" w:rsidRPr="00B22B12">
        <w:rPr>
          <w:b/>
          <w:i/>
          <w:color w:val="FF0000"/>
        </w:rPr>
        <w:t xml:space="preserve"> liability is an estimate, please round to the nearest thousand dollars.</w:t>
      </w:r>
    </w:p>
    <w:p w:rsidR="00E4665A" w:rsidRPr="00565E10" w:rsidRDefault="00E4665A" w:rsidP="006928C6">
      <w:pPr>
        <w:jc w:val="both"/>
        <w:rPr>
          <w:rFonts w:cs="Arial"/>
          <w:sz w:val="20"/>
          <w:szCs w:val="20"/>
        </w:rPr>
      </w:pPr>
      <w:r w:rsidRPr="00565E10">
        <w:rPr>
          <w:rFonts w:cs="Arial"/>
          <w:sz w:val="20"/>
          <w:szCs w:val="20"/>
        </w:rPr>
        <w:t xml:space="preserve">   </w:t>
      </w:r>
    </w:p>
    <w:p w:rsidR="00290CE4" w:rsidRPr="00565E10" w:rsidRDefault="00290CE4" w:rsidP="006928C6">
      <w:pPr>
        <w:jc w:val="both"/>
        <w:rPr>
          <w:rFonts w:cs="Arial"/>
          <w:sz w:val="20"/>
          <w:szCs w:val="20"/>
        </w:rPr>
      </w:pPr>
      <w:r w:rsidRPr="00565E10">
        <w:rPr>
          <w:rFonts w:cs="Arial"/>
          <w:sz w:val="20"/>
          <w:szCs w:val="20"/>
        </w:rPr>
        <w:t xml:space="preserve">Based on discussions with </w:t>
      </w:r>
      <w:proofErr w:type="spellStart"/>
      <w:r w:rsidR="00A97AD5" w:rsidRPr="00565E10">
        <w:rPr>
          <w:rFonts w:cs="Arial"/>
          <w:sz w:val="20"/>
          <w:szCs w:val="20"/>
        </w:rPr>
        <w:t>OTARMA</w:t>
      </w:r>
      <w:proofErr w:type="spellEnd"/>
      <w:r w:rsidR="00E731CA" w:rsidRPr="00565E10">
        <w:rPr>
          <w:rFonts w:cs="Arial"/>
          <w:sz w:val="20"/>
          <w:szCs w:val="20"/>
        </w:rPr>
        <w:t>,</w:t>
      </w:r>
      <w:r w:rsidRPr="00565E10">
        <w:rPr>
          <w:rFonts w:cs="Arial"/>
          <w:sz w:val="20"/>
          <w:szCs w:val="20"/>
        </w:rPr>
        <w:t xml:space="preserve"> the expected rates </w:t>
      </w:r>
      <w:proofErr w:type="spellStart"/>
      <w:r w:rsidR="00A97AD5" w:rsidRPr="00565E10">
        <w:rPr>
          <w:rFonts w:cs="Arial"/>
          <w:sz w:val="20"/>
          <w:szCs w:val="20"/>
        </w:rPr>
        <w:t>OTARMA</w:t>
      </w:r>
      <w:proofErr w:type="spellEnd"/>
      <w:r w:rsidR="003B7F93" w:rsidRPr="00565E10">
        <w:rPr>
          <w:rFonts w:cs="Arial"/>
          <w:sz w:val="20"/>
          <w:szCs w:val="20"/>
        </w:rPr>
        <w:t xml:space="preserve"> </w:t>
      </w:r>
      <w:r w:rsidRPr="00565E10">
        <w:rPr>
          <w:rFonts w:cs="Arial"/>
          <w:sz w:val="20"/>
          <w:szCs w:val="20"/>
        </w:rPr>
        <w:t>charge</w:t>
      </w:r>
      <w:r w:rsidR="003B7F93" w:rsidRPr="00565E10">
        <w:rPr>
          <w:rFonts w:cs="Arial"/>
          <w:sz w:val="20"/>
          <w:szCs w:val="20"/>
        </w:rPr>
        <w:t>s</w:t>
      </w:r>
      <w:r w:rsidRPr="00565E10">
        <w:rPr>
          <w:rFonts w:cs="Arial"/>
          <w:sz w:val="20"/>
          <w:szCs w:val="20"/>
        </w:rPr>
        <w:t xml:space="preserve"> to compute member contributions</w:t>
      </w:r>
      <w:r w:rsidR="00B33D20" w:rsidRPr="00565E10">
        <w:rPr>
          <w:rFonts w:cs="Arial"/>
          <w:sz w:val="20"/>
          <w:szCs w:val="20"/>
        </w:rPr>
        <w:t>,</w:t>
      </w:r>
      <w:r w:rsidRPr="00565E10">
        <w:rPr>
          <w:rFonts w:cs="Arial"/>
          <w:sz w:val="20"/>
          <w:szCs w:val="20"/>
        </w:rPr>
        <w:t xml:space="preserve"> which are used to pay claims as they become due</w:t>
      </w:r>
      <w:r w:rsidR="00B33D20" w:rsidRPr="00565E10">
        <w:rPr>
          <w:rFonts w:cs="Arial"/>
          <w:sz w:val="20"/>
          <w:szCs w:val="20"/>
        </w:rPr>
        <w:t>,</w:t>
      </w:r>
      <w:r w:rsidRPr="00565E10">
        <w:rPr>
          <w:rFonts w:cs="Arial"/>
          <w:sz w:val="20"/>
          <w:szCs w:val="20"/>
        </w:rPr>
        <w:t xml:space="preserve"> are not expected to change significantly fr</w:t>
      </w:r>
      <w:r w:rsidR="00B33D20" w:rsidRPr="00565E10">
        <w:rPr>
          <w:rFonts w:cs="Arial"/>
          <w:sz w:val="20"/>
          <w:szCs w:val="20"/>
        </w:rPr>
        <w:t xml:space="preserve">om those used to determine the </w:t>
      </w:r>
      <w:r w:rsidRPr="00565E10">
        <w:rPr>
          <w:rFonts w:cs="Arial"/>
          <w:sz w:val="20"/>
          <w:szCs w:val="20"/>
        </w:rPr>
        <w:t>historic</w:t>
      </w:r>
      <w:r w:rsidR="00B33D20" w:rsidRPr="00565E10">
        <w:rPr>
          <w:rFonts w:cs="Arial"/>
          <w:sz w:val="20"/>
          <w:szCs w:val="20"/>
        </w:rPr>
        <w:t xml:space="preserve">al contributions detailed below.  By contract, the </w:t>
      </w:r>
      <w:r w:rsidR="00774B8F" w:rsidRPr="00565E10">
        <w:rPr>
          <w:rFonts w:cs="Arial"/>
          <w:sz w:val="20"/>
          <w:szCs w:val="20"/>
        </w:rPr>
        <w:t xml:space="preserve">annual </w:t>
      </w:r>
      <w:r w:rsidR="00B33D20" w:rsidRPr="00565E10">
        <w:rPr>
          <w:rFonts w:cs="Arial"/>
          <w:sz w:val="20"/>
          <w:szCs w:val="20"/>
        </w:rPr>
        <w:t xml:space="preserve">liability of each member is limited to the amount of financial contributions required to be made to </w:t>
      </w:r>
      <w:proofErr w:type="spellStart"/>
      <w:r w:rsidR="00A97AD5" w:rsidRPr="00565E10">
        <w:rPr>
          <w:rFonts w:cs="Arial"/>
          <w:sz w:val="20"/>
          <w:szCs w:val="20"/>
        </w:rPr>
        <w:t>OTARMA</w:t>
      </w:r>
      <w:proofErr w:type="spellEnd"/>
      <w:r w:rsidR="00B33D20" w:rsidRPr="00565E10">
        <w:rPr>
          <w:rFonts w:cs="Arial"/>
          <w:sz w:val="20"/>
          <w:szCs w:val="20"/>
        </w:rPr>
        <w:t xml:space="preserve"> for each year of membership.</w:t>
      </w:r>
    </w:p>
    <w:p w:rsidR="00B22B12" w:rsidRPr="00565E10" w:rsidRDefault="00B22B12" w:rsidP="006928C6">
      <w:pPr>
        <w:jc w:val="both"/>
        <w:rPr>
          <w:rFonts w:cs="Arial"/>
          <w:sz w:val="20"/>
          <w:szCs w:val="20"/>
        </w:rPr>
      </w:pPr>
    </w:p>
    <w:tbl>
      <w:tblPr>
        <w:tblpPr w:leftFromText="180" w:rightFromText="180" w:vertAnchor="text" w:tblpX="2460" w:tblpY="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41"/>
      </w:tblGrid>
      <w:tr w:rsidR="00B22B12" w:rsidRPr="00565E10" w:rsidTr="00A64925">
        <w:trPr>
          <w:trHeight w:hRule="exact" w:val="747"/>
        </w:trPr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2B12" w:rsidRPr="00A64925" w:rsidRDefault="00A64925" w:rsidP="00A64925">
            <w:pPr>
              <w:suppressAutoHyphens/>
              <w:spacing w:line="240" w:lineRule="atLeast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A64925">
              <w:rPr>
                <w:rFonts w:cs="Arial"/>
                <w:b/>
                <w:sz w:val="20"/>
                <w:szCs w:val="20"/>
                <w:u w:val="single"/>
              </w:rPr>
              <w:t xml:space="preserve">2016 </w:t>
            </w:r>
            <w:r w:rsidR="00B22B12" w:rsidRPr="00A64925">
              <w:rPr>
                <w:rFonts w:cs="Arial"/>
                <w:b/>
                <w:sz w:val="20"/>
                <w:szCs w:val="20"/>
                <w:u w:val="single"/>
              </w:rPr>
              <w:t xml:space="preserve">Contributions to </w:t>
            </w:r>
            <w:proofErr w:type="spellStart"/>
            <w:r w:rsidR="00B22B12" w:rsidRPr="00A64925">
              <w:rPr>
                <w:rFonts w:cs="Arial"/>
                <w:b/>
                <w:sz w:val="20"/>
                <w:szCs w:val="20"/>
                <w:u w:val="single"/>
              </w:rPr>
              <w:t>OTARMA</w:t>
            </w:r>
            <w:proofErr w:type="spellEnd"/>
          </w:p>
          <w:p w:rsidR="00B22B12" w:rsidRPr="00A64925" w:rsidRDefault="00B22B12" w:rsidP="00A64925">
            <w:pPr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</w:rPr>
            </w:pPr>
          </w:p>
          <w:p w:rsidR="00A64925" w:rsidRPr="00A64925" w:rsidRDefault="00A64925" w:rsidP="00A64925">
            <w:pPr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</w:rPr>
            </w:pPr>
            <w:r w:rsidRPr="00A64925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A64925">
              <w:rPr>
                <w:rFonts w:cs="Arial"/>
                <w:sz w:val="20"/>
                <w:szCs w:val="20"/>
              </w:rPr>
              <w:t xml:space="preserve">  $</w:t>
            </w:r>
          </w:p>
          <w:p w:rsidR="00A64925" w:rsidRPr="00A64925" w:rsidRDefault="00A64925" w:rsidP="00A64925">
            <w:pPr>
              <w:suppressAutoHyphens/>
              <w:spacing w:line="240" w:lineRule="atLeast"/>
              <w:jc w:val="both"/>
              <w:rPr>
                <w:rFonts w:cs="Arial"/>
                <w:sz w:val="20"/>
                <w:szCs w:val="20"/>
              </w:rPr>
            </w:pPr>
            <w:r w:rsidRPr="00A64925">
              <w:rPr>
                <w:rFonts w:cs="Arial"/>
                <w:sz w:val="20"/>
                <w:szCs w:val="20"/>
              </w:rPr>
              <w:t xml:space="preserve">     </w:t>
            </w:r>
          </w:p>
        </w:tc>
      </w:tr>
    </w:tbl>
    <w:p w:rsidR="00A64925" w:rsidRDefault="00A64925" w:rsidP="006928C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textWrapping" w:clear="all"/>
      </w:r>
      <w:r w:rsidR="00290CE4" w:rsidRPr="00565E10">
        <w:rPr>
          <w:rFonts w:cs="Arial"/>
          <w:sz w:val="20"/>
          <w:szCs w:val="20"/>
        </w:rPr>
        <w:t xml:space="preserve">  </w:t>
      </w:r>
    </w:p>
    <w:p w:rsidR="00290CE4" w:rsidRPr="00565E10" w:rsidRDefault="00290CE4" w:rsidP="006928C6">
      <w:pPr>
        <w:jc w:val="both"/>
        <w:rPr>
          <w:rFonts w:cs="Arial"/>
          <w:sz w:val="20"/>
          <w:szCs w:val="20"/>
        </w:rPr>
      </w:pPr>
      <w:r w:rsidRPr="00565E10">
        <w:rPr>
          <w:rFonts w:cs="Arial"/>
          <w:sz w:val="20"/>
          <w:szCs w:val="20"/>
        </w:rPr>
        <w:t xml:space="preserve"> </w:t>
      </w:r>
      <w:r w:rsidR="003B7F93" w:rsidRPr="00565E10">
        <w:rPr>
          <w:rFonts w:cs="Arial"/>
          <w:sz w:val="20"/>
          <w:szCs w:val="20"/>
          <w:highlight w:val="yellow"/>
        </w:rPr>
        <w:t xml:space="preserve">[Insert the </w:t>
      </w:r>
      <w:r w:rsidR="00A97AD5" w:rsidRPr="00565E10">
        <w:rPr>
          <w:rFonts w:cs="Arial"/>
          <w:sz w:val="20"/>
          <w:szCs w:val="20"/>
          <w:highlight w:val="yellow"/>
        </w:rPr>
        <w:t>township’s</w:t>
      </w:r>
      <w:r w:rsidR="003B7F93" w:rsidRPr="00565E10">
        <w:rPr>
          <w:rFonts w:cs="Arial"/>
          <w:sz w:val="20"/>
          <w:szCs w:val="20"/>
          <w:highlight w:val="yellow"/>
        </w:rPr>
        <w:t xml:space="preserve"> actual contribution into the table above.]</w:t>
      </w:r>
    </w:p>
    <w:p w:rsidR="00833FDF" w:rsidRPr="00565E10" w:rsidRDefault="00833FDF" w:rsidP="006928C6">
      <w:pPr>
        <w:jc w:val="both"/>
        <w:rPr>
          <w:rFonts w:cs="Arial"/>
          <w:sz w:val="20"/>
          <w:szCs w:val="20"/>
        </w:rPr>
      </w:pPr>
    </w:p>
    <w:p w:rsidR="00833FDF" w:rsidRPr="00565E10" w:rsidRDefault="00833FDF" w:rsidP="006928C6">
      <w:pPr>
        <w:jc w:val="both"/>
        <w:rPr>
          <w:rFonts w:cs="Arial"/>
          <w:sz w:val="20"/>
          <w:szCs w:val="20"/>
        </w:rPr>
      </w:pPr>
      <w:r w:rsidRPr="00565E10">
        <w:rPr>
          <w:rFonts w:cs="Arial"/>
          <w:sz w:val="20"/>
          <w:szCs w:val="20"/>
        </w:rPr>
        <w:t xml:space="preserve">After one year of membership, </w:t>
      </w:r>
      <w:r w:rsidR="00D50526">
        <w:rPr>
          <w:rFonts w:cs="Arial"/>
          <w:sz w:val="20"/>
          <w:szCs w:val="20"/>
        </w:rPr>
        <w:t xml:space="preserve">a </w:t>
      </w:r>
      <w:r w:rsidRPr="00565E10">
        <w:rPr>
          <w:rFonts w:cs="Arial"/>
          <w:sz w:val="20"/>
          <w:szCs w:val="20"/>
        </w:rPr>
        <w:t xml:space="preserve">member may withdraw on </w:t>
      </w:r>
      <w:r w:rsidR="00D50526">
        <w:rPr>
          <w:rFonts w:cs="Arial"/>
          <w:sz w:val="20"/>
          <w:szCs w:val="20"/>
        </w:rPr>
        <w:t xml:space="preserve">the </w:t>
      </w:r>
      <w:r w:rsidRPr="00565E10">
        <w:rPr>
          <w:rFonts w:cs="Arial"/>
          <w:sz w:val="20"/>
          <w:szCs w:val="20"/>
        </w:rPr>
        <w:t xml:space="preserve">anniversary of the date </w:t>
      </w:r>
      <w:r w:rsidR="00D50526">
        <w:rPr>
          <w:rFonts w:cs="Arial"/>
          <w:sz w:val="20"/>
          <w:szCs w:val="20"/>
        </w:rPr>
        <w:t>of</w:t>
      </w:r>
      <w:r w:rsidRPr="00565E10">
        <w:rPr>
          <w:rFonts w:cs="Arial"/>
          <w:sz w:val="20"/>
          <w:szCs w:val="20"/>
        </w:rPr>
        <w:t xml:space="preserve"> join</w:t>
      </w:r>
      <w:r w:rsidR="00D50526">
        <w:rPr>
          <w:rFonts w:cs="Arial"/>
          <w:sz w:val="20"/>
          <w:szCs w:val="20"/>
        </w:rPr>
        <w:t>ing</w:t>
      </w:r>
      <w:r w:rsidRPr="00565E10">
        <w:rPr>
          <w:rFonts w:cs="Arial"/>
          <w:sz w:val="20"/>
          <w:szCs w:val="20"/>
        </w:rPr>
        <w:t xml:space="preserve"> </w:t>
      </w:r>
      <w:proofErr w:type="spellStart"/>
      <w:r w:rsidR="00A97AD5" w:rsidRPr="00565E10">
        <w:rPr>
          <w:rFonts w:cs="Arial"/>
          <w:sz w:val="20"/>
          <w:szCs w:val="20"/>
        </w:rPr>
        <w:t>OTARMA</w:t>
      </w:r>
      <w:proofErr w:type="spellEnd"/>
      <w:r w:rsidR="00D50526">
        <w:rPr>
          <w:rFonts w:cs="Arial"/>
          <w:sz w:val="20"/>
          <w:szCs w:val="20"/>
        </w:rPr>
        <w:t>,</w:t>
      </w:r>
      <w:r w:rsidR="00E731CA" w:rsidRPr="00565E10">
        <w:rPr>
          <w:rFonts w:cs="Arial"/>
          <w:sz w:val="20"/>
          <w:szCs w:val="20"/>
        </w:rPr>
        <w:t xml:space="preserve"> </w:t>
      </w:r>
      <w:r w:rsidR="00D50526">
        <w:rPr>
          <w:rFonts w:cs="Arial"/>
          <w:sz w:val="20"/>
          <w:szCs w:val="20"/>
        </w:rPr>
        <w:t xml:space="preserve">if </w:t>
      </w:r>
      <w:r w:rsidR="00E731CA" w:rsidRPr="00565E10">
        <w:rPr>
          <w:rFonts w:cs="Arial"/>
          <w:sz w:val="20"/>
          <w:szCs w:val="20"/>
        </w:rPr>
        <w:t>t</w:t>
      </w:r>
      <w:r w:rsidRPr="00565E10">
        <w:rPr>
          <w:rFonts w:cs="Arial"/>
          <w:sz w:val="20"/>
          <w:szCs w:val="20"/>
        </w:rPr>
        <w:t>he</w:t>
      </w:r>
      <w:r w:rsidR="00D50526">
        <w:rPr>
          <w:rFonts w:cs="Arial"/>
          <w:sz w:val="20"/>
          <w:szCs w:val="20"/>
        </w:rPr>
        <w:t xml:space="preserve"> member</w:t>
      </w:r>
      <w:r w:rsidRPr="00565E10">
        <w:rPr>
          <w:rFonts w:cs="Arial"/>
          <w:sz w:val="20"/>
          <w:szCs w:val="20"/>
        </w:rPr>
        <w:t xml:space="preserve"> noti</w:t>
      </w:r>
      <w:r w:rsidR="00D50526">
        <w:rPr>
          <w:rFonts w:cs="Arial"/>
          <w:sz w:val="20"/>
          <w:szCs w:val="20"/>
        </w:rPr>
        <w:t>fies</w:t>
      </w:r>
      <w:r w:rsidRPr="00565E10">
        <w:rPr>
          <w:rFonts w:cs="Arial"/>
          <w:sz w:val="20"/>
          <w:szCs w:val="20"/>
        </w:rPr>
        <w:t xml:space="preserve"> </w:t>
      </w:r>
      <w:proofErr w:type="spellStart"/>
      <w:r w:rsidR="00A97AD5" w:rsidRPr="00565E10">
        <w:rPr>
          <w:rFonts w:cs="Arial"/>
          <w:sz w:val="20"/>
          <w:szCs w:val="20"/>
        </w:rPr>
        <w:t>OTARMA</w:t>
      </w:r>
      <w:proofErr w:type="spellEnd"/>
      <w:r w:rsidRPr="00565E10">
        <w:rPr>
          <w:rFonts w:cs="Arial"/>
          <w:sz w:val="20"/>
          <w:szCs w:val="20"/>
        </w:rPr>
        <w:t xml:space="preserve"> </w:t>
      </w:r>
      <w:r w:rsidR="00D50526">
        <w:rPr>
          <w:rFonts w:cs="Arial"/>
          <w:sz w:val="20"/>
          <w:szCs w:val="20"/>
        </w:rPr>
        <w:t xml:space="preserve">in writing </w:t>
      </w:r>
      <w:r w:rsidRPr="00565E10">
        <w:rPr>
          <w:rFonts w:cs="Arial"/>
          <w:sz w:val="20"/>
          <w:szCs w:val="20"/>
        </w:rPr>
        <w:t xml:space="preserve">60 days </w:t>
      </w:r>
      <w:r w:rsidR="00D50526">
        <w:rPr>
          <w:rFonts w:cs="Arial"/>
          <w:sz w:val="20"/>
          <w:szCs w:val="20"/>
        </w:rPr>
        <w:t xml:space="preserve">prior to </w:t>
      </w:r>
      <w:r w:rsidRPr="00565E10">
        <w:rPr>
          <w:rFonts w:cs="Arial"/>
          <w:sz w:val="20"/>
          <w:szCs w:val="20"/>
        </w:rPr>
        <w:t>the anniversary date.  Upon withdrawal, members are eligible for a full or partial refund of their capital contributions, minus the subsequent year’s contribution.  Withdrawing members have no other</w:t>
      </w:r>
      <w:r w:rsidRPr="00565E10">
        <w:rPr>
          <w:rFonts w:cs="Arial"/>
          <w:b/>
          <w:sz w:val="20"/>
          <w:szCs w:val="20"/>
        </w:rPr>
        <w:t xml:space="preserve"> </w:t>
      </w:r>
      <w:r w:rsidRPr="00565E10">
        <w:rPr>
          <w:rFonts w:cs="Arial"/>
          <w:sz w:val="20"/>
          <w:szCs w:val="20"/>
        </w:rPr>
        <w:t xml:space="preserve">future obligation to the pool.  Also upon withdrawal, payments for all casualty claims and claim expenses become the sole responsibility of the withdrawing member, regardless of whether a claim </w:t>
      </w:r>
      <w:r w:rsidR="00E731CA" w:rsidRPr="00565E10">
        <w:rPr>
          <w:rFonts w:cs="Arial"/>
          <w:sz w:val="20"/>
          <w:szCs w:val="20"/>
        </w:rPr>
        <w:t>oc</w:t>
      </w:r>
      <w:r w:rsidRPr="00565E10">
        <w:rPr>
          <w:rFonts w:cs="Arial"/>
          <w:sz w:val="20"/>
          <w:szCs w:val="20"/>
        </w:rPr>
        <w:t xml:space="preserve">curred or </w:t>
      </w:r>
      <w:r w:rsidR="00E731CA" w:rsidRPr="00565E10">
        <w:rPr>
          <w:rFonts w:cs="Arial"/>
          <w:sz w:val="20"/>
          <w:szCs w:val="20"/>
        </w:rPr>
        <w:t xml:space="preserve">was </w:t>
      </w:r>
      <w:r w:rsidRPr="00565E10">
        <w:rPr>
          <w:rFonts w:cs="Arial"/>
          <w:sz w:val="20"/>
          <w:szCs w:val="20"/>
        </w:rPr>
        <w:t xml:space="preserve">reported prior to the withdrawal. </w:t>
      </w:r>
    </w:p>
    <w:sectPr w:rsidR="00833FDF" w:rsidRPr="00565E10" w:rsidSect="006112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D5" w:rsidRDefault="003053D5">
      <w:r>
        <w:separator/>
      </w:r>
    </w:p>
  </w:endnote>
  <w:endnote w:type="continuationSeparator" w:id="0">
    <w:p w:rsidR="003053D5" w:rsidRDefault="0030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D5" w:rsidRDefault="003053D5">
      <w:r>
        <w:separator/>
      </w:r>
    </w:p>
  </w:footnote>
  <w:footnote w:type="continuationSeparator" w:id="0">
    <w:p w:rsidR="003053D5" w:rsidRDefault="00305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42"/>
    <w:rsid w:val="00002098"/>
    <w:rsid w:val="00003971"/>
    <w:rsid w:val="00004045"/>
    <w:rsid w:val="000126C8"/>
    <w:rsid w:val="00017F71"/>
    <w:rsid w:val="00021B5F"/>
    <w:rsid w:val="00026706"/>
    <w:rsid w:val="00026B9D"/>
    <w:rsid w:val="0004293E"/>
    <w:rsid w:val="00045E9C"/>
    <w:rsid w:val="00046448"/>
    <w:rsid w:val="000548D3"/>
    <w:rsid w:val="00056620"/>
    <w:rsid w:val="00056EBE"/>
    <w:rsid w:val="000611FE"/>
    <w:rsid w:val="000619D5"/>
    <w:rsid w:val="00075282"/>
    <w:rsid w:val="00082B7A"/>
    <w:rsid w:val="00083E8B"/>
    <w:rsid w:val="000856E6"/>
    <w:rsid w:val="0009213A"/>
    <w:rsid w:val="0009323F"/>
    <w:rsid w:val="00093935"/>
    <w:rsid w:val="00097308"/>
    <w:rsid w:val="000A2DFF"/>
    <w:rsid w:val="000A729D"/>
    <w:rsid w:val="000B1053"/>
    <w:rsid w:val="000B648A"/>
    <w:rsid w:val="000B7C0C"/>
    <w:rsid w:val="000D22B5"/>
    <w:rsid w:val="000D3309"/>
    <w:rsid w:val="000D6C32"/>
    <w:rsid w:val="000E4738"/>
    <w:rsid w:val="000E5544"/>
    <w:rsid w:val="000F50F9"/>
    <w:rsid w:val="000F746E"/>
    <w:rsid w:val="000F7B32"/>
    <w:rsid w:val="001236FE"/>
    <w:rsid w:val="00124239"/>
    <w:rsid w:val="0012594D"/>
    <w:rsid w:val="00134A2D"/>
    <w:rsid w:val="00137575"/>
    <w:rsid w:val="00140BB2"/>
    <w:rsid w:val="00145331"/>
    <w:rsid w:val="00152D04"/>
    <w:rsid w:val="001558BA"/>
    <w:rsid w:val="0017325E"/>
    <w:rsid w:val="0017557D"/>
    <w:rsid w:val="00180927"/>
    <w:rsid w:val="00185231"/>
    <w:rsid w:val="00192D7B"/>
    <w:rsid w:val="001935C3"/>
    <w:rsid w:val="001A0921"/>
    <w:rsid w:val="001A33CC"/>
    <w:rsid w:val="001A5F74"/>
    <w:rsid w:val="001A7DD3"/>
    <w:rsid w:val="001B0712"/>
    <w:rsid w:val="001B35C3"/>
    <w:rsid w:val="001C76F8"/>
    <w:rsid w:val="001D4234"/>
    <w:rsid w:val="001D43CD"/>
    <w:rsid w:val="001E16FF"/>
    <w:rsid w:val="001E3476"/>
    <w:rsid w:val="001F0285"/>
    <w:rsid w:val="001F2F21"/>
    <w:rsid w:val="001F36BD"/>
    <w:rsid w:val="001F3F90"/>
    <w:rsid w:val="001F4BBD"/>
    <w:rsid w:val="001F7DAF"/>
    <w:rsid w:val="001F7EDC"/>
    <w:rsid w:val="00202999"/>
    <w:rsid w:val="00204F9B"/>
    <w:rsid w:val="00230678"/>
    <w:rsid w:val="00231DD9"/>
    <w:rsid w:val="00234A01"/>
    <w:rsid w:val="00241653"/>
    <w:rsid w:val="00245D96"/>
    <w:rsid w:val="002469E6"/>
    <w:rsid w:val="00252092"/>
    <w:rsid w:val="0025342E"/>
    <w:rsid w:val="002606B5"/>
    <w:rsid w:val="00261AB9"/>
    <w:rsid w:val="002634B8"/>
    <w:rsid w:val="00263A05"/>
    <w:rsid w:val="00267651"/>
    <w:rsid w:val="00290CE4"/>
    <w:rsid w:val="00293E0C"/>
    <w:rsid w:val="00294876"/>
    <w:rsid w:val="00295173"/>
    <w:rsid w:val="002A10FC"/>
    <w:rsid w:val="002B53BC"/>
    <w:rsid w:val="002C3CD4"/>
    <w:rsid w:val="002C5016"/>
    <w:rsid w:val="002D0E3F"/>
    <w:rsid w:val="002D1738"/>
    <w:rsid w:val="002D1AF5"/>
    <w:rsid w:val="002D238C"/>
    <w:rsid w:val="002D48B4"/>
    <w:rsid w:val="002D5D73"/>
    <w:rsid w:val="002F63F9"/>
    <w:rsid w:val="00300B79"/>
    <w:rsid w:val="003053D5"/>
    <w:rsid w:val="0031448F"/>
    <w:rsid w:val="0031531A"/>
    <w:rsid w:val="00316133"/>
    <w:rsid w:val="00324EC4"/>
    <w:rsid w:val="0033322F"/>
    <w:rsid w:val="003334D4"/>
    <w:rsid w:val="00335ACD"/>
    <w:rsid w:val="00337127"/>
    <w:rsid w:val="00337D44"/>
    <w:rsid w:val="00344C8E"/>
    <w:rsid w:val="00344D34"/>
    <w:rsid w:val="00351FCD"/>
    <w:rsid w:val="00353142"/>
    <w:rsid w:val="00356F94"/>
    <w:rsid w:val="0036097B"/>
    <w:rsid w:val="00365F7A"/>
    <w:rsid w:val="00374855"/>
    <w:rsid w:val="00382378"/>
    <w:rsid w:val="003833C7"/>
    <w:rsid w:val="00383AE3"/>
    <w:rsid w:val="00385C32"/>
    <w:rsid w:val="003861C0"/>
    <w:rsid w:val="00387064"/>
    <w:rsid w:val="003924AF"/>
    <w:rsid w:val="00395F43"/>
    <w:rsid w:val="00397629"/>
    <w:rsid w:val="003A38AD"/>
    <w:rsid w:val="003B6AC2"/>
    <w:rsid w:val="003B7F93"/>
    <w:rsid w:val="003C1C34"/>
    <w:rsid w:val="003C3EE5"/>
    <w:rsid w:val="003C6096"/>
    <w:rsid w:val="003C79BE"/>
    <w:rsid w:val="003D5F02"/>
    <w:rsid w:val="003E0290"/>
    <w:rsid w:val="003E461D"/>
    <w:rsid w:val="003E4AEE"/>
    <w:rsid w:val="003E4E33"/>
    <w:rsid w:val="003E7678"/>
    <w:rsid w:val="003F006C"/>
    <w:rsid w:val="003F5125"/>
    <w:rsid w:val="00402EEC"/>
    <w:rsid w:val="00416117"/>
    <w:rsid w:val="00417A8E"/>
    <w:rsid w:val="00422150"/>
    <w:rsid w:val="004310F8"/>
    <w:rsid w:val="00435A84"/>
    <w:rsid w:val="0044511D"/>
    <w:rsid w:val="00450A5C"/>
    <w:rsid w:val="00455C94"/>
    <w:rsid w:val="00456DB4"/>
    <w:rsid w:val="00457644"/>
    <w:rsid w:val="00460988"/>
    <w:rsid w:val="00461747"/>
    <w:rsid w:val="00466576"/>
    <w:rsid w:val="00472D5A"/>
    <w:rsid w:val="00482B24"/>
    <w:rsid w:val="0048552E"/>
    <w:rsid w:val="004872C9"/>
    <w:rsid w:val="0049097A"/>
    <w:rsid w:val="00492287"/>
    <w:rsid w:val="004928E4"/>
    <w:rsid w:val="0049310F"/>
    <w:rsid w:val="004A71BC"/>
    <w:rsid w:val="004A789B"/>
    <w:rsid w:val="004B7992"/>
    <w:rsid w:val="004C0ABE"/>
    <w:rsid w:val="004C1C68"/>
    <w:rsid w:val="004C4C64"/>
    <w:rsid w:val="004C6F52"/>
    <w:rsid w:val="004D22A9"/>
    <w:rsid w:val="004D4319"/>
    <w:rsid w:val="004D7EE0"/>
    <w:rsid w:val="004E1DBA"/>
    <w:rsid w:val="004E2B57"/>
    <w:rsid w:val="004E3362"/>
    <w:rsid w:val="004F13C9"/>
    <w:rsid w:val="004F2206"/>
    <w:rsid w:val="004F2811"/>
    <w:rsid w:val="004F3EFD"/>
    <w:rsid w:val="004F5088"/>
    <w:rsid w:val="004F5839"/>
    <w:rsid w:val="004F61B8"/>
    <w:rsid w:val="00503DB2"/>
    <w:rsid w:val="005065AE"/>
    <w:rsid w:val="00507EE0"/>
    <w:rsid w:val="00512B56"/>
    <w:rsid w:val="0051483C"/>
    <w:rsid w:val="00522693"/>
    <w:rsid w:val="00523DCF"/>
    <w:rsid w:val="005303B6"/>
    <w:rsid w:val="0053141C"/>
    <w:rsid w:val="0053275C"/>
    <w:rsid w:val="00537793"/>
    <w:rsid w:val="0055655A"/>
    <w:rsid w:val="005571D3"/>
    <w:rsid w:val="00560E5A"/>
    <w:rsid w:val="005641E2"/>
    <w:rsid w:val="005657E8"/>
    <w:rsid w:val="00565AB2"/>
    <w:rsid w:val="00565E10"/>
    <w:rsid w:val="00566A22"/>
    <w:rsid w:val="00566FAF"/>
    <w:rsid w:val="00584E3D"/>
    <w:rsid w:val="00597357"/>
    <w:rsid w:val="005A0677"/>
    <w:rsid w:val="005A569D"/>
    <w:rsid w:val="005A6B0A"/>
    <w:rsid w:val="005C0974"/>
    <w:rsid w:val="005C3128"/>
    <w:rsid w:val="005C5E96"/>
    <w:rsid w:val="005C7BD5"/>
    <w:rsid w:val="005D571D"/>
    <w:rsid w:val="005D79C4"/>
    <w:rsid w:val="005D7FCD"/>
    <w:rsid w:val="005F62FA"/>
    <w:rsid w:val="00610AED"/>
    <w:rsid w:val="00611239"/>
    <w:rsid w:val="006124AC"/>
    <w:rsid w:val="00613FEA"/>
    <w:rsid w:val="0062393E"/>
    <w:rsid w:val="00625A76"/>
    <w:rsid w:val="006300EE"/>
    <w:rsid w:val="0063380C"/>
    <w:rsid w:val="00634E16"/>
    <w:rsid w:val="00654BDD"/>
    <w:rsid w:val="00660A34"/>
    <w:rsid w:val="00665914"/>
    <w:rsid w:val="006679D5"/>
    <w:rsid w:val="0067413C"/>
    <w:rsid w:val="00675D81"/>
    <w:rsid w:val="00680AAB"/>
    <w:rsid w:val="00684A87"/>
    <w:rsid w:val="0069039B"/>
    <w:rsid w:val="006928C6"/>
    <w:rsid w:val="0069369E"/>
    <w:rsid w:val="0069676E"/>
    <w:rsid w:val="006B770C"/>
    <w:rsid w:val="006C0D6E"/>
    <w:rsid w:val="006C596E"/>
    <w:rsid w:val="006D0959"/>
    <w:rsid w:val="006D1969"/>
    <w:rsid w:val="006F04F7"/>
    <w:rsid w:val="006F0C86"/>
    <w:rsid w:val="007048E9"/>
    <w:rsid w:val="00714F4B"/>
    <w:rsid w:val="0071731D"/>
    <w:rsid w:val="00717607"/>
    <w:rsid w:val="007265F9"/>
    <w:rsid w:val="00740E1F"/>
    <w:rsid w:val="00742A2E"/>
    <w:rsid w:val="0075050E"/>
    <w:rsid w:val="00750EA4"/>
    <w:rsid w:val="00763C92"/>
    <w:rsid w:val="00764008"/>
    <w:rsid w:val="007703E2"/>
    <w:rsid w:val="00770DB5"/>
    <w:rsid w:val="00771468"/>
    <w:rsid w:val="007717E3"/>
    <w:rsid w:val="00774B8F"/>
    <w:rsid w:val="00777D42"/>
    <w:rsid w:val="00780587"/>
    <w:rsid w:val="00782197"/>
    <w:rsid w:val="007835A2"/>
    <w:rsid w:val="00794D46"/>
    <w:rsid w:val="00797DDA"/>
    <w:rsid w:val="007A11A8"/>
    <w:rsid w:val="007A3DED"/>
    <w:rsid w:val="007A6E46"/>
    <w:rsid w:val="007B169A"/>
    <w:rsid w:val="007B5706"/>
    <w:rsid w:val="007B7D2E"/>
    <w:rsid w:val="007C3C46"/>
    <w:rsid w:val="007C4BD5"/>
    <w:rsid w:val="007C5159"/>
    <w:rsid w:val="007C77A7"/>
    <w:rsid w:val="007D06FA"/>
    <w:rsid w:val="007E1CFE"/>
    <w:rsid w:val="007F1F0F"/>
    <w:rsid w:val="007F5946"/>
    <w:rsid w:val="007F7DB5"/>
    <w:rsid w:val="00811961"/>
    <w:rsid w:val="00822DC9"/>
    <w:rsid w:val="008238CE"/>
    <w:rsid w:val="0082436C"/>
    <w:rsid w:val="00824524"/>
    <w:rsid w:val="00825C79"/>
    <w:rsid w:val="00831A58"/>
    <w:rsid w:val="00833FDF"/>
    <w:rsid w:val="00835CC0"/>
    <w:rsid w:val="00836C78"/>
    <w:rsid w:val="00841267"/>
    <w:rsid w:val="00844A63"/>
    <w:rsid w:val="00845B9A"/>
    <w:rsid w:val="00855963"/>
    <w:rsid w:val="00865265"/>
    <w:rsid w:val="008669F0"/>
    <w:rsid w:val="008679D7"/>
    <w:rsid w:val="0087560D"/>
    <w:rsid w:val="00876327"/>
    <w:rsid w:val="00882EEC"/>
    <w:rsid w:val="008844AE"/>
    <w:rsid w:val="0088787D"/>
    <w:rsid w:val="008879BC"/>
    <w:rsid w:val="008A0C6F"/>
    <w:rsid w:val="008A4F4D"/>
    <w:rsid w:val="008A6476"/>
    <w:rsid w:val="008B5968"/>
    <w:rsid w:val="008C0ABB"/>
    <w:rsid w:val="008C3321"/>
    <w:rsid w:val="008C5583"/>
    <w:rsid w:val="008E0C49"/>
    <w:rsid w:val="008E2C96"/>
    <w:rsid w:val="008E7F16"/>
    <w:rsid w:val="00900F2A"/>
    <w:rsid w:val="009018C9"/>
    <w:rsid w:val="00905EA9"/>
    <w:rsid w:val="00910011"/>
    <w:rsid w:val="0091102A"/>
    <w:rsid w:val="00912250"/>
    <w:rsid w:val="00924C27"/>
    <w:rsid w:val="00931733"/>
    <w:rsid w:val="00936EA7"/>
    <w:rsid w:val="00943A8E"/>
    <w:rsid w:val="0095384C"/>
    <w:rsid w:val="00966AB1"/>
    <w:rsid w:val="00975A70"/>
    <w:rsid w:val="00976E8E"/>
    <w:rsid w:val="00980F26"/>
    <w:rsid w:val="009866A3"/>
    <w:rsid w:val="009869F3"/>
    <w:rsid w:val="009955AA"/>
    <w:rsid w:val="009A0583"/>
    <w:rsid w:val="009A54EA"/>
    <w:rsid w:val="009A718B"/>
    <w:rsid w:val="009B28A4"/>
    <w:rsid w:val="009B39CD"/>
    <w:rsid w:val="009C001F"/>
    <w:rsid w:val="009C2F10"/>
    <w:rsid w:val="009C77B5"/>
    <w:rsid w:val="009D22A6"/>
    <w:rsid w:val="009D2477"/>
    <w:rsid w:val="009D49F7"/>
    <w:rsid w:val="009D4D2B"/>
    <w:rsid w:val="009E078C"/>
    <w:rsid w:val="009E602D"/>
    <w:rsid w:val="009E6477"/>
    <w:rsid w:val="009F0786"/>
    <w:rsid w:val="009F5652"/>
    <w:rsid w:val="009F6017"/>
    <w:rsid w:val="00A1096B"/>
    <w:rsid w:val="00A168BF"/>
    <w:rsid w:val="00A2099B"/>
    <w:rsid w:val="00A231E3"/>
    <w:rsid w:val="00A23B8B"/>
    <w:rsid w:val="00A2617E"/>
    <w:rsid w:val="00A439D0"/>
    <w:rsid w:val="00A44624"/>
    <w:rsid w:val="00A4497B"/>
    <w:rsid w:val="00A45167"/>
    <w:rsid w:val="00A53802"/>
    <w:rsid w:val="00A5401A"/>
    <w:rsid w:val="00A548D5"/>
    <w:rsid w:val="00A602A1"/>
    <w:rsid w:val="00A6199E"/>
    <w:rsid w:val="00A624F5"/>
    <w:rsid w:val="00A64925"/>
    <w:rsid w:val="00A7725D"/>
    <w:rsid w:val="00A8110A"/>
    <w:rsid w:val="00A84751"/>
    <w:rsid w:val="00A97AD5"/>
    <w:rsid w:val="00AB42DE"/>
    <w:rsid w:val="00AC35C6"/>
    <w:rsid w:val="00AC3B37"/>
    <w:rsid w:val="00AC7347"/>
    <w:rsid w:val="00AD4932"/>
    <w:rsid w:val="00AE5971"/>
    <w:rsid w:val="00AE7CD8"/>
    <w:rsid w:val="00B014CB"/>
    <w:rsid w:val="00B04866"/>
    <w:rsid w:val="00B12FC0"/>
    <w:rsid w:val="00B22B12"/>
    <w:rsid w:val="00B26416"/>
    <w:rsid w:val="00B305BA"/>
    <w:rsid w:val="00B33D20"/>
    <w:rsid w:val="00B356C3"/>
    <w:rsid w:val="00B36AC1"/>
    <w:rsid w:val="00B51210"/>
    <w:rsid w:val="00B61DF2"/>
    <w:rsid w:val="00B6292E"/>
    <w:rsid w:val="00B66723"/>
    <w:rsid w:val="00B7654D"/>
    <w:rsid w:val="00B813F1"/>
    <w:rsid w:val="00B87279"/>
    <w:rsid w:val="00B902BD"/>
    <w:rsid w:val="00B9186A"/>
    <w:rsid w:val="00B978DF"/>
    <w:rsid w:val="00BA0113"/>
    <w:rsid w:val="00BA022B"/>
    <w:rsid w:val="00BA0603"/>
    <w:rsid w:val="00BA3811"/>
    <w:rsid w:val="00BB02DC"/>
    <w:rsid w:val="00BB3F31"/>
    <w:rsid w:val="00BC0833"/>
    <w:rsid w:val="00BC18BD"/>
    <w:rsid w:val="00BD0E8C"/>
    <w:rsid w:val="00BD60C6"/>
    <w:rsid w:val="00BE14CE"/>
    <w:rsid w:val="00C07B7B"/>
    <w:rsid w:val="00C12A20"/>
    <w:rsid w:val="00C213DD"/>
    <w:rsid w:val="00C23F9A"/>
    <w:rsid w:val="00C2617F"/>
    <w:rsid w:val="00C40D60"/>
    <w:rsid w:val="00C43539"/>
    <w:rsid w:val="00C44E8B"/>
    <w:rsid w:val="00C50F6D"/>
    <w:rsid w:val="00C53DA6"/>
    <w:rsid w:val="00C5493C"/>
    <w:rsid w:val="00C60103"/>
    <w:rsid w:val="00C6681C"/>
    <w:rsid w:val="00C7299B"/>
    <w:rsid w:val="00C77887"/>
    <w:rsid w:val="00C80CCE"/>
    <w:rsid w:val="00C873B3"/>
    <w:rsid w:val="00C96E27"/>
    <w:rsid w:val="00CA3A20"/>
    <w:rsid w:val="00CB3699"/>
    <w:rsid w:val="00CB6575"/>
    <w:rsid w:val="00CB6636"/>
    <w:rsid w:val="00CC1646"/>
    <w:rsid w:val="00CC1C03"/>
    <w:rsid w:val="00CC6FF7"/>
    <w:rsid w:val="00CD2BE8"/>
    <w:rsid w:val="00CE0CAA"/>
    <w:rsid w:val="00CE274B"/>
    <w:rsid w:val="00CE4ECF"/>
    <w:rsid w:val="00CE6D8C"/>
    <w:rsid w:val="00CF7BC5"/>
    <w:rsid w:val="00D025A7"/>
    <w:rsid w:val="00D05C6A"/>
    <w:rsid w:val="00D16ED1"/>
    <w:rsid w:val="00D23E28"/>
    <w:rsid w:val="00D255ED"/>
    <w:rsid w:val="00D25633"/>
    <w:rsid w:val="00D261A3"/>
    <w:rsid w:val="00D367C1"/>
    <w:rsid w:val="00D50526"/>
    <w:rsid w:val="00D52B04"/>
    <w:rsid w:val="00D66D06"/>
    <w:rsid w:val="00D67353"/>
    <w:rsid w:val="00D71FBA"/>
    <w:rsid w:val="00D82E20"/>
    <w:rsid w:val="00D86833"/>
    <w:rsid w:val="00D87230"/>
    <w:rsid w:val="00D903DC"/>
    <w:rsid w:val="00D94A28"/>
    <w:rsid w:val="00D94EBD"/>
    <w:rsid w:val="00DA1349"/>
    <w:rsid w:val="00DA467B"/>
    <w:rsid w:val="00DA6485"/>
    <w:rsid w:val="00DB24FC"/>
    <w:rsid w:val="00DB2DFB"/>
    <w:rsid w:val="00DB656E"/>
    <w:rsid w:val="00DC24C2"/>
    <w:rsid w:val="00DD1C0B"/>
    <w:rsid w:val="00DD21D9"/>
    <w:rsid w:val="00DD4FD3"/>
    <w:rsid w:val="00DD7904"/>
    <w:rsid w:val="00DE0990"/>
    <w:rsid w:val="00DE260A"/>
    <w:rsid w:val="00DF6C6D"/>
    <w:rsid w:val="00E0587A"/>
    <w:rsid w:val="00E11BD7"/>
    <w:rsid w:val="00E21B6E"/>
    <w:rsid w:val="00E233D3"/>
    <w:rsid w:val="00E2628E"/>
    <w:rsid w:val="00E3295E"/>
    <w:rsid w:val="00E40A5E"/>
    <w:rsid w:val="00E41FCC"/>
    <w:rsid w:val="00E42569"/>
    <w:rsid w:val="00E43341"/>
    <w:rsid w:val="00E44AA6"/>
    <w:rsid w:val="00E4665A"/>
    <w:rsid w:val="00E5255F"/>
    <w:rsid w:val="00E62306"/>
    <w:rsid w:val="00E731CA"/>
    <w:rsid w:val="00E800D2"/>
    <w:rsid w:val="00E828C8"/>
    <w:rsid w:val="00E87CF4"/>
    <w:rsid w:val="00E90494"/>
    <w:rsid w:val="00E91569"/>
    <w:rsid w:val="00E93734"/>
    <w:rsid w:val="00E9735D"/>
    <w:rsid w:val="00E97CD3"/>
    <w:rsid w:val="00EA0B1B"/>
    <w:rsid w:val="00EA3319"/>
    <w:rsid w:val="00EA65D8"/>
    <w:rsid w:val="00EB432C"/>
    <w:rsid w:val="00EC4DB5"/>
    <w:rsid w:val="00EC5C79"/>
    <w:rsid w:val="00EC69EA"/>
    <w:rsid w:val="00EE11A2"/>
    <w:rsid w:val="00EE1F19"/>
    <w:rsid w:val="00EE6433"/>
    <w:rsid w:val="00EE676C"/>
    <w:rsid w:val="00EE7701"/>
    <w:rsid w:val="00F005F0"/>
    <w:rsid w:val="00F04D2C"/>
    <w:rsid w:val="00F06FD6"/>
    <w:rsid w:val="00F078BB"/>
    <w:rsid w:val="00F13894"/>
    <w:rsid w:val="00F1558E"/>
    <w:rsid w:val="00F4217D"/>
    <w:rsid w:val="00F45506"/>
    <w:rsid w:val="00F45A41"/>
    <w:rsid w:val="00F60121"/>
    <w:rsid w:val="00F62BC4"/>
    <w:rsid w:val="00F74FA6"/>
    <w:rsid w:val="00F763B4"/>
    <w:rsid w:val="00F77120"/>
    <w:rsid w:val="00F85603"/>
    <w:rsid w:val="00F9007C"/>
    <w:rsid w:val="00F95322"/>
    <w:rsid w:val="00FA43C5"/>
    <w:rsid w:val="00FA68C6"/>
    <w:rsid w:val="00FA6F78"/>
    <w:rsid w:val="00FA7850"/>
    <w:rsid w:val="00FB49B3"/>
    <w:rsid w:val="00FC2641"/>
    <w:rsid w:val="00FD271C"/>
    <w:rsid w:val="00FE1688"/>
    <w:rsid w:val="00FF2888"/>
    <w:rsid w:val="00FF424A"/>
    <w:rsid w:val="00FF5064"/>
    <w:rsid w:val="00FF527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D4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61">
    <w:name w:val="EmailStyle161"/>
    <w:basedOn w:val="DefaultParagraphFont"/>
    <w:semiHidden/>
    <w:rsid w:val="00A168BF"/>
    <w:rPr>
      <w:rFonts w:ascii="Arial" w:hAnsi="Arial" w:cs="Arial"/>
      <w:color w:val="000080"/>
      <w:sz w:val="20"/>
      <w:szCs w:val="20"/>
    </w:rPr>
  </w:style>
  <w:style w:type="paragraph" w:styleId="FootnoteText">
    <w:name w:val="footnote text"/>
    <w:basedOn w:val="Normal"/>
    <w:semiHidden/>
    <w:rsid w:val="004C6F5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C6F52"/>
    <w:rPr>
      <w:vertAlign w:val="superscript"/>
    </w:rPr>
  </w:style>
  <w:style w:type="character" w:styleId="CommentReference">
    <w:name w:val="annotation reference"/>
    <w:basedOn w:val="DefaultParagraphFont"/>
    <w:semiHidden/>
    <w:rsid w:val="009D4D2B"/>
    <w:rPr>
      <w:sz w:val="16"/>
      <w:szCs w:val="16"/>
    </w:rPr>
  </w:style>
  <w:style w:type="paragraph" w:styleId="CommentText">
    <w:name w:val="annotation text"/>
    <w:basedOn w:val="Normal"/>
    <w:semiHidden/>
    <w:rsid w:val="009D4D2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4D2B"/>
    <w:rPr>
      <w:b/>
      <w:bCs/>
    </w:rPr>
  </w:style>
  <w:style w:type="paragraph" w:styleId="BalloonText">
    <w:name w:val="Balloon Text"/>
    <w:basedOn w:val="Normal"/>
    <w:semiHidden/>
    <w:rsid w:val="009D4D2B"/>
    <w:rPr>
      <w:rFonts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D4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61">
    <w:name w:val="EmailStyle161"/>
    <w:basedOn w:val="DefaultParagraphFont"/>
    <w:semiHidden/>
    <w:rsid w:val="00A168BF"/>
    <w:rPr>
      <w:rFonts w:ascii="Arial" w:hAnsi="Arial" w:cs="Arial"/>
      <w:color w:val="000080"/>
      <w:sz w:val="20"/>
      <w:szCs w:val="20"/>
    </w:rPr>
  </w:style>
  <w:style w:type="paragraph" w:styleId="FootnoteText">
    <w:name w:val="footnote text"/>
    <w:basedOn w:val="Normal"/>
    <w:semiHidden/>
    <w:rsid w:val="004C6F5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C6F52"/>
    <w:rPr>
      <w:vertAlign w:val="superscript"/>
    </w:rPr>
  </w:style>
  <w:style w:type="character" w:styleId="CommentReference">
    <w:name w:val="annotation reference"/>
    <w:basedOn w:val="DefaultParagraphFont"/>
    <w:semiHidden/>
    <w:rsid w:val="009D4D2B"/>
    <w:rPr>
      <w:sz w:val="16"/>
      <w:szCs w:val="16"/>
    </w:rPr>
  </w:style>
  <w:style w:type="paragraph" w:styleId="CommentText">
    <w:name w:val="annotation text"/>
    <w:basedOn w:val="Normal"/>
    <w:semiHidden/>
    <w:rsid w:val="009D4D2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4D2B"/>
    <w:rPr>
      <w:b/>
      <w:bCs/>
    </w:rPr>
  </w:style>
  <w:style w:type="paragraph" w:styleId="BalloonText">
    <w:name w:val="Balloon Text"/>
    <w:basedOn w:val="Normal"/>
    <w:semiHidden/>
    <w:rsid w:val="009D4D2B"/>
    <w:rPr>
      <w:rFonts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10 – Risk Management</vt:lpstr>
    </vt:vector>
  </TitlesOfParts>
  <Company>Auditor of State of Ohio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10 – Risk Management</dc:title>
  <dc:creator>Fred R. Kruse</dc:creator>
  <cp:lastModifiedBy>Timothy J. Wagner</cp:lastModifiedBy>
  <cp:revision>2</cp:revision>
  <cp:lastPrinted>2007-06-05T18:28:00Z</cp:lastPrinted>
  <dcterms:created xsi:type="dcterms:W3CDTF">2017-05-16T19:43:00Z</dcterms:created>
  <dcterms:modified xsi:type="dcterms:W3CDTF">2017-05-16T19:43:00Z</dcterms:modified>
</cp:coreProperties>
</file>